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hint="eastAsia" w:ascii="宋体" w:hAnsi="宋体" w:cs="宋体"/>
          <w:color w:val="auto"/>
          <w:sz w:val="36"/>
        </w:rPr>
      </w:pPr>
      <w:bookmarkStart w:id="0" w:name="_Toc282534906"/>
      <w:bookmarkStart w:id="1" w:name="_Toc431284124"/>
      <w:bookmarkStart w:id="2" w:name="_Toc182358698"/>
      <w:bookmarkStart w:id="3" w:name="_Toc319836723"/>
      <w:bookmarkStart w:id="4" w:name="_Toc156106969"/>
      <w:bookmarkStart w:id="5" w:name="_Toc147248434"/>
      <w:r>
        <w:rPr>
          <w:rFonts w:hint="eastAsia" w:ascii="宋体" w:hAnsi="宋体" w:cs="宋体"/>
          <w:color w:val="auto"/>
          <w:sz w:val="36"/>
        </w:rPr>
        <w:t>货物需求一览表</w:t>
      </w:r>
      <w:bookmarkEnd w:id="0"/>
      <w:bookmarkEnd w:id="1"/>
      <w:bookmarkEnd w:id="2"/>
      <w:bookmarkEnd w:id="3"/>
      <w:bookmarkEnd w:id="4"/>
      <w:bookmarkEnd w:id="5"/>
    </w:p>
    <w:p>
      <w:pPr>
        <w:adjustRightInd w:val="0"/>
        <w:spacing w:line="360" w:lineRule="exact"/>
        <w:rPr>
          <w:rFonts w:hint="eastAsia" w:ascii="宋体" w:hAnsi="宋体" w:cs="宋体"/>
          <w:b/>
          <w:color w:val="auto"/>
          <w:szCs w:val="21"/>
        </w:rPr>
      </w:pPr>
      <w:r>
        <w:rPr>
          <w:rFonts w:hint="eastAsia" w:ascii="宋体" w:hAnsi="宋体" w:cs="宋体"/>
          <w:b/>
          <w:color w:val="auto"/>
          <w:szCs w:val="21"/>
        </w:rPr>
        <w:t>说明：</w:t>
      </w:r>
    </w:p>
    <w:p>
      <w:pPr>
        <w:adjustRightInd w:val="0"/>
        <w:snapToGrid w:val="0"/>
        <w:spacing w:line="360" w:lineRule="exact"/>
        <w:ind w:firstLine="422" w:firstLineChars="200"/>
        <w:rPr>
          <w:rFonts w:hint="eastAsia" w:ascii="宋体" w:hAnsi="宋体" w:cs="宋体"/>
          <w:b/>
          <w:bCs/>
          <w:color w:val="auto"/>
          <w:szCs w:val="21"/>
        </w:rPr>
      </w:pPr>
      <w:r>
        <w:rPr>
          <w:rFonts w:hint="eastAsia" w:ascii="宋体" w:hAnsi="宋体" w:cs="宋体"/>
          <w:b/>
          <w:bCs/>
          <w:color w:val="auto"/>
          <w:szCs w:val="21"/>
        </w:rPr>
        <w:t>1、本一览表中参考品牌型号及技术参数性能（配置）不明确或有误的，或供应商选用其他型号替代的，请以详细、正确的品牌型号、技术参数性能（配置）同时填写报价表和技术规格偏离表。</w:t>
      </w:r>
    </w:p>
    <w:p>
      <w:pPr>
        <w:adjustRightInd w:val="0"/>
        <w:snapToGrid w:val="0"/>
        <w:spacing w:line="360" w:lineRule="exact"/>
        <w:ind w:firstLine="422" w:firstLineChars="200"/>
        <w:rPr>
          <w:rFonts w:hint="eastAsia" w:ascii="宋体" w:hAnsi="宋体" w:cs="宋体"/>
          <w:b/>
          <w:bCs/>
          <w:color w:val="auto"/>
          <w:szCs w:val="21"/>
        </w:rPr>
      </w:pPr>
      <w:r>
        <w:rPr>
          <w:rFonts w:hint="eastAsia" w:ascii="宋体" w:hAnsi="宋体" w:cs="宋体"/>
          <w:b/>
          <w:bCs/>
          <w:color w:val="auto"/>
          <w:szCs w:val="21"/>
        </w:rPr>
        <w:t>2、凡在“技术参数要求”中表述为“标配”或“标准配置”的设备，供应商应在报价表和技术规格偏离表中将其标配参数详细列明，否则该投标无效。</w:t>
      </w:r>
    </w:p>
    <w:p>
      <w:pPr>
        <w:tabs>
          <w:tab w:val="left" w:pos="3296"/>
        </w:tabs>
        <w:spacing w:line="300" w:lineRule="exact"/>
        <w:jc w:val="left"/>
        <w:rPr>
          <w:rFonts w:hint="eastAsia" w:ascii="宋体" w:hAnsi="宋体" w:cs="宋体"/>
          <w:b/>
          <w:bCs/>
          <w:color w:val="auto"/>
        </w:rPr>
      </w:pPr>
    </w:p>
    <w:tbl>
      <w:tblPr>
        <w:tblStyle w:val="7"/>
        <w:tblW w:w="102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1051"/>
        <w:gridCol w:w="992"/>
        <w:gridCol w:w="683"/>
        <w:gridCol w:w="727"/>
        <w:gridCol w:w="6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627"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051"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货物名称</w:t>
            </w:r>
          </w:p>
        </w:tc>
        <w:tc>
          <w:tcPr>
            <w:tcW w:w="992"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品牌</w:t>
            </w:r>
          </w:p>
        </w:tc>
        <w:tc>
          <w:tcPr>
            <w:tcW w:w="683"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型号</w:t>
            </w:r>
          </w:p>
        </w:tc>
        <w:tc>
          <w:tcPr>
            <w:tcW w:w="727"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数量</w:t>
            </w:r>
          </w:p>
        </w:tc>
        <w:tc>
          <w:tcPr>
            <w:tcW w:w="6189" w:type="dxa"/>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627" w:type="dxa"/>
            <w:vAlign w:val="center"/>
          </w:tcPr>
          <w:p>
            <w:pPr>
              <w:spacing w:line="360" w:lineRule="auto"/>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w:t>
            </w:r>
          </w:p>
        </w:tc>
        <w:tc>
          <w:tcPr>
            <w:tcW w:w="1051" w:type="dxa"/>
            <w:vAlign w:val="center"/>
          </w:tcPr>
          <w:p>
            <w:pPr>
              <w:tabs>
                <w:tab w:val="left" w:pos="180"/>
                <w:tab w:val="left" w:pos="1620"/>
              </w:tabs>
              <w:spacing w:line="360" w:lineRule="auto"/>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医用</w:t>
            </w:r>
            <w:r>
              <w:rPr>
                <w:rFonts w:hint="eastAsia" w:ascii="宋体" w:hAnsi="宋体" w:cs="宋体"/>
                <w:b w:val="0"/>
                <w:bCs w:val="0"/>
                <w:color w:val="auto"/>
                <w:szCs w:val="21"/>
                <w:highlight w:val="none"/>
              </w:rPr>
              <w:t>电梯</w:t>
            </w:r>
          </w:p>
        </w:tc>
        <w:tc>
          <w:tcPr>
            <w:tcW w:w="992" w:type="dxa"/>
            <w:vAlign w:val="center"/>
          </w:tcPr>
          <w:p>
            <w:pPr>
              <w:tabs>
                <w:tab w:val="left" w:pos="180"/>
                <w:tab w:val="left" w:pos="1620"/>
              </w:tabs>
              <w:spacing w:line="360" w:lineRule="auto"/>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w:t>
            </w:r>
          </w:p>
        </w:tc>
        <w:tc>
          <w:tcPr>
            <w:tcW w:w="683" w:type="dxa"/>
            <w:vAlign w:val="center"/>
          </w:tcPr>
          <w:p>
            <w:pPr>
              <w:tabs>
                <w:tab w:val="left" w:pos="180"/>
                <w:tab w:val="left" w:pos="1620"/>
              </w:tabs>
              <w:spacing w:line="360" w:lineRule="auto"/>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w:t>
            </w:r>
          </w:p>
        </w:tc>
        <w:tc>
          <w:tcPr>
            <w:tcW w:w="727" w:type="dxa"/>
            <w:vAlign w:val="center"/>
          </w:tcPr>
          <w:p>
            <w:pPr>
              <w:tabs>
                <w:tab w:val="left" w:pos="180"/>
                <w:tab w:val="left" w:pos="1620"/>
              </w:tabs>
              <w:spacing w:line="360" w:lineRule="auto"/>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台</w:t>
            </w:r>
          </w:p>
        </w:tc>
        <w:tc>
          <w:tcPr>
            <w:tcW w:w="6189" w:type="dxa"/>
            <w:vAlign w:val="center"/>
          </w:tcPr>
          <w:p>
            <w:pPr>
              <w:tabs>
                <w:tab w:val="left" w:pos="180"/>
                <w:tab w:val="left" w:pos="1620"/>
              </w:tabs>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一、基本参数及尺寸 </w:t>
            </w:r>
          </w:p>
          <w:p>
            <w:pPr>
              <w:pStyle w:val="9"/>
              <w:tabs>
                <w:tab w:val="left" w:pos="360"/>
              </w:tabs>
              <w:spacing w:line="360" w:lineRule="auto"/>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szCs w:val="21"/>
                <w:highlight w:val="none"/>
              </w:rPr>
              <w:t>1、载重：</w:t>
            </w:r>
            <w:r>
              <w:rPr>
                <w:rFonts w:hint="default" w:ascii="Arial" w:hAnsi="Arial" w:cs="Arial"/>
                <w:b w:val="0"/>
                <w:bCs w:val="0"/>
                <w:color w:val="auto"/>
                <w:szCs w:val="21"/>
                <w:highlight w:val="none"/>
              </w:rPr>
              <w:t>≥</w:t>
            </w:r>
            <w:r>
              <w:rPr>
                <w:rFonts w:hint="eastAsia" w:ascii="宋体" w:hAnsi="宋体" w:cs="宋体"/>
                <w:b w:val="0"/>
                <w:bCs w:val="0"/>
                <w:color w:val="auto"/>
                <w:szCs w:val="21"/>
                <w:highlight w:val="none"/>
              </w:rPr>
              <w:t>1600公斤；</w:t>
            </w:r>
          </w:p>
          <w:p>
            <w:pPr>
              <w:pStyle w:val="9"/>
              <w:tabs>
                <w:tab w:val="left" w:pos="360"/>
              </w:tabs>
              <w:spacing w:line="360" w:lineRule="auto"/>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szCs w:val="21"/>
                <w:highlight w:val="none"/>
              </w:rPr>
              <w:t>2、速度：</w:t>
            </w:r>
            <w:r>
              <w:rPr>
                <w:rFonts w:hint="default" w:ascii="Arial" w:hAnsi="Arial" w:cs="Arial"/>
                <w:b w:val="0"/>
                <w:bCs w:val="0"/>
                <w:color w:val="auto"/>
                <w:szCs w:val="21"/>
                <w:highlight w:val="none"/>
              </w:rPr>
              <w:t>≥</w:t>
            </w:r>
            <w:r>
              <w:rPr>
                <w:rFonts w:hint="eastAsia" w:ascii="宋体" w:hAnsi="宋体" w:cs="宋体"/>
                <w:b w:val="0"/>
                <w:bCs w:val="0"/>
                <w:color w:val="auto"/>
                <w:szCs w:val="21"/>
                <w:highlight w:val="none"/>
              </w:rPr>
              <w:t>1.5米/秒；</w:t>
            </w:r>
          </w:p>
          <w:p>
            <w:pPr>
              <w:pStyle w:val="9"/>
              <w:tabs>
                <w:tab w:val="left" w:pos="360"/>
              </w:tabs>
              <w:spacing w:line="360" w:lineRule="auto"/>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szCs w:val="21"/>
                <w:highlight w:val="none"/>
              </w:rPr>
              <w:t>3、层/站/门：</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层</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站</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门(1F～</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F）；</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4、提升高度：</w:t>
            </w:r>
            <w:r>
              <w:rPr>
                <w:rFonts w:hint="eastAsia" w:ascii="宋体" w:hAnsi="宋体" w:cs="宋体"/>
                <w:b w:val="0"/>
                <w:bCs w:val="0"/>
                <w:color w:val="auto"/>
                <w:highlight w:val="none"/>
                <w:lang w:val="en-US" w:eastAsia="zh-CN"/>
              </w:rPr>
              <w:t>314</w:t>
            </w:r>
            <w:r>
              <w:rPr>
                <w:rFonts w:hint="eastAsia" w:ascii="宋体" w:hAnsi="宋体" w:cs="宋体"/>
                <w:b w:val="0"/>
                <w:bCs w:val="0"/>
                <w:color w:val="auto"/>
                <w:highlight w:val="none"/>
              </w:rPr>
              <w:t>00mm</w:t>
            </w:r>
            <w:r>
              <w:rPr>
                <w:rFonts w:hint="eastAsia" w:ascii="宋体" w:hAnsi="宋体" w:cs="宋体"/>
                <w:b w:val="0"/>
                <w:bCs w:val="0"/>
                <w:color w:val="auto"/>
                <w:highlight w:val="none"/>
                <w:lang w:eastAsia="zh-CN"/>
              </w:rPr>
              <w:t>（</w:t>
            </w:r>
            <w:r>
              <w:rPr>
                <w:rFonts w:hint="eastAsia" w:ascii="宋体" w:hAnsi="宋体"/>
                <w:b w:val="0"/>
                <w:bCs w:val="0"/>
                <w:color w:val="auto"/>
                <w:highlight w:val="none"/>
              </w:rPr>
              <w:t>以实际测量为准</w:t>
            </w:r>
            <w:r>
              <w:rPr>
                <w:rFonts w:hint="eastAsia" w:ascii="宋体" w:hAnsi="宋体" w:cs="宋体"/>
                <w:b w:val="0"/>
                <w:bCs w:val="0"/>
                <w:color w:val="auto"/>
                <w:highlight w:val="none"/>
                <w:lang w:eastAsia="zh-CN"/>
              </w:rPr>
              <w:t>）</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5、底坑净深：15</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0mm，顶层高度4</w:t>
            </w:r>
            <w:r>
              <w:rPr>
                <w:rFonts w:hint="eastAsia" w:ascii="宋体" w:hAnsi="宋体" w:cs="宋体"/>
                <w:b w:val="0"/>
                <w:bCs w:val="0"/>
                <w:color w:val="auto"/>
                <w:highlight w:val="none"/>
                <w:lang w:val="en-US" w:eastAsia="zh-CN"/>
              </w:rPr>
              <w:t>300</w:t>
            </w:r>
            <w:r>
              <w:rPr>
                <w:rFonts w:hint="eastAsia" w:ascii="宋体" w:hAnsi="宋体" w:cs="宋体"/>
                <w:b w:val="0"/>
                <w:bCs w:val="0"/>
                <w:color w:val="auto"/>
                <w:highlight w:val="none"/>
              </w:rPr>
              <w:t>mm</w:t>
            </w:r>
            <w:r>
              <w:rPr>
                <w:rFonts w:hint="eastAsia" w:ascii="宋体" w:hAnsi="宋体" w:cs="宋体"/>
                <w:b w:val="0"/>
                <w:bCs w:val="0"/>
                <w:color w:val="auto"/>
                <w:highlight w:val="none"/>
                <w:lang w:eastAsia="zh-CN"/>
              </w:rPr>
              <w:t>（</w:t>
            </w:r>
            <w:r>
              <w:rPr>
                <w:rFonts w:hint="eastAsia" w:ascii="宋体" w:hAnsi="宋体"/>
                <w:b w:val="0"/>
                <w:bCs w:val="0"/>
                <w:color w:val="auto"/>
                <w:highlight w:val="none"/>
              </w:rPr>
              <w:t>以实际测量为准</w:t>
            </w:r>
            <w:r>
              <w:rPr>
                <w:rFonts w:hint="eastAsia" w:ascii="宋体" w:hAnsi="宋体" w:cs="宋体"/>
                <w:b w:val="0"/>
                <w:bCs w:val="0"/>
                <w:color w:val="auto"/>
                <w:highlight w:val="none"/>
                <w:lang w:eastAsia="zh-CN"/>
              </w:rPr>
              <w:t>）</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6、井道尺寸宽×深：2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00mm×</w:t>
            </w:r>
            <w:r>
              <w:rPr>
                <w:rFonts w:hint="eastAsia" w:ascii="宋体" w:hAnsi="宋体" w:cs="宋体"/>
                <w:b w:val="0"/>
                <w:bCs w:val="0"/>
                <w:color w:val="auto"/>
                <w:highlight w:val="none"/>
                <w:lang w:val="en-US" w:eastAsia="zh-CN"/>
              </w:rPr>
              <w:t>3000</w:t>
            </w:r>
            <w:r>
              <w:rPr>
                <w:rFonts w:hint="eastAsia" w:ascii="宋体" w:hAnsi="宋体" w:cs="宋体"/>
                <w:b w:val="0"/>
                <w:bCs w:val="0"/>
                <w:color w:val="auto"/>
                <w:highlight w:val="none"/>
              </w:rPr>
              <w:t>mm</w:t>
            </w:r>
            <w:r>
              <w:rPr>
                <w:rFonts w:hint="eastAsia" w:ascii="宋体" w:hAnsi="宋体" w:cs="宋体"/>
                <w:b w:val="0"/>
                <w:bCs w:val="0"/>
                <w:color w:val="auto"/>
                <w:highlight w:val="none"/>
                <w:lang w:eastAsia="zh-CN"/>
              </w:rPr>
              <w:t>（</w:t>
            </w:r>
            <w:r>
              <w:rPr>
                <w:rFonts w:hint="eastAsia" w:ascii="宋体" w:hAnsi="宋体"/>
                <w:b w:val="0"/>
                <w:bCs w:val="0"/>
                <w:color w:val="auto"/>
                <w:highlight w:val="none"/>
              </w:rPr>
              <w:t>以实际测量为准</w:t>
            </w:r>
            <w:r>
              <w:rPr>
                <w:rFonts w:hint="eastAsia" w:ascii="宋体" w:hAnsi="宋体" w:cs="宋体"/>
                <w:b w:val="0"/>
                <w:bCs w:val="0"/>
                <w:color w:val="auto"/>
                <w:highlight w:val="none"/>
                <w:lang w:eastAsia="zh-CN"/>
              </w:rPr>
              <w:t>）</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7、轿厢尺寸宽×深×</w:t>
            </w:r>
            <w:r>
              <w:rPr>
                <w:rFonts w:hint="eastAsia" w:ascii="宋体" w:hAnsi="宋体" w:cs="宋体"/>
                <w:b w:val="0"/>
                <w:bCs w:val="0"/>
                <w:color w:val="auto"/>
                <w:highlight w:val="none"/>
                <w:lang w:val="en-US" w:eastAsia="zh-CN"/>
              </w:rPr>
              <w:t>高</w:t>
            </w:r>
            <w:r>
              <w:rPr>
                <w:rFonts w:hint="eastAsia" w:ascii="宋体" w:hAnsi="宋体" w:cs="宋体"/>
                <w:b w:val="0"/>
                <w:bCs w:val="0"/>
                <w:color w:val="auto"/>
                <w:highlight w:val="none"/>
              </w:rPr>
              <w:t>：</w:t>
            </w:r>
            <w:r>
              <w:rPr>
                <w:rFonts w:hint="eastAsia" w:ascii="宋体" w:hAnsi="宋体" w:cs="宋体"/>
                <w:b w:val="0"/>
                <w:bCs w:val="0"/>
                <w:color w:val="auto"/>
                <w:highlight w:val="none"/>
                <w:lang w:val="en-US" w:eastAsia="zh-CN"/>
              </w:rPr>
              <w:t>1400</w:t>
            </w:r>
            <w:r>
              <w:rPr>
                <w:rFonts w:hint="eastAsia" w:ascii="宋体" w:hAnsi="宋体" w:cs="宋体"/>
                <w:b w:val="0"/>
                <w:bCs w:val="0"/>
                <w:color w:val="auto"/>
                <w:highlight w:val="none"/>
              </w:rPr>
              <w:t>mm×2</w:t>
            </w: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00mm×</w:t>
            </w:r>
            <w:r>
              <w:rPr>
                <w:rFonts w:hint="eastAsia" w:ascii="宋体" w:hAnsi="宋体" w:cs="宋体"/>
                <w:b w:val="0"/>
                <w:bCs w:val="0"/>
                <w:color w:val="auto"/>
                <w:highlight w:val="none"/>
                <w:lang w:val="en-US" w:eastAsia="zh-CN"/>
              </w:rPr>
              <w:t>235</w:t>
            </w:r>
            <w:r>
              <w:rPr>
                <w:rFonts w:hint="eastAsia" w:ascii="宋体" w:hAnsi="宋体" w:cs="宋体"/>
                <w:b w:val="0"/>
                <w:bCs w:val="0"/>
                <w:color w:val="auto"/>
                <w:highlight w:val="none"/>
              </w:rPr>
              <w:t>0mm</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8、轿厢高度（净高）：2</w:t>
            </w:r>
            <w:r>
              <w:rPr>
                <w:rFonts w:hint="eastAsia" w:ascii="宋体" w:hAnsi="宋体" w:cs="宋体"/>
                <w:b w:val="0"/>
                <w:bCs w:val="0"/>
                <w:color w:val="auto"/>
                <w:highlight w:val="none"/>
                <w:lang w:val="en-US" w:eastAsia="zh-CN"/>
              </w:rPr>
              <w:t>35</w:t>
            </w:r>
            <w:r>
              <w:rPr>
                <w:rFonts w:hint="eastAsia" w:ascii="宋体" w:hAnsi="宋体" w:cs="宋体"/>
                <w:b w:val="0"/>
                <w:bCs w:val="0"/>
                <w:color w:val="auto"/>
                <w:highlight w:val="none"/>
              </w:rPr>
              <w:t>0mm</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9、开门宽度：</w:t>
            </w:r>
            <w:r>
              <w:rPr>
                <w:rFonts w:hint="eastAsia" w:ascii="宋体" w:hAnsi="宋体" w:cs="宋体"/>
                <w:b w:val="0"/>
                <w:bCs w:val="0"/>
                <w:color w:val="auto"/>
                <w:highlight w:val="none"/>
                <w:lang w:val="en-US" w:eastAsia="zh-CN"/>
              </w:rPr>
              <w:t>11</w:t>
            </w:r>
            <w:r>
              <w:rPr>
                <w:rFonts w:hint="eastAsia" w:ascii="宋体" w:hAnsi="宋体" w:cs="宋体"/>
                <w:b w:val="0"/>
                <w:bCs w:val="0"/>
                <w:color w:val="auto"/>
                <w:highlight w:val="none"/>
              </w:rPr>
              <w:t>00mm</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10、开门高度：2100mm</w:t>
            </w:r>
            <w:r>
              <w:rPr>
                <w:rFonts w:hint="eastAsia" w:ascii="宋体" w:hAnsi="宋体" w:cs="宋体"/>
                <w:b w:val="0"/>
                <w:bCs w:val="0"/>
                <w:color w:val="auto"/>
                <w:szCs w:val="21"/>
                <w:highlight w:val="none"/>
              </w:rPr>
              <w:t>；</w:t>
            </w:r>
          </w:p>
          <w:p>
            <w:pPr>
              <w:pStyle w:val="9"/>
              <w:tabs>
                <w:tab w:val="left" w:pos="360"/>
              </w:tabs>
              <w:spacing w:line="360" w:lineRule="auto"/>
              <w:ind w:firstLine="0" w:firstLineChars="0"/>
              <w:rPr>
                <w:rFonts w:hint="eastAsia" w:ascii="宋体" w:hAnsi="宋体" w:cs="宋体"/>
                <w:b w:val="0"/>
                <w:bCs w:val="0"/>
                <w:color w:val="auto"/>
                <w:highlight w:val="none"/>
              </w:rPr>
            </w:pPr>
            <w:r>
              <w:rPr>
                <w:rFonts w:hint="eastAsia" w:ascii="宋体" w:hAnsi="宋体" w:cs="宋体"/>
                <w:b w:val="0"/>
                <w:bCs w:val="0"/>
                <w:color w:val="auto"/>
                <w:highlight w:val="none"/>
              </w:rPr>
              <w:t>11、开门方式：中分门</w:t>
            </w:r>
            <w:r>
              <w:rPr>
                <w:rFonts w:hint="eastAsia" w:ascii="宋体" w:hAnsi="宋体" w:cs="宋体"/>
                <w:b w:val="0"/>
                <w:bCs w:val="0"/>
                <w:color w:val="auto"/>
                <w:szCs w:val="21"/>
                <w:highlight w:val="none"/>
              </w:rPr>
              <w:t>；</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12、机房位置：有机房</w:t>
            </w:r>
            <w:r>
              <w:rPr>
                <w:rFonts w:hint="eastAsia" w:ascii="宋体" w:hAnsi="宋体" w:cs="宋体"/>
                <w:b w:val="0"/>
                <w:bCs w:val="0"/>
                <w:color w:val="auto"/>
                <w:szCs w:val="21"/>
                <w:highlight w:val="none"/>
              </w:rPr>
              <w:t>；</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13、动力电源范围：主电源：</w:t>
            </w:r>
            <w:r>
              <w:rPr>
                <w:rFonts w:hint="eastAsia" w:ascii="宋体" w:hAnsi="宋体" w:cs="宋体"/>
                <w:b w:val="0"/>
                <w:bCs w:val="0"/>
                <w:color w:val="auto"/>
                <w:szCs w:val="21"/>
                <w:highlight w:val="none"/>
              </w:rPr>
              <w:t>380V±15%，三相，50Hz+2%～-2%；</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14、照明电源范围：220V+10%～-7%，单相，50Hz+2%～-2%</w:t>
            </w:r>
            <w:r>
              <w:rPr>
                <w:rFonts w:hint="eastAsia" w:ascii="宋体" w:hAnsi="宋体" w:cs="宋体"/>
                <w:b w:val="0"/>
                <w:bCs w:val="0"/>
                <w:color w:val="auto"/>
                <w:szCs w:val="21"/>
                <w:highlight w:val="none"/>
              </w:rPr>
              <w:t>；</w:t>
            </w:r>
          </w:p>
          <w:p>
            <w:pPr>
              <w:spacing w:line="336" w:lineRule="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15、供电方式：三相五线制</w:t>
            </w:r>
            <w:r>
              <w:rPr>
                <w:rFonts w:hint="eastAsia" w:ascii="宋体" w:hAnsi="宋体" w:cs="宋体"/>
                <w:b w:val="0"/>
                <w:bCs w:val="0"/>
                <w:color w:val="auto"/>
                <w:szCs w:val="21"/>
                <w:highlight w:val="none"/>
              </w:rPr>
              <w:t>；</w:t>
            </w:r>
          </w:p>
          <w:p>
            <w:pPr>
              <w:tabs>
                <w:tab w:val="left" w:pos="180"/>
                <w:tab w:val="left" w:pos="1620"/>
              </w:tabs>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二、技术参数及性能要求 </w:t>
            </w:r>
          </w:p>
          <w:p>
            <w:pPr>
              <w:tabs>
                <w:tab w:val="left" w:pos="756"/>
                <w:tab w:val="left" w:pos="3456"/>
              </w:tabs>
              <w:autoSpaceDE w:val="0"/>
              <w:autoSpaceDN w:val="0"/>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1、驱动系统：32位交流变频调压调速系统，采用智能大功率模块，采用模块式专用变频装置</w:t>
            </w:r>
            <w:r>
              <w:rPr>
                <w:rFonts w:hint="eastAsia" w:ascii="宋体" w:hAnsi="宋体" w:cs="宋体"/>
                <w:b w:val="0"/>
                <w:bCs w:val="0"/>
                <w:color w:val="auto"/>
                <w:highlight w:val="none"/>
                <w:lang w:eastAsia="zh-CN"/>
              </w:rPr>
              <w:t>。</w:t>
            </w:r>
          </w:p>
          <w:p>
            <w:pPr>
              <w:tabs>
                <w:tab w:val="left" w:pos="756"/>
                <w:tab w:val="left" w:pos="3456"/>
              </w:tabs>
              <w:autoSpaceDE w:val="0"/>
              <w:autoSpaceDN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2、控制柜：配抗电磁干扰设计，32位微机处理器，采用模块化全电脑控制，串行通讯系统。</w:t>
            </w:r>
          </w:p>
          <w:p>
            <w:pPr>
              <w:tabs>
                <w:tab w:val="left" w:pos="756"/>
                <w:tab w:val="left" w:pos="3456"/>
              </w:tabs>
              <w:autoSpaceDE w:val="0"/>
              <w:autoSpaceDN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3、曳引机：采用永磁同步无齿轮曳引机，能实现降低噪音与振动，并消除减速环节失控。</w:t>
            </w:r>
          </w:p>
          <w:p>
            <w:pPr>
              <w:tabs>
                <w:tab w:val="left" w:pos="756"/>
                <w:tab w:val="left" w:pos="3456"/>
              </w:tabs>
              <w:autoSpaceDE w:val="0"/>
              <w:autoSpaceDN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4、门机系统：门机控制系统采用永磁同步无齿轮驱动门机系统。</w:t>
            </w:r>
          </w:p>
          <w:p>
            <w:pPr>
              <w:tabs>
                <w:tab w:val="left" w:pos="756"/>
                <w:tab w:val="left" w:pos="3456"/>
              </w:tabs>
              <w:autoSpaceDE w:val="0"/>
              <w:autoSpaceDN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5、通讯方式：采用高频脉冲变压器串行通讯技术。工业级物理隔离信号，高速可靠传递厅外、轿厢召唤信号。</w:t>
            </w:r>
          </w:p>
          <w:p>
            <w:pPr>
              <w:pStyle w:val="2"/>
              <w:ind w:left="0" w:leftChars="0" w:firstLine="0" w:firstLineChars="0"/>
              <w:rPr>
                <w:rFonts w:hint="default" w:eastAsia="华文楷体"/>
                <w:color w:val="auto"/>
                <w:lang w:val="en-US" w:eastAsia="zh-CN"/>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kern w:val="2"/>
                <w:sz w:val="21"/>
                <w:szCs w:val="24"/>
                <w:highlight w:val="none"/>
                <w:lang w:val="en-US" w:eastAsia="zh-CN" w:bidi="ar-SA"/>
              </w:rPr>
              <w:t>、钢丝线直径</w:t>
            </w:r>
            <w:r>
              <w:rPr>
                <w:rFonts w:hint="default"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20</w:t>
            </w:r>
          </w:p>
          <w:p>
            <w:pPr>
              <w:tabs>
                <w:tab w:val="left" w:pos="756"/>
                <w:tab w:val="left" w:pos="3456"/>
              </w:tabs>
              <w:autoSpaceDE w:val="0"/>
              <w:autoSpaceDN w:val="0"/>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三、基本功能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1、电动机过载保护功能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2、警铃报警功能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3、运行次数显示功能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4、故障自动存储功能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5、故障自动检测功能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6、层高自测定功能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7、开门异常自动选层功能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8、轿顶检修操作功能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9、对讲机通讯功能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10、待机定期自检功能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11、轿内照明自动控制功能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12、全集选控制运行功能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13、无呼自返基站功能:1层</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14、轿内通风自动控制功能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15、反向内指令自动消除功能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16、停电应急照明功能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17、停车在非门区报警功能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18、无效内指令自动消除功能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19、超速电气保护功能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20、故障低速自救运行功能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21、泊梯功能:1层</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22、超速机械保护功能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23、轿内慢速运行功能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24、开关门时间超常保护功能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25、起动补偿功能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26、满载直驶运行功能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27、底坑对讲机通讯功能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28、消防迫降功能:1层</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29、超载报警功能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30、抱闸动作的双安全检测功能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31、电动机空转保护功能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32、超载保护功能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33、开门时间自动控制功能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34、门过载保护功能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35、开门时间自动调整功能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36、门停止运行功能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37、机房调试操作功能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38、位置异常自动校正功能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39、电梯服务支援系统</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40、抗电磁干扰功能</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41、微动平层功能（提升高度≥45米时标准设置）</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42、消防员专用功能:1层</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43、轿内误指令取消功能</w:t>
            </w:r>
          </w:p>
          <w:p>
            <w:pPr>
              <w:spacing w:line="336" w:lineRule="auto"/>
              <w:rPr>
                <w:rFonts w:hint="eastAsia" w:ascii="宋体" w:hAnsi="宋体" w:cs="宋体"/>
                <w:b w:val="0"/>
                <w:bCs w:val="0"/>
                <w:color w:val="auto"/>
                <w:highlight w:val="none"/>
                <w:lang w:eastAsia="zh-CN"/>
              </w:rPr>
            </w:pPr>
            <w:r>
              <w:rPr>
                <w:rFonts w:hint="eastAsia" w:ascii="宋体" w:hAnsi="宋体" w:cs="宋体"/>
                <w:b w:val="0"/>
                <w:bCs w:val="0"/>
                <w:color w:val="auto"/>
                <w:highlight w:val="none"/>
              </w:rPr>
              <w:t>44、五方通话功能</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无线</w:t>
            </w:r>
            <w:r>
              <w:rPr>
                <w:rFonts w:hint="eastAsia" w:ascii="宋体" w:hAnsi="宋体" w:cs="宋体"/>
                <w:b w:val="0"/>
                <w:bCs w:val="0"/>
                <w:color w:val="auto"/>
                <w:highlight w:val="none"/>
                <w:lang w:eastAsia="zh-CN"/>
              </w:rPr>
              <w:t>）</w:t>
            </w:r>
          </w:p>
          <w:p>
            <w:pPr>
              <w:spacing w:line="336" w:lineRule="auto"/>
              <w:rPr>
                <w:rFonts w:hint="default"/>
                <w:color w:val="auto"/>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kern w:val="2"/>
                <w:sz w:val="21"/>
                <w:szCs w:val="24"/>
                <w:highlight w:val="none"/>
                <w:lang w:val="en-US" w:eastAsia="zh-CN" w:bidi="ar-SA"/>
              </w:rPr>
              <w:t>5、视频监控摄像头</w:t>
            </w:r>
          </w:p>
          <w:p>
            <w:pPr>
              <w:tabs>
                <w:tab w:val="left" w:pos="180"/>
                <w:tab w:val="left" w:pos="1620"/>
              </w:tabs>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四、装饰要求 </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1、层（厅）门：首层发纹不锈钢，其余层发纹不锈钢；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2、门套：首层发纹不锈钢，其余层发纹不锈钢；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3、厅外召唤箱：发纹不锈钢面板，点阵显示，配高灵敏度微动按钮；</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4、轿厢操纵箱：发纹不锈钢面板，点阵显示，配高灵敏度微动按钮；</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5、轿厢前壁：发纹不锈钢；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6、</w:t>
            </w:r>
            <w:r>
              <w:rPr>
                <w:rFonts w:hint="eastAsia" w:ascii="宋体" w:hAnsi="宋体" w:cs="宋体"/>
                <w:b w:val="0"/>
                <w:bCs w:val="0"/>
                <w:color w:val="auto"/>
                <w:highlight w:val="none"/>
                <w:lang w:val="en-US" w:eastAsia="zh-CN"/>
              </w:rPr>
              <w:t>门灯</w:t>
            </w:r>
            <w:r>
              <w:rPr>
                <w:rFonts w:hint="eastAsia" w:ascii="宋体" w:hAnsi="宋体" w:cs="宋体"/>
                <w:b w:val="0"/>
                <w:bCs w:val="0"/>
                <w:color w:val="auto"/>
                <w:highlight w:val="none"/>
              </w:rPr>
              <w:t>横梁：发纹不锈钢；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7、轿厢侧壁：发纹不锈钢；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8、轿厢后壁：</w:t>
            </w:r>
            <w:r>
              <w:rPr>
                <w:rFonts w:hint="eastAsia" w:ascii="宋体" w:hAnsi="宋体" w:cs="宋体"/>
                <w:b w:val="0"/>
                <w:bCs w:val="0"/>
                <w:color w:val="auto"/>
                <w:highlight w:val="none"/>
                <w:lang w:val="en-US" w:eastAsia="zh-CN"/>
              </w:rPr>
              <w:t>镜面</w:t>
            </w:r>
            <w:r>
              <w:rPr>
                <w:rFonts w:hint="eastAsia" w:ascii="宋体" w:hAnsi="宋体" w:cs="宋体"/>
                <w:b w:val="0"/>
                <w:bCs w:val="0"/>
                <w:color w:val="auto"/>
                <w:highlight w:val="none"/>
              </w:rPr>
              <w:t>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lang w:val="zh-CN"/>
              </w:rPr>
              <w:t>★</w:t>
            </w:r>
            <w:r>
              <w:rPr>
                <w:rFonts w:hint="eastAsia" w:ascii="宋体" w:hAnsi="宋体" w:cs="宋体"/>
                <w:b w:val="0"/>
                <w:bCs w:val="0"/>
                <w:color w:val="auto"/>
                <w:highlight w:val="none"/>
              </w:rPr>
              <w:t>9、轿门：发纹不锈钢；</w:t>
            </w:r>
          </w:p>
          <w:p>
            <w:pPr>
              <w:spacing w:line="336" w:lineRule="auto"/>
              <w:rPr>
                <w:rFonts w:hint="eastAsia" w:ascii="宋体" w:hAnsi="宋体" w:cs="宋体"/>
                <w:b w:val="0"/>
                <w:bCs w:val="0"/>
                <w:color w:val="auto"/>
                <w:highlight w:val="none"/>
              </w:rPr>
            </w:pPr>
            <w:r>
              <w:rPr>
                <w:rFonts w:hint="eastAsia" w:ascii="宋体" w:hAnsi="宋体" w:cs="宋体"/>
                <w:b w:val="0"/>
                <w:bCs w:val="0"/>
                <w:color w:val="auto"/>
                <w:highlight w:val="none"/>
              </w:rPr>
              <w:t>10、吊顶装潢：不锈钢吊顶，LED照明系统；</w:t>
            </w:r>
          </w:p>
          <w:p>
            <w:pPr>
              <w:pStyle w:val="9"/>
              <w:spacing w:line="360" w:lineRule="auto"/>
              <w:ind w:firstLine="0" w:firstLineChars="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highlight w:val="none"/>
              </w:rPr>
              <w:t>11、</w:t>
            </w:r>
            <w:r>
              <w:rPr>
                <w:rFonts w:hint="eastAsia" w:ascii="宋体" w:hAnsi="宋体" w:cs="宋体"/>
                <w:b w:val="0"/>
                <w:bCs w:val="0"/>
                <w:color w:val="auto"/>
                <w:szCs w:val="21"/>
                <w:highlight w:val="none"/>
              </w:rPr>
              <w:t>轿厢地板：PVC耐磨地板</w:t>
            </w:r>
            <w:r>
              <w:rPr>
                <w:rFonts w:hint="eastAsia" w:ascii="宋体" w:hAnsi="宋体" w:cs="宋体"/>
                <w:b w:val="0"/>
                <w:bCs w:val="0"/>
                <w:color w:val="auto"/>
                <w:szCs w:val="21"/>
                <w:highlight w:val="none"/>
                <w:lang w:eastAsia="zh-CN"/>
              </w:rPr>
              <w:t>；</w:t>
            </w:r>
          </w:p>
          <w:p>
            <w:pPr>
              <w:pStyle w:val="9"/>
              <w:spacing w:line="360" w:lineRule="auto"/>
              <w:ind w:firstLine="0" w:firstLineChars="0"/>
              <w:rPr>
                <w:rFonts w:hint="eastAsia" w:ascii="宋体" w:hAnsi="宋体" w:cs="STXihei,Bold"/>
                <w:b w:val="0"/>
                <w:bCs w:val="0"/>
                <w:color w:val="auto"/>
                <w:kern w:val="0"/>
                <w:szCs w:val="21"/>
                <w:highlight w:val="none"/>
                <w:lang w:eastAsia="zh-CN"/>
              </w:rPr>
            </w:pPr>
            <w:r>
              <w:rPr>
                <w:rFonts w:hint="eastAsia" w:ascii="宋体" w:hAnsi="宋体" w:cs="宋体"/>
                <w:b w:val="0"/>
                <w:bCs w:val="0"/>
                <w:color w:val="auto"/>
                <w:szCs w:val="21"/>
                <w:highlight w:val="none"/>
                <w:lang w:val="en-US" w:eastAsia="zh-CN"/>
              </w:rPr>
              <w:t>12、</w:t>
            </w:r>
            <w:r>
              <w:rPr>
                <w:rFonts w:hint="eastAsia" w:ascii="宋体" w:hAnsi="宋体" w:eastAsia="宋体" w:cs="STXihei,Bold"/>
                <w:b w:val="0"/>
                <w:bCs w:val="0"/>
                <w:color w:val="auto"/>
                <w:kern w:val="0"/>
                <w:szCs w:val="21"/>
                <w:highlight w:val="none"/>
              </w:rPr>
              <w:t>扶手</w:t>
            </w:r>
            <w:r>
              <w:rPr>
                <w:rFonts w:hint="eastAsia" w:ascii="宋体" w:hAnsi="宋体" w:cs="STXihei,Bold"/>
                <w:b w:val="0"/>
                <w:bCs w:val="0"/>
                <w:color w:val="auto"/>
                <w:kern w:val="0"/>
                <w:szCs w:val="21"/>
                <w:highlight w:val="none"/>
                <w:lang w:eastAsia="zh-CN"/>
              </w:rPr>
              <w:t>：</w:t>
            </w:r>
            <w:r>
              <w:rPr>
                <w:rFonts w:hint="eastAsia" w:ascii="宋体" w:hAnsi="宋体" w:eastAsia="宋体" w:cs="STXihei,Bold"/>
                <w:b w:val="0"/>
                <w:bCs w:val="0"/>
                <w:color w:val="auto"/>
                <w:kern w:val="0"/>
                <w:szCs w:val="21"/>
                <w:highlight w:val="none"/>
              </w:rPr>
              <w:t>两侧圆形扶手</w:t>
            </w:r>
            <w:r>
              <w:rPr>
                <w:rFonts w:hint="eastAsia" w:ascii="宋体" w:hAnsi="宋体" w:cs="STXihei,Bold"/>
                <w:b w:val="0"/>
                <w:bCs w:val="0"/>
                <w:color w:val="auto"/>
                <w:kern w:val="0"/>
                <w:szCs w:val="21"/>
                <w:highlight w:val="none"/>
                <w:lang w:eastAsia="zh-CN"/>
              </w:rPr>
              <w:t>；</w:t>
            </w:r>
          </w:p>
          <w:p>
            <w:pPr>
              <w:pStyle w:val="9"/>
              <w:spacing w:line="360" w:lineRule="auto"/>
              <w:ind w:firstLine="0" w:firstLineChars="0"/>
              <w:rPr>
                <w:rFonts w:hint="eastAsia" w:ascii="宋体" w:hAnsi="宋体" w:cs="STXihei,Bold"/>
                <w:b w:val="0"/>
                <w:bCs w:val="0"/>
                <w:color w:val="auto"/>
                <w:kern w:val="0"/>
                <w:szCs w:val="21"/>
                <w:highlight w:val="none"/>
                <w:lang w:eastAsia="zh-CN"/>
              </w:rPr>
            </w:pPr>
            <w:r>
              <w:rPr>
                <w:rFonts w:hint="eastAsia" w:ascii="宋体" w:hAnsi="宋体" w:cs="STXihei,Bold"/>
                <w:b w:val="0"/>
                <w:bCs w:val="0"/>
                <w:color w:val="auto"/>
                <w:kern w:val="0"/>
                <w:szCs w:val="21"/>
                <w:highlight w:val="none"/>
                <w:lang w:val="en-US" w:eastAsia="zh-CN"/>
              </w:rPr>
              <w:t>13、</w:t>
            </w:r>
            <w:r>
              <w:rPr>
                <w:rFonts w:hint="eastAsia" w:ascii="宋体" w:hAnsi="宋体" w:eastAsia="宋体" w:cs="STXihei,Bold"/>
                <w:b w:val="0"/>
                <w:bCs w:val="0"/>
                <w:color w:val="auto"/>
                <w:kern w:val="0"/>
                <w:szCs w:val="21"/>
                <w:highlight w:val="none"/>
              </w:rPr>
              <w:t>停电应急平层功能</w:t>
            </w:r>
            <w:r>
              <w:rPr>
                <w:rFonts w:hint="eastAsia" w:ascii="宋体" w:hAnsi="宋体" w:cs="STXihei,Bold"/>
                <w:b w:val="0"/>
                <w:bCs w:val="0"/>
                <w:color w:val="auto"/>
                <w:kern w:val="0"/>
                <w:szCs w:val="21"/>
                <w:highlight w:val="none"/>
                <w:lang w:eastAsia="zh-CN"/>
              </w:rPr>
              <w:t>；</w:t>
            </w:r>
          </w:p>
          <w:p>
            <w:pPr>
              <w:pStyle w:val="9"/>
              <w:spacing w:line="360" w:lineRule="auto"/>
              <w:ind w:firstLine="0" w:firstLineChars="0"/>
              <w:rPr>
                <w:rFonts w:hint="eastAsia" w:ascii="宋体" w:hAnsi="宋体" w:cs="STXihei,Bold"/>
                <w:b w:val="0"/>
                <w:bCs w:val="0"/>
                <w:color w:val="auto"/>
                <w:kern w:val="0"/>
                <w:szCs w:val="21"/>
                <w:highlight w:val="none"/>
                <w:lang w:eastAsia="zh-CN"/>
              </w:rPr>
            </w:pPr>
            <w:r>
              <w:rPr>
                <w:rFonts w:hint="eastAsia" w:ascii="宋体" w:hAnsi="宋体" w:cs="STXihei,Bold"/>
                <w:b w:val="0"/>
                <w:bCs w:val="0"/>
                <w:color w:val="auto"/>
                <w:kern w:val="0"/>
                <w:szCs w:val="21"/>
                <w:highlight w:val="none"/>
                <w:lang w:val="en-US" w:eastAsia="zh-CN"/>
              </w:rPr>
              <w:t>14、</w:t>
            </w:r>
            <w:r>
              <w:rPr>
                <w:rFonts w:hint="eastAsia" w:ascii="宋体" w:hAnsi="宋体" w:eastAsia="宋体" w:cs="STXihei,Bold"/>
                <w:b w:val="0"/>
                <w:bCs w:val="0"/>
                <w:color w:val="auto"/>
                <w:kern w:val="0"/>
                <w:szCs w:val="21"/>
                <w:highlight w:val="none"/>
              </w:rPr>
              <w:t>无障碍操纵箱</w:t>
            </w:r>
            <w:r>
              <w:rPr>
                <w:rFonts w:hint="eastAsia" w:ascii="宋体" w:hAnsi="宋体" w:cs="STXihei,Bold"/>
                <w:b w:val="0"/>
                <w:bCs w:val="0"/>
                <w:color w:val="auto"/>
                <w:kern w:val="0"/>
                <w:szCs w:val="21"/>
                <w:highlight w:val="none"/>
                <w:lang w:eastAsia="zh-CN"/>
              </w:rPr>
              <w:t>；</w:t>
            </w:r>
          </w:p>
          <w:p>
            <w:pPr>
              <w:pStyle w:val="9"/>
              <w:spacing w:line="360" w:lineRule="auto"/>
              <w:ind w:firstLine="0" w:firstLineChars="0"/>
              <w:rPr>
                <w:rFonts w:hint="default" w:ascii="宋体" w:hAnsi="宋体" w:cs="STXihei,Bold"/>
                <w:b w:val="0"/>
                <w:bCs w:val="0"/>
                <w:color w:val="auto"/>
                <w:kern w:val="0"/>
                <w:szCs w:val="21"/>
                <w:highlight w:val="none"/>
                <w:lang w:val="en-US" w:eastAsia="zh-CN"/>
              </w:rPr>
            </w:pPr>
            <w:r>
              <w:rPr>
                <w:rFonts w:hint="eastAsia" w:ascii="宋体" w:hAnsi="宋体" w:cs="STXihei,Bold"/>
                <w:b w:val="0"/>
                <w:bCs w:val="0"/>
                <w:color w:val="auto"/>
                <w:kern w:val="0"/>
                <w:szCs w:val="21"/>
                <w:highlight w:val="none"/>
                <w:lang w:val="en-US" w:eastAsia="zh-CN"/>
              </w:rPr>
              <w:t>15、并联（共用一体</w:t>
            </w:r>
            <w:r>
              <w:rPr>
                <w:rFonts w:hint="eastAsia" w:ascii="宋体" w:hAnsi="宋体" w:eastAsia="宋体" w:cs="STXihei,Bold"/>
                <w:b w:val="0"/>
                <w:bCs w:val="0"/>
                <w:color w:val="auto"/>
                <w:kern w:val="0"/>
                <w:szCs w:val="21"/>
                <w:highlight w:val="none"/>
              </w:rPr>
              <w:t>厅外召唤箱</w:t>
            </w:r>
            <w:r>
              <w:rPr>
                <w:rFonts w:hint="eastAsia" w:ascii="宋体" w:hAnsi="宋体" w:cs="STXihei,Bold"/>
                <w:b w:val="0"/>
                <w:bCs w:val="0"/>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0269" w:type="dxa"/>
            <w:gridSpan w:val="6"/>
            <w:vAlign w:val="center"/>
          </w:tcPr>
          <w:p>
            <w:pPr>
              <w:tabs>
                <w:tab w:val="left" w:pos="756"/>
                <w:tab w:val="left" w:pos="3456"/>
              </w:tabs>
              <w:autoSpaceDE w:val="0"/>
              <w:autoSpaceDN w:val="0"/>
              <w:spacing w:line="360"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zh-CN"/>
              </w:rPr>
              <w:t>售后服务及其他要求：</w:t>
            </w:r>
          </w:p>
          <w:p>
            <w:pPr>
              <w:spacing w:line="336" w:lineRule="auto"/>
              <w:ind w:left="316" w:hanging="315" w:hangingChars="15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商务要求</w:t>
            </w:r>
          </w:p>
          <w:p>
            <w:pPr>
              <w:spacing w:line="336" w:lineRule="auto"/>
              <w:ind w:left="316" w:hanging="315" w:hangingChars="15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一、交货期及地点</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1、交付使用期：</w:t>
            </w:r>
            <w:r>
              <w:rPr>
                <w:rFonts w:hint="eastAsia" w:ascii="宋体" w:hAnsi="宋体" w:cs="宋体"/>
                <w:b w:val="0"/>
                <w:bCs w:val="0"/>
                <w:color w:val="auto"/>
                <w:szCs w:val="21"/>
                <w:highlight w:val="none"/>
                <w:lang w:val="zh-CN"/>
              </w:rPr>
              <w:t>自收到招标人发货通知日起</w:t>
            </w:r>
            <w:r>
              <w:rPr>
                <w:rFonts w:hint="eastAsia" w:ascii="宋体" w:hAnsi="宋体" w:cs="宋体"/>
                <w:b w:val="0"/>
                <w:bCs w:val="0"/>
                <w:color w:val="auto"/>
                <w:szCs w:val="21"/>
                <w:highlight w:val="none"/>
                <w:lang w:val="en-US" w:eastAsia="zh-CN"/>
              </w:rPr>
              <w:t>120</w:t>
            </w:r>
            <w:r>
              <w:rPr>
                <w:rFonts w:hint="eastAsia" w:ascii="宋体" w:hAnsi="宋体" w:cs="宋体"/>
                <w:b w:val="0"/>
                <w:bCs w:val="0"/>
                <w:color w:val="auto"/>
                <w:szCs w:val="21"/>
                <w:highlight w:val="none"/>
                <w:lang w:val="zh-CN"/>
              </w:rPr>
              <w:t>天内通过特种设备监督检验院验收合格</w:t>
            </w:r>
            <w:r>
              <w:rPr>
                <w:rFonts w:hint="eastAsia" w:ascii="宋体" w:hAnsi="宋体" w:cs="宋体"/>
                <w:b w:val="0"/>
                <w:bCs w:val="0"/>
                <w:color w:val="auto"/>
                <w:szCs w:val="21"/>
                <w:highlight w:val="none"/>
              </w:rPr>
              <w:t>。</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2、交货地点：采购人指定地点。</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二、报价包含：</w:t>
            </w:r>
          </w:p>
          <w:p>
            <w:pPr>
              <w:widowControl/>
              <w:spacing w:line="336" w:lineRule="auto"/>
              <w:jc w:val="left"/>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1、拆除原有</w:t>
            </w:r>
            <w:r>
              <w:rPr>
                <w:rFonts w:hint="eastAsia" w:ascii="宋体" w:hAnsi="宋体" w:cs="宋体"/>
                <w:b w:val="0"/>
                <w:bCs w:val="0"/>
                <w:color w:val="auto"/>
                <w:kern w:val="0"/>
                <w:szCs w:val="21"/>
                <w:highlight w:val="none"/>
                <w:lang w:val="en-US" w:eastAsia="zh-CN" w:bidi="ar"/>
              </w:rPr>
              <w:t>2台</w:t>
            </w:r>
            <w:r>
              <w:rPr>
                <w:rFonts w:hint="eastAsia" w:ascii="宋体" w:hAnsi="宋体" w:cs="宋体"/>
                <w:b w:val="0"/>
                <w:bCs w:val="0"/>
                <w:color w:val="auto"/>
                <w:kern w:val="0"/>
                <w:szCs w:val="21"/>
                <w:highlight w:val="none"/>
                <w:lang w:bidi="ar"/>
              </w:rPr>
              <w:t>旧电梯拆卸</w:t>
            </w:r>
            <w:r>
              <w:rPr>
                <w:rFonts w:hint="eastAsia" w:ascii="宋体" w:hAnsi="宋体" w:cs="宋体"/>
                <w:b w:val="0"/>
                <w:bCs w:val="0"/>
                <w:color w:val="auto"/>
                <w:kern w:val="0"/>
                <w:szCs w:val="21"/>
                <w:highlight w:val="none"/>
                <w:lang w:val="en-US" w:eastAsia="zh-CN" w:bidi="ar"/>
              </w:rPr>
              <w:t>产生的所有费用</w:t>
            </w:r>
            <w:r>
              <w:rPr>
                <w:rFonts w:hint="eastAsia" w:ascii="宋体" w:hAnsi="宋体" w:cs="宋体"/>
                <w:b w:val="0"/>
                <w:bCs w:val="0"/>
                <w:color w:val="auto"/>
                <w:kern w:val="0"/>
                <w:szCs w:val="21"/>
                <w:highlight w:val="none"/>
                <w:lang w:bidi="ar"/>
              </w:rPr>
              <w:t>。</w:t>
            </w:r>
          </w:p>
          <w:p>
            <w:pPr>
              <w:widowControl/>
              <w:spacing w:line="336" w:lineRule="auto"/>
              <w:jc w:val="left"/>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3、机房改造：如工字钢混凝土承重墩、机房预留孔洞打凿及回填等项目。</w:t>
            </w:r>
          </w:p>
          <w:p>
            <w:pPr>
              <w:widowControl/>
              <w:spacing w:line="336" w:lineRule="auto"/>
              <w:jc w:val="left"/>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4、井道改造：外呼孔及消防孔打凿的改造、消防底盒打凿改造、门洞改造、圈梁改造等。</w:t>
            </w:r>
          </w:p>
          <w:p>
            <w:pPr>
              <w:widowControl/>
              <w:spacing w:line="336" w:lineRule="auto"/>
              <w:jc w:val="left"/>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5、底坑改造：如拆除原底坑缓冲器混凝土基础、新做缓冲器和导轨基础浇筑等。</w:t>
            </w:r>
          </w:p>
          <w:p>
            <w:pPr>
              <w:widowControl/>
              <w:spacing w:line="336" w:lineRule="auto"/>
              <w:jc w:val="left"/>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6、建筑垃圾清运。</w:t>
            </w:r>
          </w:p>
          <w:p>
            <w:pPr>
              <w:spacing w:line="320" w:lineRule="exact"/>
              <w:rPr>
                <w:rFonts w:ascii="宋体" w:hAnsi="宋体" w:cs="宋体"/>
                <w:bCs/>
                <w:color w:val="auto"/>
                <w:kern w:val="0"/>
                <w:szCs w:val="21"/>
              </w:rPr>
            </w:pPr>
            <w:r>
              <w:rPr>
                <w:rFonts w:hint="eastAsia"/>
                <w:color w:val="auto"/>
              </w:rPr>
              <w:t>7、</w:t>
            </w:r>
            <w:r>
              <w:rPr>
                <w:rFonts w:hint="eastAsia" w:ascii="宋体" w:hAnsi="宋体" w:cs="宋体"/>
                <w:bCs/>
                <w:color w:val="auto"/>
                <w:kern w:val="0"/>
                <w:szCs w:val="21"/>
              </w:rPr>
              <w:t>本项目按总价包干，为交钥匙工程，投标人报价中必须包含设备及零配件、备品备件、材料、消耗品、工具的采购和运输（装卸），项目安装、调试、检测、试验及验收，井道整改、大（小）门套及门洞回填等电梯井道配套土建工程，配合服务费、售后服务、税金、利润以及整个项目安装所需的物资、外设、线缆、管材及埋管全部工程和服务完成的有关费用。</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kern w:val="0"/>
                <w:szCs w:val="21"/>
                <w:highlight w:val="none"/>
              </w:rPr>
              <w:t>三、质保期：</w:t>
            </w:r>
            <w:r>
              <w:rPr>
                <w:rFonts w:hint="eastAsia" w:ascii="宋体" w:hAnsi="宋体" w:cs="宋体"/>
                <w:b w:val="0"/>
                <w:bCs w:val="0"/>
                <w:color w:val="auto"/>
                <w:szCs w:val="21"/>
                <w:highlight w:val="none"/>
              </w:rPr>
              <w:t>设备安装调试并经验收合格之日起质保期1年。</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四、付款方式：</w:t>
            </w:r>
          </w:p>
          <w:p>
            <w:pPr>
              <w:spacing w:line="336" w:lineRule="auto"/>
              <w:ind w:firstLine="420" w:firstLineChars="200"/>
              <w:rPr>
                <w:rFonts w:hint="eastAsia"/>
                <w:b w:val="0"/>
                <w:bCs w:val="0"/>
                <w:color w:val="auto"/>
                <w:highlight w:val="none"/>
                <w:lang w:eastAsia="zh-CN"/>
              </w:rPr>
            </w:pPr>
            <w:r>
              <w:rPr>
                <w:rFonts w:hint="eastAsia" w:ascii="宋体" w:hAnsi="宋体"/>
                <w:color w:val="auto"/>
                <w:szCs w:val="21"/>
                <w:lang w:val="en-US" w:eastAsia="zh-CN"/>
              </w:rPr>
              <w:t>电梯</w:t>
            </w:r>
            <w:r>
              <w:rPr>
                <w:rFonts w:hint="eastAsia" w:ascii="宋体" w:hAnsi="宋体"/>
                <w:color w:val="auto"/>
                <w:szCs w:val="21"/>
              </w:rPr>
              <w:t>到达现场后五个工作日，按照政府采购付款相关规定，甲方向乙方拨付合同总金额的</w:t>
            </w:r>
            <w:r>
              <w:rPr>
                <w:rFonts w:hint="eastAsia" w:ascii="宋体" w:hAnsi="宋体"/>
                <w:color w:val="auto"/>
                <w:szCs w:val="21"/>
                <w:lang w:val="en-US" w:eastAsia="zh-CN"/>
              </w:rPr>
              <w:t>5</w:t>
            </w:r>
            <w:r>
              <w:rPr>
                <w:rFonts w:ascii="宋体" w:hAnsi="宋体"/>
                <w:color w:val="auto"/>
                <w:szCs w:val="21"/>
              </w:rPr>
              <w:t>0%</w:t>
            </w:r>
            <w:r>
              <w:rPr>
                <w:rFonts w:hint="eastAsia" w:ascii="宋体" w:hAnsi="宋体"/>
                <w:color w:val="auto"/>
                <w:szCs w:val="21"/>
              </w:rPr>
              <w:t>；安装完毕经相关部门验收合格取得相关证件并</w:t>
            </w:r>
            <w:r>
              <w:rPr>
                <w:rFonts w:hint="eastAsia" w:ascii="宋体" w:hAnsi="宋体"/>
                <w:color w:val="auto"/>
                <w:kern w:val="0"/>
                <w:szCs w:val="21"/>
              </w:rPr>
              <w:t>正常使用后</w:t>
            </w:r>
            <w:r>
              <w:rPr>
                <w:rFonts w:hint="eastAsia" w:ascii="宋体" w:hAnsi="宋体"/>
                <w:color w:val="auto"/>
                <w:szCs w:val="21"/>
              </w:rPr>
              <w:t>五个工作日甲方向乙方支付合同总金额的</w:t>
            </w:r>
            <w:r>
              <w:rPr>
                <w:rFonts w:hint="eastAsia" w:ascii="宋体" w:hAnsi="宋体"/>
                <w:color w:val="auto"/>
                <w:szCs w:val="21"/>
                <w:lang w:val="en-US" w:eastAsia="zh-CN"/>
              </w:rPr>
              <w:t>4</w:t>
            </w:r>
            <w:r>
              <w:rPr>
                <w:rFonts w:hint="eastAsia" w:ascii="宋体" w:hAnsi="宋体"/>
                <w:color w:val="auto"/>
                <w:szCs w:val="21"/>
              </w:rPr>
              <w:t>5%，余下</w:t>
            </w:r>
            <w:r>
              <w:rPr>
                <w:rFonts w:ascii="宋体" w:hAnsi="宋体"/>
                <w:color w:val="auto"/>
                <w:szCs w:val="21"/>
              </w:rPr>
              <w:t>5%</w:t>
            </w:r>
            <w:r>
              <w:rPr>
                <w:rFonts w:hint="eastAsia" w:ascii="宋体" w:hAnsi="宋体"/>
                <w:color w:val="auto"/>
                <w:szCs w:val="21"/>
              </w:rPr>
              <w:t>一年后五个工作日内支付，无息</w:t>
            </w:r>
            <w:r>
              <w:rPr>
                <w:rFonts w:hint="eastAsia" w:ascii="宋体" w:hAnsi="宋体"/>
                <w:color w:val="auto"/>
                <w:kern w:val="0"/>
                <w:szCs w:val="21"/>
              </w:rPr>
              <w:t>。</w:t>
            </w:r>
          </w:p>
          <w:p>
            <w:pPr>
              <w:spacing w:line="33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五、</w:t>
            </w:r>
            <w:r>
              <w:rPr>
                <w:rFonts w:hint="eastAsia" w:ascii="宋体" w:hAnsi="宋体" w:cs="宋体"/>
                <w:b w:val="0"/>
                <w:bCs w:val="0"/>
                <w:color w:val="auto"/>
                <w:szCs w:val="21"/>
                <w:highlight w:val="none"/>
                <w:lang w:val="zh-CN"/>
              </w:rPr>
              <w:t>售后服务要求</w:t>
            </w:r>
            <w:r>
              <w:rPr>
                <w:rFonts w:hint="eastAsia" w:ascii="宋体" w:hAnsi="宋体" w:cs="宋体"/>
                <w:b w:val="0"/>
                <w:bCs w:val="0"/>
                <w:color w:val="auto"/>
                <w:szCs w:val="21"/>
                <w:highlight w:val="none"/>
              </w:rPr>
              <w:t>：</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rPr>
              <w:t>1、</w:t>
            </w:r>
            <w:r>
              <w:rPr>
                <w:rFonts w:hint="eastAsia" w:ascii="宋体" w:hAnsi="宋体" w:cs="宋体"/>
                <w:b w:val="0"/>
                <w:bCs w:val="0"/>
                <w:color w:val="auto"/>
                <w:szCs w:val="21"/>
                <w:highlight w:val="none"/>
                <w:lang w:val="zh-CN"/>
              </w:rPr>
              <w:t>免费</w:t>
            </w:r>
            <w:r>
              <w:rPr>
                <w:rFonts w:hint="eastAsia" w:ascii="宋体" w:hAnsi="宋体" w:cs="宋体"/>
                <w:b w:val="0"/>
                <w:bCs w:val="0"/>
                <w:color w:val="auto"/>
                <w:szCs w:val="21"/>
                <w:highlight w:val="none"/>
                <w:lang w:val="en-US" w:eastAsia="zh-CN"/>
              </w:rPr>
              <w:t>负责</w:t>
            </w:r>
            <w:r>
              <w:rPr>
                <w:rFonts w:hint="eastAsia" w:ascii="宋体" w:hAnsi="宋体" w:cs="宋体"/>
                <w:b w:val="0"/>
                <w:bCs w:val="0"/>
                <w:color w:val="auto"/>
                <w:szCs w:val="21"/>
                <w:highlight w:val="none"/>
                <w:lang w:val="zh-CN"/>
              </w:rPr>
              <w:t>办理报装、报验手续；</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zh-CN"/>
              </w:rPr>
              <w:t>质保期内每月上门不低于</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val="zh-CN"/>
              </w:rPr>
              <w:t>次（检查、清洁、除尘、调整）；</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zh-CN"/>
              </w:rPr>
              <w:t>维修人员24小时服务，接到用户故障通知后，</w:t>
            </w:r>
            <w:r>
              <w:rPr>
                <w:rFonts w:hint="eastAsia" w:ascii="宋体" w:hAnsi="宋体" w:cs="宋体"/>
                <w:b w:val="0"/>
                <w:bCs w:val="0"/>
                <w:color w:val="auto"/>
                <w:szCs w:val="21"/>
                <w:highlight w:val="none"/>
              </w:rPr>
              <w:t>1小时</w:t>
            </w:r>
            <w:r>
              <w:rPr>
                <w:rFonts w:hint="eastAsia" w:ascii="宋体" w:hAnsi="宋体" w:cs="宋体"/>
                <w:b w:val="0"/>
                <w:bCs w:val="0"/>
                <w:color w:val="auto"/>
                <w:szCs w:val="21"/>
                <w:highlight w:val="none"/>
                <w:lang w:val="zh-CN"/>
              </w:rPr>
              <w:t>内到达现场，一般故障不超过2小时，重大故障不超过24小时修复；</w:t>
            </w:r>
          </w:p>
          <w:p>
            <w:pPr>
              <w:pStyle w:val="2"/>
              <w:ind w:left="0" w:leftChars="0" w:firstLine="0" w:firstLineChars="0"/>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bidi="ar-SA"/>
              </w:rPr>
              <w:t>4、所供设备应是全新整套的符合《电梯制造与安全规范》（GB7588-2003）、GB10058、GB10059、GB10060国家有关质量标准及能满足本项目需求的技术指标的电梯设备。</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zh-CN"/>
              </w:rPr>
              <w:t>常年备有电梯配件，能及时处理、替换损坏的部件。</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lang w:val="zh-CN"/>
              </w:rPr>
              <w:t>、质保期：设备安装调试并经验收合格之日起质保期1年。质保期内免费维修、更换配件。</w:t>
            </w:r>
          </w:p>
          <w:p>
            <w:pPr>
              <w:tabs>
                <w:tab w:val="left" w:pos="756"/>
                <w:tab w:val="left" w:pos="3456"/>
              </w:tabs>
              <w:autoSpaceDE w:val="0"/>
              <w:autoSpaceDN w:val="0"/>
              <w:spacing w:line="336"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en-US" w:eastAsia="zh-CN"/>
              </w:rPr>
              <w:t>7</w:t>
            </w:r>
            <w:r>
              <w:rPr>
                <w:rFonts w:hint="eastAsia" w:ascii="宋体" w:hAnsi="宋体" w:cs="宋体"/>
                <w:b w:val="0"/>
                <w:bCs w:val="0"/>
                <w:color w:val="auto"/>
                <w:szCs w:val="21"/>
                <w:highlight w:val="none"/>
                <w:lang w:val="zh-CN"/>
              </w:rPr>
              <w:t>、负责为采购人免费培训人员（2名）。</w:t>
            </w:r>
          </w:p>
          <w:p>
            <w:pPr>
              <w:pStyle w:val="2"/>
              <w:ind w:left="0" w:leftChars="0" w:firstLine="0" w:firstLineChars="0"/>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zh-CN" w:eastAsia="zh-CN" w:bidi="ar-SA"/>
              </w:rPr>
              <w:t>、安装调试严格执行国家有关电梯安装的管理条例；</w:t>
            </w:r>
          </w:p>
          <w:p>
            <w:pPr>
              <w:spacing w:line="320" w:lineRule="exact"/>
              <w:rPr>
                <w:rFonts w:hint="eastAsia"/>
                <w:color w:val="auto"/>
              </w:rPr>
            </w:pPr>
            <w:r>
              <w:rPr>
                <w:rFonts w:hint="eastAsia" w:ascii="宋体" w:hAnsi="宋体" w:cs="宋体"/>
                <w:b w:val="0"/>
                <w:bCs w:val="0"/>
                <w:color w:val="auto"/>
                <w:szCs w:val="21"/>
                <w:highlight w:val="none"/>
                <w:lang w:val="zh-CN"/>
              </w:rPr>
              <w:t>★</w:t>
            </w:r>
            <w:r>
              <w:rPr>
                <w:rFonts w:hint="eastAsia" w:ascii="宋体" w:hAnsi="宋体" w:cs="宋体"/>
                <w:b w:val="0"/>
                <w:bCs w:val="0"/>
                <w:color w:val="auto"/>
                <w:szCs w:val="21"/>
                <w:highlight w:val="none"/>
              </w:rPr>
              <w:t>六</w:t>
            </w:r>
            <w:r>
              <w:rPr>
                <w:rFonts w:hint="eastAsia" w:ascii="宋体" w:hAnsi="宋体" w:cs="宋体"/>
                <w:b w:val="0"/>
                <w:bCs w:val="0"/>
                <w:color w:val="auto"/>
                <w:szCs w:val="21"/>
                <w:highlight w:val="none"/>
                <w:lang w:val="zh-CN"/>
              </w:rPr>
              <w:t>、正品保障：本项目中标</w:t>
            </w:r>
            <w:r>
              <w:rPr>
                <w:rFonts w:hint="eastAsia" w:ascii="宋体" w:hAnsi="宋体" w:cs="宋体"/>
                <w:b w:val="0"/>
                <w:bCs w:val="0"/>
                <w:color w:val="auto"/>
                <w:szCs w:val="21"/>
                <w:highlight w:val="none"/>
              </w:rPr>
              <w:t>供应商</w:t>
            </w:r>
            <w:r>
              <w:rPr>
                <w:rFonts w:hint="eastAsia" w:ascii="宋体" w:hAnsi="宋体" w:cs="宋体"/>
                <w:b w:val="0"/>
                <w:bCs w:val="0"/>
                <w:color w:val="auto"/>
                <w:szCs w:val="21"/>
                <w:highlight w:val="none"/>
                <w:lang w:val="zh-CN"/>
              </w:rPr>
              <w:t>必须按货物需求表指定的品牌供货，不接受推荐品牌外的产品，供应商不得以任何理由更改设备的品牌、配置，配置必须是原厂出厂配置，中标</w:t>
            </w:r>
            <w:r>
              <w:rPr>
                <w:rFonts w:hint="eastAsia" w:ascii="宋体" w:hAnsi="宋体" w:cs="宋体"/>
                <w:b w:val="0"/>
                <w:bCs w:val="0"/>
                <w:color w:val="auto"/>
                <w:szCs w:val="21"/>
                <w:highlight w:val="none"/>
              </w:rPr>
              <w:t>后</w:t>
            </w:r>
            <w:r>
              <w:rPr>
                <w:rFonts w:hint="eastAsia" w:ascii="宋体" w:hAnsi="宋体" w:cs="宋体"/>
                <w:b w:val="0"/>
                <w:bCs w:val="0"/>
                <w:color w:val="auto"/>
                <w:szCs w:val="21"/>
                <w:highlight w:val="none"/>
                <w:lang w:val="zh-CN"/>
              </w:rPr>
              <w:t>签订合同前提供</w:t>
            </w:r>
            <w:r>
              <w:rPr>
                <w:rFonts w:hint="eastAsia" w:ascii="宋体" w:hAnsi="宋体" w:cs="宋体"/>
                <w:b w:val="0"/>
                <w:bCs w:val="0"/>
                <w:color w:val="auto"/>
                <w:szCs w:val="21"/>
                <w:highlight w:val="none"/>
              </w:rPr>
              <w:t>电梯制造商针</w:t>
            </w:r>
            <w:r>
              <w:rPr>
                <w:rFonts w:hint="eastAsia" w:ascii="宋体" w:hAnsi="宋体" w:cs="宋体"/>
                <w:b w:val="0"/>
                <w:bCs w:val="0"/>
                <w:color w:val="auto"/>
                <w:szCs w:val="21"/>
                <w:highlight w:val="none"/>
                <w:lang w:val="zh-CN"/>
              </w:rPr>
              <w:t>对本项目出具的授权书</w:t>
            </w:r>
            <w:r>
              <w:rPr>
                <w:rFonts w:hint="eastAsia" w:ascii="宋体" w:hAnsi="宋体" w:cs="宋体"/>
                <w:b w:val="0"/>
                <w:bCs w:val="0"/>
                <w:color w:val="auto"/>
                <w:szCs w:val="21"/>
                <w:highlight w:val="none"/>
                <w:lang w:val="en-US" w:eastAsia="zh-CN"/>
              </w:rPr>
              <w:t>和</w:t>
            </w:r>
            <w:r>
              <w:rPr>
                <w:rFonts w:hint="eastAsia" w:ascii="宋体" w:hAnsi="宋体" w:cs="宋体"/>
                <w:bCs/>
                <w:color w:val="auto"/>
                <w:kern w:val="0"/>
                <w:szCs w:val="21"/>
              </w:rPr>
              <w:t>必须提供电梯生产企业代理证明文件</w:t>
            </w:r>
            <w:r>
              <w:rPr>
                <w:rFonts w:hint="eastAsia" w:ascii="宋体" w:hAnsi="宋体" w:cs="宋体"/>
                <w:bCs/>
                <w:color w:val="auto"/>
                <w:kern w:val="0"/>
                <w:szCs w:val="21"/>
                <w:lang w:eastAsia="zh-CN"/>
              </w:rPr>
              <w:t>，</w:t>
            </w:r>
            <w:r>
              <w:rPr>
                <w:rFonts w:hint="eastAsia" w:ascii="宋体" w:hAnsi="宋体" w:cs="宋体"/>
                <w:b w:val="0"/>
                <w:bCs w:val="0"/>
                <w:color w:val="auto"/>
                <w:szCs w:val="21"/>
                <w:highlight w:val="none"/>
                <w:lang w:val="zh-CN"/>
              </w:rPr>
              <w:t>否则不予验收。</w:t>
            </w:r>
            <w:r>
              <w:rPr>
                <w:rFonts w:hint="eastAsia"/>
                <w:color w:val="auto"/>
              </w:rPr>
              <w:t>竣工验收：由国家有关电梯质量、安全检测、安全监督等单位联合检查验收；中标方必须服从项目监理的监督管理</w:t>
            </w:r>
            <w:r>
              <w:rPr>
                <w:rFonts w:hint="eastAsia"/>
                <w:color w:val="auto"/>
                <w:szCs w:val="21"/>
              </w:rPr>
              <w:t>；</w:t>
            </w:r>
          </w:p>
          <w:p>
            <w:pPr>
              <w:tabs>
                <w:tab w:val="left" w:pos="756"/>
                <w:tab w:val="left" w:pos="3456"/>
              </w:tabs>
              <w:autoSpaceDE w:val="0"/>
              <w:autoSpaceDN w:val="0"/>
              <w:spacing w:line="360" w:lineRule="auto"/>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zh-CN"/>
              </w:rPr>
              <w:t>★</w:t>
            </w:r>
            <w:r>
              <w:rPr>
                <w:rFonts w:hint="eastAsia" w:ascii="宋体" w:hAnsi="宋体" w:cs="宋体"/>
                <w:b w:val="0"/>
                <w:bCs w:val="0"/>
                <w:color w:val="auto"/>
                <w:szCs w:val="21"/>
                <w:highlight w:val="none"/>
              </w:rPr>
              <w:t>七</w:t>
            </w:r>
            <w:r>
              <w:rPr>
                <w:rFonts w:hint="eastAsia" w:ascii="宋体" w:hAnsi="宋体" w:cs="宋体"/>
                <w:b w:val="0"/>
                <w:bCs w:val="0"/>
                <w:color w:val="auto"/>
                <w:szCs w:val="21"/>
                <w:highlight w:val="none"/>
                <w:lang w:val="zh-CN"/>
              </w:rPr>
              <w:t>、竞价人具有与提升电梯保养服务或工艺的方法，如</w:t>
            </w:r>
            <w:r>
              <w:rPr>
                <w:rFonts w:hint="eastAsia" w:ascii="宋体" w:hAnsi="宋体"/>
                <w:b w:val="0"/>
                <w:bCs w:val="0"/>
                <w:color w:val="auto"/>
                <w:szCs w:val="21"/>
                <w:highlight w:val="none"/>
              </w:rPr>
              <w:t>电梯振动及加减速度测试仪、电梯导轨自动清理机构、电梯门冲击力测试仪、电梯平衡系数测试仪</w:t>
            </w:r>
            <w:r>
              <w:rPr>
                <w:rFonts w:hint="eastAsia" w:ascii="宋体" w:hAnsi="宋体" w:cs="宋体"/>
                <w:b w:val="0"/>
                <w:bCs w:val="0"/>
                <w:color w:val="auto"/>
                <w:szCs w:val="21"/>
                <w:highlight w:val="none"/>
                <w:lang w:val="zh-CN"/>
              </w:rPr>
              <w:t>等类似服务或工艺的方法（</w:t>
            </w:r>
            <w:r>
              <w:rPr>
                <w:rFonts w:hint="eastAsia" w:ascii="宋体" w:hAnsi="宋体" w:cs="宋体"/>
                <w:b w:val="0"/>
                <w:bCs w:val="0"/>
                <w:color w:val="auto"/>
                <w:szCs w:val="21"/>
                <w:highlight w:val="none"/>
              </w:rPr>
              <w:t>四</w:t>
            </w:r>
            <w:r>
              <w:rPr>
                <w:rFonts w:hint="eastAsia" w:ascii="宋体" w:hAnsi="宋体" w:cs="宋体"/>
                <w:b w:val="0"/>
                <w:bCs w:val="0"/>
                <w:color w:val="auto"/>
                <w:szCs w:val="21"/>
                <w:highlight w:val="none"/>
                <w:lang w:val="zh-CN"/>
              </w:rPr>
              <w:t>项及以上），中标后签订合同前提供上述服务或工艺的方法的第三方机构出具的证明文件复印件，若提供虚假材料或无法提供相关材料，将追究供应商的法律责任并要求供应商赔偿相关损失。</w:t>
            </w: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bookmarkStart w:id="6" w:name="_GoBack"/>
            <w:bookmarkEnd w:id="6"/>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ind w:left="0" w:leftChars="0" w:firstLine="0" w:firstLineChars="0"/>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p>
            <w:pPr>
              <w:pStyle w:val="9"/>
              <w:spacing w:line="360" w:lineRule="auto"/>
              <w:rPr>
                <w:rFonts w:hint="eastAsia" w:ascii="宋体" w:hAnsi="宋体" w:cs="宋体"/>
                <w:b w:val="0"/>
                <w:bCs w:val="0"/>
                <w:color w:val="auto"/>
                <w:szCs w:val="21"/>
                <w:highlight w:val="none"/>
                <w:lang w:val="zh-CN"/>
              </w:rPr>
            </w:pPr>
          </w:p>
        </w:tc>
      </w:tr>
    </w:tbl>
    <w:p>
      <w:pPr>
        <w:tabs>
          <w:tab w:val="left" w:pos="3296"/>
        </w:tabs>
        <w:spacing w:line="300" w:lineRule="exact"/>
        <w:rPr>
          <w:rFonts w:hint="eastAsia" w:ascii="宋体" w:hAnsi="宋体" w:cs="宋体"/>
          <w:b/>
          <w:bCs/>
          <w:color w:val="auto"/>
          <w:szCs w:val="2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STXi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MmMwMDI4M2U2YjIzNDgyNjQxM2QwMTg2ODVkZmMifQ=="/>
    <w:docVar w:name="KSO_WPS_MARK_KEY" w:val="b1da7aa4-762c-4f9f-9769-0b6e2ef07d74"/>
  </w:docVars>
  <w:rsids>
    <w:rsidRoot w:val="00ED5259"/>
    <w:rsid w:val="001477F0"/>
    <w:rsid w:val="00B1776A"/>
    <w:rsid w:val="00ED5259"/>
    <w:rsid w:val="00FF7A82"/>
    <w:rsid w:val="0C5A2E1D"/>
    <w:rsid w:val="0D1A5D55"/>
    <w:rsid w:val="0F0A1DF9"/>
    <w:rsid w:val="0F5D7C8F"/>
    <w:rsid w:val="11695BBB"/>
    <w:rsid w:val="1255519F"/>
    <w:rsid w:val="156F7DA4"/>
    <w:rsid w:val="19A404BA"/>
    <w:rsid w:val="1A3D0518"/>
    <w:rsid w:val="1EA34313"/>
    <w:rsid w:val="1EAB0F03"/>
    <w:rsid w:val="1FDD6087"/>
    <w:rsid w:val="25FD326F"/>
    <w:rsid w:val="2B9F3AE7"/>
    <w:rsid w:val="2C2A668A"/>
    <w:rsid w:val="2FD9260C"/>
    <w:rsid w:val="3195334D"/>
    <w:rsid w:val="39244483"/>
    <w:rsid w:val="3DF00289"/>
    <w:rsid w:val="42D81437"/>
    <w:rsid w:val="42EC706B"/>
    <w:rsid w:val="448805B0"/>
    <w:rsid w:val="495A2D4B"/>
    <w:rsid w:val="4AA27D62"/>
    <w:rsid w:val="4DB632D1"/>
    <w:rsid w:val="51EB3EF3"/>
    <w:rsid w:val="52306A4E"/>
    <w:rsid w:val="52326C6A"/>
    <w:rsid w:val="56761903"/>
    <w:rsid w:val="57CB02DD"/>
    <w:rsid w:val="58614AF7"/>
    <w:rsid w:val="58A92D2D"/>
    <w:rsid w:val="5A477D2C"/>
    <w:rsid w:val="5D4D2BAA"/>
    <w:rsid w:val="5DDB5030"/>
    <w:rsid w:val="61747C73"/>
    <w:rsid w:val="64467711"/>
    <w:rsid w:val="680E2045"/>
    <w:rsid w:val="690F766A"/>
    <w:rsid w:val="697C5D6B"/>
    <w:rsid w:val="69E36748"/>
    <w:rsid w:val="6BC3454B"/>
    <w:rsid w:val="6C02213B"/>
    <w:rsid w:val="6C787095"/>
    <w:rsid w:val="6E4F6E27"/>
    <w:rsid w:val="738039EB"/>
    <w:rsid w:val="75D14B26"/>
    <w:rsid w:val="7EE7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2561</Words>
  <Characters>2753</Characters>
  <Lines>20</Lines>
  <Paragraphs>5</Paragraphs>
  <TotalTime>10</TotalTime>
  <ScaleCrop>false</ScaleCrop>
  <LinksUpToDate>false</LinksUpToDate>
  <CharactersWithSpaces>2756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2025-02-19T08:14:00Z</dcterms:created>
  <dc:creator>Administrator</dc:creator>
  <cp:lastModifiedBy>Administrator</cp:lastModifiedBy>
  <dcterms:modified xsi:type="dcterms:W3CDTF">2025-07-21T08:27:37Z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0B4756E4DDFF4AD7B7F689CFF6184B78_12</vt:lpwstr>
  </property>
  <property fmtid="{D5CDD505-2E9C-101B-9397-08002B2CF9AE}" pid="4" name="KSOTemplateDocerSaveRecord">
    <vt:lpwstr>eyJoZGlkIjoiMTA1OTlkNzFiZWNiYzFjZmFkZmJlYjJjOTk4ZWZmMGUiLCJ1c2VySWQiOiI3MTg3NzYyMDcifQ==</vt:lpwstr>
  </property>
</Properties>
</file>