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2025年临桂区</w:t>
      </w:r>
      <w:r>
        <w:rPr>
          <w:rFonts w:hint="eastAsia" w:asciiTheme="minorEastAsia" w:hAnsiTheme="minorEastAsia" w:eastAsiaTheme="minorEastAsia" w:cstheme="minorEastAsia"/>
          <w:b/>
          <w:bCs/>
          <w:sz w:val="28"/>
          <w:szCs w:val="28"/>
          <w:lang w:eastAsia="zh-CN"/>
        </w:rPr>
        <w:t>增扩班</w:t>
      </w:r>
      <w:r>
        <w:rPr>
          <w:rFonts w:hint="eastAsia" w:asciiTheme="minorEastAsia" w:hAnsiTheme="minorEastAsia" w:eastAsiaTheme="minorEastAsia" w:cstheme="minorEastAsia"/>
          <w:b/>
          <w:bCs/>
          <w:sz w:val="28"/>
          <w:szCs w:val="28"/>
        </w:rPr>
        <w:t>教学一体机设备采购（反向竞价）</w:t>
      </w:r>
    </w:p>
    <w:tbl>
      <w:tblPr>
        <w:tblStyle w:val="8"/>
        <w:tblW w:w="10751" w:type="dxa"/>
        <w:tblInd w:w="-7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720"/>
        <w:gridCol w:w="770"/>
        <w:gridCol w:w="110"/>
        <w:gridCol w:w="6240"/>
        <w:gridCol w:w="780"/>
        <w:gridCol w:w="540"/>
        <w:gridCol w:w="905"/>
        <w:gridCol w:w="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729" w:hRule="atLeast"/>
        </w:trPr>
        <w:tc>
          <w:tcPr>
            <w:tcW w:w="596" w:type="dxa"/>
            <w:shd w:val="clear" w:color="auto" w:fill="FDD960" w:themeFill="accent3" w:themeFillTint="99"/>
            <w:noWrap w:val="0"/>
            <w:vAlign w:val="center"/>
          </w:tcPr>
          <w:p>
            <w:pPr>
              <w:jc w:val="center"/>
              <w:rPr>
                <w:rFonts w:ascii="宋体" w:hAnsi="宋体" w:cs="宋体"/>
                <w:b/>
                <w:bCs/>
                <w:szCs w:val="21"/>
              </w:rPr>
            </w:pPr>
            <w:r>
              <w:rPr>
                <w:rFonts w:hint="eastAsia" w:ascii="宋体" w:hAnsi="宋体" w:cs="宋体"/>
                <w:b/>
                <w:bCs/>
                <w:szCs w:val="21"/>
              </w:rPr>
              <w:t>项号</w:t>
            </w:r>
          </w:p>
        </w:tc>
        <w:tc>
          <w:tcPr>
            <w:tcW w:w="720" w:type="dxa"/>
            <w:shd w:val="clear" w:color="auto" w:fill="FDD960" w:themeFill="accent3" w:themeFillTint="99"/>
            <w:noWrap w:val="0"/>
            <w:vAlign w:val="center"/>
          </w:tcPr>
          <w:p>
            <w:pPr>
              <w:jc w:val="center"/>
              <w:rPr>
                <w:rFonts w:hint="eastAsia" w:ascii="宋体" w:hAnsi="宋体" w:eastAsia="宋体" w:cs="宋体"/>
                <w:b/>
                <w:bCs/>
                <w:kern w:val="2"/>
                <w:sz w:val="21"/>
                <w:szCs w:val="21"/>
                <w:lang w:val="en-US" w:eastAsia="zh-CN" w:bidi="ar-SA"/>
              </w:rPr>
            </w:pPr>
            <w:r>
              <w:rPr>
                <w:rFonts w:hint="eastAsia" w:ascii="宋体" w:hAnsi="宋体" w:cs="宋体"/>
                <w:b/>
                <w:bCs/>
                <w:szCs w:val="21"/>
              </w:rPr>
              <w:t>货物名称</w:t>
            </w:r>
          </w:p>
        </w:tc>
        <w:tc>
          <w:tcPr>
            <w:tcW w:w="770" w:type="dxa"/>
            <w:shd w:val="clear" w:color="auto" w:fill="FDD960" w:themeFill="accent3" w:themeFillTint="99"/>
            <w:noWrap w:val="0"/>
            <w:vAlign w:val="center"/>
          </w:tcPr>
          <w:p>
            <w:pPr>
              <w:jc w:val="center"/>
              <w:rPr>
                <w:rFonts w:hint="default" w:ascii="宋体" w:hAnsi="宋体" w:eastAsia="宋体" w:cs="宋体"/>
                <w:b/>
                <w:bCs/>
                <w:szCs w:val="21"/>
                <w:lang w:val="en-US" w:eastAsia="zh-CN"/>
              </w:rPr>
            </w:pPr>
            <w:r>
              <w:rPr>
                <w:rFonts w:hint="eastAsia" w:ascii="宋体" w:hAnsi="宋体" w:cs="宋体"/>
                <w:b/>
                <w:bCs/>
                <w:szCs w:val="21"/>
                <w:lang w:val="en-US" w:eastAsia="zh-CN"/>
              </w:rPr>
              <w:t>品牌型号</w:t>
            </w:r>
          </w:p>
        </w:tc>
        <w:tc>
          <w:tcPr>
            <w:tcW w:w="6350" w:type="dxa"/>
            <w:gridSpan w:val="2"/>
            <w:shd w:val="clear" w:color="auto" w:fill="FDD960" w:themeFill="accent3" w:themeFillTint="99"/>
            <w:noWrap w:val="0"/>
            <w:vAlign w:val="center"/>
          </w:tcPr>
          <w:p>
            <w:pPr>
              <w:jc w:val="center"/>
              <w:rPr>
                <w:rFonts w:ascii="宋体" w:hAnsi="宋体" w:cs="宋体"/>
                <w:b/>
                <w:bCs/>
                <w:szCs w:val="21"/>
              </w:rPr>
            </w:pPr>
            <w:r>
              <w:rPr>
                <w:rFonts w:hint="eastAsia" w:ascii="宋体" w:hAnsi="宋体" w:cs="宋体"/>
                <w:b/>
                <w:bCs/>
                <w:szCs w:val="21"/>
              </w:rPr>
              <w:t>主要技术参数</w:t>
            </w:r>
          </w:p>
        </w:tc>
        <w:tc>
          <w:tcPr>
            <w:tcW w:w="780" w:type="dxa"/>
            <w:shd w:val="clear" w:color="auto" w:fill="FDD960" w:themeFill="accent3" w:themeFillTint="99"/>
            <w:noWrap w:val="0"/>
            <w:vAlign w:val="center"/>
          </w:tcPr>
          <w:p>
            <w:pPr>
              <w:jc w:val="center"/>
              <w:rPr>
                <w:rFonts w:hint="default" w:ascii="宋体" w:hAnsi="宋体" w:eastAsia="宋体" w:cs="宋体"/>
                <w:b/>
                <w:bCs/>
                <w:color w:val="FF0000"/>
                <w:szCs w:val="21"/>
                <w:lang w:val="en-US" w:eastAsia="zh-CN"/>
              </w:rPr>
            </w:pPr>
            <w:r>
              <w:rPr>
                <w:rFonts w:hint="eastAsia" w:ascii="宋体" w:hAnsi="宋体" w:eastAsia="宋体" w:cs="宋体"/>
                <w:b/>
                <w:bCs/>
                <w:color w:val="FF0000"/>
                <w:szCs w:val="21"/>
                <w:lang w:val="en-US" w:eastAsia="zh-CN"/>
              </w:rPr>
              <w:t>单价</w:t>
            </w:r>
          </w:p>
        </w:tc>
        <w:tc>
          <w:tcPr>
            <w:tcW w:w="540" w:type="dxa"/>
            <w:shd w:val="clear" w:color="auto" w:fill="FDD960" w:themeFill="accent3" w:themeFillTint="99"/>
            <w:noWrap w:val="0"/>
            <w:vAlign w:val="center"/>
          </w:tcPr>
          <w:p>
            <w:pPr>
              <w:jc w:val="center"/>
              <w:rPr>
                <w:rFonts w:hint="eastAsia" w:ascii="宋体" w:hAnsi="宋体" w:cs="宋体"/>
                <w:b/>
                <w:bCs/>
                <w:color w:val="FF0000"/>
                <w:szCs w:val="21"/>
                <w:lang w:val="en-US" w:eastAsia="zh-CN"/>
              </w:rPr>
            </w:pPr>
            <w:r>
              <w:rPr>
                <w:rFonts w:hint="eastAsia" w:ascii="宋体" w:hAnsi="宋体" w:cs="宋体"/>
                <w:b/>
                <w:bCs/>
                <w:color w:val="FF0000"/>
                <w:szCs w:val="21"/>
                <w:lang w:val="en-US" w:eastAsia="zh-CN"/>
              </w:rPr>
              <w:t>数量</w:t>
            </w:r>
          </w:p>
        </w:tc>
        <w:tc>
          <w:tcPr>
            <w:tcW w:w="905" w:type="dxa"/>
            <w:shd w:val="clear" w:color="auto" w:fill="FDD960" w:themeFill="accent3" w:themeFillTint="99"/>
            <w:noWrap w:val="0"/>
            <w:vAlign w:val="center"/>
          </w:tcPr>
          <w:p>
            <w:pPr>
              <w:jc w:val="center"/>
              <w:rPr>
                <w:rFonts w:hint="eastAsia" w:ascii="宋体" w:hAnsi="宋体" w:cs="宋体"/>
                <w:b/>
                <w:bCs/>
                <w:color w:val="FF0000"/>
                <w:szCs w:val="21"/>
                <w:lang w:val="en-US" w:eastAsia="zh-CN"/>
              </w:rPr>
            </w:pPr>
            <w:r>
              <w:rPr>
                <w:rFonts w:hint="eastAsia" w:ascii="宋体" w:hAnsi="宋体" w:cs="宋体"/>
                <w:b/>
                <w:bCs/>
                <w:color w:val="FF0000"/>
                <w:szCs w:val="21"/>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238" w:hRule="atLeast"/>
        </w:trPr>
        <w:tc>
          <w:tcPr>
            <w:tcW w:w="596" w:type="dxa"/>
            <w:noWrap w:val="0"/>
            <w:vAlign w:val="center"/>
          </w:tcPr>
          <w:p>
            <w:pPr>
              <w:jc w:val="center"/>
              <w:rPr>
                <w:rFonts w:ascii="宋体" w:hAnsi="宋体" w:cs="宋体"/>
                <w:szCs w:val="21"/>
              </w:rPr>
            </w:pPr>
            <w:r>
              <w:rPr>
                <w:rFonts w:hint="eastAsia" w:ascii="宋体" w:hAnsi="宋体" w:cs="宋体"/>
                <w:szCs w:val="21"/>
              </w:rPr>
              <w:t>1</w:t>
            </w:r>
          </w:p>
        </w:tc>
        <w:tc>
          <w:tcPr>
            <w:tcW w:w="720" w:type="dxa"/>
            <w:shd w:val="clear" w:color="auto" w:fill="auto"/>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交互智能平板</w:t>
            </w:r>
          </w:p>
        </w:tc>
        <w:tc>
          <w:tcPr>
            <w:tcW w:w="770" w:type="dxa"/>
            <w:shd w:val="clear" w:color="auto" w:fill="auto"/>
            <w:noWrap w:val="0"/>
            <w:vAlign w:val="center"/>
          </w:tcPr>
          <w:p>
            <w:pPr>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希沃G09ED</w:t>
            </w:r>
          </w:p>
        </w:tc>
        <w:tc>
          <w:tcPr>
            <w:tcW w:w="6350" w:type="dxa"/>
            <w:gridSpan w:val="2"/>
            <w:shd w:val="clear" w:color="auto" w:fill="auto"/>
            <w:noWrap w:val="0"/>
            <w:vAlign w:val="center"/>
          </w:tcPr>
          <w:p>
            <w:pPr>
              <w:pStyle w:val="6"/>
              <w:widowControl w:val="0"/>
              <w:numPr>
                <w:ilvl w:val="0"/>
                <w:numId w:val="0"/>
              </w:numPr>
              <w:spacing w:line="360" w:lineRule="auto"/>
              <w:jc w:val="lef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一、内置电脑系统</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1、CPU：搭载Intel  酷睿系列≥ i5 CPU。</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2、内存：8GB DDR4笔记本内存或以上配置。</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3、硬盘：256GB或以上SSD固态硬盘。</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4、PC模块可抽拉式插入整机，可实现无单独接线的插拔，和整机的连接采用万兆级接口，传输速率≥10Gbps。</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5、采用按压式卡扣，无需工具就可快速拆卸电脑模块。</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6、PC模块的USB接口须为冗余备份接口，在正常使用整机的内置摄像头、内置麦克风功能时，USB接口不被占用，确保教师有足够的接口外接存储设备及显示设备。</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7、具有独立非外扩展的视频输出接口：≥1路HDMI 。</w:t>
            </w:r>
          </w:p>
          <w:p>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8、具有独立非外拓展的电脑 USB 接口：至少具备 3个USB3.0 接口。</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tl w:val="0"/>
                <w:lang w:val="en-US" w:eastAsia="zh-CN" w:bidi="ar-SA"/>
              </w:rPr>
              <w:t>★</w:t>
            </w:r>
            <w:r>
              <w:rPr>
                <w:rFonts w:hint="eastAsia" w:ascii="宋体" w:hAnsi="宋体" w:eastAsia="宋体" w:cs="宋体"/>
                <w:kern w:val="2"/>
                <w:sz w:val="21"/>
                <w:szCs w:val="21"/>
                <w:lang w:val="en-US" w:eastAsia="zh-CN" w:bidi="ar-SA"/>
              </w:rPr>
              <w:t>9、整机具备供电保护模块，能够检测内置电脑是否插好在位，在内置电脑未在位的情况下，内置电脑无法上电工作。</w:t>
            </w:r>
          </w:p>
          <w:p>
            <w:pPr>
              <w:pStyle w:val="6"/>
              <w:widowControl w:val="0"/>
              <w:numPr>
                <w:ilvl w:val="0"/>
                <w:numId w:val="0"/>
              </w:numPr>
              <w:spacing w:line="360" w:lineRule="auto"/>
              <w:jc w:val="lef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二、空中课堂设计</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1、文本聊天工具：学生可在直播课堂打字提问、互动，学生提问内容实时传递至教师；</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2、互动答题工具：教师根据讲解内容发布答题板供学生选择作答，学生提交答案后系统自动统计正确率和答题详情。</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远程互动工具：在直播课堂中，教师可指定授权学生远程互动，学生可在直播的课件画面进行书写、移动、擦除、参与互动活动等，学生操作过程实时同步至班级其他学生，可支持不少于5位学生同时参与远程互动；</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4、课堂奖励工具：直播过程中可向学生发放奖杯，学生在线学习获得的奖杯数量累积统计。</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5、远程考勤管理：直播课程结束后，后台自动统计报名学生名单和学生学习清单。</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6、课程回放：课程结束后自动生成直播回放，报名课程的学生可反复学习；回放课程自动保存在云端，支持人工删除。</w:t>
            </w:r>
          </w:p>
          <w:p>
            <w:pPr>
              <w:pStyle w:val="6"/>
              <w:widowControl w:val="0"/>
              <w:numPr>
                <w:ilvl w:val="0"/>
                <w:numId w:val="0"/>
              </w:numPr>
              <w:spacing w:line="360" w:lineRule="auto"/>
              <w:jc w:val="lef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三</w:t>
            </w:r>
            <w:r>
              <w:rPr>
                <w:rFonts w:hint="eastAsia" w:ascii="宋体" w:hAnsi="宋体" w:eastAsia="宋体" w:cs="宋体"/>
                <w:kern w:val="2"/>
                <w:sz w:val="21"/>
                <w:szCs w:val="21"/>
                <w:lang w:val="en-US" w:eastAsia="zh-Hans" w:bidi="ar-SA"/>
              </w:rPr>
              <w:t>、</w:t>
            </w:r>
            <w:r>
              <w:rPr>
                <w:rFonts w:hint="eastAsia" w:ascii="宋体" w:hAnsi="宋体" w:eastAsia="宋体" w:cs="宋体"/>
                <w:kern w:val="2"/>
                <w:sz w:val="21"/>
                <w:szCs w:val="21"/>
                <w:lang w:val="en-US" w:eastAsia="zh-CN" w:bidi="ar-SA"/>
              </w:rPr>
              <w:t>整机触摸设计</w:t>
            </w:r>
          </w:p>
          <w:p>
            <w:pPr>
              <w:numPr>
                <w:ilvl w:val="0"/>
                <w:numId w:val="0"/>
              </w:numPr>
              <w:spacing w:line="360" w:lineRule="auto"/>
              <w:jc w:val="left"/>
              <w:rPr>
                <w:rFonts w:hint="eastAsia" w:ascii="宋体" w:hAnsi="宋体" w:eastAsia="宋体" w:cs="宋体"/>
                <w:b/>
                <w:bCs/>
                <w:kern w:val="2"/>
                <w:sz w:val="21"/>
                <w:szCs w:val="21"/>
                <w:lang w:val="en-US" w:eastAsia="zh-CN" w:bidi="ar-SA"/>
              </w:rPr>
            </w:pPr>
            <w:r>
              <w:rPr>
                <w:rFonts w:hint="eastAsia" w:ascii="宋体" w:hAnsi="宋体" w:eastAsia="宋体" w:cs="宋体"/>
                <w:kern w:val="2"/>
                <w:sz w:val="21"/>
                <w:szCs w:val="21"/>
                <w:lang w:val="en-US" w:eastAsia="zh-CN" w:bidi="ar-SA"/>
              </w:rPr>
              <w:t>★1、采用红外触控技术，支持Windows系统中进行45点或以上触控，支持在Android系统中进行40点或以上触控。</w:t>
            </w:r>
            <w:r>
              <w:rPr>
                <w:rFonts w:hint="eastAsia" w:ascii="宋体" w:hAnsi="宋体" w:eastAsia="宋体" w:cs="宋体"/>
                <w:b/>
                <w:bCs/>
                <w:kern w:val="2"/>
                <w:sz w:val="21"/>
                <w:szCs w:val="21"/>
                <w:lang w:val="en-US" w:eastAsia="zh-CN" w:bidi="ar-SA"/>
              </w:rPr>
              <w:t>（投标时须提供国家认可的第三方检测机构出具的关于该功能检测报告复印件）</w:t>
            </w:r>
          </w:p>
          <w:p>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2、整机屏幕触摸有效识别高度不超过1.5mm，即触摸物体距离玻璃外表面高度不超过1.5mm时，触摸屏识别为点击操作。</w:t>
            </w:r>
          </w:p>
          <w:p>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3、整机触控书写功能集成预测算法，在书写速度≥50cm/s，支持笔迹距离笔的距离小于20mm。</w:t>
            </w:r>
          </w:p>
          <w:p>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4、整机系统支持书写触控延迟≤15ms</w:t>
            </w:r>
          </w:p>
          <w:p>
            <w:pPr>
              <w:numPr>
                <w:ilvl w:val="0"/>
                <w:numId w:val="0"/>
              </w:numPr>
              <w:spacing w:line="360" w:lineRule="auto"/>
              <w:jc w:val="left"/>
              <w:rPr>
                <w:rFonts w:hint="eastAsia" w:ascii="宋体" w:hAnsi="宋体" w:eastAsia="宋体" w:cs="宋体"/>
                <w:b/>
                <w:bCs/>
                <w:kern w:val="2"/>
                <w:sz w:val="21"/>
                <w:szCs w:val="21"/>
                <w:lang w:val="en-US" w:eastAsia="zh-CN" w:bidi="ar-SA"/>
              </w:rPr>
            </w:pPr>
            <w:r>
              <w:rPr>
                <w:rFonts w:hint="eastAsia" w:ascii="宋体" w:hAnsi="宋体" w:eastAsia="宋体" w:cs="宋体"/>
                <w:kern w:val="2"/>
                <w:sz w:val="21"/>
                <w:szCs w:val="21"/>
                <w:lang w:val="en-US" w:eastAsia="zh-CN" w:bidi="ar-SA"/>
              </w:rPr>
              <w:t>★5、整机支持提笔书写，在Windows系统下可实现无需点击任意功能入口，当检测到红外笔笔尖接触屏幕时，自动进入书写模式。</w:t>
            </w:r>
            <w:r>
              <w:rPr>
                <w:rFonts w:hint="eastAsia" w:ascii="宋体" w:hAnsi="宋体" w:eastAsia="宋体" w:cs="宋体"/>
                <w:b/>
                <w:bCs/>
                <w:kern w:val="2"/>
                <w:sz w:val="21"/>
                <w:szCs w:val="21"/>
                <w:lang w:val="en-US" w:eastAsia="zh-CN" w:bidi="ar-SA"/>
              </w:rPr>
              <w:t>（投标时须提供国家认可的第三方检测机构出具的关于该功能检测报告复印件）</w:t>
            </w:r>
          </w:p>
          <w:p>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6、支持智能板擦功能，系统可根据触控物体的形状自动识别出实物板擦，可擦除电子白板中的内容，无需依赖外部电子设备。</w:t>
            </w:r>
          </w:p>
          <w:p>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7、支持Windows 7、Windows 8、Windows 10、Windows 11、Linux、Mac Os、UOS和麒麟系统外置电脑操作系统接入时，无需安装触摸驱动。</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★8、整机触摸支持动态压力感应，支持无任何电子功能的普通书写笔在整机上书写或点压时，整机能感应压力变化，书写或点压过程笔迹呈现不同粗细。</w:t>
            </w:r>
          </w:p>
          <w:p>
            <w:pPr>
              <w:pStyle w:val="6"/>
              <w:widowControl w:val="0"/>
              <w:numPr>
                <w:ilvl w:val="0"/>
                <w:numId w:val="0"/>
              </w:numPr>
              <w:spacing w:line="360" w:lineRule="auto"/>
              <w:jc w:val="lef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四、教学教研设计</w:t>
            </w:r>
          </w:p>
          <w:p>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备课数据查看：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p>
          <w:p>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集体备课数据详情查看：全校集体备课数据统一汇总，支持按照集体备课记录和教师集备记录两个维度查看集备数据。集体备课记录数据包含集备名称.主备人.学科.年级.章节.稿数.参备老师.评论数.批注数等数据，了解集体备课活动的开展和参与情况。</w:t>
            </w:r>
          </w:p>
          <w:p>
            <w:pPr>
              <w:numPr>
                <w:ilvl w:val="0"/>
                <w:numId w:val="0"/>
              </w:numPr>
              <w:spacing w:line="360" w:lineRule="auto"/>
              <w:jc w:val="left"/>
              <w:rPr>
                <w:rFonts w:hint="eastAsia" w:ascii="宋体" w:hAnsi="宋体" w:eastAsia="宋体" w:cs="宋体"/>
                <w:b/>
                <w:bCs/>
                <w:kern w:val="2"/>
                <w:sz w:val="21"/>
                <w:szCs w:val="21"/>
                <w:lang w:val="en-US" w:eastAsia="zh-CN" w:bidi="ar-SA"/>
              </w:rPr>
            </w:pPr>
            <w:r>
              <w:rPr>
                <w:rFonts w:hint="eastAsia" w:ascii="宋体" w:hAnsi="宋体" w:eastAsia="宋体" w:cs="宋体"/>
                <w:kern w:val="2"/>
                <w:sz w:val="21"/>
                <w:szCs w:val="21"/>
                <w:lang w:val="en-US" w:eastAsia="zh-CN" w:bidi="ar-SA"/>
              </w:rPr>
              <w:t>★3、听课评课数据详情：全校听评课数据统一汇总，数据包含全校本月评课节数，本月评课次数，累计评课节数和累计评课次数，了解听评课教研活动的开展情况。支持按评课人数/评课平均分查看全校排行详细数据。</w:t>
            </w:r>
            <w:r>
              <w:rPr>
                <w:rFonts w:hint="eastAsia" w:ascii="宋体" w:hAnsi="宋体" w:eastAsia="宋体" w:cs="宋体"/>
                <w:b/>
                <w:bCs/>
                <w:kern w:val="2"/>
                <w:sz w:val="21"/>
                <w:szCs w:val="21"/>
                <w:lang w:val="en-US" w:eastAsia="zh-CN" w:bidi="ar-SA"/>
              </w:rPr>
              <w:t>（投标时须提供国家认可的第三方检测机构出具的关于该功能检测报告复印件）</w:t>
            </w:r>
          </w:p>
          <w:p>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4、发起集备：支持选择教案.课件.胶囊资源上传发起集备研讨，支持设置多重访问权限，通过手机号搜索即可邀请外校老师，可用于跨校教研场景。</w:t>
            </w:r>
          </w:p>
          <w:p>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5、进入集备：支持搜索集备名称/老师昵称.或按照学科/学段/年级/教材章节.我参与的/我发起的几个维度进行筛选查看，支持电脑端进入集备页面。</w:t>
            </w:r>
          </w:p>
          <w:p>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6、集备研讨：参备人可通过评论区发表观点，可对他人评论的观点进行点赞，评论消息支持实时提醒，支持图片的上传。</w:t>
            </w:r>
          </w:p>
          <w:p>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7、在线批注：参备人在可在线对教案进行随文式批注，追加批注，回复以及查看实时批注消息。支持对课件进行打点式批注，可通过批注定位研讨内容，完成协同备课。</w:t>
            </w:r>
          </w:p>
          <w:p>
            <w:pPr>
              <w:pStyle w:val="6"/>
              <w:widowControl w:val="0"/>
              <w:numPr>
                <w:ilvl w:val="0"/>
                <w:numId w:val="0"/>
              </w:numPr>
              <w:spacing w:line="360" w:lineRule="auto"/>
              <w:jc w:val="left"/>
              <w:rPr>
                <w:rFonts w:hint="eastAsia" w:ascii="宋体" w:hAnsi="宋体" w:eastAsia="宋体" w:cs="宋体"/>
                <w:kern w:val="2"/>
                <w:sz w:val="21"/>
                <w:szCs w:val="21"/>
                <w:lang w:val="en-US" w:eastAsia="zh-Hans" w:bidi="ar-SA"/>
              </w:rPr>
            </w:pPr>
            <w:r>
              <w:rPr>
                <w:rFonts w:hint="eastAsia" w:ascii="宋体" w:hAnsi="宋体" w:eastAsia="宋体" w:cs="宋体"/>
                <w:kern w:val="2"/>
                <w:sz w:val="21"/>
                <w:szCs w:val="21"/>
                <w:lang w:val="en-US" w:eastAsia="zh-CN" w:bidi="ar-SA"/>
              </w:rPr>
              <w:t>五、</w:t>
            </w:r>
            <w:r>
              <w:rPr>
                <w:rFonts w:hint="eastAsia" w:ascii="宋体" w:hAnsi="宋体" w:eastAsia="宋体" w:cs="宋体"/>
                <w:kern w:val="2"/>
                <w:sz w:val="21"/>
                <w:szCs w:val="21"/>
                <w:lang w:val="en-US" w:eastAsia="zh-Hans" w:bidi="ar-SA"/>
              </w:rPr>
              <w:t>整机屏幕设计</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1、整机采用一体设计，外部无任何可见内部功能模块连接线。整机采用全金属外壳设计，边角采用弧形设计，表面无尖锐边缘或凸起。</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2、整机屏幕边缘采用金属圆角包边防护，整机背板采用金属材质，有效屏蔽内部电路器件辐射；防潮耐盐雾蚀锈，适应多种教学环境。</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tl w:val="0"/>
                <w:lang w:val="en-US" w:eastAsia="zh-CN" w:bidi="ar-SA"/>
              </w:rPr>
              <w:t>★</w:t>
            </w:r>
            <w:r>
              <w:rPr>
                <w:rFonts w:hint="eastAsia" w:ascii="宋体" w:hAnsi="宋体" w:eastAsia="宋体" w:cs="宋体"/>
                <w:kern w:val="2"/>
                <w:sz w:val="21"/>
                <w:szCs w:val="21"/>
                <w:lang w:val="en-US" w:eastAsia="zh-CN" w:bidi="ar-SA"/>
              </w:rPr>
              <w:t>3、整机屏幕采用≥90英寸液晶显示器，采用UHD超高清LED液晶屏，显示比例16:9，分辨率3840×2160，色域覆盖率（NTSC）≥90%，灰度等级≥256级。</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4、整机采用全物理钢化玻璃，有效保护屏幕显示画面，采用防眩光玻璃，屏幕支持防眩光功能，钢化玻璃表面硬度≥9H。</w:t>
            </w:r>
          </w:p>
          <w:p>
            <w:pPr>
              <w:pStyle w:val="6"/>
              <w:widowControl w:val="0"/>
              <w:numPr>
                <w:ilvl w:val="0"/>
                <w:numId w:val="0"/>
              </w:numPr>
              <w:spacing w:line="360" w:lineRule="auto"/>
              <w:jc w:val="left"/>
              <w:rPr>
                <w:rFonts w:hint="eastAsia" w:ascii="宋体" w:hAnsi="宋体" w:eastAsia="宋体" w:cs="宋体"/>
                <w:kern w:val="2"/>
                <w:sz w:val="21"/>
                <w:szCs w:val="21"/>
                <w:rtl w:val="0"/>
                <w:lang w:val="en-US" w:eastAsia="zh-CN" w:bidi="ar-SA"/>
              </w:rPr>
            </w:pPr>
            <w:r>
              <w:rPr>
                <w:rFonts w:hint="eastAsia" w:ascii="宋体" w:hAnsi="宋体" w:eastAsia="宋体" w:cs="宋体"/>
                <w:kern w:val="2"/>
                <w:sz w:val="21"/>
                <w:szCs w:val="21"/>
                <w:lang w:val="en-US" w:eastAsia="zh-CN" w:bidi="ar-SA"/>
              </w:rPr>
              <w:t>5、整机背光系统支持DC调光方式，多级亮度调节，支持白颜色背景下最暗亮度≤100nit，用于提升显示对比度</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tl w:val="0"/>
                <w:lang w:val="en-US" w:eastAsia="zh-CN" w:bidi="ar-SA"/>
              </w:rPr>
              <w:t>★6</w:t>
            </w:r>
            <w:r>
              <w:rPr>
                <w:rFonts w:hint="eastAsia" w:ascii="宋体" w:hAnsi="宋体" w:eastAsia="宋体" w:cs="宋体"/>
                <w:kern w:val="2"/>
                <w:sz w:val="21"/>
                <w:szCs w:val="21"/>
                <w:lang w:val="en-US" w:eastAsia="zh-CN" w:bidi="ar-SA"/>
              </w:rPr>
              <w:t>、整机采用硬件低蓝光背光技术，在源头减少有害蓝光波段能量，蓝光占比（有害蓝光415～455nm能量综合）/（整体蓝光400～500能量综合）≤50%，低蓝光保护显示不偏色、不泛黄。</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7、整机支持支持可自定义图像设置，可对对比度、屏幕色温、图像亮度、亮度范围、色彩空间进行更进一步调节设置。</w:t>
            </w:r>
          </w:p>
          <w:p>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tl w:val="0"/>
                <w:lang w:val="en-US" w:eastAsia="zh-CN" w:bidi="ar-SA"/>
              </w:rPr>
              <w:t>★8</w:t>
            </w:r>
            <w:r>
              <w:rPr>
                <w:rFonts w:hint="eastAsia" w:ascii="宋体" w:hAnsi="宋体" w:eastAsia="宋体" w:cs="宋体"/>
                <w:kern w:val="2"/>
                <w:sz w:val="21"/>
                <w:szCs w:val="21"/>
                <w:lang w:val="en-US" w:eastAsia="zh-CN" w:bidi="ar-SA"/>
              </w:rPr>
              <w:t>、整机支持色彩空间可选，包含标准模式和sRGB模式，在sRGB模式下可做到高色准△E≤1.0。</w:t>
            </w:r>
            <w:r>
              <w:rPr>
                <w:rFonts w:hint="eastAsia" w:ascii="宋体" w:hAnsi="宋体" w:eastAsia="宋体" w:cs="宋体"/>
                <w:b/>
                <w:bCs/>
                <w:kern w:val="2"/>
                <w:sz w:val="21"/>
                <w:szCs w:val="21"/>
                <w:lang w:val="en-US" w:eastAsia="zh-CN" w:bidi="ar-SA"/>
              </w:rPr>
              <w:t>（投标时须提供国家认可的第三方检测机构出具的关于该功能检测报告复印件）</w:t>
            </w:r>
          </w:p>
          <w:p>
            <w:pPr>
              <w:pStyle w:val="6"/>
              <w:widowControl w:val="0"/>
              <w:numPr>
                <w:ilvl w:val="0"/>
                <w:numId w:val="0"/>
              </w:numPr>
              <w:spacing w:line="360" w:lineRule="auto"/>
              <w:jc w:val="lef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六、教学音视频设计</w:t>
            </w:r>
          </w:p>
          <w:p>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1、整机上边框内置非独立式摄像头，采用一体化集成设计，摄像头数量≥4个。</w:t>
            </w:r>
          </w:p>
          <w:p>
            <w:pPr>
              <w:numPr>
                <w:ilvl w:val="0"/>
                <w:numId w:val="0"/>
              </w:numPr>
              <w:spacing w:line="360" w:lineRule="auto"/>
              <w:jc w:val="left"/>
              <w:rPr>
                <w:rFonts w:hint="eastAsia" w:ascii="宋体" w:hAnsi="宋体" w:eastAsia="宋体" w:cs="宋体"/>
                <w:b/>
                <w:bCs/>
                <w:kern w:val="2"/>
                <w:sz w:val="21"/>
                <w:szCs w:val="21"/>
                <w:lang w:val="en-US" w:eastAsia="zh-CN" w:bidi="ar-SA"/>
              </w:rPr>
            </w:pPr>
            <w:r>
              <w:rPr>
                <w:rFonts w:hint="eastAsia" w:ascii="宋体" w:hAnsi="宋体" w:eastAsia="宋体" w:cs="宋体"/>
                <w:kern w:val="2"/>
                <w:sz w:val="21"/>
                <w:szCs w:val="21"/>
                <w:lang w:val="en-US" w:eastAsia="zh-CN" w:bidi="ar-SA"/>
              </w:rPr>
              <w:t>★2、上边框内置非独立式≥3个智能拼接摄像头，视场角≥141度，水平视场角≥139度，支持输出≥8192×2048分辨率的照片和视频，支持画面畸变矫正功能 。</w:t>
            </w:r>
            <w:r>
              <w:rPr>
                <w:rFonts w:hint="eastAsia" w:ascii="宋体" w:hAnsi="宋体" w:eastAsia="宋体" w:cs="宋体"/>
                <w:b/>
                <w:bCs/>
                <w:kern w:val="2"/>
                <w:sz w:val="21"/>
                <w:szCs w:val="21"/>
                <w:lang w:val="en-US" w:eastAsia="zh-CN" w:bidi="ar-SA"/>
              </w:rPr>
              <w:t>（投标时须提供国家认可的第三方检测机构出具的关于该功能检测报告复印件）</w:t>
            </w:r>
          </w:p>
          <w:p>
            <w:pPr>
              <w:numPr>
                <w:ilvl w:val="0"/>
                <w:numId w:val="0"/>
              </w:numPr>
              <w:spacing w:line="360" w:lineRule="auto"/>
              <w:jc w:val="left"/>
              <w:rPr>
                <w:rFonts w:hint="eastAsia" w:ascii="宋体" w:hAnsi="宋体" w:eastAsia="宋体" w:cs="宋体"/>
                <w:b/>
                <w:bCs/>
                <w:kern w:val="2"/>
                <w:sz w:val="21"/>
                <w:szCs w:val="21"/>
                <w:lang w:val="en-US" w:eastAsia="zh-CN" w:bidi="ar-SA"/>
              </w:rPr>
            </w:pPr>
            <w:r>
              <w:rPr>
                <w:rFonts w:hint="eastAsia" w:ascii="宋体" w:hAnsi="宋体" w:eastAsia="宋体" w:cs="宋体"/>
                <w:kern w:val="2"/>
                <w:sz w:val="21"/>
                <w:szCs w:val="21"/>
                <w:lang w:val="en-US" w:eastAsia="zh-CN" w:bidi="ar-SA"/>
              </w:rPr>
              <w:t>★3、整机内置至少三个摄像头，像素值均大于800 万，同时输出至少 3 路视频流，同时支持课堂远程巡课、课堂教学数据采集、本地画面预览（拍照或视频录制）。</w:t>
            </w:r>
            <w:r>
              <w:rPr>
                <w:rFonts w:hint="eastAsia" w:ascii="宋体" w:hAnsi="宋体" w:eastAsia="宋体" w:cs="宋体"/>
                <w:b/>
                <w:bCs/>
                <w:kern w:val="2"/>
                <w:sz w:val="21"/>
                <w:szCs w:val="21"/>
                <w:lang w:val="en-US" w:eastAsia="zh-CN" w:bidi="ar-SA"/>
              </w:rPr>
              <w:t>（投标时须提供国家认可的第三方检测机构出具的关于该功能检测报告复印件）</w:t>
            </w:r>
          </w:p>
          <w:p>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4、具备摄像头工作指示灯，摄像头运行时，有指示灯提示。</w:t>
            </w:r>
          </w:p>
          <w:p>
            <w:pPr>
              <w:numPr>
                <w:ilvl w:val="0"/>
                <w:numId w:val="0"/>
              </w:numPr>
              <w:spacing w:line="360" w:lineRule="auto"/>
              <w:jc w:val="left"/>
              <w:rPr>
                <w:rFonts w:hint="eastAsia" w:ascii="宋体" w:hAnsi="宋体" w:eastAsia="宋体" w:cs="宋体"/>
                <w:b/>
                <w:bCs/>
                <w:kern w:val="2"/>
                <w:sz w:val="21"/>
                <w:szCs w:val="21"/>
                <w:lang w:val="en-US" w:eastAsia="zh-CN" w:bidi="ar-SA"/>
              </w:rPr>
            </w:pPr>
            <w:r>
              <w:rPr>
                <w:rFonts w:hint="eastAsia" w:ascii="宋体" w:hAnsi="宋体" w:eastAsia="宋体" w:cs="宋体"/>
                <w:kern w:val="2"/>
                <w:sz w:val="21"/>
                <w:szCs w:val="21"/>
                <w:lang w:val="en-US" w:eastAsia="zh-CN" w:bidi="ar-SA"/>
              </w:rPr>
              <w:t>★5、整机上边框内置非独立的广角高清摄像头，在距离整机1.7米情况下，且拍摄范围可以覆盖摄像头垂直法线左右距离大于等于4米，可以实现人脸识别。</w:t>
            </w:r>
            <w:r>
              <w:rPr>
                <w:rFonts w:hint="eastAsia" w:ascii="宋体" w:hAnsi="宋体" w:eastAsia="宋体" w:cs="宋体"/>
                <w:b/>
                <w:bCs/>
                <w:kern w:val="2"/>
                <w:sz w:val="21"/>
                <w:szCs w:val="21"/>
                <w:lang w:val="en-US" w:eastAsia="zh-CN" w:bidi="ar-SA"/>
              </w:rPr>
              <w:t>（投标时须提供国家认可的第三方检测机构出具的关于该功能检测报告复印件）</w:t>
            </w:r>
          </w:p>
          <w:p>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6、整机上边框内置非独式广角摄像头和智能拼接摄像头， 均支持 3D 降噪算法和数字宽动态范围成像WDR 技术，支持输出 MJPG、 H.264 视频格式。</w:t>
            </w:r>
          </w:p>
          <w:p>
            <w:pPr>
              <w:numPr>
                <w:ilvl w:val="0"/>
                <w:numId w:val="0"/>
              </w:numPr>
              <w:spacing w:line="360" w:lineRule="auto"/>
              <w:jc w:val="left"/>
              <w:rPr>
                <w:rFonts w:hint="eastAsia" w:ascii="宋体" w:hAnsi="宋体" w:eastAsia="宋体" w:cs="宋体"/>
                <w:b/>
                <w:bCs/>
                <w:kern w:val="2"/>
                <w:sz w:val="21"/>
                <w:szCs w:val="21"/>
                <w:lang w:val="en-US" w:eastAsia="zh-CN" w:bidi="ar-SA"/>
              </w:rPr>
            </w:pPr>
            <w:r>
              <w:rPr>
                <w:rFonts w:hint="eastAsia" w:ascii="宋体" w:hAnsi="宋体" w:eastAsia="宋体" w:cs="宋体"/>
                <w:kern w:val="2"/>
                <w:sz w:val="21"/>
                <w:szCs w:val="21"/>
                <w:lang w:val="en-US" w:eastAsia="zh-CN" w:bidi="ar-SA"/>
              </w:rPr>
              <w:t>★7、整机摄像头支持人脸识别、清点人数、随机抽人；识别所有学生，显示标记，然后随机抽选，同时显示标记不少于60人。</w:t>
            </w:r>
            <w:r>
              <w:rPr>
                <w:rFonts w:hint="eastAsia" w:ascii="宋体" w:hAnsi="宋体" w:eastAsia="宋体" w:cs="宋体"/>
                <w:b/>
                <w:bCs/>
                <w:kern w:val="2"/>
                <w:sz w:val="21"/>
                <w:szCs w:val="21"/>
                <w:lang w:val="en-US" w:eastAsia="zh-CN" w:bidi="ar-SA"/>
              </w:rPr>
              <w:t>（投标时须提供国家认可的第三方检测机构出具的关于该功能检测报告复印件）</w:t>
            </w:r>
          </w:p>
          <w:p>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8、整机可选择高级音效设置，支持在左右声道平衡显示范围中进行更改；中低频段显示调节范围125Hz～1KHz，高频段显示调节范围 2KHz～16KHz，分贝显示-12dB～12dB 调节范围。</w:t>
            </w:r>
          </w:p>
          <w:p>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9、整机扬声器在100%音量下，可做到1米处声压级≥88db，10米处声压级≥79dB。</w:t>
            </w:r>
          </w:p>
          <w:p>
            <w:pPr>
              <w:numPr>
                <w:ilvl w:val="0"/>
                <w:numId w:val="0"/>
              </w:numPr>
              <w:spacing w:line="360" w:lineRule="auto"/>
              <w:jc w:val="left"/>
              <w:rPr>
                <w:rFonts w:hint="eastAsia" w:ascii="宋体" w:hAnsi="宋体" w:eastAsia="宋体" w:cs="宋体"/>
                <w:b/>
                <w:bCs/>
                <w:kern w:val="2"/>
                <w:sz w:val="21"/>
                <w:szCs w:val="21"/>
                <w:lang w:val="en-US" w:eastAsia="zh-CN" w:bidi="ar-SA"/>
              </w:rPr>
            </w:pPr>
            <w:r>
              <w:rPr>
                <w:rFonts w:hint="eastAsia" w:ascii="宋体" w:hAnsi="宋体" w:eastAsia="宋体" w:cs="宋体"/>
                <w:kern w:val="2"/>
                <w:sz w:val="21"/>
                <w:szCs w:val="21"/>
                <w:lang w:val="en-US" w:eastAsia="zh-CN" w:bidi="ar-SA"/>
              </w:rPr>
              <w:t>★10、整机内置2.2声道扬声器，位于设备上边框，顶置朝前发声，前朝向≥10W高音扬声器≥2个，上朝向≥20W中低音扬声器≥2个，额定总功率≥60W。采用缝隙发声技术，喇叭采用槽式开口设计，不大于5.8mm。</w:t>
            </w:r>
            <w:r>
              <w:rPr>
                <w:rFonts w:hint="eastAsia" w:ascii="宋体" w:hAnsi="宋体" w:eastAsia="宋体" w:cs="宋体"/>
                <w:b/>
                <w:bCs/>
                <w:kern w:val="2"/>
                <w:sz w:val="21"/>
                <w:szCs w:val="21"/>
                <w:lang w:val="en-US" w:eastAsia="zh-CN" w:bidi="ar-SA"/>
              </w:rPr>
              <w:t>（投标时须提供国家认可的第三方检测机构出具的关于该功能检测报告复印件）</w:t>
            </w:r>
          </w:p>
          <w:p>
            <w:pPr>
              <w:numPr>
                <w:ilvl w:val="0"/>
                <w:numId w:val="0"/>
              </w:numPr>
              <w:spacing w:line="360" w:lineRule="auto"/>
              <w:jc w:val="left"/>
              <w:rPr>
                <w:rFonts w:hint="eastAsia" w:ascii="宋体" w:hAnsi="宋体" w:eastAsia="宋体" w:cs="宋体"/>
                <w:b/>
                <w:bCs/>
                <w:kern w:val="2"/>
                <w:sz w:val="21"/>
                <w:szCs w:val="21"/>
                <w:lang w:val="en-US" w:eastAsia="zh-CN" w:bidi="ar-SA"/>
              </w:rPr>
            </w:pPr>
            <w:r>
              <w:rPr>
                <w:rFonts w:hint="eastAsia" w:ascii="宋体" w:hAnsi="宋体" w:eastAsia="宋体" w:cs="宋体"/>
                <w:kern w:val="2"/>
                <w:sz w:val="21"/>
                <w:szCs w:val="21"/>
                <w:lang w:val="en-US" w:eastAsia="zh-CN" w:bidi="ar-SA"/>
              </w:rPr>
              <w:t>★11、整机内置非独立外扩展的8阵列麦克风，拾音角度≥180°，可用于对教室环境音频进行采集，拾音距离≥12m。</w:t>
            </w:r>
            <w:r>
              <w:rPr>
                <w:rFonts w:hint="eastAsia" w:ascii="宋体" w:hAnsi="宋体" w:eastAsia="宋体" w:cs="宋体"/>
                <w:b/>
                <w:bCs/>
                <w:kern w:val="2"/>
                <w:sz w:val="21"/>
                <w:szCs w:val="21"/>
                <w:lang w:val="en-US" w:eastAsia="zh-CN" w:bidi="ar-SA"/>
              </w:rPr>
              <w:t>（投标时须提供国家认可的第三方检测机构出具的关于该功能检测报告复印件）</w:t>
            </w:r>
          </w:p>
          <w:p>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12、整机PC端支持主动发现蓝牙外设从而连接（无需整机进入发现模式），支持连接外部蓝牙音箱播放音频。</w:t>
            </w:r>
          </w:p>
          <w:p>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★13、支持标准、听力、观影和AI空间感知音效模式，AI空间感知音效模式可通过内置麦克风采集教室物理环境声音，自动生成符合当前教室物理环境的频段、音量、音效。</w:t>
            </w:r>
            <w:r>
              <w:rPr>
                <w:rFonts w:hint="eastAsia" w:ascii="宋体" w:hAnsi="宋体" w:eastAsia="宋体" w:cs="宋体"/>
                <w:b/>
                <w:bCs/>
                <w:kern w:val="2"/>
                <w:sz w:val="21"/>
                <w:szCs w:val="21"/>
                <w:lang w:val="en-US" w:eastAsia="zh-CN" w:bidi="ar-SA"/>
              </w:rPr>
              <w:t>（投标时须提供国家认可的第三方检测机构出具的关于该功能检测报告复印件）</w:t>
            </w:r>
          </w:p>
          <w:p>
            <w:pPr>
              <w:pStyle w:val="6"/>
              <w:widowControl w:val="0"/>
              <w:numPr>
                <w:ilvl w:val="0"/>
                <w:numId w:val="0"/>
              </w:numPr>
              <w:spacing w:line="360" w:lineRule="auto"/>
              <w:jc w:val="lef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七、教学备份系统设计</w:t>
            </w:r>
          </w:p>
          <w:p>
            <w:pPr>
              <w:numPr>
                <w:ilvl w:val="0"/>
                <w:numId w:val="0"/>
              </w:numPr>
              <w:spacing w:line="360" w:lineRule="auto"/>
              <w:jc w:val="left"/>
              <w:rPr>
                <w:rFonts w:hint="eastAsia" w:ascii="宋体" w:hAnsi="宋体" w:eastAsia="宋体" w:cs="宋体"/>
                <w:b/>
                <w:bCs/>
                <w:kern w:val="2"/>
                <w:sz w:val="21"/>
                <w:szCs w:val="21"/>
                <w:lang w:val="en-US" w:eastAsia="zh-CN" w:bidi="ar-SA"/>
              </w:rPr>
            </w:pPr>
            <w:r>
              <w:rPr>
                <w:rFonts w:hint="eastAsia" w:ascii="宋体" w:hAnsi="宋体" w:eastAsia="宋体" w:cs="宋体"/>
                <w:kern w:val="2"/>
                <w:sz w:val="21"/>
                <w:szCs w:val="21"/>
                <w:lang w:val="en-US" w:eastAsia="zh-CN" w:bidi="ar-SA"/>
              </w:rPr>
              <w:t>★1、嵌入式系统版本不低于Android 13，内存≥4GB，存储空间≥16GB。</w:t>
            </w:r>
            <w:r>
              <w:rPr>
                <w:rFonts w:hint="eastAsia" w:ascii="宋体" w:hAnsi="宋体" w:eastAsia="宋体" w:cs="宋体"/>
                <w:b/>
                <w:bCs/>
                <w:kern w:val="2"/>
                <w:sz w:val="21"/>
                <w:szCs w:val="21"/>
                <w:lang w:val="en-US" w:eastAsia="zh-CN" w:bidi="ar-SA"/>
              </w:rPr>
              <w:t>（投标时须提供国家认可的第三方检测机构出具的关于该功能检测报告复印件）</w:t>
            </w:r>
          </w:p>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2、嵌入式Android操作系统下，白板支持对已经书写的笔迹和形状的颜色进行更换。</w:t>
            </w:r>
          </w:p>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3、在嵌入式系统下使用白板软件时，整机可自行调节屏幕亮度</w:t>
            </w:r>
          </w:p>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4、嵌入式Android操作系统下，互动白板支持不同背景颜色，同时提供学科背景，如：五线谱、信纸、田字格、英文格、篮球和足球场地平面图。</w:t>
            </w:r>
          </w:p>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p>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6、无PC状态下，嵌入式系统内置互动白板支持全局漫游，并能在工具栏中对全局内容进行预览和移动。</w:t>
            </w:r>
          </w:p>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7、无PC状态下，嵌入式Android操作系统下可使用白板书写、WPS软件和网页浏览。</w:t>
            </w:r>
          </w:p>
          <w:p>
            <w:pPr>
              <w:spacing w:line="360" w:lineRule="auto"/>
              <w:jc w:val="lef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八、教学功能设计</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1、支持通过数字账号、微信二维码、硬件密钥方式登录教师个人账号。</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2、移动端支持教师/家长双重身份无缝切换，软件内可直接切换账户类型，无需安装多个APP应用或退出账号重新登录。</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★3、兼容多平台系统，可在PC、Web、安卓、iOS等系统使用，且各终端数据互通，教师可多场景下对学生进行管理与评价。</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4、支持汇总查看校内的班级评价排名，可以列表形式查看班主任、班级学生数、家长数、班级代码等信息。</w:t>
            </w:r>
          </w:p>
          <w:p>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5、三合一电源按键，同一电源物理按键完成Android系统和Windows系统的开机、节能熄屏、关机操作；关机状态下按按键开机；开机状态下按按键实现节能熄屏/唤醒，长按按键实现关机。</w:t>
            </w:r>
          </w:p>
          <w:p>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6、设备支持通过前置面板物理按键一键启动录屏功能，可将屏幕中显示的课件、音频内容与人声同时录制。</w:t>
            </w:r>
          </w:p>
          <w:p>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整机支持至少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8、整机支持自定义图像设置，可对对比度、屏幕色温、图像亮度、亮度范围、色彩空间调节设置。</w:t>
            </w:r>
          </w:p>
          <w:p>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★9、整机关机状态下，通过长按电源键进入设置界面后，可点击屏幕选择故障检测、系统还原功能，系统还原可单独还原PC系统，单独还原整机系统。</w:t>
            </w:r>
          </w:p>
          <w:p>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10、整机无需外接无线网卡，在Android和Windows系统下可实现Wi-Fi无线上网连接、AP无线热点发射和BT蓝牙连接功能。</w:t>
            </w:r>
          </w:p>
          <w:p>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11、整机支持蓝牙Bluetooth 5.4标准，固件版本号HCI13.0/LMP13.0。</w:t>
            </w:r>
          </w:p>
          <w:p>
            <w:pPr>
              <w:numPr>
                <w:ilvl w:val="0"/>
                <w:numId w:val="0"/>
              </w:numPr>
              <w:spacing w:line="360" w:lineRule="auto"/>
              <w:jc w:val="left"/>
              <w:rPr>
                <w:rFonts w:hint="eastAsia" w:ascii="宋体" w:hAnsi="宋体" w:eastAsia="宋体" w:cs="宋体"/>
                <w:b/>
                <w:bCs/>
                <w:kern w:val="2"/>
                <w:sz w:val="21"/>
                <w:szCs w:val="21"/>
                <w:lang w:val="en-US" w:eastAsia="zh-CN" w:bidi="ar-SA"/>
              </w:rPr>
            </w:pPr>
            <w:r>
              <w:rPr>
                <w:rFonts w:hint="eastAsia" w:ascii="宋体" w:hAnsi="宋体" w:eastAsia="宋体" w:cs="宋体"/>
                <w:kern w:val="2"/>
                <w:sz w:val="21"/>
                <w:szCs w:val="21"/>
                <w:lang w:val="en-US" w:eastAsia="zh-CN" w:bidi="ar-SA"/>
              </w:rPr>
              <w:t>★12、整机支持发出频率为18kHz-22kHz超声波信号，智能手机通过麦克风接收后，智能手机与整机无需在同一局域网内，可实现配对，一键投屏，用户无需手动输入投屏码或扫码获取投屏码。</w:t>
            </w:r>
            <w:r>
              <w:rPr>
                <w:rFonts w:hint="eastAsia" w:ascii="宋体" w:hAnsi="宋体" w:eastAsia="宋体" w:cs="宋体"/>
                <w:b/>
                <w:bCs/>
                <w:kern w:val="2"/>
                <w:sz w:val="21"/>
                <w:szCs w:val="21"/>
                <w:lang w:val="en-US" w:eastAsia="zh-CN" w:bidi="ar-SA"/>
              </w:rPr>
              <w:t>（投标时须提供国家认可的第三方检测机构出具的关于该功能检测报告复印件）</w:t>
            </w:r>
          </w:p>
          <w:p>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13、整机内置双WiFi6无线网卡，在Android下支持无线设备同时连接数量≥32个，在Windows系统下支持无线设备同时连接≥8个。</w:t>
            </w:r>
          </w:p>
          <w:p>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14、整机设备教学桌面支持教学常用的教学白板软件和文件管理软件软件；教学桌面首页支持自定义桌面应用，支持展示8个应用入口。并提供进入本机所有应用的入口。</w:t>
            </w:r>
          </w:p>
          <w:p>
            <w:pPr>
              <w:pStyle w:val="6"/>
              <w:widowControl w:val="0"/>
              <w:numPr>
                <w:ilvl w:val="0"/>
                <w:numId w:val="0"/>
              </w:numPr>
              <w:spacing w:line="360" w:lineRule="auto"/>
              <w:jc w:val="left"/>
              <w:rPr>
                <w:rFonts w:hint="eastAsia" w:ascii="宋体" w:hAnsi="宋体" w:eastAsia="宋体" w:cs="宋体"/>
                <w:b/>
                <w:bCs/>
                <w:kern w:val="2"/>
                <w:sz w:val="21"/>
                <w:szCs w:val="21"/>
                <w:lang w:val="en-US" w:eastAsia="zh-CN" w:bidi="ar-SA"/>
              </w:rPr>
            </w:pPr>
            <w:r>
              <w:rPr>
                <w:rFonts w:hint="eastAsia" w:ascii="宋体" w:hAnsi="宋体" w:eastAsia="宋体" w:cs="宋体"/>
                <w:kern w:val="2"/>
                <w:sz w:val="21"/>
                <w:szCs w:val="21"/>
                <w:rtl w:val="0"/>
                <w:lang w:val="en-US" w:eastAsia="zh-CN" w:bidi="ar-SA"/>
              </w:rPr>
              <w:t>★</w:t>
            </w:r>
            <w:r>
              <w:rPr>
                <w:rFonts w:hint="eastAsia" w:ascii="宋体" w:hAnsi="宋体" w:eastAsia="宋体" w:cs="宋体"/>
                <w:kern w:val="2"/>
                <w:sz w:val="21"/>
                <w:szCs w:val="21"/>
                <w:lang w:val="en-US" w:eastAsia="zh-CN" w:bidi="ar-SA"/>
              </w:rPr>
              <w:t>15、整机全通道支持纸质护眼模式，可实现画面纹理的实时调整；支持纸质纹理：牛皮纸、素描纸、宣纸、水彩纸、水纹纸；支持透明度调节；支持色温调节。</w:t>
            </w:r>
            <w:r>
              <w:rPr>
                <w:rFonts w:hint="eastAsia" w:ascii="宋体" w:hAnsi="宋体" w:eastAsia="宋体" w:cs="宋体"/>
                <w:b/>
                <w:bCs/>
                <w:kern w:val="2"/>
                <w:sz w:val="21"/>
                <w:szCs w:val="21"/>
                <w:lang w:val="en-US" w:eastAsia="zh-CN" w:bidi="ar-SA"/>
              </w:rPr>
              <w:t>（投标时须提供国家认可的第三方检测机构出具的关于该功能检测报告复印件）</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九、教学备授课软件设计</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（一）白板教学PC端应用</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★1、教学系统为全校教师提供可扩展，易于学校管理，安全可靠的云存储空间，根据每名教师使用时长与教学资料制作频率提供可扩展升级至不小于200G的个人云空间。</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教学系统须为使用方全体教师配备个人账号，形成一体的信息化教学账号体系；根据教师账号信息将教师云空间匹配至对应学校、学科校本资源库。支持通过数字账号、微信二维码、硬件密钥方式登录教师个人账号。</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3、互动教学课件支持定向精准分享：分享者可将互动课件、课件组精准推送至指定接收方账号云空间，接收方可在云空间接收并打开分享课件。</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上传下载一体化云存储：备课时支持将云空间中存储图片、音频、视频等素材插入课件，同时支持将课件中的图片、音频、视频等素材右键上传至云空间。互动教学课件支持开放式云分享：分享者可将互动课件、课件组以公开或加密的 web 链接和二维码形式进行分享，分享链接可设置访问有效期。</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5、语文工具：具备汉字生字卡，直观展示汉字部首、笔画数量，笔画书写支持分步展示和连续展示，教师可一次性生成多个汉字生字卡，同步生成数量不少于 5 个。可以调出可直接书写的田字格、四线三格，书写笔画笔顺指导功能。支持授课助手：同步教学写字的视频、朗读泛读音频、支持手机扫学生作品能够投影大屏幕、手机现场录音支持上传视听、支持连接绘本教学资源及字理教学视频播放、支持笔顺笔画的视频教学播放。</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6、支持软件联网自动静默升级，无需用户手动更新。</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7、课件背景：提供不少于8种以上背景模板供老师选择，持自定义背景。</w:t>
            </w:r>
          </w:p>
          <w:p>
            <w:pPr>
              <w:pStyle w:val="6"/>
              <w:widowControl w:val="0"/>
              <w:numPr>
                <w:ilvl w:val="0"/>
                <w:numId w:val="0"/>
              </w:numPr>
              <w:spacing w:line="360" w:lineRule="auto"/>
              <w:jc w:val="left"/>
              <w:rPr>
                <w:rFonts w:hint="eastAsia" w:ascii="宋体" w:hAnsi="宋体" w:eastAsia="宋体" w:cs="宋体"/>
                <w:b/>
                <w:bCs/>
                <w:kern w:val="2"/>
                <w:sz w:val="21"/>
                <w:szCs w:val="21"/>
                <w:lang w:val="en-US" w:eastAsia="zh-CN" w:bidi="ar-SA"/>
              </w:rPr>
            </w:pPr>
            <w:r>
              <w:rPr>
                <w:rFonts w:hint="eastAsia" w:ascii="宋体" w:hAnsi="宋体" w:eastAsia="宋体" w:cs="宋体"/>
                <w:kern w:val="2"/>
                <w:sz w:val="21"/>
                <w:szCs w:val="21"/>
                <w:lang w:val="en-US" w:eastAsia="zh-CN" w:bidi="ar-SA"/>
              </w:rPr>
              <w:t>★8、AI智能生成课堂活动：具有课堂活动智能填写功能，支持选词填空、判断对错和趣味选择三大课堂活动。输入文本后可以一键解析，自动将文本内容结构化填充至题干和正确选项，完成课堂活动的制作。</w:t>
            </w:r>
            <w:r>
              <w:rPr>
                <w:rFonts w:hint="eastAsia" w:ascii="宋体" w:hAnsi="宋体" w:eastAsia="宋体" w:cs="宋体"/>
                <w:b/>
                <w:bCs/>
                <w:kern w:val="2"/>
                <w:sz w:val="21"/>
                <w:szCs w:val="21"/>
                <w:lang w:val="en-US" w:eastAsia="zh-CN" w:bidi="ar-SA"/>
              </w:rPr>
              <w:t>（投标时须提供国家认可的第三方检测机构出具的关于该功能检测报告复印件）</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9、智能选词填空：支持创建智能选词填空游戏，教师可随意编辑填空题题干以及相应的答案选项，将选项拖到对应题干空白处，系统将自动判别答案是否正确。系统需提供不少于 8 种游戏模板供老师选择，且模板样式支持自定义修改。</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★10、智能配对游戏：支持创建配对游戏，教师可随意将知识点进行配对。当开始配对游戏时，拖动知识点进行配对，系统将自动判断是否正确。系统至少提供7种游戏模版，且模版样式支持自定义修改。</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11、分组竞争游戏：支持创建分组竞争游戏，教师可设置正确项／干扰项，让两组学生开展竞争游戏。系统提供不少于 3 种难度、10种游戏模版选择，且模版样式支持自定义修改。</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★12、数学公式编辑器：支持复杂数学公式输入，提供不少于 20 个数学符号及模板，输出的公式内容支持不同颜色标记及二次编辑。</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13、数学画板功能：</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a)能在白板中插入在线画板，授课时可以一键打开,方便老师配合课件内容进行讲解。</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b)提供不少于 500 个数学画板资源，覆盖小学、初中、高中学段数学学科主要知识点，并按照知识点分类，便于老师查找。</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画板资源互动性强，利于老师讲解抽象知识点，如小学阶段的四边形互相转换资源，可支持点击，动态切换四边形形态；中学阶段的平方差公式资源，可支持图形展示平方差公式计算原理，并可改变数值，重复演示。</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老师创建个人画板，除了点、线、面等基础元素以外，画板还可提供线段中点、椭圆焦点、极坐标方程等数十种数学常用工具，保证老师日常备授课所需。创建完成后，老师可一键将画板插入白板，与课件无缝连接。</w:t>
            </w:r>
          </w:p>
          <w:p>
            <w:pPr>
              <w:pStyle w:val="6"/>
              <w:widowControl w:val="0"/>
              <w:numPr>
                <w:ilvl w:val="0"/>
                <w:numId w:val="0"/>
              </w:numPr>
              <w:spacing w:line="360" w:lineRule="auto"/>
              <w:jc w:val="left"/>
              <w:rPr>
                <w:rFonts w:hint="eastAsia" w:ascii="宋体" w:hAnsi="宋体" w:eastAsia="宋体" w:cs="宋体"/>
                <w:b/>
                <w:bCs/>
                <w:kern w:val="2"/>
                <w:sz w:val="21"/>
                <w:szCs w:val="21"/>
                <w:lang w:val="en-US" w:eastAsia="zh-CN" w:bidi="ar-SA"/>
              </w:rPr>
            </w:pPr>
            <w:r>
              <w:rPr>
                <w:rFonts w:hint="eastAsia" w:ascii="宋体" w:hAnsi="宋体" w:eastAsia="宋体" w:cs="宋体"/>
                <w:kern w:val="2"/>
                <w:sz w:val="21"/>
                <w:szCs w:val="21"/>
                <w:lang w:val="en-US" w:eastAsia="zh-CN" w:bidi="ar-SA"/>
              </w:rPr>
              <w:t>★14、AI智能备课助手：在备课场景中支持搜索课件库课件资源， 具有不少于 15 万份的课件资源， 支持整份课件或按照课件页插入课件 中。支持按照教学环节筛选对应课件页 一键插入课件中， 可导入新课、作者简介。支持按照元素类型思维导图、课堂 活动选取需要的部分补充课件缺失的部分。 支持在查看部分课件的同时查看对应整份课件，了解作者整体教学思路。</w:t>
            </w:r>
            <w:r>
              <w:rPr>
                <w:rFonts w:hint="eastAsia" w:ascii="宋体" w:hAnsi="宋体" w:eastAsia="宋体" w:cs="宋体"/>
                <w:b/>
                <w:bCs/>
                <w:kern w:val="2"/>
                <w:sz w:val="21"/>
                <w:szCs w:val="21"/>
                <w:lang w:val="en-US" w:eastAsia="zh-CN" w:bidi="ar-SA"/>
              </w:rPr>
              <w:t>（投标时须提供国家认可的第三方检测机构出具的关于该功能检测报告复印件）</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15、表格：</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a)具有表格插入功能，并提供5种以上表格样式供老师选择。</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b)表格能自适应，可一键将表格的行、列调整到最合适的大小。</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c)具有表格遮罩功能，可对表格中任意一格添加遮罩，在授课模式下通过点击可消除遮罩，方便老师设置互动活动。</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d)在授课模式下，支持表格克隆功能，可克隆出多个相同表格，</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方便老师请多位同学进行答题互动。</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16、图表：</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a)具有图表插入功能，并提供柱状图、扇形图、折线图 3 种图表形式，且每种形式提供不少于5种样式供选择。</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b)具有图表二维及三维展示形式任意切换，且三维图表支持旋转，方便多角度展示数据变化。</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c)具有图表添加超链接，可连接至课件其他页面、网页、软件自带小工具等地方。</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d)在授课模式下，支持图表克隆功能，可克隆出多个相同图表，</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方便老师进行对比观察。</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★17、古诗词资源：</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a)提供覆盖多学段的古诗词、古文资源，包含原文、翻译、背景介绍、作者介绍、朗诵音频等。</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b)支持用户根据年级、朝代、诗人等进行分类查找，也可直接搜索诗词、古文名称或作者名查找。</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c)提供不少于9种古诗词专用背景模板，老师可贴合古诗词意境选择合适背景进行教学。</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d)每篇古诗词、古文均提供原文及翻译、背景介绍、作者介绍等，同时支持一键跳转打开网页，展示对应的背景或作者介绍。</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e)支持老师备课时对原文进行注释、标重点等操作，方便老师讲解重点字词。</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f)提供原文朗读功能，全部诗词、古文均配备专业朗读配音，且支持老师在备课时对朗读音频进行打点操作，上课时可播放提前选择好的片段。</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18、3D星球模型：提供3D立体星球模型，包括地球、太阳、火星、水星等太阳系行星，支持360°自由旋转、缩放展示；并支持在地球教学工具中，清晰展现地球表面的六大板块、降水分布、气温分布、气候分布、人口分布、表层洋流、陆地自然带、海平面等压线等内容；且支持三维、二维切换展示，方便地理学科教学。</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★19、美术画板：具有美术画板工具，提供铅笔、毛笔、油画笔，可实现模拟调色盘功能，老师可自由选择不同颜色进行混合调色，搭配出任意色彩。</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20、美术工具：具备图形自由创作工具，教师可自由绘制复杂的任意多边图形及曲边图形；教师自主创作的图形可存储至个人云空间便于后续使用。</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（二）白板软件移动端应用</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1、课件预览保留课件对象拖拽移动、克隆复制、置顶、删除等互动功能，并可通过移动端进行思维导图、课堂互动游戏的触控交互操作，并支持显示课件备注内容。</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2、可在移动平台选择是否接收获取的分享课件，接收后课件储存至个人云空间，可在移动平台的互动课件列表预览。</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3、移动平台可对云空间互动课件和课件组移动、删除和重命名，课件及课件组支持批量移动、删除。</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4、移动平台可将课件通过微信、朋友圈、云空间帐号、二维码、公开链接、加密链接等方式进行分享，分享有效期支持自定义。</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★5、移动平台可查看教师个人云空间里所有互动课件列表，并可打开互动课件进行预览，预览时支持上下翻页、页面缩略图预览、页面跳转。</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6、移动平台可以上传手机相册中的照片和视频到资料夹，且能调用系统相机拍摄照片并直接上传。教师可以在备课端选择资源插入课件。</w:t>
            </w:r>
          </w:p>
          <w:p>
            <w:pPr>
              <w:pStyle w:val="6"/>
              <w:widowControl w:val="0"/>
              <w:numPr>
                <w:ilvl w:val="0"/>
                <w:numId w:val="0"/>
              </w:numPr>
              <w:spacing w:line="360" w:lineRule="auto"/>
              <w:jc w:val="left"/>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十、</w:t>
            </w:r>
            <w:r>
              <w:rPr>
                <w:rFonts w:hint="eastAsia" w:hAnsi="宋体" w:cs="宋体"/>
                <w:color w:val="auto"/>
                <w:kern w:val="2"/>
                <w:sz w:val="21"/>
                <w:szCs w:val="21"/>
                <w:lang w:val="en-US" w:eastAsia="zh-CN" w:bidi="ar-SA"/>
              </w:rPr>
              <w:t>集中控制管理系统</w:t>
            </w:r>
          </w:p>
          <w:p>
            <w:pPr>
              <w:pStyle w:val="6"/>
              <w:widowControl w:val="0"/>
              <w:numPr>
                <w:ilvl w:val="0"/>
                <w:numId w:val="0"/>
              </w:numPr>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1、管理平台采用B/S混合云架构设计，无需本地额外部署服务器等设备，即可支持对教学信息化设备运行数据的监测。</w:t>
            </w:r>
          </w:p>
          <w:p>
            <w:pPr>
              <w:pStyle w:val="6"/>
              <w:widowControl w:val="0"/>
              <w:numPr>
                <w:ilvl w:val="0"/>
                <w:numId w:val="0"/>
              </w:numPr>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2、支持在Windows、Linux、Android、IOS等多种操作系统通过网页浏览器登陆操作，提供多种智能身份识别方式：支持通过账号登录、手机扫码登录等方式。</w:t>
            </w:r>
          </w:p>
          <w:p>
            <w:pPr>
              <w:pStyle w:val="6"/>
              <w:widowControl w:val="0"/>
              <w:numPr>
                <w:ilvl w:val="0"/>
                <w:numId w:val="0"/>
              </w:numPr>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3、管理平台提供管理员移动管理平台，免安装并支持Android、IOS等多种移动操作系统，便于远程管理及告警信息通知。</w:t>
            </w:r>
          </w:p>
          <w:p>
            <w:pPr>
              <w:pStyle w:val="6"/>
              <w:widowControl w:val="0"/>
              <w:numPr>
                <w:ilvl w:val="0"/>
                <w:numId w:val="0"/>
              </w:numPr>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4、平台支持对全校智慧教室的教学信息化设备进行集中运维管理和策略部署。</w:t>
            </w:r>
          </w:p>
          <w:p>
            <w:pPr>
              <w:pStyle w:val="6"/>
              <w:widowControl w:val="0"/>
              <w:numPr>
                <w:ilvl w:val="0"/>
                <w:numId w:val="0"/>
              </w:numPr>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5、支持多设备接入，与交互智能教学设备、学生智能终端等教学设备对。</w:t>
            </w:r>
          </w:p>
          <w:p>
            <w:pPr>
              <w:pStyle w:val="6"/>
              <w:widowControl w:val="0"/>
              <w:numPr>
                <w:ilvl w:val="0"/>
                <w:numId w:val="0"/>
              </w:numPr>
              <w:spacing w:line="360" w:lineRule="auto"/>
              <w:jc w:val="left"/>
              <w:rPr>
                <w:rFonts w:hint="eastAsia" w:ascii="宋体" w:hAnsi="宋体" w:eastAsia="宋体" w:cs="宋体"/>
                <w:color w:val="auto"/>
                <w:kern w:val="2"/>
                <w:sz w:val="21"/>
                <w:szCs w:val="21"/>
                <w:lang w:val="en-US" w:eastAsia="zh-CN" w:bidi="ar-SA"/>
              </w:rPr>
            </w:pPr>
            <w:r>
              <w:rPr>
                <w:rFonts w:hint="eastAsia" w:hAnsi="宋体" w:cs="宋体"/>
                <w:color w:val="auto"/>
                <w:kern w:val="2"/>
                <w:sz w:val="21"/>
                <w:szCs w:val="21"/>
                <w:lang w:val="en-US" w:eastAsia="zh-CN" w:bidi="ar-SA"/>
              </w:rPr>
              <w:t>6</w:t>
            </w:r>
            <w:r>
              <w:rPr>
                <w:rFonts w:hint="eastAsia" w:ascii="宋体" w:hAnsi="宋体" w:eastAsia="宋体" w:cs="宋体"/>
                <w:color w:val="auto"/>
                <w:kern w:val="2"/>
                <w:sz w:val="21"/>
                <w:szCs w:val="21"/>
                <w:lang w:val="en-US" w:eastAsia="zh-CN" w:bidi="ar-SA"/>
              </w:rPr>
              <w:t>、管理平台为学校提供专属识别代码，可支持交互智能设备在广域网环境下，输入专属代码接入管理平台即可在通过管理平台可开启或关闭指定交互智能设备的任意磁盘分区数据还原（冰点）保护。</w:t>
            </w:r>
          </w:p>
          <w:p>
            <w:pPr>
              <w:pStyle w:val="6"/>
              <w:widowControl w:val="0"/>
              <w:numPr>
                <w:ilvl w:val="0"/>
                <w:numId w:val="0"/>
              </w:numPr>
              <w:spacing w:line="360" w:lineRule="auto"/>
              <w:jc w:val="left"/>
              <w:rPr>
                <w:rFonts w:hint="eastAsia" w:ascii="宋体" w:hAnsi="宋体" w:eastAsia="宋体" w:cs="宋体"/>
                <w:color w:val="auto"/>
                <w:kern w:val="2"/>
                <w:sz w:val="21"/>
                <w:szCs w:val="21"/>
                <w:lang w:val="en-US" w:eastAsia="zh-CN" w:bidi="ar-SA"/>
              </w:rPr>
            </w:pPr>
            <w:r>
              <w:rPr>
                <w:rFonts w:hint="eastAsia" w:hAnsi="宋体" w:cs="宋体"/>
                <w:color w:val="auto"/>
                <w:kern w:val="2"/>
                <w:sz w:val="21"/>
                <w:szCs w:val="21"/>
                <w:lang w:val="en-US" w:eastAsia="zh-CN" w:bidi="ar-SA"/>
              </w:rPr>
              <w:t>7</w:t>
            </w:r>
            <w:r>
              <w:rPr>
                <w:rFonts w:hint="eastAsia" w:ascii="宋体" w:hAnsi="宋体" w:eastAsia="宋体" w:cs="宋体"/>
                <w:color w:val="auto"/>
                <w:kern w:val="2"/>
                <w:sz w:val="21"/>
                <w:szCs w:val="21"/>
                <w:lang w:val="en-US" w:eastAsia="zh-CN" w:bidi="ar-SA"/>
              </w:rPr>
              <w:t>、管理平台实时监控已连接的交互智能设备状态，支持多台设备的略缩预览和单设备全屏查看；可远程监控交互智能设备开关机状态、CPU温度、CPU使用率、硬盘空间、硬盘已使用状况、内存容量、内存使用率、管理软件版本、设备ID。</w:t>
            </w:r>
          </w:p>
          <w:p>
            <w:pPr>
              <w:pStyle w:val="6"/>
              <w:widowControl w:val="0"/>
              <w:numPr>
                <w:ilvl w:val="0"/>
                <w:numId w:val="0"/>
              </w:numPr>
              <w:spacing w:line="360" w:lineRule="auto"/>
              <w:jc w:val="left"/>
              <w:rPr>
                <w:rFonts w:hint="eastAsia" w:ascii="宋体" w:hAnsi="宋体" w:eastAsia="宋体" w:cs="宋体"/>
                <w:color w:val="auto"/>
                <w:kern w:val="2"/>
                <w:sz w:val="21"/>
                <w:szCs w:val="21"/>
                <w:lang w:val="en-US" w:eastAsia="zh-CN" w:bidi="ar-SA"/>
              </w:rPr>
            </w:pPr>
            <w:r>
              <w:rPr>
                <w:rFonts w:hint="eastAsia" w:hAnsi="宋体" w:cs="宋体"/>
                <w:color w:val="auto"/>
                <w:kern w:val="2"/>
                <w:sz w:val="21"/>
                <w:szCs w:val="21"/>
                <w:lang w:val="en-US" w:eastAsia="zh-CN" w:bidi="ar-SA"/>
              </w:rPr>
              <w:t>8</w:t>
            </w:r>
            <w:r>
              <w:rPr>
                <w:rFonts w:hint="eastAsia" w:ascii="宋体" w:hAnsi="宋体" w:eastAsia="宋体" w:cs="宋体"/>
                <w:color w:val="auto"/>
                <w:kern w:val="2"/>
                <w:sz w:val="21"/>
                <w:szCs w:val="21"/>
                <w:lang w:val="en-US" w:eastAsia="zh-CN" w:bidi="ar-SA"/>
              </w:rPr>
              <w:t>、支持不少于 10 台设备的略缩预览。</w:t>
            </w:r>
          </w:p>
          <w:p>
            <w:pPr>
              <w:pStyle w:val="6"/>
              <w:widowControl w:val="0"/>
              <w:numPr>
                <w:ilvl w:val="0"/>
                <w:numId w:val="0"/>
              </w:numPr>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9、管理平台实时显示交互智能设备异常的告警提示，并同步将异常信息推送至管理员移动端工作平台。</w:t>
            </w:r>
          </w:p>
          <w:p>
            <w:pPr>
              <w:pStyle w:val="6"/>
              <w:widowControl w:val="0"/>
              <w:numPr>
                <w:ilvl w:val="0"/>
                <w:numId w:val="0"/>
              </w:numPr>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10、管理平台根据设备日常运行 状况综合生成设备健康值， 可查看设备健康值排名并进 行正序、反序排列。</w:t>
            </w:r>
          </w:p>
          <w:p>
            <w:pPr>
              <w:pStyle w:val="6"/>
              <w:widowControl w:val="0"/>
              <w:numPr>
                <w:ilvl w:val="0"/>
                <w:numId w:val="0"/>
              </w:numPr>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11、管理平台支持多路音视频直播，支持视频直播、桌面直播、桌面+视频直播等直播形式，直播过程中默认显示班级列表，点击查看班级摄像头，可以切换为各班级摄像头画面。</w:t>
            </w:r>
          </w:p>
          <w:p>
            <w:pPr>
              <w:pStyle w:val="6"/>
              <w:widowControl w:val="0"/>
              <w:numPr>
                <w:ilvl w:val="0"/>
                <w:numId w:val="0"/>
              </w:numPr>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r>
              <w:rPr>
                <w:rFonts w:hint="eastAsia" w:hAnsi="宋体"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、管理平台可远程对运行状态 下的交互智能设备批量进行本地系统启动盘的冻结、解冻（冰点保护）。冻结的设备重启后会自动还原到冻结前 的状态，即本地系统启动盘 的数据及系统更改会自动恢复至冻结前状态。</w:t>
            </w:r>
          </w:p>
          <w:p>
            <w:pPr>
              <w:pStyle w:val="6"/>
              <w:widowControl w:val="0"/>
              <w:numPr>
                <w:ilvl w:val="0"/>
                <w:numId w:val="0"/>
              </w:numPr>
              <w:spacing w:line="360" w:lineRule="auto"/>
              <w:jc w:val="left"/>
              <w:rPr>
                <w:rFonts w:hint="eastAsia" w:ascii="宋体" w:hAnsi="宋体" w:eastAsia="宋体" w:cs="宋体"/>
                <w:color w:val="auto"/>
                <w:kern w:val="2"/>
                <w:sz w:val="21"/>
                <w:szCs w:val="21"/>
                <w:lang w:val="en-US" w:eastAsia="zh-CN" w:bidi="ar-SA"/>
              </w:rPr>
            </w:pPr>
            <w:r>
              <w:rPr>
                <w:rFonts w:hint="eastAsia" w:hAnsi="宋体" w:cs="宋体"/>
                <w:color w:val="auto"/>
                <w:kern w:val="2"/>
                <w:sz w:val="21"/>
                <w:szCs w:val="21"/>
                <w:lang w:val="en-US" w:eastAsia="zh-CN" w:bidi="ar-SA"/>
              </w:rPr>
              <w:t>13</w:t>
            </w:r>
            <w:r>
              <w:rPr>
                <w:rFonts w:hint="eastAsia" w:ascii="宋体" w:hAnsi="宋体" w:eastAsia="宋体" w:cs="宋体"/>
                <w:color w:val="auto"/>
                <w:kern w:val="2"/>
                <w:sz w:val="21"/>
                <w:szCs w:val="21"/>
                <w:lang w:val="en-US" w:eastAsia="zh-CN" w:bidi="ar-SA"/>
              </w:rPr>
              <w:t>、管理平台可实时监控开启冰点保护设备数量、安装冰点保护设备数量、磁盘冰冻状态等，并提示冰点风险，方便用户管理一体机系统环境</w:t>
            </w:r>
          </w:p>
          <w:p>
            <w:pPr>
              <w:pStyle w:val="6"/>
              <w:widowControl w:val="0"/>
              <w:numPr>
                <w:ilvl w:val="0"/>
                <w:numId w:val="0"/>
              </w:numPr>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管理平台可开启或关闭指定交互智能设备的任意磁盘分区数据还原（冰点）保护。</w:t>
            </w:r>
          </w:p>
          <w:p>
            <w:pPr>
              <w:pStyle w:val="6"/>
              <w:widowControl w:val="0"/>
              <w:numPr>
                <w:ilvl w:val="0"/>
                <w:numId w:val="0"/>
              </w:numPr>
              <w:spacing w:line="360" w:lineRule="auto"/>
              <w:jc w:val="left"/>
              <w:rPr>
                <w:rFonts w:hint="eastAsia" w:ascii="宋体" w:hAnsi="宋体" w:eastAsia="宋体" w:cs="宋体"/>
                <w:color w:val="auto"/>
                <w:kern w:val="2"/>
                <w:sz w:val="21"/>
                <w:szCs w:val="21"/>
                <w:lang w:val="en-US" w:eastAsia="zh-CN" w:bidi="ar-SA"/>
              </w:rPr>
            </w:pPr>
            <w:r>
              <w:rPr>
                <w:rFonts w:hint="eastAsia" w:hAnsi="宋体" w:cs="宋体"/>
                <w:color w:val="auto"/>
                <w:kern w:val="2"/>
                <w:sz w:val="21"/>
                <w:szCs w:val="21"/>
                <w:lang w:val="en-US" w:eastAsia="zh-CN" w:bidi="ar-SA"/>
              </w:rPr>
              <w:t>14</w:t>
            </w:r>
            <w:r>
              <w:rPr>
                <w:rFonts w:hint="eastAsia" w:ascii="宋体" w:hAnsi="宋体" w:eastAsia="宋体" w:cs="宋体"/>
                <w:color w:val="auto"/>
                <w:kern w:val="2"/>
                <w:sz w:val="21"/>
                <w:szCs w:val="21"/>
                <w:lang w:val="en-US" w:eastAsia="zh-CN" w:bidi="ar-SA"/>
              </w:rPr>
              <w:t>、管理平台可随时查看所有弹窗拦截的设备数和历史拦截的条数。</w:t>
            </w:r>
          </w:p>
          <w:p>
            <w:pPr>
              <w:pStyle w:val="6"/>
              <w:widowControl w:val="0"/>
              <w:numPr>
                <w:ilvl w:val="0"/>
                <w:numId w:val="0"/>
              </w:numPr>
              <w:spacing w:line="360" w:lineRule="auto"/>
              <w:jc w:val="left"/>
              <w:rPr>
                <w:rFonts w:hint="eastAsia" w:ascii="宋体" w:hAnsi="宋体" w:eastAsia="宋体" w:cs="宋体"/>
                <w:color w:val="auto"/>
                <w:kern w:val="2"/>
                <w:sz w:val="21"/>
                <w:szCs w:val="21"/>
                <w:lang w:val="en-US" w:eastAsia="zh-CN" w:bidi="ar-SA"/>
              </w:rPr>
            </w:pPr>
            <w:r>
              <w:rPr>
                <w:rFonts w:hint="eastAsia" w:hAnsi="宋体" w:cs="宋体"/>
                <w:color w:val="auto"/>
                <w:kern w:val="2"/>
                <w:sz w:val="21"/>
                <w:szCs w:val="21"/>
                <w:lang w:val="en-US" w:eastAsia="zh-CN" w:bidi="ar-SA"/>
              </w:rPr>
              <w:t>15、</w:t>
            </w:r>
            <w:r>
              <w:rPr>
                <w:rFonts w:hint="eastAsia" w:ascii="宋体" w:hAnsi="宋体" w:eastAsia="宋体" w:cs="宋体"/>
                <w:color w:val="auto"/>
                <w:kern w:val="2"/>
                <w:sz w:val="21"/>
                <w:szCs w:val="21"/>
                <w:lang w:val="en-US" w:eastAsia="zh-CN" w:bidi="ar-SA"/>
              </w:rPr>
              <w:t>管理平台可开启或关闭全校所有设备的弹窗拦截功能。</w:t>
            </w:r>
          </w:p>
          <w:p>
            <w:pPr>
              <w:pStyle w:val="6"/>
              <w:widowControl w:val="0"/>
              <w:numPr>
                <w:ilvl w:val="0"/>
                <w:numId w:val="0"/>
              </w:numPr>
              <w:spacing w:line="360" w:lineRule="auto"/>
              <w:jc w:val="left"/>
              <w:rPr>
                <w:rFonts w:hint="eastAsia" w:ascii="宋体" w:hAnsi="宋体" w:eastAsia="宋体" w:cs="宋体"/>
                <w:color w:val="auto"/>
                <w:kern w:val="2"/>
                <w:sz w:val="21"/>
                <w:szCs w:val="21"/>
                <w:lang w:val="en-US" w:eastAsia="zh-CN" w:bidi="ar-SA"/>
              </w:rPr>
            </w:pPr>
            <w:r>
              <w:rPr>
                <w:rFonts w:hint="eastAsia" w:hAnsi="宋体" w:cs="宋体"/>
                <w:color w:val="auto"/>
                <w:kern w:val="2"/>
                <w:sz w:val="21"/>
                <w:szCs w:val="21"/>
                <w:lang w:val="en-US" w:eastAsia="zh-CN" w:bidi="ar-SA"/>
              </w:rPr>
              <w:t>16</w:t>
            </w:r>
            <w:r>
              <w:rPr>
                <w:rFonts w:hint="eastAsia" w:ascii="宋体" w:hAnsi="宋体" w:eastAsia="宋体" w:cs="宋体"/>
                <w:color w:val="auto"/>
                <w:kern w:val="2"/>
                <w:sz w:val="21"/>
                <w:szCs w:val="21"/>
                <w:lang w:val="en-US" w:eastAsia="zh-CN" w:bidi="ar-SA"/>
              </w:rPr>
              <w:t>、管理平台可远程批量拦截弹窗，适用于所有关联本学校的交互智能设备。</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hAnsi="宋体" w:cs="宋体"/>
                <w:kern w:val="2"/>
                <w:sz w:val="21"/>
                <w:szCs w:val="21"/>
                <w:lang w:val="en-US" w:eastAsia="zh-CN" w:bidi="ar-SA"/>
              </w:rPr>
              <w:t>十一、</w:t>
            </w:r>
            <w:r>
              <w:rPr>
                <w:rFonts w:hint="eastAsia" w:ascii="宋体" w:hAnsi="宋体" w:eastAsia="宋体" w:cs="宋体"/>
                <w:kern w:val="2"/>
                <w:sz w:val="21"/>
                <w:szCs w:val="21"/>
                <w:lang w:val="en-US" w:eastAsia="zh-CN" w:bidi="ar-SA"/>
              </w:rPr>
              <w:t>产品售后保障服务</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1、全国24小时免费400电话保修、二维码扫描保修、区域化驻地技术工程师专线保修。</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2、微信售后报修服务：快速输入相关问题及所在区域进行在线保修，贴心服务人员实时在线提供客服专线报修，更好更快的解决售后故障问题带来的使用不便。</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3、微信问题查询服务：提供八大模块的问题查询及解决方案，现场完成简单故障的快速修复指导。</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十</w:t>
            </w:r>
            <w:r>
              <w:rPr>
                <w:rFonts w:hint="eastAsia" w:hAnsi="宋体" w:cs="宋体"/>
                <w:kern w:val="2"/>
                <w:sz w:val="21"/>
                <w:szCs w:val="21"/>
                <w:lang w:val="en-US" w:eastAsia="zh-CN" w:bidi="ar-SA"/>
              </w:rPr>
              <w:t>二</w:t>
            </w:r>
            <w:r>
              <w:rPr>
                <w:rFonts w:hint="eastAsia" w:ascii="宋体" w:hAnsi="宋体" w:eastAsia="宋体" w:cs="宋体"/>
                <w:kern w:val="2"/>
                <w:sz w:val="21"/>
                <w:szCs w:val="21"/>
                <w:lang w:val="en-US" w:eastAsia="zh-CN" w:bidi="ar-SA"/>
              </w:rPr>
              <w:t>、其他要求</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1、为确保货物质量及原厂品质，中标供应商在正式供货时必须提供生产厂家针对此项目的售后服务保证原件、供货证明原件，否则采购方将不予验收通过。</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2、打“★”号条款为重要技术参数，投标人必须满足否则中标无效。</w:t>
            </w:r>
          </w:p>
        </w:tc>
        <w:tc>
          <w:tcPr>
            <w:tcW w:w="780" w:type="dxa"/>
            <w:noWrap w:val="0"/>
            <w:vAlign w:val="center"/>
          </w:tcPr>
          <w:p>
            <w:pPr>
              <w:adjustRightInd w:val="0"/>
              <w:jc w:val="center"/>
              <w:rPr>
                <w:rFonts w:hint="default" w:ascii="宋体" w:hAnsi="宋体" w:eastAsia="宋体"/>
                <w:szCs w:val="21"/>
                <w:lang w:val="en-US" w:eastAsia="zh-CN"/>
              </w:rPr>
            </w:pPr>
            <w:r>
              <w:rPr>
                <w:rFonts w:hint="eastAsia" w:ascii="宋体" w:hAnsi="宋体"/>
                <w:szCs w:val="21"/>
                <w:lang w:val="en-US" w:eastAsia="zh-CN"/>
              </w:rPr>
              <w:t>26000</w:t>
            </w:r>
          </w:p>
        </w:tc>
        <w:tc>
          <w:tcPr>
            <w:tcW w:w="540" w:type="dxa"/>
            <w:noWrap w:val="0"/>
            <w:vAlign w:val="center"/>
          </w:tcPr>
          <w:p>
            <w:pPr>
              <w:adjustRightInd w:val="0"/>
              <w:jc w:val="center"/>
              <w:rPr>
                <w:rFonts w:hint="default" w:ascii="宋体" w:hAnsi="宋体" w:eastAsia="宋体"/>
                <w:szCs w:val="21"/>
                <w:lang w:val="en-US" w:eastAsia="zh-CN"/>
              </w:rPr>
            </w:pPr>
            <w:r>
              <w:rPr>
                <w:rFonts w:hint="eastAsia" w:ascii="宋体" w:hAnsi="宋体"/>
                <w:szCs w:val="21"/>
                <w:lang w:val="en-US" w:eastAsia="zh-CN"/>
              </w:rPr>
              <w:t>22</w:t>
            </w:r>
          </w:p>
        </w:tc>
        <w:tc>
          <w:tcPr>
            <w:tcW w:w="905" w:type="dxa"/>
            <w:noWrap w:val="0"/>
            <w:vAlign w:val="center"/>
          </w:tcPr>
          <w:p>
            <w:pPr>
              <w:adjustRightInd w:val="0"/>
              <w:jc w:val="center"/>
              <w:rPr>
                <w:rFonts w:hint="default" w:ascii="宋体" w:hAnsi="宋体" w:eastAsia="宋体"/>
                <w:szCs w:val="21"/>
                <w:lang w:val="en-US" w:eastAsia="zh-CN"/>
              </w:rPr>
            </w:pPr>
            <w:r>
              <w:rPr>
                <w:rFonts w:hint="eastAsia" w:ascii="宋体" w:hAnsi="宋体"/>
                <w:szCs w:val="21"/>
                <w:lang w:val="en-US" w:eastAsia="zh-CN"/>
              </w:rPr>
              <w:t>572000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238" w:hRule="atLeast"/>
        </w:trPr>
        <w:tc>
          <w:tcPr>
            <w:tcW w:w="596" w:type="dxa"/>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720" w:type="dxa"/>
            <w:shd w:val="clear" w:color="auto" w:fill="auto"/>
            <w:vAlign w:val="center"/>
          </w:tcPr>
          <w:p>
            <w:pPr>
              <w:jc w:val="center"/>
              <w:rPr>
                <w:rFonts w:hint="eastAsia" w:ascii="宋体" w:hAnsi="宋体" w:cs="宋体"/>
                <w:szCs w:val="21"/>
                <w:lang w:val="en-US" w:eastAsia="zh-CN"/>
              </w:rPr>
            </w:pPr>
            <w:r>
              <w:rPr>
                <w:rFonts w:hint="eastAsia" w:ascii="宋体" w:hAnsi="宋体" w:cs="宋体"/>
                <w:szCs w:val="21"/>
                <w:lang w:val="en-US" w:eastAsia="zh-CN"/>
              </w:rPr>
              <w:t>组合推拉黑板</w:t>
            </w:r>
          </w:p>
        </w:tc>
        <w:tc>
          <w:tcPr>
            <w:tcW w:w="770" w:type="dxa"/>
            <w:shd w:val="clear" w:color="auto" w:fill="auto"/>
            <w:vAlign w:val="center"/>
          </w:tcPr>
          <w:p>
            <w:pPr>
              <w:jc w:val="center"/>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蓝贝思特</w:t>
            </w:r>
            <w:r>
              <w:rPr>
                <w:rFonts w:hint="eastAsia" w:ascii="宋体" w:hAnsi="宋体" w:cs="宋体"/>
                <w:kern w:val="2"/>
                <w:sz w:val="21"/>
                <w:szCs w:val="21"/>
                <w:lang w:val="en-US" w:eastAsia="zh-CN" w:bidi="ar-SA"/>
              </w:rPr>
              <w:t>TY11A</w:t>
            </w:r>
          </w:p>
        </w:tc>
        <w:tc>
          <w:tcPr>
            <w:tcW w:w="6350" w:type="dxa"/>
            <w:gridSpan w:val="2"/>
            <w:shd w:val="clear" w:color="auto" w:fill="auto"/>
            <w:vAlign w:val="center"/>
          </w:tcPr>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结构：推拉板由四块书写板及铝合金边框组装而成，书写板分内外双层结构，内层为两块固定书写板与液晶一体机正面平齐，外层为两块滑动书写板，滑动板配装刻有黑板品牌LOGO标识的挂锁，开闭自如确保液晶一体机的安全管理。</w:t>
            </w:r>
          </w:p>
          <w:p>
            <w:pPr>
              <w:numPr>
                <w:ilvl w:val="0"/>
                <w:numId w:val="0"/>
              </w:numPr>
              <w:spacing w:line="360" w:lineRule="auto"/>
              <w:ind w:left="0" w:leftChars="0" w:firstLine="0" w:firstLineChars="0"/>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en-US" w:eastAsia="zh-CN" w:bidi="ar-SA"/>
              </w:rPr>
              <w:t>2、基本尺寸：≥4800mm×1405mm，可根据所配电子产品适当调整，确保与一体机的有效配套。</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3、书写板面：环保教学专用彩色涂层钢板，浅米黄色，厚度≥0.3mm，硬度≥4H，板面可吸附磁针、磁片，书写面光滑、平整，颜色均匀，坚固耐用、哑光，投影可视效果佳，有效地保护了师生的视力健康。</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4、内芯材料：高强度、吸音、聚苯乙烯泡沫板，采用国际适用工艺，书写无吱咔声，改善书写手感。</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5、背板：采用优质防锈热镀锌钢板，厚度≥0.25mm，流水线一次成型，间隔</w:t>
            </w:r>
            <w:r>
              <w:rPr>
                <w:rFonts w:hint="eastAsia" w:ascii="宋体" w:hAnsi="宋体" w:cs="宋体"/>
                <w:kern w:val="2"/>
                <w:sz w:val="21"/>
                <w:szCs w:val="21"/>
                <w:lang w:val="en-US" w:eastAsia="zh-CN" w:bidi="ar-SA"/>
              </w:rPr>
              <w:t>约</w:t>
            </w:r>
            <w:r>
              <w:rPr>
                <w:rFonts w:hint="eastAsia" w:ascii="宋体" w:hAnsi="宋体" w:eastAsia="宋体" w:cs="宋体"/>
                <w:kern w:val="2"/>
                <w:sz w:val="21"/>
                <w:szCs w:val="21"/>
                <w:lang w:val="en-US" w:eastAsia="zh-CN" w:bidi="ar-SA"/>
              </w:rPr>
              <w:t>80mm压有</w:t>
            </w:r>
            <w:r>
              <w:rPr>
                <w:rFonts w:hint="eastAsia" w:ascii="宋体" w:hAnsi="宋体" w:cs="宋体"/>
                <w:kern w:val="2"/>
                <w:sz w:val="21"/>
                <w:szCs w:val="21"/>
                <w:lang w:val="en-US" w:eastAsia="zh-CN" w:bidi="ar-SA"/>
              </w:rPr>
              <w:t>约</w:t>
            </w:r>
            <w:r>
              <w:rPr>
                <w:rFonts w:hint="eastAsia" w:ascii="宋体" w:hAnsi="宋体" w:eastAsia="宋体" w:cs="宋体"/>
                <w:kern w:val="2"/>
                <w:sz w:val="21"/>
                <w:szCs w:val="21"/>
                <w:lang w:val="en-US" w:eastAsia="zh-CN" w:bidi="ar-SA"/>
              </w:rPr>
              <w:t>20mm凹槽加强筋,确保均布承压不低于635N，凹槽造型美观、增加强度，更加耐用。</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6、覆板：采用环保型双组份聚氨酯胶水，自动化流水线覆板作业，牵引、滴胶、刷胶、压固、切割下料一次完成，确保粘接牢固板面平整，甲醛释放量≤0.3mg/L，符合GB/T 28231-2011《书写板安全卫生要求》。</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7、边框：采用工业用高强度铝合金型材，电泳香槟色，模具挤压一次成型，上框规格</w:t>
            </w:r>
            <w:r>
              <w:rPr>
                <w:rFonts w:hint="eastAsia"/>
                <w:lang w:eastAsia="zh-CN"/>
              </w:rPr>
              <w:t>约</w:t>
            </w:r>
            <w:r>
              <w:rPr>
                <w:rFonts w:hint="eastAsia" w:ascii="宋体" w:hAnsi="宋体" w:eastAsia="宋体" w:cs="宋体"/>
                <w:kern w:val="2"/>
                <w:sz w:val="21"/>
                <w:szCs w:val="21"/>
                <w:lang w:val="en-US" w:eastAsia="zh-CN" w:bidi="ar-SA"/>
              </w:rPr>
              <w:t>57mm×78mm，左右框规格</w:t>
            </w:r>
            <w:r>
              <w:rPr>
                <w:rFonts w:hint="eastAsia"/>
                <w:lang w:eastAsia="zh-CN"/>
              </w:rPr>
              <w:t>约</w:t>
            </w:r>
            <w:r>
              <w:rPr>
                <w:rFonts w:hint="eastAsia" w:ascii="宋体" w:hAnsi="宋体" w:eastAsia="宋体" w:cs="宋体"/>
                <w:kern w:val="2"/>
                <w:sz w:val="21"/>
                <w:szCs w:val="21"/>
                <w:lang w:val="en-US" w:eastAsia="zh-CN" w:bidi="ar-SA"/>
              </w:rPr>
              <w:t>29mm×100mm。轨道上置隐藏式平滑轮滑道，结构性解决滑轮受灰尘影响的情况，配有宽度≥30mm的板托，板托与滑动系统分离，与边框一次模具成形，可放置书写笔，方便实用。</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8、包角材料：采用抗老化高强度ABS工程塑料注塑成型。规格：</w:t>
            </w:r>
            <w:r>
              <w:rPr>
                <w:rFonts w:hint="eastAsia"/>
                <w:lang w:eastAsia="zh-CN"/>
              </w:rPr>
              <w:t>约</w:t>
            </w:r>
            <w:r>
              <w:rPr>
                <w:rFonts w:hint="eastAsia" w:ascii="宋体" w:hAnsi="宋体" w:eastAsia="宋体" w:cs="宋体"/>
                <w:kern w:val="2"/>
                <w:sz w:val="21"/>
                <w:szCs w:val="21"/>
                <w:lang w:val="en-US" w:eastAsia="zh-CN" w:bidi="ar-SA"/>
              </w:rPr>
              <w:t>100mm×29mm×29mm，采用双壁成腔流线型设计，≥R25mm的圆角，正面带黑板品牌LOGO标识，无尖角毛刺，符合JY0001-2003《教学仪器设备产品一般质量要求》。</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w:t>
            </w:r>
          </w:p>
          <w:p>
            <w:pPr>
              <w:numPr>
                <w:ilvl w:val="0"/>
                <w:numId w:val="0"/>
              </w:numPr>
              <w:spacing w:line="360" w:lineRule="auto"/>
              <w:ind w:left="0" w:leftChars="0" w:firstLine="0" w:firstLineChars="0"/>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en-US" w:eastAsia="zh-CN" w:bidi="ar-SA"/>
              </w:rPr>
              <w:t>10、限位档：黑板边框内部两侧安装滑动板限位档，防止活动黑板开启时撞击立框</w:t>
            </w:r>
            <w:r>
              <w:rPr>
                <w:rFonts w:hint="eastAsia" w:ascii="宋体" w:hAnsi="宋体" w:eastAsia="宋体" w:cs="宋体"/>
                <w:kern w:val="2"/>
                <w:sz w:val="21"/>
                <w:szCs w:val="21"/>
                <w:lang w:val="zh-CN" w:eastAsia="zh-CN" w:bidi="ar-SA"/>
              </w:rPr>
              <w:t>。</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11、易维护性：一体机上下配同色同质书写板，上下可根据一体机尺寸进行微调，两侧用H型边框与固定板配合，可自由拆装。使一体机不用拆整个黑板即可直接拆装维护，减少麻烦，延长使用寿命。</w:t>
            </w:r>
          </w:p>
          <w:p>
            <w:pPr>
              <w:numPr>
                <w:ilvl w:val="0"/>
                <w:numId w:val="0"/>
              </w:numPr>
              <w:spacing w:line="360" w:lineRule="auto"/>
              <w:ind w:left="0" w:leftChars="0" w:firstLine="0" w:firstLineChars="0"/>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en-US" w:eastAsia="zh-CN" w:bidi="ar-SA"/>
              </w:rPr>
              <w:t>12、</w:t>
            </w:r>
            <w:r>
              <w:rPr>
                <w:rFonts w:hint="eastAsia" w:ascii="宋体" w:hAnsi="宋体" w:eastAsia="宋体" w:cs="宋体"/>
                <w:kern w:val="2"/>
                <w:sz w:val="21"/>
                <w:szCs w:val="21"/>
                <w:lang w:val="zh-CN" w:eastAsia="zh-CN" w:bidi="ar-SA"/>
              </w:rPr>
              <w:t>安全性：一把锁实现对滑动黑板的锁定，钥匙通用，方便实用。</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13、安装：配装自制钢制安装件，规格</w:t>
            </w:r>
            <w:r>
              <w:rPr>
                <w:rFonts w:hint="eastAsia"/>
                <w:lang w:eastAsia="zh-CN"/>
              </w:rPr>
              <w:t>约</w:t>
            </w:r>
            <w:r>
              <w:rPr>
                <w:rFonts w:hint="eastAsia" w:ascii="宋体" w:hAnsi="宋体" w:eastAsia="宋体" w:cs="宋体"/>
                <w:kern w:val="2"/>
                <w:sz w:val="21"/>
                <w:szCs w:val="21"/>
                <w:lang w:val="en-US" w:eastAsia="zh-CN" w:bidi="ar-SA"/>
              </w:rPr>
              <w:t>95*50*60mm，隐形安装、没有外露的挂接件，符合GB 21027-20</w:t>
            </w:r>
            <w:r>
              <w:rPr>
                <w:rFonts w:hint="eastAsia" w:ascii="宋体" w:hAnsi="宋体" w:cs="宋体"/>
                <w:kern w:val="2"/>
                <w:sz w:val="21"/>
                <w:szCs w:val="21"/>
                <w:lang w:val="en-US" w:eastAsia="zh-CN" w:bidi="ar-SA"/>
              </w:rPr>
              <w:t>20</w:t>
            </w:r>
            <w:r>
              <w:rPr>
                <w:rFonts w:hint="eastAsia" w:ascii="宋体" w:hAnsi="宋体" w:eastAsia="宋体" w:cs="宋体"/>
                <w:kern w:val="2"/>
                <w:sz w:val="21"/>
                <w:szCs w:val="21"/>
                <w:lang w:val="en-US" w:eastAsia="zh-CN" w:bidi="ar-SA"/>
              </w:rPr>
              <w:t>《学生用品的安全通用要求》。</w:t>
            </w:r>
          </w:p>
          <w:p>
            <w:pPr>
              <w:numPr>
                <w:ilvl w:val="0"/>
                <w:numId w:val="0"/>
              </w:numPr>
              <w:spacing w:line="360" w:lineRule="auto"/>
              <w:ind w:left="0" w:leftChars="0" w:firstLine="0" w:firstLineChars="0"/>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en-US" w:eastAsia="zh-CN" w:bidi="ar-SA"/>
              </w:rPr>
              <w:t>14、包装：采用环保型材料，符合国家产品包装要求，单套或双套纸箱独立包装，箱体印有制造商名称、LOGO标识、地址、服务热线等信息。</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配套环保耗材：耗材如下：</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新型成膜墨水笔：</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3支（红色蓝色黑色各1支），字迹亮丽清晰，遮盖力高，速干易擦，不留底，不糊板，无尘无毒健康环保，合理的结构设计，实现更换笔头，添加墨水，方便快捷，专用聚酯笔头，渗透性强，书写流畅，颜色多样可随意搭配组合，适用于米黄板、亚光白板、玻璃、专用膜等不吸水板面。</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环保墨水：</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3瓶（红色蓝色黑色各1瓶），环保醇溶、纳米颜料墨水，所用原料均无毒无害，保证师生健康。长期放置无沉淀和分层现象，书写流畅。旋盖滴液嘴设计，可以有效控制加墨量，加墨方便。</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墨水容量每瓶100ml。</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板擦：1个，直径</w:t>
            </w:r>
            <w:r>
              <w:rPr>
                <w:rFonts w:hint="eastAsia" w:ascii="宋体" w:hAnsi="宋体" w:cs="宋体"/>
                <w:kern w:val="2"/>
                <w:sz w:val="21"/>
                <w:szCs w:val="21"/>
                <w:lang w:val="en-US" w:eastAsia="zh-CN" w:bidi="ar-SA"/>
              </w:rPr>
              <w:t>约</w:t>
            </w:r>
            <w:r>
              <w:rPr>
                <w:rFonts w:hint="eastAsia" w:ascii="宋体" w:hAnsi="宋体" w:eastAsia="宋体" w:cs="宋体"/>
                <w:kern w:val="2"/>
                <w:sz w:val="21"/>
                <w:szCs w:val="21"/>
                <w:lang w:val="en-US" w:eastAsia="zh-CN" w:bidi="ar-SA"/>
              </w:rPr>
              <w:t>95mm*厚</w:t>
            </w:r>
            <w:r>
              <w:rPr>
                <w:rFonts w:hint="eastAsia" w:ascii="宋体" w:hAnsi="宋体" w:cs="宋体"/>
                <w:kern w:val="2"/>
                <w:sz w:val="21"/>
                <w:szCs w:val="21"/>
                <w:lang w:val="en-US" w:eastAsia="zh-CN" w:bidi="ar-SA"/>
              </w:rPr>
              <w:t>约</w:t>
            </w:r>
            <w:r>
              <w:rPr>
                <w:rFonts w:hint="eastAsia" w:ascii="宋体" w:hAnsi="宋体" w:eastAsia="宋体" w:cs="宋体"/>
                <w:kern w:val="2"/>
                <w:sz w:val="21"/>
                <w:szCs w:val="21"/>
                <w:lang w:val="en-US" w:eastAsia="zh-CN" w:bidi="ar-SA"/>
              </w:rPr>
              <w:t>30mm，特质EVA板擦，擦除性好，干擦无需用水、不伤板面；</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黑板专用清洁毛巾 1条，尺寸：</w:t>
            </w:r>
            <w:r>
              <w:rPr>
                <w:rFonts w:hint="eastAsia"/>
                <w:lang w:eastAsia="zh-CN"/>
              </w:rPr>
              <w:t>约</w:t>
            </w:r>
            <w:r>
              <w:rPr>
                <w:rFonts w:hint="eastAsia" w:ascii="宋体" w:hAnsi="宋体" w:eastAsia="宋体" w:cs="宋体"/>
                <w:kern w:val="2"/>
                <w:sz w:val="21"/>
                <w:szCs w:val="21"/>
                <w:lang w:val="en-US" w:eastAsia="zh-CN" w:bidi="ar-SA"/>
              </w:rPr>
              <w:t>35cm*35cm，优质材料定做，使用方便，清洗效果好，保护书写板面，脏后清水清洗，拧干即可。</w:t>
            </w:r>
          </w:p>
        </w:tc>
        <w:tc>
          <w:tcPr>
            <w:tcW w:w="780" w:type="dxa"/>
            <w:vAlign w:val="center"/>
          </w:tcPr>
          <w:p>
            <w:pPr>
              <w:adjustRightInd w:val="0"/>
              <w:jc w:val="center"/>
              <w:rPr>
                <w:rFonts w:hint="default" w:ascii="宋体" w:hAnsi="宋体" w:eastAsia="宋体"/>
                <w:szCs w:val="21"/>
                <w:lang w:val="en-US" w:eastAsia="zh-CN"/>
              </w:rPr>
            </w:pPr>
            <w:r>
              <w:rPr>
                <w:rFonts w:hint="eastAsia" w:ascii="宋体" w:hAnsi="宋体"/>
                <w:szCs w:val="21"/>
                <w:lang w:val="en-US" w:eastAsia="zh-CN"/>
              </w:rPr>
              <w:t>1400</w:t>
            </w:r>
          </w:p>
        </w:tc>
        <w:tc>
          <w:tcPr>
            <w:tcW w:w="540" w:type="dxa"/>
            <w:vAlign w:val="center"/>
          </w:tcPr>
          <w:p>
            <w:pPr>
              <w:adjustRightInd w:val="0"/>
              <w:jc w:val="center"/>
              <w:rPr>
                <w:rFonts w:hint="default" w:ascii="宋体" w:hAnsi="宋体" w:eastAsia="宋体"/>
                <w:szCs w:val="21"/>
                <w:lang w:val="en-US" w:eastAsia="zh-CN"/>
              </w:rPr>
            </w:pPr>
            <w:r>
              <w:rPr>
                <w:rFonts w:hint="eastAsia" w:ascii="宋体" w:hAnsi="宋体"/>
                <w:szCs w:val="21"/>
                <w:lang w:val="en-US" w:eastAsia="zh-CN"/>
              </w:rPr>
              <w:t>22</w:t>
            </w:r>
          </w:p>
        </w:tc>
        <w:tc>
          <w:tcPr>
            <w:tcW w:w="905" w:type="dxa"/>
            <w:vAlign w:val="center"/>
          </w:tcPr>
          <w:p>
            <w:pPr>
              <w:adjustRightInd w:val="0"/>
              <w:jc w:val="center"/>
              <w:rPr>
                <w:rFonts w:hint="default" w:ascii="宋体" w:hAnsi="宋体" w:eastAsia="宋体"/>
                <w:szCs w:val="21"/>
                <w:lang w:val="en-US" w:eastAsia="zh-CN"/>
              </w:rPr>
            </w:pPr>
            <w:r>
              <w:rPr>
                <w:rFonts w:hint="eastAsia" w:ascii="宋体" w:hAnsi="宋体"/>
                <w:szCs w:val="21"/>
                <w:lang w:val="en-US" w:eastAsia="zh-CN"/>
              </w:rPr>
              <w:t>30800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238" w:hRule="atLeast"/>
        </w:trPr>
        <w:tc>
          <w:tcPr>
            <w:tcW w:w="596" w:type="dxa"/>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720" w:type="dxa"/>
            <w:shd w:val="clear" w:color="auto" w:fill="auto"/>
            <w:vAlign w:val="center"/>
          </w:tcPr>
          <w:p>
            <w:pPr>
              <w:jc w:val="center"/>
              <w:rPr>
                <w:rFonts w:hint="eastAsia" w:ascii="宋体" w:hAnsi="宋体"/>
                <w:szCs w:val="21"/>
                <w:lang w:val="en-US" w:eastAsia="zh-CN"/>
              </w:rPr>
            </w:pPr>
            <w:r>
              <w:rPr>
                <w:rFonts w:hint="eastAsia" w:ascii="宋体" w:hAnsi="宋体"/>
                <w:szCs w:val="21"/>
                <w:lang w:val="en-US" w:eastAsia="zh-CN"/>
              </w:rPr>
              <w:t>视频展台</w:t>
            </w:r>
          </w:p>
        </w:tc>
        <w:tc>
          <w:tcPr>
            <w:tcW w:w="770" w:type="dxa"/>
            <w:shd w:val="clear" w:color="auto" w:fill="auto"/>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希沃SC06</w:t>
            </w:r>
          </w:p>
        </w:tc>
        <w:tc>
          <w:tcPr>
            <w:tcW w:w="6350" w:type="dxa"/>
            <w:gridSpan w:val="2"/>
            <w:shd w:val="clear" w:color="auto" w:fill="auto"/>
            <w:vAlign w:val="center"/>
          </w:tcPr>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1、整机采用圆弧式设计，无锐角；同时托板采用磁吸吸附式机构，防止托板打落，方便打开及固定，避免机械式锁具故障率高的问题。</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2、采用≥800万像素摄像头；采用 USB五伏电源直接供电，无需额外配置电源适配器，环保无辐射；箱内USB连线采用隐藏式设计，箱内无可见连线且USB口下出，有效防止积尘，且方便布线和返修。</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3、A4大小拍摄幅面，1080P动态视频预览达到30帧/秒；托板及挂墙部分采用金属加强，托板可承重3kg，整机壁挂式安装。</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4、支持展台成像画面实时批注，预设多种笔划粗细及颜色供选择，且支持对展台成像画面联同批注内容进行同步缩放、移动。</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5、展示托板正上方具备LED补光灯，保证展示区域的亮度及展示效果，补光灯开关采用触摸按键设计，同时可通过交互智能平板中的软件直接控制开关。</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6、带自动对焦摄像头；外壳在摄像头部分带保护镜片密封，防止灰尘沾染摄像头，防护等级达到IP4X级别。</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7、具有故障自动检测功能：在调用展台却无法出现镜头采集画面信号时，可自动出现检测链接，并给出导致性原因（如硬件连接、摄像头占用、配套软件版本等问题）。</w:t>
            </w:r>
          </w:p>
        </w:tc>
        <w:tc>
          <w:tcPr>
            <w:tcW w:w="780" w:type="dxa"/>
            <w:vAlign w:val="center"/>
          </w:tcPr>
          <w:p>
            <w:pPr>
              <w:adjustRightInd w:val="0"/>
              <w:jc w:val="center"/>
              <w:rPr>
                <w:rFonts w:hint="default" w:ascii="宋体" w:hAnsi="宋体" w:eastAsia="宋体"/>
                <w:szCs w:val="21"/>
                <w:lang w:val="en-US" w:eastAsia="zh-CN"/>
              </w:rPr>
            </w:pPr>
            <w:r>
              <w:rPr>
                <w:rFonts w:hint="eastAsia" w:ascii="宋体" w:hAnsi="宋体"/>
                <w:szCs w:val="21"/>
                <w:lang w:val="en-US" w:eastAsia="zh-CN"/>
              </w:rPr>
              <w:t>850</w:t>
            </w:r>
          </w:p>
        </w:tc>
        <w:tc>
          <w:tcPr>
            <w:tcW w:w="540" w:type="dxa"/>
            <w:vAlign w:val="center"/>
          </w:tcPr>
          <w:p>
            <w:pPr>
              <w:adjustRightInd w:val="0"/>
              <w:jc w:val="center"/>
              <w:rPr>
                <w:rFonts w:hint="default" w:ascii="宋体" w:hAnsi="宋体" w:eastAsia="宋体"/>
                <w:szCs w:val="21"/>
                <w:lang w:val="en-US" w:eastAsia="zh-CN"/>
              </w:rPr>
            </w:pPr>
            <w:r>
              <w:rPr>
                <w:rFonts w:hint="eastAsia" w:ascii="宋体" w:hAnsi="宋体"/>
                <w:szCs w:val="21"/>
                <w:lang w:val="en-US" w:eastAsia="zh-CN"/>
              </w:rPr>
              <w:t>22</w:t>
            </w:r>
          </w:p>
        </w:tc>
        <w:tc>
          <w:tcPr>
            <w:tcW w:w="905" w:type="dxa"/>
            <w:vAlign w:val="center"/>
          </w:tcPr>
          <w:p>
            <w:pPr>
              <w:adjustRightInd w:val="0"/>
              <w:jc w:val="center"/>
              <w:rPr>
                <w:rFonts w:hint="default" w:ascii="宋体" w:hAnsi="宋体" w:eastAsia="宋体"/>
                <w:szCs w:val="21"/>
                <w:lang w:val="en-US" w:eastAsia="zh-CN"/>
              </w:rPr>
            </w:pPr>
            <w:r>
              <w:rPr>
                <w:rFonts w:hint="eastAsia" w:ascii="宋体" w:hAnsi="宋体"/>
                <w:szCs w:val="21"/>
                <w:lang w:val="en-US" w:eastAsia="zh-CN"/>
              </w:rPr>
              <w:t>18700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238" w:hRule="atLeast"/>
        </w:trPr>
        <w:tc>
          <w:tcPr>
            <w:tcW w:w="596" w:type="dxa"/>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720" w:type="dxa"/>
            <w:shd w:val="clear" w:color="auto" w:fill="auto"/>
            <w:vAlign w:val="center"/>
          </w:tcPr>
          <w:p>
            <w:pPr>
              <w:jc w:val="center"/>
              <w:rPr>
                <w:rFonts w:hint="eastAsia" w:ascii="宋体" w:hAnsi="宋体"/>
                <w:szCs w:val="21"/>
                <w:lang w:val="en-US" w:eastAsia="zh-CN"/>
              </w:rPr>
            </w:pPr>
            <w:r>
              <w:rPr>
                <w:rFonts w:hint="eastAsia" w:ascii="宋体" w:hAnsi="宋体"/>
                <w:szCs w:val="21"/>
                <w:lang w:val="en-US" w:eastAsia="zh-CN"/>
              </w:rPr>
              <w:t>智能笔</w:t>
            </w:r>
          </w:p>
        </w:tc>
        <w:tc>
          <w:tcPr>
            <w:tcW w:w="770" w:type="dxa"/>
            <w:shd w:val="clear" w:color="auto" w:fill="auto"/>
            <w:vAlign w:val="center"/>
          </w:tcPr>
          <w:p>
            <w:pPr>
              <w:jc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希沃SP30</w:t>
            </w:r>
          </w:p>
        </w:tc>
        <w:tc>
          <w:tcPr>
            <w:tcW w:w="6350" w:type="dxa"/>
            <w:gridSpan w:val="2"/>
            <w:shd w:val="clear" w:color="auto" w:fill="auto"/>
            <w:vAlign w:val="center"/>
          </w:tcPr>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1、采用笔型设计，具有三个遥控按键（上下翻页和功能键），既可用于触摸书写，也可用于远程操控。</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2、采用2.4G蓝牙无线连接技术，无线接收距离最大可达15米。</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3、无线接收器采用微型nano设计，整洁美观。</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4、尖采用PE材质，经久耐磨，书写精度≤3mm。</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5、使用单节7号电池驱动，并带自动休眠节电设计。</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6、单接收器设计，支持android、windows双系统响应智能笔的操作指令。（需与交互智能平板为同一品牌）</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7、支持白板课件、PPT、WPS、PDF等多种格式的课件进行远程无线翻页。</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8、功能按键可通过长按/短按实现两种快捷功能，方便教师操作。</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9、支持自定义按键功能，可选功能包括：一键启动任意通道批注、一键启动/退出PPT播放、一键启动其他应用软件等。</w:t>
            </w:r>
          </w:p>
        </w:tc>
        <w:tc>
          <w:tcPr>
            <w:tcW w:w="780" w:type="dxa"/>
            <w:vAlign w:val="center"/>
          </w:tcPr>
          <w:p>
            <w:pPr>
              <w:adjustRightInd w:val="0"/>
              <w:jc w:val="center"/>
              <w:rPr>
                <w:rFonts w:hint="default" w:ascii="宋体" w:hAnsi="宋体" w:eastAsia="宋体"/>
                <w:szCs w:val="21"/>
                <w:lang w:val="en-US" w:eastAsia="zh-CN"/>
              </w:rPr>
            </w:pPr>
            <w:r>
              <w:rPr>
                <w:rFonts w:hint="eastAsia" w:ascii="宋体" w:hAnsi="宋体"/>
                <w:szCs w:val="21"/>
                <w:lang w:val="en-US" w:eastAsia="zh-CN"/>
              </w:rPr>
              <w:t>300</w:t>
            </w:r>
          </w:p>
        </w:tc>
        <w:tc>
          <w:tcPr>
            <w:tcW w:w="540" w:type="dxa"/>
            <w:vAlign w:val="center"/>
          </w:tcPr>
          <w:p>
            <w:pPr>
              <w:adjustRightInd w:val="0"/>
              <w:jc w:val="center"/>
              <w:rPr>
                <w:rFonts w:hint="default" w:ascii="宋体" w:hAnsi="宋体" w:eastAsia="宋体"/>
                <w:szCs w:val="21"/>
                <w:lang w:val="en-US" w:eastAsia="zh-CN"/>
              </w:rPr>
            </w:pPr>
            <w:r>
              <w:rPr>
                <w:rFonts w:hint="eastAsia" w:ascii="宋体" w:hAnsi="宋体"/>
                <w:szCs w:val="21"/>
                <w:lang w:val="en-US" w:eastAsia="zh-CN"/>
              </w:rPr>
              <w:t>22</w:t>
            </w:r>
          </w:p>
        </w:tc>
        <w:tc>
          <w:tcPr>
            <w:tcW w:w="905" w:type="dxa"/>
            <w:vAlign w:val="center"/>
          </w:tcPr>
          <w:p>
            <w:pPr>
              <w:adjustRightInd w:val="0"/>
              <w:jc w:val="center"/>
              <w:rPr>
                <w:rFonts w:hint="default" w:ascii="宋体" w:hAnsi="宋体" w:eastAsia="宋体"/>
                <w:szCs w:val="21"/>
                <w:lang w:val="en-US" w:eastAsia="zh-CN"/>
              </w:rPr>
            </w:pPr>
            <w:r>
              <w:rPr>
                <w:rFonts w:hint="eastAsia" w:ascii="宋体" w:hAnsi="宋体"/>
                <w:szCs w:val="21"/>
                <w:lang w:val="en-US" w:eastAsia="zh-CN"/>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238" w:hRule="atLeast"/>
        </w:trPr>
        <w:tc>
          <w:tcPr>
            <w:tcW w:w="596" w:type="dxa"/>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720" w:type="dxa"/>
            <w:shd w:val="clear" w:color="auto" w:fill="auto"/>
            <w:vAlign w:val="center"/>
          </w:tcPr>
          <w:p>
            <w:pPr>
              <w:jc w:val="center"/>
              <w:rPr>
                <w:rFonts w:hint="eastAsia" w:ascii="宋体" w:hAnsi="宋体" w:eastAsia="宋体"/>
                <w:szCs w:val="21"/>
                <w:lang w:val="en-US" w:eastAsia="zh-CN"/>
              </w:rPr>
            </w:pPr>
            <w:r>
              <w:rPr>
                <w:rFonts w:hint="eastAsia" w:ascii="宋体" w:hAnsi="宋体" w:eastAsia="宋体"/>
                <w:szCs w:val="21"/>
                <w:lang w:val="en-US" w:eastAsia="zh-CN"/>
              </w:rPr>
              <w:t>有源一体化音箱</w:t>
            </w:r>
          </w:p>
        </w:tc>
        <w:tc>
          <w:tcPr>
            <w:tcW w:w="770" w:type="dxa"/>
            <w:shd w:val="clear" w:color="auto" w:fill="auto"/>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希沃SS33B</w:t>
            </w:r>
          </w:p>
        </w:tc>
        <w:tc>
          <w:tcPr>
            <w:tcW w:w="6350" w:type="dxa"/>
            <w:gridSpan w:val="2"/>
            <w:shd w:val="clear" w:color="auto" w:fill="auto"/>
            <w:vAlign w:val="top"/>
          </w:tcPr>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1、采用功放与有源音箱一体化设计，内置麦克风无线接收模块，帮助教师实现多媒体扩音以及本地扩声功能。</w:t>
            </w:r>
          </w:p>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2、双音箱有线连接，机箱采用塑胶材质，保护设备免受环境影响。</w:t>
            </w:r>
          </w:p>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3、输出额定功率: 2*15W，喇叭单元尺寸≥5寸。</w:t>
            </w:r>
          </w:p>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4、端口：220V电源接口*1、Line in*1、USB*1。</w:t>
            </w:r>
          </w:p>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5、专门为教室声学环境设计的合适扩声效果，距离音箱10米处声压级≥75dB。</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6、麦克风和功放音箱之间采用数字U段传输技术，有效避免环境中2.4G信号干扰，例如蓝牙及WIFI设备。</w:t>
            </w:r>
          </w:p>
        </w:tc>
        <w:tc>
          <w:tcPr>
            <w:tcW w:w="780" w:type="dxa"/>
            <w:vAlign w:val="center"/>
          </w:tcPr>
          <w:p>
            <w:pPr>
              <w:adjustRightInd w:val="0"/>
              <w:jc w:val="center"/>
              <w:rPr>
                <w:rFonts w:hint="default" w:ascii="宋体" w:hAnsi="宋体" w:eastAsia="宋体"/>
                <w:szCs w:val="21"/>
                <w:lang w:val="en-US" w:eastAsia="zh-CN"/>
              </w:rPr>
            </w:pPr>
            <w:r>
              <w:rPr>
                <w:rFonts w:hint="eastAsia" w:ascii="宋体" w:hAnsi="宋体"/>
                <w:szCs w:val="21"/>
                <w:lang w:val="en-US" w:eastAsia="zh-CN"/>
              </w:rPr>
              <w:t>800</w:t>
            </w:r>
          </w:p>
        </w:tc>
        <w:tc>
          <w:tcPr>
            <w:tcW w:w="540" w:type="dxa"/>
            <w:vAlign w:val="center"/>
          </w:tcPr>
          <w:p>
            <w:pPr>
              <w:adjustRightInd w:val="0"/>
              <w:jc w:val="center"/>
              <w:rPr>
                <w:rFonts w:hint="default" w:ascii="宋体" w:hAnsi="宋体" w:eastAsia="宋体"/>
                <w:szCs w:val="21"/>
                <w:lang w:val="en-US" w:eastAsia="zh-CN"/>
              </w:rPr>
            </w:pPr>
            <w:r>
              <w:rPr>
                <w:rFonts w:hint="eastAsia" w:ascii="宋体" w:hAnsi="宋体"/>
                <w:szCs w:val="21"/>
                <w:lang w:val="en-US" w:eastAsia="zh-CN"/>
              </w:rPr>
              <w:t>22</w:t>
            </w:r>
          </w:p>
        </w:tc>
        <w:tc>
          <w:tcPr>
            <w:tcW w:w="905" w:type="dxa"/>
            <w:vAlign w:val="center"/>
          </w:tcPr>
          <w:p>
            <w:pPr>
              <w:adjustRightInd w:val="0"/>
              <w:jc w:val="center"/>
              <w:rPr>
                <w:rFonts w:hint="default" w:ascii="宋体" w:hAnsi="宋体" w:eastAsia="宋体"/>
                <w:szCs w:val="21"/>
                <w:lang w:val="en-US" w:eastAsia="zh-CN"/>
              </w:rPr>
            </w:pPr>
            <w:r>
              <w:rPr>
                <w:rFonts w:hint="eastAsia" w:ascii="宋体" w:hAnsi="宋体"/>
                <w:szCs w:val="21"/>
                <w:lang w:val="en-US" w:eastAsia="zh-CN"/>
              </w:rPr>
              <w:t>17600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238" w:hRule="atLeast"/>
        </w:trPr>
        <w:tc>
          <w:tcPr>
            <w:tcW w:w="596" w:type="dxa"/>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6</w:t>
            </w:r>
          </w:p>
        </w:tc>
        <w:tc>
          <w:tcPr>
            <w:tcW w:w="720" w:type="dxa"/>
            <w:shd w:val="clear" w:color="auto" w:fill="auto"/>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无线麦克风</w:t>
            </w:r>
          </w:p>
        </w:tc>
        <w:tc>
          <w:tcPr>
            <w:tcW w:w="770" w:type="dxa"/>
            <w:shd w:val="clear" w:color="auto" w:fill="auto"/>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希沃MC33</w:t>
            </w:r>
          </w:p>
        </w:tc>
        <w:tc>
          <w:tcPr>
            <w:tcW w:w="6350" w:type="dxa"/>
            <w:gridSpan w:val="2"/>
            <w:shd w:val="clear" w:color="auto" w:fill="auto"/>
            <w:vAlign w:val="top"/>
          </w:tcPr>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1、无线麦克风集音频发射处理器、天线、电池、拾音麦克风于一体，配合一体化有源音箱，无需任何外接辅助设备即可实现本地扩声功能。</w:t>
            </w:r>
          </w:p>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2、麦克风和功放音箱之间采用数字U段传输技3术，有效避免环境中2.4G信号干扰，例如蓝牙及WIFI设备。</w:t>
            </w:r>
          </w:p>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3、支持智能红外对码及UHF对码，可在2s内快速完成与教学扩声音箱对码，无需繁琐操作。可与移动音箱或录播主机对码连接。</w:t>
            </w:r>
          </w:p>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4、采用触点磁吸式充电方式，支持快速充电与超低功耗工作模式，课间充电10分钟，实现80分钟续航。</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5、麦克风距离音箱最大有效工作距离≥10米，保证全教室覆盖。</w:t>
            </w:r>
          </w:p>
        </w:tc>
        <w:tc>
          <w:tcPr>
            <w:tcW w:w="780" w:type="dxa"/>
            <w:vAlign w:val="center"/>
          </w:tcPr>
          <w:p>
            <w:pPr>
              <w:adjustRightInd w:val="0"/>
              <w:jc w:val="center"/>
              <w:rPr>
                <w:rFonts w:hint="default" w:ascii="宋体" w:hAnsi="宋体" w:eastAsia="宋体"/>
                <w:szCs w:val="21"/>
                <w:lang w:val="en-US" w:eastAsia="zh-CN"/>
              </w:rPr>
            </w:pPr>
            <w:r>
              <w:rPr>
                <w:rFonts w:hint="eastAsia" w:ascii="宋体" w:hAnsi="宋体"/>
                <w:szCs w:val="21"/>
                <w:lang w:val="en-US" w:eastAsia="zh-CN"/>
              </w:rPr>
              <w:t>300</w:t>
            </w:r>
          </w:p>
        </w:tc>
        <w:tc>
          <w:tcPr>
            <w:tcW w:w="540" w:type="dxa"/>
            <w:vAlign w:val="center"/>
          </w:tcPr>
          <w:p>
            <w:pPr>
              <w:adjustRightInd w:val="0"/>
              <w:jc w:val="center"/>
              <w:rPr>
                <w:rFonts w:hint="default" w:ascii="宋体" w:hAnsi="宋体" w:eastAsia="宋体"/>
                <w:szCs w:val="21"/>
                <w:lang w:val="en-US" w:eastAsia="zh-CN"/>
              </w:rPr>
            </w:pPr>
            <w:r>
              <w:rPr>
                <w:rFonts w:hint="eastAsia" w:ascii="宋体" w:hAnsi="宋体"/>
                <w:szCs w:val="21"/>
                <w:lang w:val="en-US" w:eastAsia="zh-CN"/>
              </w:rPr>
              <w:t>22</w:t>
            </w:r>
          </w:p>
        </w:tc>
        <w:tc>
          <w:tcPr>
            <w:tcW w:w="905" w:type="dxa"/>
            <w:vAlign w:val="center"/>
          </w:tcPr>
          <w:p>
            <w:pPr>
              <w:adjustRightInd w:val="0"/>
              <w:jc w:val="center"/>
              <w:rPr>
                <w:rFonts w:hint="default" w:ascii="宋体" w:hAnsi="宋体" w:eastAsia="宋体"/>
                <w:szCs w:val="21"/>
                <w:lang w:val="en-US" w:eastAsia="zh-CN"/>
              </w:rPr>
            </w:pPr>
            <w:r>
              <w:rPr>
                <w:rFonts w:hint="eastAsia" w:ascii="宋体" w:hAnsi="宋体"/>
                <w:szCs w:val="21"/>
                <w:lang w:val="en-US" w:eastAsia="zh-CN"/>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0751" w:type="dxa"/>
            <w:gridSpan w:val="9"/>
            <w:vAlign w:val="center"/>
          </w:tcPr>
          <w:p>
            <w:pPr>
              <w:adjustRightInd w:val="0"/>
              <w:jc w:val="center"/>
              <w:rPr>
                <w:rFonts w:hint="default" w:ascii="宋体" w:hAnsi="宋体" w:eastAsia="宋体"/>
                <w:szCs w:val="21"/>
                <w:lang w:val="en-US" w:eastAsia="zh-CN"/>
              </w:rPr>
            </w:pPr>
            <w:r>
              <w:rPr>
                <w:rFonts w:hint="eastAsia" w:ascii="宋体" w:hAnsi="宋体"/>
                <w:szCs w:val="21"/>
                <w:lang w:eastAsia="zh-CN"/>
              </w:rPr>
              <w:t>合计金额：</w:t>
            </w:r>
            <w:r>
              <w:rPr>
                <w:rFonts w:hint="eastAsia" w:ascii="宋体" w:hAnsi="宋体"/>
                <w:szCs w:val="21"/>
                <w:lang w:val="en-US" w:eastAsia="zh-CN"/>
              </w:rPr>
              <w:t>652300元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0751" w:type="dxa"/>
            <w:gridSpan w:val="9"/>
            <w:vAlign w:val="center"/>
          </w:tcPr>
          <w:p>
            <w:pPr>
              <w:adjustRightInd w:val="0"/>
              <w:jc w:val="center"/>
              <w:rPr>
                <w:rFonts w:ascii="宋体" w:hAnsi="宋体"/>
                <w:szCs w:val="21"/>
              </w:rPr>
            </w:pPr>
            <w:r>
              <w:rPr>
                <w:rFonts w:hint="eastAsia" w:ascii="宋体" w:hAnsi="宋体" w:eastAsia="宋体" w:cs="宋体"/>
                <w:b/>
                <w:bCs/>
                <w:color w:val="auto"/>
                <w:szCs w:val="21"/>
                <w:highlight w:val="none"/>
              </w:rPr>
              <w:t>商务要求（均为实质性要求，必须满足）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196" w:type="dxa"/>
            <w:gridSpan w:val="4"/>
            <w:vAlign w:val="center"/>
          </w:tcPr>
          <w:p>
            <w:pPr>
              <w:adjustRightInd w:val="0"/>
              <w:spacing w:line="440" w:lineRule="exac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eastAsia="zh-CN"/>
              </w:rPr>
              <w:t>响应附件要求</w:t>
            </w:r>
          </w:p>
        </w:tc>
        <w:tc>
          <w:tcPr>
            <w:tcW w:w="8555" w:type="dxa"/>
            <w:gridSpan w:val="5"/>
            <w:vAlign w:val="center"/>
          </w:tcPr>
          <w:p>
            <w:pPr>
              <w:numPr>
                <w:ilvl w:val="0"/>
                <w:numId w:val="0"/>
              </w:numPr>
              <w:adjustRightInd w:val="0"/>
              <w:spacing w:line="440" w:lineRule="exact"/>
              <w:rPr>
                <w:rFonts w:hint="eastAsia" w:eastAsia="宋体"/>
                <w:b w:val="0"/>
                <w:bCs w:val="0"/>
                <w:color w:val="auto"/>
                <w:lang w:eastAsia="zh-CN"/>
              </w:rPr>
            </w:pPr>
            <w:r>
              <w:rPr>
                <w:rFonts w:hint="eastAsia" w:ascii="宋体" w:hAnsi="宋体" w:eastAsia="宋体" w:cs="宋体"/>
                <w:color w:val="auto"/>
                <w:szCs w:val="21"/>
                <w:lang w:val="en-US" w:eastAsia="zh-CN"/>
              </w:rPr>
              <w:t>1、本项目为反向竞价，不接受其他品牌型号的商品报价</w:t>
            </w:r>
            <w:r>
              <w:rPr>
                <w:rFonts w:hint="eastAsia" w:ascii="宋体" w:hAnsi="宋体" w:cs="宋体"/>
                <w:color w:val="auto"/>
                <w:szCs w:val="21"/>
                <w:lang w:val="en-US" w:eastAsia="zh-CN"/>
              </w:rPr>
              <w:t>，供应商不得以任何理由更改设备的品牌、配置</w:t>
            </w:r>
            <w:r>
              <w:rPr>
                <w:rFonts w:hint="eastAsia" w:ascii="宋体" w:hAnsi="宋体" w:eastAsia="宋体" w:cs="宋体"/>
                <w:b w:val="0"/>
                <w:bCs w:val="0"/>
                <w:color w:val="auto"/>
                <w:szCs w:val="21"/>
                <w:highlight w:val="none"/>
                <w:lang w:eastAsia="zh-CN"/>
              </w:rPr>
              <w:t>。</w:t>
            </w:r>
          </w:p>
          <w:p>
            <w:pPr>
              <w:adjustRightInd w:val="0"/>
              <w:spacing w:line="440" w:lineRule="exact"/>
              <w:rPr>
                <w:rFonts w:hint="eastAsia" w:ascii="Times New Roman" w:hAnsi="Times New Roman" w:eastAsia="宋体" w:cs="Times New Roman"/>
                <w:color w:val="auto"/>
                <w:kern w:val="2"/>
                <w:sz w:val="21"/>
                <w:szCs w:val="24"/>
                <w:lang w:val="en-US" w:eastAsia="zh-CN" w:bidi="ar-SA"/>
              </w:rPr>
            </w:pP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上传采购需</w:t>
            </w:r>
            <w:r>
              <w:rPr>
                <w:rFonts w:hint="eastAsia" w:ascii="宋体" w:hAnsi="宋体" w:eastAsia="宋体" w:cs="宋体"/>
                <w:b w:val="0"/>
                <w:bCs w:val="0"/>
                <w:color w:val="auto"/>
                <w:szCs w:val="21"/>
                <w:lang w:eastAsia="zh-CN"/>
              </w:rPr>
              <w:t>求文件中要求必须提供的检测检验报告</w:t>
            </w:r>
            <w:r>
              <w:rPr>
                <w:rFonts w:hint="eastAsia" w:ascii="宋体" w:hAnsi="宋体" w:eastAsia="宋体" w:cs="宋体"/>
                <w:b w:val="0"/>
                <w:bCs w:val="0"/>
                <w:color w:val="auto"/>
                <w:szCs w:val="21"/>
                <w:highlight w:val="none"/>
                <w:lang w:eastAsia="zh-CN"/>
              </w:rPr>
              <w:t>等证明材料</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上传</w:t>
            </w:r>
            <w:r>
              <w:rPr>
                <w:rFonts w:hint="eastAsia" w:ascii="宋体" w:hAnsi="宋体" w:eastAsia="宋体" w:cs="宋体"/>
                <w:color w:val="auto"/>
                <w:szCs w:val="21"/>
                <w:lang w:val="en-US" w:eastAsia="zh-CN"/>
              </w:rPr>
              <w:t>所投产品的3C、节能认证证书扫描件，否则采购人有权利取消预成交供应商的中标资格；报价结束后24小时内对预成交供应商核查原件，核查无误后方能确定成交供应商</w:t>
            </w:r>
            <w:r>
              <w:rPr>
                <w:rFonts w:hint="eastAsia" w:ascii="宋体" w:hAnsi="宋体" w:cs="宋体"/>
                <w:color w:val="auto"/>
                <w:szCs w:val="21"/>
                <w:lang w:val="en-US" w:eastAsia="zh-CN"/>
              </w:rPr>
              <w:t>。</w:t>
            </w:r>
            <w:r>
              <w:rPr>
                <w:rFonts w:hint="eastAsia" w:ascii="宋体" w:hAnsi="宋体" w:eastAsia="宋体" w:cs="宋体"/>
                <w:color w:val="auto"/>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2196" w:type="dxa"/>
            <w:gridSpan w:val="4"/>
            <w:vAlign w:val="center"/>
          </w:tcPr>
          <w:p>
            <w:pPr>
              <w:widowControl/>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售后服务要求</w:t>
            </w:r>
          </w:p>
        </w:tc>
        <w:tc>
          <w:tcPr>
            <w:tcW w:w="8555" w:type="dxa"/>
            <w:gridSpan w:val="5"/>
            <w:shd w:val="clear" w:color="auto" w:fill="auto"/>
            <w:vAlign w:val="center"/>
          </w:tcPr>
          <w:p>
            <w:pPr>
              <w:numPr>
                <w:ilvl w:val="0"/>
                <w:numId w:val="1"/>
              </w:numPr>
              <w:adjustRightInd w:val="0"/>
              <w:spacing w:line="440" w:lineRule="exact"/>
              <w:rPr>
                <w:rFonts w:ascii="宋体" w:hAnsi="宋体" w:eastAsia="宋体" w:cs="宋体"/>
                <w:color w:val="auto"/>
                <w:szCs w:val="21"/>
                <w:highlight w:val="none"/>
              </w:rPr>
            </w:pPr>
            <w:r>
              <w:rPr>
                <w:rFonts w:hint="eastAsia" w:ascii="宋体" w:hAnsi="宋体" w:eastAsia="宋体" w:cs="宋体"/>
                <w:b/>
                <w:bCs/>
                <w:color w:val="auto"/>
                <w:szCs w:val="21"/>
                <w:highlight w:val="none"/>
              </w:rPr>
              <w:t>免费保修期：</w:t>
            </w:r>
            <w:r>
              <w:rPr>
                <w:rFonts w:hint="eastAsia" w:ascii="宋体" w:hAnsi="宋体" w:eastAsia="宋体" w:cs="宋体"/>
                <w:bCs/>
                <w:color w:val="auto"/>
                <w:szCs w:val="21"/>
                <w:highlight w:val="none"/>
              </w:rPr>
              <w:t>按国家有关产品“三包”规定执行“三包”，</w:t>
            </w:r>
            <w:r>
              <w:rPr>
                <w:rFonts w:hint="eastAsia" w:ascii="宋体" w:hAnsi="宋体" w:eastAsia="宋体" w:cs="宋体"/>
                <w:bCs/>
                <w:color w:val="auto"/>
                <w:szCs w:val="21"/>
                <w:highlight w:val="none"/>
                <w:lang w:eastAsia="zh-CN"/>
              </w:rPr>
              <w:t>第</w:t>
            </w:r>
            <w:r>
              <w:rPr>
                <w:rFonts w:hint="eastAsia" w:ascii="宋体" w:hAnsi="宋体" w:eastAsia="宋体" w:cs="宋体"/>
                <w:bCs/>
                <w:color w:val="auto"/>
                <w:szCs w:val="21"/>
                <w:highlight w:val="none"/>
                <w:lang w:val="en-US" w:eastAsia="zh-CN"/>
              </w:rPr>
              <w:t>1项货物</w:t>
            </w:r>
            <w:r>
              <w:rPr>
                <w:rFonts w:hint="eastAsia" w:ascii="宋体" w:hAnsi="宋体" w:eastAsia="宋体" w:cs="宋体"/>
                <w:color w:val="auto"/>
                <w:szCs w:val="21"/>
                <w:highlight w:val="none"/>
              </w:rPr>
              <w:t>免费保修期不少于</w:t>
            </w:r>
            <w:r>
              <w:rPr>
                <w:rFonts w:hint="eastAsia" w:ascii="宋体" w:hAnsi="宋体" w:eastAsia="宋体" w:cs="宋体"/>
                <w:color w:val="auto"/>
                <w:szCs w:val="21"/>
                <w:highlight w:val="none"/>
                <w:lang w:eastAsia="zh-CN"/>
              </w:rPr>
              <w:t>三</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eastAsia="zh-CN"/>
              </w:rPr>
              <w:t>其余项</w:t>
            </w:r>
            <w:r>
              <w:rPr>
                <w:rFonts w:hint="eastAsia" w:ascii="宋体" w:hAnsi="宋体" w:eastAsia="宋体" w:cs="宋体"/>
                <w:color w:val="auto"/>
                <w:szCs w:val="21"/>
                <w:highlight w:val="none"/>
              </w:rPr>
              <w:t>免费保修期不少于</w:t>
            </w:r>
            <w:r>
              <w:rPr>
                <w:rFonts w:hint="eastAsia" w:ascii="宋体" w:hAnsi="宋体" w:eastAsia="宋体" w:cs="宋体"/>
                <w:color w:val="auto"/>
                <w:szCs w:val="21"/>
                <w:highlight w:val="none"/>
                <w:lang w:eastAsia="zh-CN"/>
              </w:rPr>
              <w:t>一</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自验收合格之日起计。免费保修期内免费上门保修、包换、维护。</w:t>
            </w:r>
          </w:p>
          <w:p>
            <w:pPr>
              <w:adjustRightInd w:val="0"/>
              <w:spacing w:line="440" w:lineRule="exac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二、技术服务及培训：</w:t>
            </w:r>
          </w:p>
          <w:p>
            <w:pPr>
              <w:adjustRightInd w:val="0"/>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rPr>
              <w:t>采购范围内免费技术培训，</w:t>
            </w:r>
            <w:r>
              <w:rPr>
                <w:rFonts w:hint="eastAsia" w:ascii="宋体" w:hAnsi="宋体" w:eastAsia="宋体" w:cs="宋体"/>
                <w:color w:val="auto"/>
                <w:szCs w:val="21"/>
                <w:highlight w:val="none"/>
              </w:rPr>
              <w:t>保证使用人员能正常使用产品；其余按供应商的承诺执行。</w:t>
            </w:r>
          </w:p>
          <w:p>
            <w:pPr>
              <w:adjustRightInd w:val="0"/>
              <w:spacing w:line="440" w:lineRule="exact"/>
              <w:rPr>
                <w:rFonts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三</w:t>
            </w:r>
            <w:r>
              <w:rPr>
                <w:rFonts w:hint="eastAsia" w:ascii="宋体" w:hAnsi="宋体" w:eastAsia="宋体" w:cs="宋体"/>
                <w:b/>
                <w:bCs/>
                <w:color w:val="auto"/>
                <w:szCs w:val="21"/>
                <w:highlight w:val="none"/>
              </w:rPr>
              <w:t>、售后服务的内容和措施：</w:t>
            </w:r>
          </w:p>
          <w:p>
            <w:pPr>
              <w:adjustRightInd w:val="0"/>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rPr>
              <w:t>1、采购范围内的货物免费送货上门。</w:t>
            </w:r>
          </w:p>
          <w:p>
            <w:pPr>
              <w:adjustRightInd w:val="0"/>
              <w:spacing w:line="440" w:lineRule="exact"/>
              <w:rPr>
                <w:rFonts w:hint="eastAsia" w:ascii="宋体" w:hAnsi="宋体" w:eastAsia="宋体" w:cs="宋体"/>
                <w:color w:val="auto"/>
                <w:szCs w:val="21"/>
              </w:rPr>
            </w:pPr>
            <w:r>
              <w:rPr>
                <w:rFonts w:hint="eastAsia" w:ascii="宋体" w:hAnsi="宋体" w:eastAsia="宋体" w:cs="宋体"/>
                <w:color w:val="auto"/>
                <w:kern w:val="0"/>
                <w:szCs w:val="21"/>
                <w:highlight w:val="none"/>
              </w:rPr>
              <w:t>2、</w:t>
            </w:r>
            <w:r>
              <w:rPr>
                <w:rFonts w:hint="eastAsia" w:ascii="宋体" w:hAnsi="宋体" w:eastAsia="宋体" w:cs="宋体"/>
                <w:color w:val="auto"/>
                <w:szCs w:val="21"/>
              </w:rPr>
              <w:t>为确保货物质量，成交供应商必须在供货时提供</w:t>
            </w:r>
            <w:r>
              <w:rPr>
                <w:rFonts w:hint="eastAsia" w:ascii="宋体" w:hAnsi="宋体" w:eastAsia="宋体" w:cs="宋体"/>
                <w:color w:val="auto"/>
                <w:szCs w:val="21"/>
                <w:highlight w:val="none"/>
                <w:lang w:eastAsia="zh-CN"/>
              </w:rPr>
              <w:t>交互智能平板</w:t>
            </w:r>
            <w:r>
              <w:rPr>
                <w:rFonts w:hint="eastAsia" w:ascii="宋体" w:hAnsi="宋体" w:eastAsia="宋体" w:cs="宋体"/>
                <w:color w:val="auto"/>
                <w:szCs w:val="21"/>
              </w:rPr>
              <w:t>生产厂家针对此项目的售后服务</w:t>
            </w:r>
            <w:r>
              <w:rPr>
                <w:rFonts w:hint="eastAsia" w:ascii="宋体" w:hAnsi="宋体" w:eastAsia="宋体" w:cs="宋体"/>
                <w:color w:val="auto"/>
                <w:szCs w:val="21"/>
                <w:lang w:eastAsia="zh-CN"/>
              </w:rPr>
              <w:t>承诺</w:t>
            </w:r>
            <w:r>
              <w:rPr>
                <w:rFonts w:hint="eastAsia" w:ascii="宋体" w:hAnsi="宋体" w:eastAsia="宋体" w:cs="宋体"/>
                <w:color w:val="auto"/>
                <w:szCs w:val="21"/>
              </w:rPr>
              <w:t>函原件、供货证明原件并加盖生产厂家公章，否则不予验收。</w:t>
            </w:r>
          </w:p>
          <w:p>
            <w:pPr>
              <w:adjustRightInd w:val="0"/>
              <w:spacing w:line="440" w:lineRule="exac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lang w:val="en-US" w:eastAsia="zh-CN"/>
              </w:rPr>
              <w:t>3、</w:t>
            </w:r>
            <w:r>
              <w:rPr>
                <w:rFonts w:hint="eastAsia" w:ascii="宋体" w:hAnsi="宋体" w:eastAsia="宋体" w:cs="宋体"/>
                <w:color w:val="auto"/>
                <w:szCs w:val="21"/>
                <w:highlight w:val="none"/>
              </w:rPr>
              <w:t>提供售后服务联系电话及联系人，免费保修期内，接到报障电话后在1小时内响应，24小时内上门维修解决问题。如果需要更换配件的，要求更换的配件应与被更换的产品品牌、类型相一致或者是同类同档次或以上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2196" w:type="dxa"/>
            <w:gridSpan w:val="4"/>
            <w:vAlign w:val="center"/>
          </w:tcPr>
          <w:p>
            <w:pPr>
              <w:widowControl/>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交付使用期及地点</w:t>
            </w:r>
          </w:p>
        </w:tc>
        <w:tc>
          <w:tcPr>
            <w:tcW w:w="8555" w:type="dxa"/>
            <w:gridSpan w:val="5"/>
            <w:shd w:val="clear" w:color="auto" w:fill="auto"/>
            <w:vAlign w:val="center"/>
          </w:tcPr>
          <w:p>
            <w:pPr>
              <w:adjustRightInd w:val="0"/>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rPr>
              <w:t>1、交付使用期：</w:t>
            </w:r>
            <w:r>
              <w:rPr>
                <w:rFonts w:hint="eastAsia" w:ascii="宋体" w:hAnsi="宋体" w:eastAsia="宋体" w:cs="宋体"/>
                <w:bCs/>
                <w:color w:val="auto"/>
                <w:szCs w:val="21"/>
                <w:highlight w:val="none"/>
                <w:lang w:eastAsia="zh-CN"/>
              </w:rPr>
              <w:t>签订合同后</w:t>
            </w:r>
            <w:r>
              <w:rPr>
                <w:rFonts w:hint="eastAsia" w:ascii="宋体" w:hAnsi="宋体" w:eastAsia="宋体" w:cs="宋体"/>
                <w:bCs/>
                <w:color w:val="auto"/>
                <w:szCs w:val="21"/>
                <w:highlight w:val="none"/>
                <w:lang w:val="en-US" w:eastAsia="zh-CN"/>
              </w:rPr>
              <w:t>15个工作日内交付</w:t>
            </w:r>
            <w:r>
              <w:rPr>
                <w:rFonts w:hint="eastAsia" w:ascii="宋体" w:hAnsi="宋体" w:eastAsia="宋体" w:cs="宋体"/>
                <w:color w:val="auto"/>
                <w:szCs w:val="21"/>
                <w:highlight w:val="none"/>
              </w:rPr>
              <w:t>。</w:t>
            </w:r>
          </w:p>
          <w:p>
            <w:pPr>
              <w:adjustRightInd w:val="0"/>
              <w:spacing w:line="440" w:lineRule="exact"/>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2、交货地点：广西桂林市临桂区采购人指定地点。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2196" w:type="dxa"/>
            <w:gridSpan w:val="4"/>
            <w:vAlign w:val="center"/>
          </w:tcPr>
          <w:p>
            <w:pPr>
              <w:widowControl/>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付款方式</w:t>
            </w:r>
          </w:p>
        </w:tc>
        <w:tc>
          <w:tcPr>
            <w:tcW w:w="8555" w:type="dxa"/>
            <w:gridSpan w:val="5"/>
            <w:shd w:val="clear" w:color="auto" w:fill="auto"/>
            <w:vAlign w:val="center"/>
          </w:tcPr>
          <w:p>
            <w:pPr>
              <w:numPr>
                <w:ilvl w:val="0"/>
                <w:numId w:val="0"/>
              </w:numPr>
              <w:adjustRightInd w:val="0"/>
              <w:spacing w:line="440" w:lineRule="exact"/>
              <w:ind w:left="0" w:leftChars="0" w:firstLine="0" w:firstLineChars="0"/>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本项目无预付款，成交供应商交货并经验收合格后，采购人自收到供应商提供的全额正规合法含税发票后</w:t>
            </w:r>
            <w:r>
              <w:rPr>
                <w:rFonts w:hint="eastAsia" w:ascii="宋体" w:hAnsi="宋体" w:eastAsia="宋体" w:cs="宋体"/>
                <w:color w:val="auto"/>
                <w:szCs w:val="21"/>
                <w:highlight w:val="none"/>
                <w:lang w:val="en-US" w:eastAsia="zh-CN"/>
              </w:rPr>
              <w:t>60日内</w:t>
            </w:r>
            <w:r>
              <w:rPr>
                <w:rFonts w:hint="eastAsia" w:ascii="宋体" w:hAnsi="宋体" w:eastAsia="宋体" w:cs="宋体"/>
                <w:color w:val="auto"/>
                <w:szCs w:val="21"/>
                <w:highlight w:val="none"/>
              </w:rPr>
              <w:t>一次性付清合同款项</w:t>
            </w:r>
            <w:r>
              <w:rPr>
                <w:rFonts w:hint="eastAsia" w:ascii="宋体" w:hAnsi="宋体" w:eastAsia="宋体" w:cs="宋体"/>
                <w:color w:val="auto"/>
                <w:szCs w:val="21"/>
                <w:highlight w:val="none"/>
                <w:lang w:eastAsia="zh-CN"/>
              </w:rPr>
              <w:t>（无息）</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2196" w:type="dxa"/>
            <w:gridSpan w:val="4"/>
            <w:vAlign w:val="center"/>
          </w:tcPr>
          <w:p>
            <w:pPr>
              <w:adjustRightInd w:val="0"/>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验收标准</w:t>
            </w:r>
          </w:p>
        </w:tc>
        <w:tc>
          <w:tcPr>
            <w:tcW w:w="8555" w:type="dxa"/>
            <w:gridSpan w:val="5"/>
            <w:shd w:val="clear" w:color="auto" w:fill="auto"/>
            <w:vAlign w:val="center"/>
          </w:tcPr>
          <w:p>
            <w:pPr>
              <w:adjustRightInd w:val="0"/>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1、符合我国国家有关技术规范和技术标准。</w:t>
            </w:r>
          </w:p>
          <w:p>
            <w:pPr>
              <w:adjustRightInd w:val="0"/>
              <w:spacing w:line="440" w:lineRule="exac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2、邀请相关部门及有关技术专家参与验收（专家费用由成交供应商支付），验收不合格的采购人不予签收，由此造成的一切后果及费用由成交供应商承担。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2196" w:type="dxa"/>
            <w:gridSpan w:val="4"/>
            <w:vAlign w:val="center"/>
          </w:tcPr>
          <w:p>
            <w:pPr>
              <w:adjustRightInd w:val="0"/>
              <w:spacing w:line="44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eastAsia="zh-CN"/>
              </w:rPr>
              <w:t>其他要求及说明</w:t>
            </w:r>
          </w:p>
        </w:tc>
        <w:tc>
          <w:tcPr>
            <w:tcW w:w="8555" w:type="dxa"/>
            <w:gridSpan w:val="5"/>
            <w:shd w:val="clear" w:color="auto" w:fill="auto"/>
            <w:vAlign w:val="center"/>
          </w:tcPr>
          <w:p>
            <w:pPr>
              <w:spacing w:line="360" w:lineRule="exact"/>
              <w:ind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1.要求电源</w:t>
            </w:r>
            <w:r>
              <w:rPr>
                <w:rFonts w:hint="eastAsia" w:ascii="宋体" w:hAnsi="宋体" w:cs="宋体"/>
                <w:color w:val="auto"/>
                <w:szCs w:val="21"/>
                <w:highlight w:val="none"/>
                <w:lang w:val="en-US" w:eastAsia="zh-CN"/>
              </w:rPr>
              <w:t>、网络、音箱线路裸露部分免费加装线槽，确保</w:t>
            </w:r>
            <w:r>
              <w:rPr>
                <w:rFonts w:hint="eastAsia" w:ascii="宋体" w:hAnsi="宋体" w:eastAsia="宋体" w:cs="宋体"/>
                <w:color w:val="auto"/>
                <w:szCs w:val="21"/>
                <w:highlight w:val="none"/>
                <w:lang w:val="en-US" w:eastAsia="zh-CN"/>
              </w:rPr>
              <w:t>布线美观、安全。</w:t>
            </w:r>
          </w:p>
          <w:p>
            <w:pPr>
              <w:spacing w:line="360" w:lineRule="exact"/>
              <w:ind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本项目响应报价须包含产品及零配件、备品备件、材料、消耗品、工具的采购和运输（装卸），项目安装、调试、检测、验收、培训服务费、售后服务、税金、利润等及其他所有成本等费用，采购人将不再支付任何费用。</w:t>
            </w:r>
          </w:p>
          <w:p>
            <w:pPr>
              <w:spacing w:line="360" w:lineRule="exact"/>
              <w:ind w:firstLine="0" w:firstLineChars="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供应商应充分考虑供货成本，如供应商低价恶意竞价、未按参数要求提供并上传相应证明文件、且中标后无法按要求提供货物或者所供货物及资质要求无法满足参数要求的，采购人将按虚假竞标处理，并保留因耽误采购人使用时间造成的损失进行赔偿的权利，并通过报备政采云平台及财政厅监管部分后，移送司法机关诉诸法律手段，追究投标人的法律责任，由此引发的一切后果由投标人承担。</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A45C3C"/>
    <w:multiLevelType w:val="singleLevel"/>
    <w:tmpl w:val="CAA45C3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YzY5MjFhNjIwZjQyMDY1N2M3MGE5MDQwMTZjOTcifQ=="/>
  </w:docVars>
  <w:rsids>
    <w:rsidRoot w:val="FBE5F09C"/>
    <w:rsid w:val="0F0740B7"/>
    <w:rsid w:val="23EC4AE7"/>
    <w:rsid w:val="283E4309"/>
    <w:rsid w:val="2BAF5AD2"/>
    <w:rsid w:val="2EBEFDAC"/>
    <w:rsid w:val="36D55FE6"/>
    <w:rsid w:val="377FCC36"/>
    <w:rsid w:val="3DDC1E83"/>
    <w:rsid w:val="3F7E8A3E"/>
    <w:rsid w:val="47FEB8F9"/>
    <w:rsid w:val="4B93748C"/>
    <w:rsid w:val="602177CE"/>
    <w:rsid w:val="61B03707"/>
    <w:rsid w:val="6ADEBCE0"/>
    <w:rsid w:val="6BA5568E"/>
    <w:rsid w:val="6C2C6080"/>
    <w:rsid w:val="6DBDAA52"/>
    <w:rsid w:val="7099EFE8"/>
    <w:rsid w:val="755F1D7A"/>
    <w:rsid w:val="76DF9696"/>
    <w:rsid w:val="7BB70578"/>
    <w:rsid w:val="7BB74F16"/>
    <w:rsid w:val="7EDBF93D"/>
    <w:rsid w:val="7F67854D"/>
    <w:rsid w:val="7FDE954F"/>
    <w:rsid w:val="97BF7E38"/>
    <w:rsid w:val="9FBF96AE"/>
    <w:rsid w:val="9FF8441C"/>
    <w:rsid w:val="B5E18719"/>
    <w:rsid w:val="B7EFFD00"/>
    <w:rsid w:val="BDFE8700"/>
    <w:rsid w:val="EFFFC7BF"/>
    <w:rsid w:val="F6E73B3F"/>
    <w:rsid w:val="F6FEF4F7"/>
    <w:rsid w:val="FBE5F09C"/>
    <w:rsid w:val="FBFF6E69"/>
    <w:rsid w:val="FF633979"/>
    <w:rsid w:val="FFD71295"/>
    <w:rsid w:val="FFFFC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qFormat/>
    <w:uiPriority w:val="0"/>
    <w:pPr>
      <w:keepNext/>
      <w:keepLines/>
      <w:spacing w:before="280" w:after="290" w:line="480" w:lineRule="exact"/>
      <w:jc w:val="center"/>
      <w:outlineLvl w:val="3"/>
    </w:pPr>
    <w:rPr>
      <w:rFonts w:ascii="Cambria" w:hAnsi="Cambria" w:eastAsia="宋体" w:cs="Times New Roman"/>
      <w:b/>
      <w:bCs/>
      <w:sz w:val="28"/>
      <w:szCs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semiHidden/>
    <w:qFormat/>
    <w:uiPriority w:val="0"/>
    <w:pPr>
      <w:jc w:val="left"/>
    </w:pPr>
  </w:style>
  <w:style w:type="paragraph" w:styleId="5">
    <w:name w:val="Body Text"/>
    <w:basedOn w:val="1"/>
    <w:next w:val="1"/>
    <w:qFormat/>
    <w:uiPriority w:val="0"/>
    <w:pPr>
      <w:spacing w:line="380" w:lineRule="exact"/>
    </w:pPr>
    <w:rPr>
      <w:sz w:val="24"/>
    </w:rPr>
  </w:style>
  <w:style w:type="paragraph" w:styleId="6">
    <w:name w:val="Plain Text"/>
    <w:basedOn w:val="1"/>
    <w:qFormat/>
    <w:uiPriority w:val="0"/>
    <w:rPr>
      <w:rFonts w:ascii="宋体" w:hAnsi="Courier New"/>
      <w:szCs w:val="20"/>
    </w:rPr>
  </w:style>
  <w:style w:type="paragraph" w:styleId="7">
    <w:name w:val="Body Text Indent 2"/>
    <w:basedOn w:val="1"/>
    <w:qFormat/>
    <w:uiPriority w:val="0"/>
    <w:pPr>
      <w:ind w:firstLine="630"/>
    </w:pPr>
    <w:rPr>
      <w:sz w:val="32"/>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paragraph" w:customStyle="1" w:styleId="12">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character" w:customStyle="1" w:styleId="13">
    <w:name w:val="正文 + 宋体 Char"/>
    <w:link w:val="14"/>
    <w:qFormat/>
    <w:uiPriority w:val="0"/>
    <w:rPr>
      <w:rFonts w:ascii="宋体" w:hAnsi="宋体"/>
      <w:b/>
      <w:kern w:val="0"/>
      <w:sz w:val="24"/>
      <w:szCs w:val="20"/>
    </w:rPr>
  </w:style>
  <w:style w:type="paragraph" w:customStyle="1" w:styleId="14">
    <w:name w:val="正文 + 宋体"/>
    <w:basedOn w:val="7"/>
    <w:link w:val="13"/>
    <w:qFormat/>
    <w:uiPriority w:val="0"/>
    <w:pPr>
      <w:spacing w:line="480" w:lineRule="exact"/>
      <w:ind w:left="0" w:leftChars="0"/>
    </w:pPr>
    <w:rPr>
      <w:rFonts w:ascii="宋体" w:hAnsi="宋体"/>
      <w:b/>
      <w:kern w:val="0"/>
      <w:sz w:val="24"/>
      <w:szCs w:val="20"/>
    </w:rPr>
  </w:style>
  <w:style w:type="paragraph" w:styleId="15">
    <w:name w:val="List Paragraph"/>
    <w:basedOn w:val="1"/>
    <w:qFormat/>
    <w:uiPriority w:val="0"/>
    <w:pPr>
      <w:widowControl/>
      <w:ind w:firstLine="420" w:firstLineChars="200"/>
      <w:jc w:val="left"/>
    </w:pPr>
    <w:rPr>
      <w:rFonts w:ascii="宋体" w:hAnsi="宋体" w:cs="宋体"/>
    </w:rPr>
  </w:style>
  <w:style w:type="paragraph" w:customStyle="1" w:styleId="16">
    <w:name w:val="列出段落1"/>
    <w:qFormat/>
    <w:uiPriority w:val="34"/>
    <w:pPr>
      <w:widowControl w:val="0"/>
      <w:pBdr>
        <w:top w:val="none" w:color="auto" w:sz="0" w:space="0"/>
        <w:left w:val="none" w:color="auto" w:sz="0" w:space="0"/>
        <w:bottom w:val="none" w:color="auto" w:sz="0" w:space="0"/>
        <w:right w:val="none" w:color="auto" w:sz="0" w:space="0"/>
        <w:between w:val="none" w:color="auto" w:sz="0" w:space="0"/>
      </w:pBdr>
      <w:ind w:firstLine="420"/>
      <w:jc w:val="both"/>
    </w:pPr>
    <w:rPr>
      <w:rFonts w:ascii="Calibri" w:hAnsi="Calibri" w:eastAsia="Calibri" w:cs="Calibri"/>
      <w:color w:val="000000"/>
      <w:kern w:val="2"/>
      <w:sz w:val="21"/>
      <w:szCs w:val="21"/>
      <w:u w:color="000000"/>
      <w:lang w:val="en-US" w:eastAsia="zh-CN" w:bidi="ar-SA"/>
    </w:rPr>
  </w:style>
  <w:style w:type="table" w:customStyle="1" w:styleId="17">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12184</Words>
  <Characters>12969</Characters>
  <Lines>0</Lines>
  <Paragraphs>0</Paragraphs>
  <TotalTime>6</TotalTime>
  <ScaleCrop>false</ScaleCrop>
  <LinksUpToDate>false</LinksUpToDate>
  <CharactersWithSpaces>13045</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2023-09-26T18:05:00Z</dcterms:created>
  <dc:creator>WPS_1514269075</dc:creator>
  <cp:lastModifiedBy>全小晶✨</cp:lastModifiedBy>
  <dcterms:modified xsi:type="dcterms:W3CDTF">2025-07-02T17:46:09Z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7C7BA0D9006D851F50E448680D62C0F8_43</vt:lpwstr>
  </property>
  <property fmtid="{D5CDD505-2E9C-101B-9397-08002B2CF9AE}" pid="4" name="KSOTemplateDocerSaveRecord">
    <vt:lpwstr>eyJoZGlkIjoiNjYxNGMxOWE1NmJmNjE2NWUxMWZiOTdlYWFjMjI2YjIiLCJ1c2VySWQiOiIyNDA5MzM3NzAifQ==</vt:lpwstr>
  </property>
</Properties>
</file>