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B19218">
      <w:pPr>
        <w:jc w:val="center"/>
        <w:rPr>
          <w:sz w:val="36"/>
          <w:szCs w:val="36"/>
        </w:rPr>
      </w:pPr>
      <w:r>
        <w:rPr>
          <w:rFonts w:hint="eastAsia" w:ascii="仿宋_GB2312" w:hAnsi="宋体" w:eastAsia="仿宋_GB2312" w:cs="Arial"/>
          <w:b/>
          <w:color w:val="000000"/>
          <w:sz w:val="32"/>
          <w:szCs w:val="32"/>
        </w:rPr>
        <w:t>智能研创一体化录播教室跨境电子商务专业群实训室建设项目</w:t>
      </w:r>
    </w:p>
    <w:tbl>
      <w:tblPr>
        <w:tblStyle w:val="5"/>
        <w:tblW w:w="1012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25"/>
        <w:gridCol w:w="436"/>
        <w:gridCol w:w="307"/>
        <w:gridCol w:w="358"/>
        <w:gridCol w:w="444"/>
        <w:gridCol w:w="478"/>
        <w:gridCol w:w="5976"/>
        <w:gridCol w:w="1056"/>
        <w:gridCol w:w="641"/>
      </w:tblGrid>
      <w:tr w14:paraId="4AAD5E7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10121" w:type="dxa"/>
            <w:gridSpan w:val="9"/>
            <w:tcBorders>
              <w:top w:val="single" w:color="auto" w:sz="4" w:space="0"/>
              <w:left w:val="single" w:color="auto" w:sz="4" w:space="0"/>
              <w:right w:val="single" w:color="auto" w:sz="4" w:space="0"/>
            </w:tcBorders>
            <w:vAlign w:val="center"/>
          </w:tcPr>
          <w:p w14:paraId="41E58C91">
            <w:pPr>
              <w:spacing w:line="570" w:lineRule="exact"/>
              <w:jc w:val="center"/>
              <w:rPr>
                <w:rFonts w:ascii="宋体" w:hAnsi="宋体" w:eastAsia="仿宋_GB2312" w:cs="宋体"/>
                <w:b/>
                <w:sz w:val="24"/>
              </w:rPr>
            </w:pPr>
            <w:r>
              <w:rPr>
                <w:rFonts w:hint="eastAsia" w:ascii="仿宋_GB2312" w:hAnsi="宋体" w:eastAsia="仿宋_GB2312" w:cs="Arial"/>
                <w:b/>
                <w:color w:val="000000"/>
                <w:sz w:val="32"/>
                <w:szCs w:val="32"/>
              </w:rPr>
              <w:t>货物需求一览表</w:t>
            </w:r>
          </w:p>
        </w:tc>
      </w:tr>
      <w:tr w14:paraId="46CFDE6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1168" w:type="dxa"/>
            <w:gridSpan w:val="3"/>
            <w:tcBorders>
              <w:top w:val="single" w:color="auto" w:sz="4" w:space="0"/>
              <w:left w:val="single" w:color="auto" w:sz="4" w:space="0"/>
              <w:right w:val="single" w:color="auto" w:sz="4" w:space="0"/>
            </w:tcBorders>
            <w:vAlign w:val="center"/>
          </w:tcPr>
          <w:p w14:paraId="6702C927">
            <w:pPr>
              <w:spacing w:line="570" w:lineRule="exact"/>
              <w:rPr>
                <w:rFonts w:ascii="仿宋_GB2312" w:hAnsi="宋体" w:eastAsia="仿宋_GB2312" w:cs="Arial"/>
                <w:color w:val="000000"/>
                <w:sz w:val="32"/>
                <w:szCs w:val="32"/>
              </w:rPr>
            </w:pPr>
          </w:p>
        </w:tc>
        <w:tc>
          <w:tcPr>
            <w:tcW w:w="8953" w:type="dxa"/>
            <w:gridSpan w:val="6"/>
            <w:tcBorders>
              <w:top w:val="single" w:color="auto" w:sz="4" w:space="0"/>
              <w:left w:val="single" w:color="auto" w:sz="4" w:space="0"/>
              <w:right w:val="single" w:color="auto" w:sz="4" w:space="0"/>
            </w:tcBorders>
            <w:vAlign w:val="center"/>
          </w:tcPr>
          <w:p w14:paraId="5C4F3E5C">
            <w:pPr>
              <w:spacing w:line="570" w:lineRule="exact"/>
              <w:jc w:val="left"/>
              <w:rPr>
                <w:rFonts w:hAnsi="宋体"/>
                <w:b/>
                <w:bCs/>
                <w:sz w:val="28"/>
              </w:rPr>
            </w:pPr>
          </w:p>
        </w:tc>
      </w:tr>
      <w:tr w14:paraId="2E6549A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425" w:type="dxa"/>
            <w:tcBorders>
              <w:top w:val="single" w:color="auto" w:sz="4" w:space="0"/>
              <w:left w:val="single" w:color="auto" w:sz="4" w:space="0"/>
              <w:right w:val="single" w:color="auto" w:sz="4" w:space="0"/>
            </w:tcBorders>
          </w:tcPr>
          <w:p w14:paraId="6E77079A">
            <w:pPr>
              <w:spacing w:line="570" w:lineRule="exact"/>
              <w:jc w:val="center"/>
              <w:rPr>
                <w:rFonts w:ascii="宋体" w:hAnsi="宋体" w:cs="宋体"/>
                <w:sz w:val="24"/>
              </w:rPr>
            </w:pPr>
            <w:r>
              <w:rPr>
                <w:rFonts w:hint="eastAsia" w:ascii="宋体" w:hAnsi="宋体" w:cs="宋体"/>
              </w:rPr>
              <w:t>采购清单及货物参数</w:t>
            </w:r>
          </w:p>
        </w:tc>
        <w:tc>
          <w:tcPr>
            <w:tcW w:w="436"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49413BA9">
            <w:pPr>
              <w:spacing w:line="570" w:lineRule="exact"/>
              <w:jc w:val="center"/>
              <w:rPr>
                <w:rFonts w:ascii="宋体" w:hAnsi="宋体" w:cs="宋体"/>
                <w:sz w:val="24"/>
              </w:rPr>
            </w:pPr>
            <w:r>
              <w:rPr>
                <w:rFonts w:hint="eastAsia" w:ascii="宋体" w:hAnsi="宋体" w:cs="宋体"/>
                <w:sz w:val="24"/>
              </w:rPr>
              <w:t>序号</w:t>
            </w:r>
          </w:p>
        </w:tc>
        <w:tc>
          <w:tcPr>
            <w:tcW w:w="665" w:type="dxa"/>
            <w:gridSpan w:val="2"/>
            <w:tcBorders>
              <w:top w:val="single" w:color="auto" w:sz="4" w:space="0"/>
              <w:left w:val="single" w:color="auto" w:sz="4" w:space="0"/>
              <w:bottom w:val="single" w:color="auto" w:sz="4" w:space="0"/>
              <w:right w:val="single" w:color="auto" w:sz="4" w:space="0"/>
            </w:tcBorders>
            <w:vAlign w:val="center"/>
          </w:tcPr>
          <w:p w14:paraId="7F3E3B4E">
            <w:pPr>
              <w:spacing w:line="570" w:lineRule="exact"/>
              <w:jc w:val="center"/>
              <w:rPr>
                <w:rFonts w:ascii="宋体" w:hAnsi="宋体" w:cs="宋体"/>
                <w:sz w:val="24"/>
              </w:rPr>
            </w:pPr>
            <w:r>
              <w:rPr>
                <w:rFonts w:hint="eastAsia" w:ascii="宋体" w:hAnsi="宋体" w:cs="宋体"/>
                <w:sz w:val="24"/>
              </w:rPr>
              <w:t>采购货物名称</w:t>
            </w:r>
          </w:p>
        </w:tc>
        <w:tc>
          <w:tcPr>
            <w:tcW w:w="444" w:type="dxa"/>
            <w:tcBorders>
              <w:top w:val="single" w:color="auto" w:sz="4" w:space="0"/>
              <w:left w:val="single" w:color="auto" w:sz="4" w:space="0"/>
              <w:bottom w:val="single" w:color="auto" w:sz="4" w:space="0"/>
              <w:right w:val="single" w:color="auto" w:sz="4" w:space="0"/>
            </w:tcBorders>
            <w:vAlign w:val="center"/>
          </w:tcPr>
          <w:p w14:paraId="1BBA494E">
            <w:pPr>
              <w:spacing w:line="570" w:lineRule="exact"/>
              <w:jc w:val="center"/>
              <w:rPr>
                <w:rFonts w:ascii="宋体" w:hAnsi="宋体" w:cs="宋体"/>
                <w:sz w:val="24"/>
              </w:rPr>
            </w:pPr>
            <w:r>
              <w:rPr>
                <w:rFonts w:hint="eastAsia" w:ascii="宋体" w:hAnsi="宋体" w:cs="宋体"/>
                <w:sz w:val="24"/>
              </w:rPr>
              <w:t>单位</w:t>
            </w:r>
          </w:p>
        </w:tc>
        <w:tc>
          <w:tcPr>
            <w:tcW w:w="478" w:type="dxa"/>
            <w:tcBorders>
              <w:top w:val="single" w:color="auto" w:sz="4" w:space="0"/>
              <w:left w:val="single" w:color="auto" w:sz="4" w:space="0"/>
              <w:bottom w:val="single" w:color="auto" w:sz="4" w:space="0"/>
              <w:right w:val="single" w:color="auto" w:sz="4" w:space="0"/>
            </w:tcBorders>
            <w:vAlign w:val="center"/>
          </w:tcPr>
          <w:p w14:paraId="3ADC9580">
            <w:pPr>
              <w:spacing w:line="570" w:lineRule="exact"/>
              <w:jc w:val="center"/>
              <w:rPr>
                <w:rFonts w:ascii="宋体" w:hAnsi="宋体" w:cs="宋体"/>
                <w:sz w:val="24"/>
              </w:rPr>
            </w:pPr>
            <w:r>
              <w:rPr>
                <w:rFonts w:hint="eastAsia" w:ascii="宋体" w:hAnsi="宋体" w:cs="宋体"/>
                <w:sz w:val="24"/>
              </w:rPr>
              <w:t>数量</w:t>
            </w:r>
          </w:p>
        </w:tc>
        <w:tc>
          <w:tcPr>
            <w:tcW w:w="5976" w:type="dxa"/>
            <w:tcBorders>
              <w:top w:val="single" w:color="auto" w:sz="4" w:space="0"/>
              <w:left w:val="single" w:color="auto" w:sz="4" w:space="0"/>
              <w:bottom w:val="single" w:color="auto" w:sz="4" w:space="0"/>
              <w:right w:val="single" w:color="auto" w:sz="4" w:space="0"/>
            </w:tcBorders>
            <w:vAlign w:val="center"/>
          </w:tcPr>
          <w:p w14:paraId="7DFB8026">
            <w:pPr>
              <w:spacing w:line="570" w:lineRule="exact"/>
              <w:jc w:val="center"/>
              <w:rPr>
                <w:rFonts w:hint="eastAsia" w:ascii="宋体" w:hAnsi="宋体" w:cs="宋体"/>
                <w:sz w:val="24"/>
                <w:lang w:val="en-GB"/>
              </w:rPr>
            </w:pPr>
            <w:r>
              <w:rPr>
                <w:rFonts w:hint="eastAsia" w:ascii="宋体" w:hAnsi="宋体" w:cs="宋体"/>
                <w:sz w:val="24"/>
              </w:rPr>
              <w:t>货物参数</w:t>
            </w:r>
          </w:p>
        </w:tc>
        <w:tc>
          <w:tcPr>
            <w:tcW w:w="1056" w:type="dxa"/>
            <w:tcBorders>
              <w:top w:val="single" w:color="auto" w:sz="4" w:space="0"/>
              <w:left w:val="single" w:color="auto" w:sz="4" w:space="0"/>
              <w:bottom w:val="single" w:color="auto" w:sz="4" w:space="0"/>
              <w:right w:val="single" w:color="auto" w:sz="4" w:space="0"/>
            </w:tcBorders>
            <w:vAlign w:val="center"/>
          </w:tcPr>
          <w:p w14:paraId="714BFE06">
            <w:pPr>
              <w:spacing w:line="570" w:lineRule="exact"/>
              <w:jc w:val="center"/>
              <w:rPr>
                <w:rFonts w:ascii="宋体" w:hAnsi="宋体" w:cs="宋体"/>
                <w:sz w:val="24"/>
              </w:rPr>
            </w:pPr>
            <w:r>
              <w:rPr>
                <w:rFonts w:hint="eastAsia" w:ascii="宋体" w:hAnsi="宋体" w:cs="宋体"/>
                <w:sz w:val="24"/>
              </w:rPr>
              <w:t>分项预算合计（元）</w:t>
            </w:r>
          </w:p>
        </w:tc>
        <w:tc>
          <w:tcPr>
            <w:tcW w:w="641" w:type="dxa"/>
            <w:tcBorders>
              <w:top w:val="single" w:color="auto" w:sz="4" w:space="0"/>
              <w:left w:val="single" w:color="auto" w:sz="4" w:space="0"/>
              <w:bottom w:val="single" w:color="auto" w:sz="4" w:space="0"/>
              <w:right w:val="single" w:color="auto" w:sz="4" w:space="0"/>
            </w:tcBorders>
            <w:vAlign w:val="center"/>
          </w:tcPr>
          <w:p w14:paraId="4330A9FE">
            <w:pPr>
              <w:spacing w:line="570" w:lineRule="exact"/>
              <w:jc w:val="center"/>
              <w:rPr>
                <w:rFonts w:ascii="宋体" w:hAnsi="宋体" w:cs="宋体"/>
                <w:sz w:val="24"/>
              </w:rPr>
            </w:pPr>
            <w:r>
              <w:rPr>
                <w:rFonts w:hint="eastAsia"/>
              </w:rPr>
              <w:t>中小企业划分标准所属行业名称（行业名称及划分见本章附件2）</w:t>
            </w:r>
          </w:p>
        </w:tc>
      </w:tr>
      <w:tr w14:paraId="4925A6B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425" w:type="dxa"/>
            <w:tcBorders>
              <w:left w:val="single" w:color="auto" w:sz="4" w:space="0"/>
              <w:right w:val="single" w:color="auto" w:sz="4" w:space="0"/>
            </w:tcBorders>
          </w:tcPr>
          <w:p w14:paraId="0063A41C">
            <w:pPr>
              <w:spacing w:line="570" w:lineRule="exact"/>
              <w:jc w:val="center"/>
              <w:rPr>
                <w:rFonts w:ascii="宋体" w:hAnsi="宋体"/>
                <w:b/>
                <w:bCs/>
                <w:szCs w:val="21"/>
              </w:rPr>
            </w:pPr>
          </w:p>
        </w:tc>
        <w:tc>
          <w:tcPr>
            <w:tcW w:w="436" w:type="dxa"/>
            <w:tcBorders>
              <w:top w:val="single" w:color="auto" w:sz="4" w:space="0"/>
              <w:left w:val="single" w:color="auto" w:sz="4" w:space="0"/>
              <w:bottom w:val="single" w:color="auto" w:sz="4" w:space="0"/>
              <w:right w:val="single" w:color="auto" w:sz="4" w:space="0"/>
            </w:tcBorders>
            <w:shd w:val="clear" w:color="auto" w:fill="auto"/>
            <w:vAlign w:val="center"/>
          </w:tcPr>
          <w:p w14:paraId="0934ACFD">
            <w:pPr>
              <w:keepNext w:val="0"/>
              <w:keepLines w:val="0"/>
              <w:widowControl/>
              <w:suppressLineNumbers w:val="0"/>
              <w:jc w:val="right"/>
              <w:textAlignment w:val="center"/>
              <w:rPr>
                <w:rFonts w:hint="eastAsia" w:ascii="宋体" w:hAnsi="宋体" w:eastAsia="宋体" w:cs="Times New Roman"/>
                <w:kern w:val="2"/>
                <w:sz w:val="21"/>
                <w:szCs w:val="21"/>
                <w:lang w:val="en-US" w:eastAsia="zh-CN" w:bidi="ar-SA"/>
              </w:rPr>
            </w:pPr>
            <w:r>
              <w:rPr>
                <w:rFonts w:hint="eastAsia" w:ascii="宋体" w:hAnsi="宋体" w:eastAsia="宋体" w:cs="宋体"/>
                <w:i w:val="0"/>
                <w:iCs w:val="0"/>
                <w:color w:val="000000"/>
                <w:kern w:val="0"/>
                <w:sz w:val="22"/>
                <w:szCs w:val="22"/>
                <w:u w:val="none"/>
                <w:lang w:val="en-US" w:eastAsia="zh-CN" w:bidi="ar"/>
              </w:rPr>
              <w:t>1</w:t>
            </w:r>
          </w:p>
        </w:tc>
        <w:tc>
          <w:tcPr>
            <w:tcW w:w="66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05A2F98">
            <w:pPr>
              <w:spacing w:line="570" w:lineRule="exact"/>
              <w:jc w:val="center"/>
              <w:rPr>
                <w:rFonts w:hint="eastAsia" w:ascii="宋体" w:hAnsi="宋体" w:eastAsia="宋体" w:cs="Times New Roman"/>
                <w:kern w:val="2"/>
                <w:sz w:val="21"/>
                <w:szCs w:val="21"/>
                <w:lang w:val="en-GB" w:eastAsia="zh-CN" w:bidi="ar-SA"/>
              </w:rPr>
            </w:pPr>
            <w:r>
              <w:rPr>
                <w:rFonts w:hint="eastAsia"/>
                <w:color w:val="000000"/>
                <w:sz w:val="20"/>
                <w:szCs w:val="20"/>
              </w:rPr>
              <w:t>智能交互平板</w:t>
            </w:r>
          </w:p>
        </w:tc>
        <w:tc>
          <w:tcPr>
            <w:tcW w:w="444" w:type="dxa"/>
            <w:tcBorders>
              <w:top w:val="single" w:color="auto" w:sz="4" w:space="0"/>
              <w:left w:val="single" w:color="auto" w:sz="4" w:space="0"/>
              <w:bottom w:val="single" w:color="auto" w:sz="4" w:space="0"/>
              <w:right w:val="single" w:color="auto" w:sz="4" w:space="0"/>
            </w:tcBorders>
            <w:shd w:val="clear" w:color="auto" w:fill="auto"/>
            <w:vAlign w:val="center"/>
          </w:tcPr>
          <w:p w14:paraId="28B093C0">
            <w:pPr>
              <w:spacing w:line="570" w:lineRule="exact"/>
              <w:jc w:val="center"/>
              <w:rPr>
                <w:rFonts w:hint="eastAsia" w:ascii="宋体" w:hAnsi="宋体" w:eastAsia="宋体" w:cs="Times New Roman"/>
                <w:kern w:val="2"/>
                <w:sz w:val="21"/>
                <w:szCs w:val="21"/>
                <w:lang w:val="en-US" w:eastAsia="zh-CN" w:bidi="ar-SA"/>
              </w:rPr>
            </w:pPr>
            <w:r>
              <w:rPr>
                <w:rFonts w:hint="eastAsia"/>
                <w:color w:val="000000"/>
                <w:sz w:val="20"/>
                <w:szCs w:val="20"/>
              </w:rPr>
              <w:t>台</w:t>
            </w:r>
          </w:p>
        </w:tc>
        <w:tc>
          <w:tcPr>
            <w:tcW w:w="478" w:type="dxa"/>
            <w:tcBorders>
              <w:top w:val="single" w:color="auto" w:sz="4" w:space="0"/>
              <w:left w:val="single" w:color="auto" w:sz="4" w:space="0"/>
              <w:bottom w:val="single" w:color="auto" w:sz="4" w:space="0"/>
              <w:right w:val="single" w:color="auto" w:sz="4" w:space="0"/>
            </w:tcBorders>
            <w:shd w:val="clear" w:color="auto" w:fill="auto"/>
            <w:vAlign w:val="center"/>
          </w:tcPr>
          <w:p w14:paraId="1D1C3C96">
            <w:pPr>
              <w:spacing w:line="570" w:lineRule="exact"/>
              <w:jc w:val="center"/>
              <w:rPr>
                <w:rFonts w:hint="eastAsia" w:ascii="宋体" w:hAnsi="宋体" w:eastAsia="宋体" w:cs="Times New Roman"/>
                <w:kern w:val="2"/>
                <w:sz w:val="21"/>
                <w:szCs w:val="21"/>
                <w:lang w:val="en-US" w:eastAsia="zh-CN" w:bidi="ar-SA"/>
              </w:rPr>
            </w:pPr>
            <w:r>
              <w:rPr>
                <w:rFonts w:hint="eastAsia"/>
                <w:color w:val="000000"/>
                <w:sz w:val="20"/>
                <w:szCs w:val="20"/>
              </w:rPr>
              <w:t>1</w:t>
            </w:r>
          </w:p>
        </w:tc>
        <w:tc>
          <w:tcPr>
            <w:tcW w:w="5976" w:type="dxa"/>
            <w:tcBorders>
              <w:top w:val="single" w:color="auto" w:sz="4" w:space="0"/>
              <w:left w:val="single" w:color="auto" w:sz="4" w:space="0"/>
              <w:bottom w:val="single" w:color="auto" w:sz="4" w:space="0"/>
              <w:right w:val="single" w:color="auto" w:sz="4" w:space="0"/>
            </w:tcBorders>
            <w:shd w:val="clear" w:color="auto" w:fill="auto"/>
            <w:vAlign w:val="center"/>
          </w:tcPr>
          <w:p w14:paraId="26BBCF9E">
            <w:pPr>
              <w:numPr>
                <w:ilvl w:val="0"/>
                <w:numId w:val="0"/>
              </w:numPr>
              <w:spacing w:line="360" w:lineRule="auto"/>
              <w:rPr>
                <w:rFonts w:hint="eastAsia" w:ascii="等线" w:hAnsi="等线" w:eastAsia="等线" w:cs="等线"/>
                <w:b/>
                <w:bCs/>
              </w:rPr>
            </w:pPr>
            <w:r>
              <w:rPr>
                <w:rFonts w:hint="eastAsia" w:ascii="等线" w:hAnsi="等线" w:eastAsia="等线" w:cs="等线"/>
                <w:b/>
                <w:bCs/>
                <w:lang w:val="en-US" w:eastAsia="zh-CN"/>
              </w:rPr>
              <w:t>一、</w:t>
            </w:r>
            <w:r>
              <w:rPr>
                <w:rFonts w:hint="eastAsia" w:ascii="等线" w:hAnsi="等线" w:eastAsia="等线" w:cs="等线"/>
                <w:b/>
                <w:bCs/>
              </w:rPr>
              <w:t>整体设计</w:t>
            </w:r>
          </w:p>
          <w:p w14:paraId="3DD942E1">
            <w:pPr>
              <w:spacing w:line="400" w:lineRule="exact"/>
              <w:rPr>
                <w:rFonts w:hint="eastAsia"/>
                <w:color w:val="000000"/>
                <w:sz w:val="20"/>
                <w:szCs w:val="20"/>
              </w:rPr>
            </w:pPr>
            <w:r>
              <w:rPr>
                <w:rFonts w:hint="eastAsia"/>
                <w:color w:val="000000"/>
                <w:sz w:val="20"/>
                <w:szCs w:val="20"/>
                <w:lang w:val="en-US" w:eastAsia="zh-CN"/>
              </w:rPr>
              <w:t>1.</w:t>
            </w:r>
            <w:r>
              <w:rPr>
                <w:rFonts w:hint="eastAsia"/>
                <w:color w:val="000000"/>
                <w:sz w:val="20"/>
                <w:szCs w:val="20"/>
              </w:rPr>
              <w:t>整机屏幕采用86英寸液晶显示器；整机采用一体设计，</w:t>
            </w:r>
            <w:bookmarkStart w:id="4" w:name="_GoBack"/>
            <w:r>
              <w:rPr>
                <w:rFonts w:hint="eastAsia"/>
                <w:color w:val="000000"/>
                <w:sz w:val="20"/>
                <w:szCs w:val="20"/>
                <w:highlight w:val="none"/>
              </w:rPr>
              <w:t>外部无任何可见内部功能模块连接线。</w:t>
            </w:r>
            <w:bookmarkEnd w:id="4"/>
            <w:r>
              <w:rPr>
                <w:rFonts w:hint="eastAsia"/>
                <w:color w:val="000000"/>
                <w:sz w:val="20"/>
                <w:szCs w:val="20"/>
              </w:rPr>
              <w:t>机器边缘采用金属圆角包边防护，整机背板采用金属材质，有效屏蔽内部电路器件辐射。</w:t>
            </w:r>
          </w:p>
          <w:p w14:paraId="6FA9F58B">
            <w:pPr>
              <w:spacing w:line="400" w:lineRule="exact"/>
              <w:rPr>
                <w:rFonts w:hint="eastAsia"/>
                <w:color w:val="000000"/>
                <w:sz w:val="20"/>
                <w:szCs w:val="20"/>
              </w:rPr>
            </w:pPr>
            <w:r>
              <w:rPr>
                <w:rFonts w:hint="eastAsia"/>
                <w:color w:val="000000"/>
                <w:sz w:val="20"/>
                <w:szCs w:val="20"/>
                <w:lang w:val="en-US" w:eastAsia="zh-CN"/>
              </w:rPr>
              <w:t>2.</w:t>
            </w:r>
            <w:r>
              <w:rPr>
                <w:rFonts w:hint="eastAsia"/>
                <w:color w:val="000000"/>
                <w:sz w:val="20"/>
                <w:szCs w:val="20"/>
              </w:rPr>
              <w:t>整机采用UHD超高清LED液晶屏，液晶显示屏幕采用工业级A规液晶面板，显示比例16:9，分辨率3840×2160，整机可视角度≥178°，整机屏幕灰度等级≥256级。</w:t>
            </w:r>
          </w:p>
          <w:p w14:paraId="454FE719">
            <w:pPr>
              <w:spacing w:line="400" w:lineRule="exact"/>
              <w:rPr>
                <w:rFonts w:hint="eastAsia"/>
                <w:color w:val="000000"/>
                <w:sz w:val="20"/>
                <w:szCs w:val="20"/>
              </w:rPr>
            </w:pPr>
            <w:r>
              <w:rPr>
                <w:rFonts w:hint="eastAsia"/>
                <w:color w:val="000000"/>
                <w:sz w:val="20"/>
                <w:szCs w:val="20"/>
                <w:lang w:val="en-US" w:eastAsia="zh-CN"/>
              </w:rPr>
              <w:t>3.</w:t>
            </w:r>
            <w:r>
              <w:rPr>
                <w:rFonts w:hint="eastAsia"/>
                <w:color w:val="000000"/>
                <w:sz w:val="20"/>
                <w:szCs w:val="20"/>
              </w:rPr>
              <w:t>▲</w:t>
            </w:r>
            <w:r>
              <w:rPr>
                <w:rFonts w:hint="eastAsia"/>
                <w:color w:val="auto"/>
                <w:sz w:val="20"/>
                <w:szCs w:val="20"/>
                <w:highlight w:val="none"/>
              </w:rPr>
              <w:t>整机系统具备高清4K视频处理能力，4K 高清显示，使画面亮丽、清晰、流畅，保证显示效果；且具有自动优化运动图像功能。</w:t>
            </w:r>
            <w:r>
              <w:rPr>
                <w:rFonts w:hint="eastAsia"/>
                <w:color w:val="000000"/>
                <w:sz w:val="20"/>
                <w:szCs w:val="20"/>
                <w:lang w:val="en-US" w:eastAsia="zh-CN"/>
              </w:rPr>
              <w:t>4.</w:t>
            </w:r>
            <w:r>
              <w:rPr>
                <w:rFonts w:hint="eastAsia"/>
                <w:color w:val="000000"/>
                <w:sz w:val="20"/>
                <w:szCs w:val="20"/>
              </w:rPr>
              <w:t>▲整机支持全通道4K显示，全通道OSD菜单及整机内置系统均支持4K图像显示。</w:t>
            </w:r>
          </w:p>
          <w:p w14:paraId="09E736E8">
            <w:pPr>
              <w:spacing w:line="400" w:lineRule="exact"/>
              <w:rPr>
                <w:rFonts w:hint="eastAsia"/>
                <w:color w:val="000000"/>
                <w:sz w:val="20"/>
                <w:szCs w:val="20"/>
              </w:rPr>
            </w:pPr>
            <w:r>
              <w:rPr>
                <w:rFonts w:hint="eastAsia"/>
                <w:color w:val="000000"/>
                <w:sz w:val="20"/>
                <w:szCs w:val="20"/>
                <w:lang w:val="en-US" w:eastAsia="zh-CN"/>
              </w:rPr>
              <w:t>5.</w:t>
            </w:r>
            <w:r>
              <w:rPr>
                <w:rFonts w:hint="eastAsia"/>
                <w:color w:val="000000"/>
                <w:sz w:val="20"/>
                <w:szCs w:val="20"/>
              </w:rPr>
              <w:t>▲整机屏幕采用直流背光源，保证显示画面无频闪，有效避免视觉疲劳，呵护师生用眼健康，整机色域覆盖率（NTSC）≥105%。</w:t>
            </w:r>
          </w:p>
          <w:p w14:paraId="3D368264">
            <w:pPr>
              <w:spacing w:line="400" w:lineRule="exact"/>
              <w:rPr>
                <w:rFonts w:hint="eastAsia"/>
                <w:color w:val="000000"/>
                <w:sz w:val="20"/>
                <w:szCs w:val="20"/>
              </w:rPr>
            </w:pPr>
            <w:r>
              <w:rPr>
                <w:rFonts w:hint="eastAsia"/>
                <w:color w:val="000000"/>
                <w:sz w:val="20"/>
                <w:szCs w:val="20"/>
                <w:lang w:val="en-US" w:eastAsia="zh-CN"/>
              </w:rPr>
              <w:t>6.整机最大屏幕亮度≥300cd/m²，使用时屏幕亮度不大于400cd/m²，符合国家GB40070-2021标准。</w:t>
            </w:r>
          </w:p>
          <w:p w14:paraId="4C19C0B8">
            <w:pPr>
              <w:spacing w:line="400" w:lineRule="exact"/>
              <w:rPr>
                <w:rFonts w:hint="eastAsia"/>
                <w:color w:val="000000"/>
                <w:sz w:val="20"/>
                <w:szCs w:val="20"/>
              </w:rPr>
            </w:pPr>
            <w:r>
              <w:rPr>
                <w:rFonts w:hint="eastAsia"/>
                <w:color w:val="000000"/>
                <w:sz w:val="20"/>
                <w:szCs w:val="20"/>
                <w:lang w:val="en-US" w:eastAsia="zh-CN"/>
              </w:rPr>
              <w:t>7.</w:t>
            </w:r>
            <w:r>
              <w:rPr>
                <w:rFonts w:hint="eastAsia"/>
                <w:color w:val="000000"/>
                <w:sz w:val="20"/>
                <w:szCs w:val="20"/>
              </w:rPr>
              <w:t>整机采用硬件低蓝光背光技术，在源头减少有害蓝光波段能量，蓝光占比（有害蓝光415～455nm能量综合）/（整体蓝光400～500能量综合）＜50%，低蓝光保护显示不偏色、不泛黄。整机视网膜蓝光危害（蓝光加权辐射亮度LB）满足IEC TR 62778:2014蓝光危害RG0级别。</w:t>
            </w:r>
          </w:p>
          <w:p w14:paraId="6F3F2A05">
            <w:pPr>
              <w:spacing w:line="400" w:lineRule="exact"/>
              <w:rPr>
                <w:rFonts w:hint="eastAsia"/>
                <w:color w:val="000000"/>
                <w:sz w:val="20"/>
                <w:szCs w:val="20"/>
                <w:highlight w:val="yellow"/>
              </w:rPr>
            </w:pPr>
            <w:r>
              <w:rPr>
                <w:rFonts w:hint="eastAsia"/>
                <w:color w:val="000000"/>
                <w:sz w:val="20"/>
                <w:szCs w:val="20"/>
                <w:lang w:val="en-US" w:eastAsia="zh-CN"/>
              </w:rPr>
              <w:t>8.整机支持多种护眼功能，可通过快捷菜单触控按键及前置物理按键进行护眼模式切换。</w:t>
            </w:r>
          </w:p>
          <w:p w14:paraId="4A3485B6">
            <w:pPr>
              <w:spacing w:line="400" w:lineRule="exact"/>
              <w:rPr>
                <w:rFonts w:hint="eastAsia"/>
                <w:color w:val="000000"/>
                <w:sz w:val="20"/>
                <w:szCs w:val="20"/>
              </w:rPr>
            </w:pPr>
            <w:r>
              <w:rPr>
                <w:rFonts w:hint="eastAsia"/>
                <w:color w:val="000000"/>
                <w:sz w:val="20"/>
                <w:szCs w:val="20"/>
                <w:lang w:val="en-US" w:eastAsia="zh-CN"/>
              </w:rPr>
              <w:t>9.</w:t>
            </w:r>
            <w:r>
              <w:rPr>
                <w:rFonts w:hint="eastAsia"/>
                <w:color w:val="000000"/>
                <w:sz w:val="20"/>
                <w:szCs w:val="20"/>
              </w:rPr>
              <w:t>▲整机支持纸质护眼模式，可以在任意通道任意画面任意软件所有显示内容下实现画面纹理的实时调整；支持透明度调节；支持色温调节。支持透明度调节；支持色温调节。</w:t>
            </w:r>
          </w:p>
          <w:p w14:paraId="7A02EA8F">
            <w:pPr>
              <w:spacing w:line="400" w:lineRule="exact"/>
              <w:rPr>
                <w:rFonts w:hint="eastAsia"/>
                <w:color w:val="000000"/>
                <w:sz w:val="20"/>
                <w:szCs w:val="20"/>
              </w:rPr>
            </w:pPr>
            <w:r>
              <w:rPr>
                <w:rFonts w:hint="eastAsia"/>
                <w:color w:val="000000"/>
                <w:sz w:val="20"/>
                <w:szCs w:val="20"/>
                <w:lang w:val="en-US" w:eastAsia="zh-CN"/>
              </w:rPr>
              <w:t>10.</w:t>
            </w:r>
            <w:r>
              <w:rPr>
                <w:rFonts w:hint="eastAsia"/>
                <w:color w:val="000000"/>
                <w:sz w:val="20"/>
                <w:szCs w:val="20"/>
              </w:rPr>
              <w:t>整机采用防眩光玻璃，屏幕支持防眩光功能，透光率≥93%，光泽度≤8度，钢化玻璃表面硬度≥9H，有效保护屏幕显示画面</w:t>
            </w:r>
          </w:p>
          <w:p w14:paraId="7325671D">
            <w:pPr>
              <w:spacing w:line="400" w:lineRule="exact"/>
              <w:rPr>
                <w:rFonts w:hint="eastAsia"/>
                <w:color w:val="000000"/>
                <w:sz w:val="20"/>
                <w:szCs w:val="20"/>
                <w:highlight w:val="yellow"/>
              </w:rPr>
            </w:pPr>
            <w:r>
              <w:rPr>
                <w:rFonts w:hint="eastAsia"/>
                <w:color w:val="000000"/>
                <w:sz w:val="20"/>
                <w:szCs w:val="20"/>
                <w:lang w:val="en-US" w:eastAsia="zh-CN"/>
              </w:rPr>
              <w:t>11.整机屏幕采用零贴合工艺，减少显示面板与玻璃间的偏光、散射。</w:t>
            </w:r>
          </w:p>
          <w:p w14:paraId="3F8CFFC6">
            <w:pPr>
              <w:numPr>
                <w:ilvl w:val="0"/>
                <w:numId w:val="0"/>
              </w:numPr>
              <w:spacing w:line="360" w:lineRule="auto"/>
              <w:rPr>
                <w:rFonts w:hint="eastAsia" w:ascii="等线" w:hAnsi="等线" w:eastAsia="等线" w:cs="等线"/>
                <w:b/>
                <w:bCs/>
                <w:szCs w:val="21"/>
              </w:rPr>
            </w:pPr>
            <w:r>
              <w:rPr>
                <w:rFonts w:hint="eastAsia" w:ascii="等线" w:hAnsi="等线" w:eastAsia="等线" w:cs="等线"/>
                <w:b/>
                <w:bCs/>
                <w:szCs w:val="21"/>
                <w:lang w:val="en-US" w:eastAsia="zh-CN"/>
              </w:rPr>
              <w:t>二、</w:t>
            </w:r>
            <w:r>
              <w:rPr>
                <w:rFonts w:hint="eastAsia" w:ascii="等线" w:hAnsi="等线" w:eastAsia="等线" w:cs="等线"/>
                <w:b/>
                <w:bCs/>
                <w:szCs w:val="21"/>
              </w:rPr>
              <w:t>整机设计</w:t>
            </w:r>
          </w:p>
          <w:p w14:paraId="42302930">
            <w:pPr>
              <w:spacing w:line="400" w:lineRule="exact"/>
              <w:rPr>
                <w:rFonts w:hint="eastAsia"/>
                <w:color w:val="000000"/>
                <w:sz w:val="20"/>
                <w:szCs w:val="20"/>
              </w:rPr>
            </w:pPr>
            <w:r>
              <w:rPr>
                <w:rFonts w:hint="eastAsia"/>
                <w:color w:val="000000"/>
                <w:sz w:val="20"/>
                <w:szCs w:val="20"/>
                <w:lang w:val="en-US" w:eastAsia="zh-CN"/>
              </w:rPr>
              <w:t>1.整机具备至少6个前置物理按键，包括三合一电源按键、设置、音量+、音量-、护眼、录屏。整机三合一电源按键，同一电源物理按键完成内置系统的开机、节能息屏/唤醒、关机操作</w:t>
            </w:r>
            <w:r>
              <w:rPr>
                <w:rFonts w:hint="eastAsia"/>
                <w:color w:val="000000"/>
                <w:sz w:val="20"/>
                <w:szCs w:val="20"/>
              </w:rPr>
              <w:t>。</w:t>
            </w:r>
          </w:p>
          <w:p w14:paraId="214B7C2F">
            <w:pPr>
              <w:spacing w:line="400" w:lineRule="exact"/>
              <w:rPr>
                <w:rFonts w:hint="eastAsia"/>
                <w:color w:val="000000"/>
                <w:sz w:val="20"/>
                <w:szCs w:val="20"/>
              </w:rPr>
            </w:pPr>
            <w:r>
              <w:rPr>
                <w:rFonts w:hint="eastAsia"/>
                <w:color w:val="000000"/>
                <w:sz w:val="20"/>
                <w:szCs w:val="20"/>
                <w:lang w:val="en-US" w:eastAsia="zh-CN"/>
              </w:rPr>
              <w:t>2.</w:t>
            </w:r>
            <w:r>
              <w:rPr>
                <w:rFonts w:hint="eastAsia"/>
                <w:color w:val="000000"/>
                <w:sz w:val="20"/>
                <w:szCs w:val="20"/>
              </w:rPr>
              <w:t>整机支持通过前置面板物理按键一键启动录屏功能，可将屏幕中显示的课件、音频内容与人声同时录制。</w:t>
            </w:r>
          </w:p>
          <w:p w14:paraId="75B6249F">
            <w:pPr>
              <w:spacing w:line="400" w:lineRule="exact"/>
              <w:rPr>
                <w:rFonts w:hint="eastAsia"/>
                <w:color w:val="000000"/>
                <w:sz w:val="20"/>
                <w:szCs w:val="20"/>
              </w:rPr>
            </w:pPr>
            <w:r>
              <w:rPr>
                <w:rFonts w:hint="eastAsia"/>
                <w:color w:val="000000"/>
                <w:sz w:val="20"/>
                <w:szCs w:val="20"/>
                <w:lang w:val="en-US" w:eastAsia="zh-CN"/>
              </w:rPr>
              <w:t>3.</w:t>
            </w:r>
            <w:r>
              <w:rPr>
                <w:rFonts w:hint="eastAsia"/>
                <w:color w:val="000000"/>
                <w:sz w:val="20"/>
                <w:szCs w:val="20"/>
              </w:rPr>
              <w:t>整机前置接口具备防撞防尘挡板设计，挡板采用转轴式翻转。防止接口在连接外接设备使用时与推拉黑板产生碰撞，造成设备损坏，同时有效避免粉尘堵塞接口。</w:t>
            </w:r>
          </w:p>
          <w:p w14:paraId="40FEFD70">
            <w:pPr>
              <w:spacing w:line="400" w:lineRule="exact"/>
              <w:rPr>
                <w:rFonts w:hint="eastAsia"/>
                <w:color w:val="000000"/>
                <w:sz w:val="20"/>
                <w:szCs w:val="20"/>
              </w:rPr>
            </w:pPr>
            <w:r>
              <w:rPr>
                <w:rFonts w:hint="eastAsia"/>
                <w:color w:val="000000"/>
                <w:sz w:val="20"/>
                <w:szCs w:val="20"/>
                <w:lang w:val="en-US" w:eastAsia="zh-CN"/>
              </w:rPr>
              <w:t>4.</w:t>
            </w:r>
            <w:r>
              <w:rPr>
                <w:rFonts w:hint="eastAsia"/>
                <w:color w:val="000000"/>
                <w:sz w:val="20"/>
                <w:szCs w:val="20"/>
              </w:rPr>
              <w:t>侧置输入接口≥1路HDMI、≥1路RS232、≥2路USB接口、≥1路LAN接口；侧置输出接口≥1路音频输出、≥1路触控USB输出；前置输入接口≥3路USB接口（包含1路Type-C、2路USB）及≥1路麦克风接口；所有接口具备明显的丝印标识。</w:t>
            </w:r>
          </w:p>
          <w:p w14:paraId="6DB4E0BD">
            <w:pPr>
              <w:spacing w:line="400" w:lineRule="exact"/>
              <w:rPr>
                <w:rFonts w:hint="eastAsia"/>
                <w:color w:val="000000"/>
                <w:sz w:val="20"/>
                <w:szCs w:val="20"/>
              </w:rPr>
            </w:pPr>
            <w:r>
              <w:rPr>
                <w:rFonts w:hint="eastAsia"/>
                <w:color w:val="000000"/>
                <w:sz w:val="20"/>
                <w:szCs w:val="20"/>
                <w:lang w:val="en-US" w:eastAsia="zh-CN"/>
              </w:rPr>
              <w:t>5.</w:t>
            </w:r>
            <w:r>
              <w:rPr>
                <w:rFonts w:hint="eastAsia"/>
                <w:color w:val="000000"/>
                <w:sz w:val="20"/>
                <w:szCs w:val="20"/>
              </w:rPr>
              <w:t>前置Type-C接口，支持通过不带转换转置的外部线缆，实现外接电脑信号的接入显示，显示分辨率可达到4K@ 60Hz。</w:t>
            </w:r>
          </w:p>
          <w:p w14:paraId="44B15DE1">
            <w:pPr>
              <w:spacing w:line="400" w:lineRule="exact"/>
              <w:rPr>
                <w:rFonts w:hint="eastAsia"/>
                <w:color w:val="000000"/>
                <w:sz w:val="20"/>
                <w:szCs w:val="20"/>
              </w:rPr>
            </w:pPr>
            <w:r>
              <w:rPr>
                <w:rFonts w:hint="eastAsia"/>
                <w:color w:val="000000"/>
                <w:sz w:val="20"/>
                <w:szCs w:val="20"/>
                <w:lang w:val="en-US" w:eastAsia="zh-CN"/>
              </w:rPr>
              <w:t>6.</w:t>
            </w:r>
            <w:r>
              <w:rPr>
                <w:rFonts w:hint="eastAsia"/>
                <w:color w:val="000000"/>
                <w:sz w:val="20"/>
                <w:szCs w:val="20"/>
              </w:rPr>
              <w:t>▲整机内置全通道投屏功能，无需外接任何硬件设备（如传屏器等），即可在任意通道下快速实现无线投屏功能。</w:t>
            </w:r>
          </w:p>
          <w:p w14:paraId="0C24F7C9">
            <w:pPr>
              <w:spacing w:line="400" w:lineRule="exact"/>
              <w:rPr>
                <w:rFonts w:hint="eastAsia"/>
                <w:color w:val="000000"/>
                <w:sz w:val="20"/>
                <w:szCs w:val="20"/>
              </w:rPr>
            </w:pPr>
            <w:r>
              <w:rPr>
                <w:rFonts w:hint="eastAsia"/>
                <w:color w:val="000000"/>
                <w:sz w:val="20"/>
                <w:szCs w:val="20"/>
                <w:lang w:val="en-US" w:eastAsia="zh-CN"/>
              </w:rPr>
              <w:t>7.</w:t>
            </w:r>
            <w:r>
              <w:rPr>
                <w:rFonts w:hint="eastAsia"/>
                <w:color w:val="000000"/>
                <w:sz w:val="20"/>
                <w:szCs w:val="20"/>
              </w:rPr>
              <w:t>▲整机内置非独立高清摄像头，摄像头与整机采用一体化设计，无任何可见外接线材，可拍摄≥3200万像素数的照片，支持输出4K；输出摄像头视场角≥135度且水平视场角≥120度画面。</w:t>
            </w:r>
          </w:p>
          <w:p w14:paraId="5AE926C5">
            <w:pPr>
              <w:spacing w:line="400" w:lineRule="exact"/>
              <w:rPr>
                <w:rFonts w:hint="eastAsia"/>
                <w:color w:val="000000"/>
                <w:sz w:val="20"/>
                <w:szCs w:val="20"/>
              </w:rPr>
            </w:pPr>
            <w:r>
              <w:rPr>
                <w:rFonts w:hint="eastAsia"/>
                <w:color w:val="000000"/>
                <w:sz w:val="20"/>
                <w:szCs w:val="20"/>
                <w:lang w:val="en-US" w:eastAsia="zh-CN"/>
              </w:rPr>
              <w:t>8.</w:t>
            </w:r>
            <w:r>
              <w:rPr>
                <w:rFonts w:hint="eastAsia"/>
                <w:color w:val="000000"/>
                <w:sz w:val="20"/>
                <w:szCs w:val="20"/>
              </w:rPr>
              <w:t>▲整机内置8阵列麦克风，采用非独立外扩展形式，不占用整机设备端口，可用于对教室环境音频进行采集。麦克风拾音距离≥12m。</w:t>
            </w:r>
          </w:p>
          <w:p w14:paraId="55D0F938">
            <w:pPr>
              <w:spacing w:line="400" w:lineRule="exact"/>
              <w:rPr>
                <w:rFonts w:hint="eastAsia"/>
                <w:color w:val="000000"/>
                <w:sz w:val="20"/>
                <w:szCs w:val="20"/>
              </w:rPr>
            </w:pPr>
            <w:r>
              <w:rPr>
                <w:rFonts w:hint="eastAsia"/>
                <w:color w:val="000000"/>
                <w:sz w:val="20"/>
                <w:szCs w:val="20"/>
                <w:lang w:val="en-US" w:eastAsia="zh-CN"/>
              </w:rPr>
              <w:t>9.</w:t>
            </w:r>
            <w:r>
              <w:rPr>
                <w:rFonts w:hint="eastAsia"/>
                <w:color w:val="000000"/>
                <w:sz w:val="20"/>
                <w:szCs w:val="20"/>
              </w:rPr>
              <w:t>整机内置2.2声道扬声器，其中20W全频音频单元2个，10W高频音频单元2个，额定总功率不低于60W，有效满足课堂视听需求。</w:t>
            </w:r>
          </w:p>
          <w:p w14:paraId="604C09DE">
            <w:pPr>
              <w:spacing w:line="400" w:lineRule="exact"/>
              <w:rPr>
                <w:rFonts w:hint="eastAsia"/>
                <w:color w:val="000000"/>
                <w:sz w:val="20"/>
                <w:szCs w:val="20"/>
              </w:rPr>
            </w:pPr>
            <w:r>
              <w:rPr>
                <w:rFonts w:hint="eastAsia"/>
                <w:color w:val="000000"/>
                <w:sz w:val="20"/>
                <w:szCs w:val="20"/>
                <w:lang w:val="en-US" w:eastAsia="zh-CN"/>
              </w:rPr>
              <w:t>10.</w:t>
            </w:r>
            <w:r>
              <w:rPr>
                <w:rFonts w:hint="eastAsia"/>
                <w:color w:val="000000"/>
                <w:sz w:val="20"/>
                <w:szCs w:val="20"/>
              </w:rPr>
              <w:t>▲整机内置无线网卡，在</w:t>
            </w:r>
            <w:r>
              <w:rPr>
                <w:rFonts w:hint="eastAsia"/>
                <w:color w:val="000000"/>
                <w:sz w:val="20"/>
                <w:szCs w:val="20"/>
                <w:lang w:val="en-US" w:eastAsia="zh-CN"/>
              </w:rPr>
              <w:t>内置系统</w:t>
            </w:r>
            <w:r>
              <w:rPr>
                <w:rFonts w:hint="eastAsia"/>
                <w:color w:val="000000"/>
                <w:sz w:val="20"/>
                <w:szCs w:val="20"/>
              </w:rPr>
              <w:t>下可实现Wi-Fi连接、AP热点发射及BT蓝牙连接功能；整机支持蓝牙Bluetooth 5.2标准。</w:t>
            </w:r>
          </w:p>
          <w:p w14:paraId="6DFD7253">
            <w:pPr>
              <w:spacing w:line="400" w:lineRule="exact"/>
              <w:rPr>
                <w:rFonts w:hint="eastAsia"/>
                <w:color w:val="000000"/>
                <w:sz w:val="20"/>
                <w:szCs w:val="20"/>
                <w:lang w:val="en-US" w:eastAsia="zh-CN"/>
              </w:rPr>
            </w:pPr>
            <w:r>
              <w:rPr>
                <w:rFonts w:hint="eastAsia"/>
                <w:color w:val="000000"/>
                <w:sz w:val="20"/>
                <w:szCs w:val="20"/>
                <w:lang w:val="en-US" w:eastAsia="zh-CN"/>
              </w:rPr>
              <w:t>11.</w:t>
            </w:r>
            <w:r>
              <w:rPr>
                <w:rFonts w:hint="eastAsia"/>
                <w:color w:val="000000"/>
                <w:sz w:val="20"/>
                <w:szCs w:val="20"/>
              </w:rPr>
              <w:t>▲Wi-Fi及AP热点支持频段2.4GHz/5GHz；Wi-Fi制式支持IEEE 802.11 a/b/g/n/ac/ax，支持版本Wi-Fi6，Wi-Fi和AP热点</w:t>
            </w:r>
            <w:r>
              <w:rPr>
                <w:rFonts w:hint="eastAsia"/>
                <w:color w:val="000000"/>
                <w:sz w:val="20"/>
                <w:szCs w:val="20"/>
                <w:lang w:val="en-US" w:eastAsia="zh-CN"/>
              </w:rPr>
              <w:t>工作距离≥12m。</w:t>
            </w:r>
          </w:p>
          <w:p w14:paraId="00BB7D11">
            <w:pPr>
              <w:numPr>
                <w:ilvl w:val="0"/>
                <w:numId w:val="0"/>
              </w:numPr>
              <w:spacing w:line="360" w:lineRule="auto"/>
              <w:rPr>
                <w:rFonts w:hint="eastAsia" w:ascii="等线" w:hAnsi="等线" w:eastAsia="等线" w:cs="等线"/>
                <w:b/>
                <w:bCs/>
                <w:szCs w:val="21"/>
                <w:lang w:val="en-US" w:eastAsia="zh-CN"/>
              </w:rPr>
            </w:pPr>
            <w:r>
              <w:rPr>
                <w:rFonts w:hint="eastAsia" w:ascii="等线" w:hAnsi="等线" w:eastAsia="等线" w:cs="等线"/>
                <w:b/>
                <w:bCs/>
                <w:szCs w:val="21"/>
                <w:lang w:val="en-US" w:eastAsia="zh-CN"/>
              </w:rPr>
              <w:t>三、主要功能</w:t>
            </w:r>
          </w:p>
          <w:p w14:paraId="0350FB02">
            <w:pPr>
              <w:spacing w:line="400" w:lineRule="exact"/>
              <w:rPr>
                <w:rFonts w:hint="eastAsia"/>
                <w:color w:val="000000"/>
                <w:sz w:val="20"/>
                <w:szCs w:val="20"/>
                <w:lang w:val="en-US" w:eastAsia="zh-CN"/>
              </w:rPr>
            </w:pPr>
            <w:r>
              <w:rPr>
                <w:rFonts w:hint="eastAsia"/>
                <w:color w:val="000000"/>
                <w:sz w:val="20"/>
                <w:szCs w:val="20"/>
                <w:lang w:val="en-US" w:eastAsia="zh-CN"/>
              </w:rPr>
              <w:t>1.整机支持在任意通道下通过手势快速调出悬浮菜单，悬浮菜单包括主页、内置电脑、白板、多任务、返回、信号源、屏幕下移、批注等不少于8个功能，并可在任意通道下通过手势快速调用此悬浮菜单到屏幕任意位置，且悬浮菜单在使用完毕后会自动隐藏。</w:t>
            </w:r>
          </w:p>
          <w:p w14:paraId="56E89440">
            <w:pPr>
              <w:spacing w:line="400" w:lineRule="exact"/>
              <w:rPr>
                <w:rFonts w:hint="eastAsia"/>
                <w:color w:val="000000"/>
                <w:sz w:val="20"/>
                <w:szCs w:val="20"/>
                <w:lang w:val="en-US" w:eastAsia="zh-CN"/>
              </w:rPr>
            </w:pPr>
            <w:r>
              <w:rPr>
                <w:rFonts w:hint="eastAsia"/>
                <w:color w:val="000000"/>
                <w:sz w:val="20"/>
                <w:szCs w:val="20"/>
                <w:lang w:val="en-US" w:eastAsia="zh-CN"/>
              </w:rPr>
              <w:t>2.整机支持将自定义图片、支持将自定义动画设置为开机画面。</w:t>
            </w:r>
          </w:p>
          <w:p w14:paraId="1BA8F820">
            <w:pPr>
              <w:spacing w:line="400" w:lineRule="exact"/>
              <w:rPr>
                <w:rFonts w:hint="eastAsia"/>
                <w:color w:val="000000"/>
                <w:sz w:val="20"/>
                <w:szCs w:val="20"/>
                <w:lang w:val="en-US" w:eastAsia="zh-CN"/>
              </w:rPr>
            </w:pPr>
            <w:r>
              <w:rPr>
                <w:rFonts w:hint="eastAsia"/>
                <w:color w:val="000000"/>
                <w:sz w:val="20"/>
                <w:szCs w:val="20"/>
                <w:lang w:val="en-US" w:eastAsia="zh-CN"/>
              </w:rPr>
              <w:t>3.整机支持外接信号输入时自动唤醒功能，整机处于关机通电状态，外接电脑显示信号通过HDMI传输线连接至整机时，整机可智能识别外接电脑设备信号输入并自动开机。</w:t>
            </w:r>
          </w:p>
          <w:p w14:paraId="2DF0ADB4">
            <w:pPr>
              <w:spacing w:line="400" w:lineRule="exact"/>
              <w:rPr>
                <w:rFonts w:hint="eastAsia"/>
                <w:color w:val="000000"/>
                <w:sz w:val="20"/>
                <w:szCs w:val="20"/>
                <w:lang w:val="en-US" w:eastAsia="zh-CN"/>
              </w:rPr>
            </w:pPr>
            <w:r>
              <w:rPr>
                <w:rFonts w:hint="eastAsia"/>
                <w:color w:val="000000"/>
                <w:sz w:val="20"/>
                <w:szCs w:val="20"/>
                <w:lang w:val="en-US" w:eastAsia="zh-CN"/>
              </w:rPr>
              <w:t>4.整机具备智能手势识别功能，在任意通道下，可通过五指长按屏幕，实现息屏和唤醒屏幕的功能；可识别五指上、下、左、右方向手势滑动调用相应功能，支持将各手势滑动方向自定义设置为息屏、桌面、批注、半屏模式、白板等。</w:t>
            </w:r>
          </w:p>
          <w:p w14:paraId="0DB6EA4C">
            <w:pPr>
              <w:spacing w:line="400" w:lineRule="exact"/>
              <w:rPr>
                <w:rFonts w:hint="eastAsia"/>
                <w:color w:val="000000"/>
                <w:sz w:val="20"/>
                <w:szCs w:val="20"/>
                <w:lang w:val="en-US" w:eastAsia="zh-CN"/>
              </w:rPr>
            </w:pPr>
            <w:r>
              <w:rPr>
                <w:rFonts w:hint="eastAsia"/>
                <w:color w:val="000000"/>
                <w:sz w:val="20"/>
                <w:szCs w:val="20"/>
                <w:lang w:val="en-US" w:eastAsia="zh-CN"/>
              </w:rPr>
              <w:t>5.整机进入息屏状态后，可进行音频播放，语音类教学时有助于提高学生精力集中度，可通过按键或手势唤醒。</w:t>
            </w:r>
          </w:p>
          <w:p w14:paraId="209FB573">
            <w:pPr>
              <w:spacing w:line="400" w:lineRule="exact"/>
              <w:rPr>
                <w:rFonts w:hint="eastAsia"/>
                <w:color w:val="000000"/>
                <w:sz w:val="20"/>
                <w:szCs w:val="20"/>
                <w:lang w:val="en-US" w:eastAsia="zh-CN"/>
              </w:rPr>
            </w:pPr>
            <w:r>
              <w:rPr>
                <w:rFonts w:hint="eastAsia"/>
                <w:color w:val="000000"/>
                <w:sz w:val="20"/>
                <w:szCs w:val="20"/>
                <w:lang w:val="en-US" w:eastAsia="zh-CN"/>
              </w:rPr>
              <w:t>6.为保障用户便捷操作屏幕上半部分内容及点击右上角窗口按钮，整机可实现屏幕下移，整机降半屏显示。半屏显示时，支持对半屏部分显示内容进行触控操作，并可通过点击非显示画面区域快速返回全屏。</w:t>
            </w:r>
          </w:p>
          <w:p w14:paraId="05BB24F7">
            <w:pPr>
              <w:spacing w:line="400" w:lineRule="exact"/>
              <w:rPr>
                <w:rFonts w:hint="eastAsia"/>
                <w:color w:val="000000"/>
                <w:sz w:val="20"/>
                <w:szCs w:val="20"/>
                <w:lang w:val="en-US" w:eastAsia="zh-CN"/>
              </w:rPr>
            </w:pPr>
            <w:r>
              <w:rPr>
                <w:rFonts w:hint="eastAsia"/>
                <w:color w:val="000000"/>
                <w:sz w:val="20"/>
                <w:szCs w:val="20"/>
                <w:lang w:val="en-US" w:eastAsia="zh-CN"/>
              </w:rPr>
              <w:t>7.整机支持全通道快捷菜单，可快速实现快捷设置、调用小工具、系统设置等功能。在任意显示通道下可通过前置物理按键、两指长按屏幕、手势滑动等不少于3种方式快速调出快捷菜单。</w:t>
            </w:r>
          </w:p>
          <w:p w14:paraId="70C3D105">
            <w:pPr>
              <w:spacing w:line="400" w:lineRule="exact"/>
              <w:rPr>
                <w:rFonts w:hint="eastAsia"/>
                <w:color w:val="000000"/>
                <w:sz w:val="20"/>
                <w:szCs w:val="20"/>
                <w:lang w:val="en-US" w:eastAsia="zh-CN"/>
              </w:rPr>
            </w:pPr>
            <w:r>
              <w:rPr>
                <w:rFonts w:hint="eastAsia"/>
                <w:color w:val="000000"/>
                <w:sz w:val="20"/>
                <w:szCs w:val="20"/>
                <w:lang w:val="en-US" w:eastAsia="zh-CN"/>
              </w:rPr>
              <w:t>8.整机全通道快捷菜单支持一键开启/关闭智能护眼、信号源跳转、悬浮球、触摸护眼、信号源唤醒、触控锁、冻屏、集控、纸质护眼、自动亮度等不少于9个功能。</w:t>
            </w:r>
          </w:p>
          <w:p w14:paraId="2CB5A4EF">
            <w:pPr>
              <w:spacing w:line="400" w:lineRule="exact"/>
              <w:rPr>
                <w:rFonts w:hint="eastAsia"/>
                <w:color w:val="000000"/>
                <w:sz w:val="20"/>
                <w:szCs w:val="20"/>
                <w:lang w:val="en-US" w:eastAsia="zh-CN"/>
              </w:rPr>
            </w:pPr>
            <w:r>
              <w:rPr>
                <w:rFonts w:hint="eastAsia"/>
                <w:color w:val="000000"/>
                <w:sz w:val="20"/>
                <w:szCs w:val="20"/>
                <w:lang w:val="en-US" w:eastAsia="zh-CN"/>
              </w:rPr>
              <w:t>9.整机支持在任意通道、页面使用批注小工具进行批注讲解，可切换书写笔颜色、截屏保存批注内容、快速清屏，支持手势擦除，支持批注内容一键插入白板。</w:t>
            </w:r>
          </w:p>
          <w:p w14:paraId="58D9AD6B">
            <w:pPr>
              <w:spacing w:line="400" w:lineRule="exact"/>
              <w:rPr>
                <w:rFonts w:hint="eastAsia"/>
                <w:color w:val="000000"/>
                <w:sz w:val="20"/>
                <w:szCs w:val="20"/>
                <w:lang w:val="en-US" w:eastAsia="zh-CN"/>
              </w:rPr>
            </w:pPr>
            <w:r>
              <w:rPr>
                <w:rFonts w:hint="eastAsia"/>
                <w:color w:val="000000"/>
                <w:sz w:val="20"/>
                <w:szCs w:val="20"/>
                <w:lang w:val="en-US" w:eastAsia="zh-CN"/>
              </w:rPr>
              <w:t>10.整机支持通过快捷菜单调用冻屏功能，在任意信号源任意界面下点击冻屏，将保持画面静止，画面有冻屏状态标识，再次点击冻屏，恢复动态画面，冻屏过程中不影响原画面的播放进度和声音。</w:t>
            </w:r>
          </w:p>
          <w:p w14:paraId="34EEAA1A">
            <w:pPr>
              <w:spacing w:line="400" w:lineRule="exact"/>
              <w:rPr>
                <w:rFonts w:hint="eastAsia"/>
                <w:color w:val="000000"/>
                <w:sz w:val="20"/>
                <w:szCs w:val="20"/>
                <w:lang w:val="en-US" w:eastAsia="zh-CN"/>
              </w:rPr>
            </w:pPr>
            <w:r>
              <w:rPr>
                <w:rFonts w:hint="eastAsia"/>
                <w:color w:val="000000"/>
                <w:sz w:val="20"/>
                <w:szCs w:val="20"/>
                <w:lang w:val="en-US" w:eastAsia="zh-CN"/>
              </w:rPr>
              <w:t>11.</w:t>
            </w:r>
            <w:r>
              <w:rPr>
                <w:rFonts w:hint="eastAsia"/>
                <w:color w:val="000000"/>
                <w:sz w:val="20"/>
                <w:szCs w:val="20"/>
              </w:rPr>
              <w:t>▲</w:t>
            </w:r>
            <w:r>
              <w:rPr>
                <w:rFonts w:hint="eastAsia"/>
                <w:color w:val="000000"/>
                <w:sz w:val="20"/>
                <w:szCs w:val="20"/>
                <w:lang w:val="en-US" w:eastAsia="zh-CN"/>
              </w:rPr>
              <w:t>整机支持对内置应用设定密码锁，防止学生误操作，使用此功能前需先设置密码，可单独对应单个应用解除密码管理，也可一键清除密码。</w:t>
            </w:r>
          </w:p>
          <w:p w14:paraId="2F12C6AC">
            <w:pPr>
              <w:numPr>
                <w:ilvl w:val="0"/>
                <w:numId w:val="0"/>
              </w:numPr>
              <w:spacing w:line="360" w:lineRule="auto"/>
              <w:rPr>
                <w:rFonts w:hint="eastAsia" w:ascii="等线" w:hAnsi="等线" w:eastAsia="等线" w:cs="等线"/>
                <w:b/>
                <w:bCs/>
                <w:szCs w:val="21"/>
              </w:rPr>
            </w:pPr>
            <w:r>
              <w:rPr>
                <w:rFonts w:hint="eastAsia" w:ascii="等线" w:hAnsi="等线" w:eastAsia="等线" w:cs="等线"/>
                <w:b/>
                <w:bCs/>
                <w:szCs w:val="21"/>
                <w:lang w:val="en-US" w:eastAsia="zh-CN"/>
              </w:rPr>
              <w:t>四、</w:t>
            </w:r>
            <w:r>
              <w:rPr>
                <w:rFonts w:hint="eastAsia" w:ascii="等线" w:hAnsi="等线" w:eastAsia="等线" w:cs="等线"/>
                <w:b/>
                <w:bCs/>
                <w:szCs w:val="21"/>
              </w:rPr>
              <w:t>触控系统</w:t>
            </w:r>
          </w:p>
          <w:p w14:paraId="0EAA4D08">
            <w:pPr>
              <w:spacing w:line="400" w:lineRule="exact"/>
              <w:rPr>
                <w:rFonts w:hint="eastAsia"/>
                <w:color w:val="000000"/>
                <w:sz w:val="20"/>
                <w:szCs w:val="20"/>
                <w:lang w:val="en-US" w:eastAsia="zh-CN"/>
              </w:rPr>
            </w:pPr>
            <w:r>
              <w:rPr>
                <w:rFonts w:hint="eastAsia"/>
                <w:color w:val="000000"/>
                <w:sz w:val="20"/>
                <w:szCs w:val="20"/>
                <w:lang w:val="en-US" w:eastAsia="zh-CN"/>
              </w:rPr>
              <w:t>1.支持内置系统中进行20点或以上触控。触摸响应时间≤10ms。</w:t>
            </w:r>
          </w:p>
          <w:p w14:paraId="0092F47B">
            <w:pPr>
              <w:spacing w:line="400" w:lineRule="exact"/>
              <w:rPr>
                <w:rFonts w:hint="eastAsia"/>
                <w:color w:val="000000"/>
                <w:sz w:val="20"/>
                <w:szCs w:val="20"/>
                <w:lang w:val="en-US" w:eastAsia="zh-CN"/>
              </w:rPr>
            </w:pPr>
            <w:r>
              <w:rPr>
                <w:rFonts w:hint="eastAsia"/>
                <w:color w:val="000000"/>
                <w:sz w:val="20"/>
                <w:szCs w:val="20"/>
                <w:lang w:val="en-US" w:eastAsia="zh-CN"/>
              </w:rPr>
              <w:t>2.整机支持HID 免驱协议，Windows7/8/10/Mac OS/Linux/国产化系统下，自动识别，无需额外安装驱动程序。</w:t>
            </w:r>
          </w:p>
          <w:p w14:paraId="273B1011">
            <w:pPr>
              <w:spacing w:line="400" w:lineRule="exact"/>
              <w:rPr>
                <w:rFonts w:hint="eastAsia"/>
                <w:color w:val="000000"/>
                <w:sz w:val="20"/>
                <w:szCs w:val="20"/>
                <w:lang w:val="en-US" w:eastAsia="zh-CN"/>
              </w:rPr>
            </w:pPr>
            <w:r>
              <w:rPr>
                <w:rFonts w:hint="eastAsia"/>
                <w:color w:val="000000"/>
                <w:sz w:val="20"/>
                <w:szCs w:val="20"/>
                <w:lang w:val="en-US" w:eastAsia="zh-CN"/>
              </w:rPr>
              <w:t>3.从内部内置系统通道切换到内部PC通道后，触摸框在1s内达到可触控状态；从内部PC通道切换到外部通道后，触摸框在3s内达到可触控状态。</w:t>
            </w:r>
          </w:p>
          <w:p w14:paraId="0068545A">
            <w:pPr>
              <w:spacing w:line="400" w:lineRule="exact"/>
              <w:rPr>
                <w:rFonts w:hint="eastAsia"/>
                <w:color w:val="000000"/>
                <w:sz w:val="20"/>
                <w:szCs w:val="20"/>
                <w:lang w:val="en-US" w:eastAsia="zh-CN"/>
              </w:rPr>
            </w:pPr>
            <w:r>
              <w:rPr>
                <w:rFonts w:hint="eastAsia"/>
                <w:color w:val="000000"/>
                <w:sz w:val="20"/>
                <w:szCs w:val="20"/>
                <w:lang w:val="en-US" w:eastAsia="zh-CN"/>
              </w:rPr>
              <w:t>4.触摸屏具有防遮挡功能，触摸接收器在单点或多点遮挡后仍能正常书写。</w:t>
            </w:r>
          </w:p>
          <w:p w14:paraId="7D4B4917">
            <w:pPr>
              <w:spacing w:line="400" w:lineRule="exact"/>
              <w:rPr>
                <w:rFonts w:hint="eastAsia"/>
                <w:color w:val="000000"/>
                <w:sz w:val="20"/>
                <w:szCs w:val="20"/>
                <w:lang w:val="en-US" w:eastAsia="zh-CN"/>
              </w:rPr>
            </w:pPr>
            <w:r>
              <w:rPr>
                <w:rFonts w:hint="eastAsia"/>
                <w:color w:val="000000"/>
                <w:sz w:val="20"/>
                <w:szCs w:val="20"/>
                <w:lang w:val="en-US" w:eastAsia="zh-CN"/>
              </w:rPr>
              <w:t>5.具备抗强光干扰，触摸屏在照度≥100K LUX（勒克司）环境下仍能正常工作。</w:t>
            </w:r>
          </w:p>
          <w:p w14:paraId="041F0DF6">
            <w:pPr>
              <w:numPr>
                <w:ilvl w:val="0"/>
                <w:numId w:val="0"/>
              </w:numPr>
              <w:spacing w:line="360" w:lineRule="auto"/>
              <w:rPr>
                <w:rFonts w:hint="eastAsia" w:ascii="等线" w:hAnsi="等线" w:eastAsia="等线" w:cs="等线"/>
                <w:b/>
                <w:bCs/>
                <w:szCs w:val="21"/>
              </w:rPr>
            </w:pPr>
            <w:r>
              <w:rPr>
                <w:rFonts w:hint="eastAsia" w:ascii="等线" w:hAnsi="等线" w:eastAsia="等线" w:cs="等线"/>
                <w:b/>
                <w:bCs/>
                <w:szCs w:val="21"/>
                <w:lang w:val="en-US" w:eastAsia="zh-CN"/>
              </w:rPr>
              <w:t>五、嵌入式系统</w:t>
            </w:r>
          </w:p>
          <w:p w14:paraId="72E10872">
            <w:pPr>
              <w:spacing w:line="400" w:lineRule="exact"/>
              <w:rPr>
                <w:rFonts w:hint="eastAsia"/>
                <w:color w:val="000000"/>
                <w:sz w:val="20"/>
                <w:szCs w:val="20"/>
                <w:lang w:val="en-US" w:eastAsia="zh-CN"/>
              </w:rPr>
            </w:pPr>
            <w:r>
              <w:rPr>
                <w:rFonts w:hint="eastAsia"/>
                <w:color w:val="000000"/>
                <w:sz w:val="20"/>
                <w:szCs w:val="20"/>
                <w:lang w:val="en-US" w:eastAsia="zh-CN"/>
              </w:rPr>
              <w:t>1.▲整机内置嵌入式系统，具备四核CPU，两核GPU。机身内存≥32G ROM，运行内存≥4G RAM。</w:t>
            </w:r>
          </w:p>
          <w:p w14:paraId="27F503FF">
            <w:pPr>
              <w:spacing w:line="400" w:lineRule="exact"/>
              <w:rPr>
                <w:rFonts w:hint="eastAsia"/>
                <w:color w:val="000000"/>
                <w:sz w:val="20"/>
                <w:szCs w:val="20"/>
                <w:lang w:val="en-US" w:eastAsia="zh-CN"/>
              </w:rPr>
            </w:pPr>
            <w:r>
              <w:rPr>
                <w:rFonts w:hint="eastAsia"/>
                <w:color w:val="000000"/>
                <w:sz w:val="20"/>
                <w:szCs w:val="20"/>
                <w:lang w:val="en-US" w:eastAsia="zh-CN"/>
              </w:rPr>
              <w:t>2.▲整机嵌入式系统下主界面、菜单、图标、文字均为4K超高清显示，显示细腻、清晰度高。</w:t>
            </w:r>
          </w:p>
          <w:p w14:paraId="45F1BF37">
            <w:pPr>
              <w:spacing w:line="400" w:lineRule="exact"/>
              <w:rPr>
                <w:rFonts w:hint="eastAsia"/>
                <w:color w:val="000000"/>
                <w:sz w:val="20"/>
                <w:szCs w:val="20"/>
                <w:lang w:val="en-US" w:eastAsia="zh-CN"/>
              </w:rPr>
            </w:pPr>
            <w:r>
              <w:rPr>
                <w:rFonts w:hint="eastAsia"/>
                <w:color w:val="000000"/>
                <w:sz w:val="20"/>
                <w:szCs w:val="20"/>
                <w:lang w:val="en-US" w:eastAsia="zh-CN"/>
              </w:rPr>
              <w:t>3.在嵌入式操作系统下，能对TV多媒体USB所读取到的文件进行自动归类，可分类查找文档、图片、多媒体、应用，检索后可直接在界面中打开。</w:t>
            </w:r>
          </w:p>
          <w:p w14:paraId="3897A7DC">
            <w:pPr>
              <w:spacing w:line="400" w:lineRule="exact"/>
              <w:rPr>
                <w:rFonts w:hint="eastAsia"/>
                <w:color w:val="000000"/>
                <w:sz w:val="20"/>
                <w:szCs w:val="20"/>
                <w:lang w:val="en-US" w:eastAsia="zh-CN"/>
              </w:rPr>
            </w:pPr>
            <w:r>
              <w:rPr>
                <w:rFonts w:hint="eastAsia"/>
                <w:color w:val="000000"/>
                <w:sz w:val="20"/>
                <w:szCs w:val="20"/>
                <w:lang w:val="en-US" w:eastAsia="zh-CN"/>
              </w:rPr>
              <w:t>4.▲系统下提供快捷桌面，用户可以快捷进入内置电脑、白板书写、文件管理、无线投屏、浏览器及更多应用。快捷桌面提供不少于5个常用应用，并支持用户进行自定义设置。</w:t>
            </w:r>
          </w:p>
          <w:p w14:paraId="775644A6">
            <w:pPr>
              <w:spacing w:line="400" w:lineRule="exact"/>
              <w:rPr>
                <w:rFonts w:hint="eastAsia"/>
                <w:color w:val="000000"/>
                <w:sz w:val="20"/>
                <w:szCs w:val="20"/>
                <w:lang w:val="en-US" w:eastAsia="zh-CN"/>
              </w:rPr>
            </w:pPr>
            <w:r>
              <w:rPr>
                <w:rFonts w:hint="eastAsia"/>
                <w:color w:val="000000"/>
                <w:sz w:val="20"/>
                <w:szCs w:val="20"/>
                <w:lang w:val="en-US" w:eastAsia="zh-CN"/>
              </w:rPr>
              <w:t>5.嵌入式系统提供欢迎页应用，内置可选择不少于10种主题和不少于37种背景，并支持用户修改与自定义模板功能，展示模板提供签名墙功能，支持用户扫码获取。</w:t>
            </w:r>
          </w:p>
          <w:p w14:paraId="72679DA4">
            <w:pPr>
              <w:spacing w:line="400" w:lineRule="exact"/>
              <w:rPr>
                <w:rFonts w:hint="eastAsia"/>
                <w:color w:val="000000"/>
                <w:sz w:val="20"/>
                <w:szCs w:val="20"/>
                <w:lang w:val="en-US" w:eastAsia="zh-CN"/>
              </w:rPr>
            </w:pPr>
            <w:r>
              <w:rPr>
                <w:rFonts w:hint="eastAsia"/>
                <w:color w:val="000000"/>
                <w:sz w:val="20"/>
                <w:szCs w:val="20"/>
                <w:lang w:val="en-US" w:eastAsia="zh-CN"/>
              </w:rPr>
              <w:t>6.整机内置专业硬件自检维护工具（非第三方工具），可一键进行硬件系统自动检测，对系统版本、分辨率、OPS状态、网络状态、本机温度、光感、触摸屏、系统内存空间、系统存储空间、CPU等提供直观的状态提示。</w:t>
            </w:r>
          </w:p>
          <w:p w14:paraId="6D434D55">
            <w:pPr>
              <w:spacing w:line="400" w:lineRule="exact"/>
              <w:rPr>
                <w:rFonts w:hint="eastAsia"/>
                <w:color w:val="000000"/>
                <w:sz w:val="20"/>
                <w:szCs w:val="20"/>
                <w:lang w:val="en-US" w:eastAsia="zh-CN"/>
              </w:rPr>
            </w:pPr>
            <w:r>
              <w:rPr>
                <w:rFonts w:hint="eastAsia"/>
                <w:color w:val="000000"/>
                <w:sz w:val="20"/>
                <w:szCs w:val="20"/>
                <w:lang w:val="en-US" w:eastAsia="zh-CN"/>
              </w:rPr>
              <w:t>7.嵌入式操作系统下，白板书写内容可导出课件、图片、PDF等格式。支持不少于11种平面图形工具、不少于7种立体图形工具、不少于6种尺规工具。白板软件支持文字自动识别及图形自动识别。</w:t>
            </w:r>
          </w:p>
          <w:p w14:paraId="1AFC7A1F">
            <w:pPr>
              <w:spacing w:line="400" w:lineRule="exact"/>
              <w:rPr>
                <w:rFonts w:hint="eastAsia"/>
                <w:color w:val="000000"/>
                <w:sz w:val="20"/>
                <w:szCs w:val="20"/>
                <w:lang w:val="en-US" w:eastAsia="zh-CN"/>
              </w:rPr>
            </w:pPr>
            <w:r>
              <w:rPr>
                <w:rFonts w:hint="eastAsia"/>
                <w:color w:val="000000"/>
                <w:sz w:val="20"/>
                <w:szCs w:val="20"/>
                <w:lang w:val="en-US" w:eastAsia="zh-CN"/>
              </w:rPr>
              <w:t>8.嵌入式操作系统下，白板支持将页面内容生成分享二维码，扫码后可在手机端进行查看及二次分享。分享时，可设定密码对内容进行加密处理，提高分享内容的安全性。（提供具有CMA及CNAS认证标识的第三方检测机构权威检测报告）</w:t>
            </w:r>
          </w:p>
          <w:p w14:paraId="3C05C7C3">
            <w:pPr>
              <w:spacing w:line="400" w:lineRule="exact"/>
              <w:rPr>
                <w:rFonts w:hint="eastAsia"/>
                <w:color w:val="000000"/>
                <w:sz w:val="20"/>
                <w:szCs w:val="20"/>
                <w:lang w:val="en-US" w:eastAsia="zh-CN"/>
              </w:rPr>
            </w:pPr>
            <w:bookmarkStart w:id="0" w:name="_Hlk194998392"/>
            <w:r>
              <w:rPr>
                <w:rFonts w:hint="eastAsia"/>
                <w:color w:val="000000"/>
                <w:sz w:val="20"/>
                <w:szCs w:val="20"/>
                <w:lang w:val="en-US" w:eastAsia="zh-CN"/>
              </w:rPr>
              <w:t>9.</w:t>
            </w:r>
            <w:bookmarkEnd w:id="0"/>
            <w:r>
              <w:rPr>
                <w:rFonts w:hint="eastAsia"/>
                <w:color w:val="000000"/>
                <w:sz w:val="20"/>
                <w:szCs w:val="20"/>
                <w:lang w:val="en-US" w:eastAsia="zh-CN"/>
              </w:rPr>
              <w:t>▲嵌入式操作系统下，白板支持一键切换单人模式和多人模式。多人模式下，左右版面可同时进行独立操作，支持多人同时绘制不同平面图形、不同立体图形及边写边擦等功能。</w:t>
            </w:r>
          </w:p>
          <w:p w14:paraId="70A9A3AE">
            <w:pPr>
              <w:spacing w:line="400" w:lineRule="exact"/>
              <w:rPr>
                <w:rFonts w:hint="eastAsia"/>
                <w:color w:val="000000"/>
                <w:sz w:val="20"/>
                <w:szCs w:val="20"/>
              </w:rPr>
            </w:pPr>
          </w:p>
        </w:tc>
        <w:tc>
          <w:tcPr>
            <w:tcW w:w="1056" w:type="dxa"/>
            <w:tcBorders>
              <w:top w:val="single" w:color="auto" w:sz="4" w:space="0"/>
              <w:left w:val="single" w:color="auto" w:sz="4" w:space="0"/>
              <w:bottom w:val="single" w:color="auto" w:sz="4" w:space="0"/>
              <w:right w:val="single" w:color="auto" w:sz="4" w:space="0"/>
            </w:tcBorders>
            <w:shd w:val="clear" w:color="auto" w:fill="auto"/>
            <w:vAlign w:val="center"/>
          </w:tcPr>
          <w:p w14:paraId="5656A848">
            <w:pPr>
              <w:spacing w:line="570" w:lineRule="exact"/>
              <w:jc w:val="center"/>
              <w:rPr>
                <w:rFonts w:hint="eastAsia" w:ascii="宋体" w:hAnsi="宋体" w:eastAsia="宋体" w:cs="Times New Roman"/>
                <w:kern w:val="2"/>
                <w:sz w:val="21"/>
                <w:szCs w:val="21"/>
                <w:lang w:val="en-US" w:eastAsia="zh-CN" w:bidi="ar-SA"/>
              </w:rPr>
            </w:pPr>
            <w:r>
              <w:rPr>
                <w:rFonts w:hint="eastAsia"/>
                <w:color w:val="000000"/>
                <w:sz w:val="20"/>
                <w:szCs w:val="20"/>
              </w:rPr>
              <w:t xml:space="preserve">23,000.0 </w:t>
            </w:r>
          </w:p>
        </w:tc>
        <w:tc>
          <w:tcPr>
            <w:tcW w:w="641" w:type="dxa"/>
            <w:tcBorders>
              <w:top w:val="single" w:color="auto" w:sz="4" w:space="0"/>
              <w:left w:val="single" w:color="auto" w:sz="4" w:space="0"/>
              <w:bottom w:val="single" w:color="auto" w:sz="4" w:space="0"/>
              <w:right w:val="single" w:color="auto" w:sz="4" w:space="0"/>
            </w:tcBorders>
            <w:shd w:val="clear" w:color="auto" w:fill="auto"/>
            <w:vAlign w:val="center"/>
          </w:tcPr>
          <w:p w14:paraId="34BB9B06">
            <w:pPr>
              <w:spacing w:line="570" w:lineRule="exact"/>
              <w:jc w:val="center"/>
              <w:rPr>
                <w:rFonts w:hint="eastAsia" w:ascii="宋体" w:hAnsi="宋体" w:eastAsia="宋体" w:cs="Times New Roman"/>
                <w:kern w:val="2"/>
                <w:sz w:val="21"/>
                <w:szCs w:val="21"/>
                <w:lang w:val="en-US" w:eastAsia="zh-CN" w:bidi="ar-SA"/>
              </w:rPr>
            </w:pPr>
            <w:r>
              <w:rPr>
                <w:rFonts w:hint="eastAsia" w:ascii="宋体" w:hAnsi="宋体"/>
                <w:szCs w:val="21"/>
              </w:rPr>
              <w:t>制造业</w:t>
            </w:r>
          </w:p>
        </w:tc>
      </w:tr>
      <w:tr w14:paraId="7833728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425" w:type="dxa"/>
            <w:tcBorders>
              <w:left w:val="single" w:color="auto" w:sz="4" w:space="0"/>
              <w:right w:val="single" w:color="auto" w:sz="4" w:space="0"/>
            </w:tcBorders>
          </w:tcPr>
          <w:p w14:paraId="0DED30C7">
            <w:pPr>
              <w:spacing w:line="570" w:lineRule="exact"/>
              <w:jc w:val="center"/>
              <w:rPr>
                <w:rFonts w:ascii="宋体" w:hAnsi="宋体"/>
                <w:b/>
                <w:bCs/>
                <w:szCs w:val="21"/>
              </w:rPr>
            </w:pPr>
          </w:p>
        </w:tc>
        <w:tc>
          <w:tcPr>
            <w:tcW w:w="436" w:type="dxa"/>
            <w:tcBorders>
              <w:top w:val="single" w:color="auto" w:sz="4" w:space="0"/>
              <w:left w:val="single" w:color="auto" w:sz="4" w:space="0"/>
              <w:bottom w:val="single" w:color="auto" w:sz="4" w:space="0"/>
              <w:right w:val="single" w:color="auto" w:sz="4" w:space="0"/>
            </w:tcBorders>
            <w:shd w:val="clear" w:color="auto" w:fill="auto"/>
            <w:vAlign w:val="center"/>
          </w:tcPr>
          <w:p w14:paraId="1FA4474E">
            <w:pPr>
              <w:keepNext w:val="0"/>
              <w:keepLines w:val="0"/>
              <w:widowControl/>
              <w:suppressLineNumbers w:val="0"/>
              <w:jc w:val="right"/>
              <w:textAlignment w:val="center"/>
              <w:rPr>
                <w:rFonts w:hint="default" w:ascii="宋体" w:hAnsi="宋体" w:eastAsia="宋体" w:cs="Times New Roman"/>
                <w:kern w:val="2"/>
                <w:sz w:val="21"/>
                <w:szCs w:val="21"/>
                <w:lang w:val="en-US" w:eastAsia="zh-CN" w:bidi="ar-SA"/>
              </w:rPr>
            </w:pPr>
            <w:r>
              <w:rPr>
                <w:rFonts w:hint="eastAsia" w:ascii="宋体" w:hAnsi="宋体" w:cs="Times New Roman"/>
                <w:kern w:val="2"/>
                <w:sz w:val="21"/>
                <w:szCs w:val="21"/>
                <w:lang w:val="en-US" w:eastAsia="zh-CN" w:bidi="ar-SA"/>
              </w:rPr>
              <w:t>2</w:t>
            </w:r>
          </w:p>
        </w:tc>
        <w:tc>
          <w:tcPr>
            <w:tcW w:w="66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875F3F4">
            <w:pPr>
              <w:spacing w:line="570" w:lineRule="exact"/>
              <w:jc w:val="center"/>
              <w:rPr>
                <w:rFonts w:hint="eastAsia" w:ascii="宋体" w:hAnsi="宋体" w:eastAsia="宋体" w:cs="Times New Roman"/>
                <w:kern w:val="2"/>
                <w:sz w:val="21"/>
                <w:szCs w:val="21"/>
                <w:lang w:val="en-GB" w:eastAsia="zh-CN" w:bidi="ar-SA"/>
              </w:rPr>
            </w:pPr>
            <w:r>
              <w:rPr>
                <w:rFonts w:hint="eastAsia"/>
                <w:color w:val="000000"/>
                <w:sz w:val="20"/>
                <w:szCs w:val="20"/>
              </w:rPr>
              <w:t>OPS电脑</w:t>
            </w:r>
          </w:p>
        </w:tc>
        <w:tc>
          <w:tcPr>
            <w:tcW w:w="444" w:type="dxa"/>
            <w:tcBorders>
              <w:top w:val="single" w:color="auto" w:sz="4" w:space="0"/>
              <w:left w:val="single" w:color="auto" w:sz="4" w:space="0"/>
              <w:bottom w:val="single" w:color="auto" w:sz="4" w:space="0"/>
              <w:right w:val="single" w:color="auto" w:sz="4" w:space="0"/>
            </w:tcBorders>
            <w:shd w:val="clear" w:color="auto" w:fill="auto"/>
            <w:vAlign w:val="center"/>
          </w:tcPr>
          <w:p w14:paraId="2D102571">
            <w:pPr>
              <w:spacing w:line="570" w:lineRule="exact"/>
              <w:jc w:val="center"/>
              <w:rPr>
                <w:rFonts w:hint="eastAsia" w:ascii="宋体" w:hAnsi="宋体" w:eastAsia="宋体" w:cs="Times New Roman"/>
                <w:kern w:val="2"/>
                <w:sz w:val="21"/>
                <w:szCs w:val="21"/>
                <w:lang w:val="en-US" w:eastAsia="zh-CN" w:bidi="ar-SA"/>
              </w:rPr>
            </w:pPr>
            <w:r>
              <w:rPr>
                <w:rFonts w:hint="eastAsia"/>
                <w:color w:val="000000"/>
                <w:sz w:val="20"/>
                <w:szCs w:val="20"/>
              </w:rPr>
              <w:t>台</w:t>
            </w:r>
          </w:p>
        </w:tc>
        <w:tc>
          <w:tcPr>
            <w:tcW w:w="478" w:type="dxa"/>
            <w:tcBorders>
              <w:top w:val="single" w:color="auto" w:sz="4" w:space="0"/>
              <w:left w:val="single" w:color="auto" w:sz="4" w:space="0"/>
              <w:bottom w:val="single" w:color="auto" w:sz="4" w:space="0"/>
              <w:right w:val="single" w:color="auto" w:sz="4" w:space="0"/>
            </w:tcBorders>
            <w:shd w:val="clear" w:color="auto" w:fill="auto"/>
            <w:vAlign w:val="center"/>
          </w:tcPr>
          <w:p w14:paraId="259724B5">
            <w:pPr>
              <w:spacing w:line="570" w:lineRule="exact"/>
              <w:jc w:val="center"/>
              <w:rPr>
                <w:rFonts w:hint="eastAsia" w:ascii="宋体" w:hAnsi="宋体" w:eastAsia="宋体" w:cs="Times New Roman"/>
                <w:kern w:val="2"/>
                <w:sz w:val="21"/>
                <w:szCs w:val="21"/>
                <w:lang w:val="en-US" w:eastAsia="zh-CN" w:bidi="ar-SA"/>
              </w:rPr>
            </w:pPr>
            <w:r>
              <w:rPr>
                <w:rFonts w:hint="eastAsia"/>
                <w:color w:val="000000"/>
                <w:sz w:val="20"/>
                <w:szCs w:val="20"/>
              </w:rPr>
              <w:t>1</w:t>
            </w:r>
          </w:p>
        </w:tc>
        <w:tc>
          <w:tcPr>
            <w:tcW w:w="5976" w:type="dxa"/>
            <w:tcBorders>
              <w:top w:val="single" w:color="auto" w:sz="4" w:space="0"/>
              <w:left w:val="single" w:color="auto" w:sz="4" w:space="0"/>
              <w:bottom w:val="single" w:color="auto" w:sz="4" w:space="0"/>
              <w:right w:val="single" w:color="auto" w:sz="4" w:space="0"/>
            </w:tcBorders>
            <w:shd w:val="clear" w:color="auto" w:fill="auto"/>
            <w:vAlign w:val="center"/>
          </w:tcPr>
          <w:p w14:paraId="6C881517">
            <w:pPr>
              <w:spacing w:line="400" w:lineRule="exact"/>
              <w:rPr>
                <w:rFonts w:hint="eastAsia" w:eastAsia="宋体"/>
                <w:color w:val="000000"/>
                <w:sz w:val="20"/>
                <w:szCs w:val="20"/>
                <w:lang w:eastAsia="zh-CN"/>
              </w:rPr>
            </w:pPr>
            <w:r>
              <w:rPr>
                <w:rFonts w:hint="eastAsia"/>
                <w:color w:val="000000"/>
                <w:sz w:val="20"/>
                <w:szCs w:val="20"/>
              </w:rPr>
              <w:t>1.采用抽拉式模块化电脑，标准 80 针接口，支持快速拆卸。</w:t>
            </w:r>
          </w:p>
          <w:p w14:paraId="1CE669DC">
            <w:pPr>
              <w:spacing w:line="400" w:lineRule="exact"/>
              <w:rPr>
                <w:rFonts w:hint="eastAsia"/>
                <w:color w:val="000000"/>
                <w:sz w:val="20"/>
                <w:szCs w:val="20"/>
              </w:rPr>
            </w:pPr>
            <w:r>
              <w:rPr>
                <w:rFonts w:hint="eastAsia"/>
                <w:color w:val="000000"/>
                <w:sz w:val="20"/>
                <w:szCs w:val="20"/>
              </w:rPr>
              <w:t>2.‌CPU主频≥2.5GHz</w:t>
            </w:r>
            <w:r>
              <w:rPr>
                <w:rFonts w:hint="eastAsia"/>
                <w:color w:val="000000"/>
                <w:sz w:val="20"/>
                <w:szCs w:val="20"/>
                <w:lang w:eastAsia="zh-CN"/>
              </w:rPr>
              <w:t>、</w:t>
            </w:r>
            <w:r>
              <w:rPr>
                <w:rFonts w:hint="eastAsia"/>
                <w:color w:val="000000"/>
                <w:sz w:val="20"/>
                <w:szCs w:val="20"/>
              </w:rPr>
              <w:t>‌最高睿频≥4.4GHz</w:t>
            </w:r>
            <w:r>
              <w:rPr>
                <w:rFonts w:hint="eastAsia"/>
                <w:color w:val="000000"/>
                <w:sz w:val="20"/>
                <w:szCs w:val="20"/>
                <w:lang w:eastAsia="zh-CN"/>
              </w:rPr>
              <w:t>、</w:t>
            </w:r>
            <w:r>
              <w:rPr>
                <w:rFonts w:hint="eastAsia"/>
                <w:color w:val="000000"/>
                <w:sz w:val="20"/>
                <w:szCs w:val="20"/>
              </w:rPr>
              <w:t>‌核心数量≥六核心</w:t>
            </w:r>
            <w:r>
              <w:rPr>
                <w:rFonts w:hint="eastAsia"/>
                <w:color w:val="000000"/>
                <w:sz w:val="20"/>
                <w:szCs w:val="20"/>
                <w:lang w:eastAsia="zh-CN"/>
              </w:rPr>
              <w:t>、</w:t>
            </w:r>
            <w:r>
              <w:rPr>
                <w:rFonts w:hint="eastAsia"/>
                <w:color w:val="000000"/>
                <w:sz w:val="20"/>
                <w:szCs w:val="20"/>
              </w:rPr>
              <w:t>‌线程数≥十二线程</w:t>
            </w:r>
            <w:r>
              <w:rPr>
                <w:rFonts w:hint="eastAsia"/>
                <w:color w:val="000000"/>
                <w:sz w:val="20"/>
                <w:szCs w:val="20"/>
                <w:lang w:eastAsia="zh-CN"/>
              </w:rPr>
              <w:t>、</w:t>
            </w:r>
            <w:r>
              <w:rPr>
                <w:rFonts w:hint="eastAsia"/>
                <w:color w:val="000000"/>
                <w:sz w:val="20"/>
                <w:szCs w:val="20"/>
              </w:rPr>
              <w:t>‌三级缓存≥18MB；内存≥8G DDR4；固态硬盘≥256G SSD。</w:t>
            </w:r>
          </w:p>
          <w:p w14:paraId="61C0EF63">
            <w:pPr>
              <w:spacing w:line="400" w:lineRule="exact"/>
              <w:rPr>
                <w:rFonts w:hint="eastAsia" w:eastAsia="宋体"/>
                <w:color w:val="000000"/>
                <w:sz w:val="20"/>
                <w:szCs w:val="20"/>
                <w:lang w:eastAsia="zh-CN"/>
              </w:rPr>
            </w:pPr>
            <w:r>
              <w:rPr>
                <w:rFonts w:hint="eastAsia"/>
                <w:color w:val="000000"/>
                <w:sz w:val="20"/>
                <w:szCs w:val="20"/>
              </w:rPr>
              <w:t>3.支持 windows系统具备一键还原功能。</w:t>
            </w:r>
          </w:p>
          <w:p w14:paraId="43C44F0F">
            <w:pPr>
              <w:spacing w:line="400" w:lineRule="exact"/>
              <w:rPr>
                <w:rFonts w:hint="eastAsia" w:ascii="宋体" w:hAnsi="宋体" w:eastAsia="宋体" w:cs="Times New Roman"/>
                <w:b/>
                <w:bCs/>
                <w:kern w:val="2"/>
                <w:sz w:val="21"/>
                <w:szCs w:val="21"/>
                <w:lang w:val="en-US" w:eastAsia="zh-CN" w:bidi="ar-SA"/>
              </w:rPr>
            </w:pPr>
            <w:r>
              <w:rPr>
                <w:rFonts w:hint="eastAsia"/>
                <w:color w:val="000000"/>
                <w:sz w:val="20"/>
                <w:szCs w:val="20"/>
              </w:rPr>
              <w:t>4.独立非外扩展接口：≥1路VGA，≥1路HDMI，≥4路USB2.0，≥1路USB3.0，≥1路RJ45</w:t>
            </w:r>
          </w:p>
        </w:tc>
        <w:tc>
          <w:tcPr>
            <w:tcW w:w="1056" w:type="dxa"/>
            <w:tcBorders>
              <w:top w:val="single" w:color="auto" w:sz="4" w:space="0"/>
              <w:left w:val="single" w:color="auto" w:sz="4" w:space="0"/>
              <w:bottom w:val="single" w:color="auto" w:sz="4" w:space="0"/>
              <w:right w:val="single" w:color="auto" w:sz="4" w:space="0"/>
            </w:tcBorders>
            <w:shd w:val="clear" w:color="auto" w:fill="auto"/>
            <w:vAlign w:val="center"/>
          </w:tcPr>
          <w:p w14:paraId="030A6970">
            <w:pPr>
              <w:spacing w:line="570" w:lineRule="exact"/>
              <w:jc w:val="center"/>
              <w:rPr>
                <w:rFonts w:hint="eastAsia" w:ascii="宋体" w:hAnsi="宋体" w:eastAsia="宋体" w:cs="Times New Roman"/>
                <w:kern w:val="2"/>
                <w:sz w:val="21"/>
                <w:szCs w:val="21"/>
                <w:lang w:val="en-US" w:eastAsia="zh-CN" w:bidi="ar-SA"/>
              </w:rPr>
            </w:pPr>
            <w:r>
              <w:rPr>
                <w:rFonts w:hint="eastAsia"/>
                <w:color w:val="000000"/>
                <w:sz w:val="20"/>
                <w:szCs w:val="20"/>
              </w:rPr>
              <w:t xml:space="preserve">5200.0 </w:t>
            </w:r>
          </w:p>
        </w:tc>
        <w:tc>
          <w:tcPr>
            <w:tcW w:w="641" w:type="dxa"/>
            <w:tcBorders>
              <w:top w:val="single" w:color="auto" w:sz="4" w:space="0"/>
              <w:left w:val="single" w:color="auto" w:sz="4" w:space="0"/>
              <w:bottom w:val="single" w:color="auto" w:sz="4" w:space="0"/>
              <w:right w:val="single" w:color="auto" w:sz="4" w:space="0"/>
            </w:tcBorders>
            <w:shd w:val="clear" w:color="auto" w:fill="auto"/>
            <w:vAlign w:val="center"/>
          </w:tcPr>
          <w:p w14:paraId="56ECDF1F">
            <w:pPr>
              <w:spacing w:line="570" w:lineRule="exact"/>
              <w:jc w:val="center"/>
              <w:rPr>
                <w:rFonts w:hint="eastAsia" w:ascii="宋体" w:hAnsi="宋体" w:eastAsia="宋体" w:cs="Times New Roman"/>
                <w:kern w:val="2"/>
                <w:sz w:val="21"/>
                <w:szCs w:val="21"/>
                <w:lang w:val="en-US" w:eastAsia="zh-CN" w:bidi="ar-SA"/>
              </w:rPr>
            </w:pPr>
            <w:r>
              <w:rPr>
                <w:rFonts w:hint="eastAsia" w:ascii="宋体" w:hAnsi="宋体"/>
                <w:szCs w:val="21"/>
              </w:rPr>
              <w:t>制造业</w:t>
            </w:r>
          </w:p>
        </w:tc>
      </w:tr>
      <w:tr w14:paraId="71A754A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425" w:type="dxa"/>
            <w:tcBorders>
              <w:left w:val="single" w:color="auto" w:sz="4" w:space="0"/>
              <w:right w:val="single" w:color="auto" w:sz="4" w:space="0"/>
            </w:tcBorders>
          </w:tcPr>
          <w:p w14:paraId="4D5B91B9">
            <w:pPr>
              <w:spacing w:line="570" w:lineRule="exact"/>
              <w:jc w:val="center"/>
              <w:rPr>
                <w:rFonts w:ascii="宋体" w:hAnsi="宋体"/>
                <w:b/>
                <w:bCs/>
                <w:szCs w:val="21"/>
              </w:rPr>
            </w:pPr>
          </w:p>
        </w:tc>
        <w:tc>
          <w:tcPr>
            <w:tcW w:w="436" w:type="dxa"/>
            <w:tcBorders>
              <w:top w:val="single" w:color="auto" w:sz="4" w:space="0"/>
              <w:left w:val="single" w:color="auto" w:sz="4" w:space="0"/>
              <w:bottom w:val="single" w:color="auto" w:sz="4" w:space="0"/>
              <w:right w:val="single" w:color="auto" w:sz="4" w:space="0"/>
            </w:tcBorders>
            <w:vAlign w:val="center"/>
          </w:tcPr>
          <w:p w14:paraId="71BA4C05">
            <w:pPr>
              <w:keepNext w:val="0"/>
              <w:keepLines w:val="0"/>
              <w:widowControl/>
              <w:suppressLineNumbers w:val="0"/>
              <w:jc w:val="right"/>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3</w:t>
            </w:r>
          </w:p>
        </w:tc>
        <w:tc>
          <w:tcPr>
            <w:tcW w:w="66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0FB2D62">
            <w:pPr>
              <w:spacing w:line="570" w:lineRule="exact"/>
              <w:jc w:val="center"/>
              <w:rPr>
                <w:rFonts w:hint="eastAsia"/>
                <w:color w:val="000000"/>
                <w:sz w:val="20"/>
                <w:szCs w:val="20"/>
              </w:rPr>
            </w:pPr>
            <w:r>
              <w:rPr>
                <w:rFonts w:hint="eastAsia"/>
                <w:color w:val="000000"/>
                <w:sz w:val="20"/>
                <w:szCs w:val="20"/>
                <w:lang w:val="en-US" w:eastAsia="zh-CN"/>
              </w:rPr>
              <w:t>智能学生</w:t>
            </w:r>
            <w:r>
              <w:rPr>
                <w:rFonts w:hint="eastAsia"/>
                <w:color w:val="000000"/>
                <w:sz w:val="20"/>
                <w:szCs w:val="20"/>
              </w:rPr>
              <w:t>桌</w:t>
            </w:r>
          </w:p>
        </w:tc>
        <w:tc>
          <w:tcPr>
            <w:tcW w:w="444" w:type="dxa"/>
            <w:tcBorders>
              <w:top w:val="single" w:color="auto" w:sz="4" w:space="0"/>
              <w:left w:val="single" w:color="auto" w:sz="4" w:space="0"/>
              <w:bottom w:val="single" w:color="auto" w:sz="4" w:space="0"/>
              <w:right w:val="single" w:color="auto" w:sz="4" w:space="0"/>
            </w:tcBorders>
            <w:shd w:val="clear" w:color="auto" w:fill="auto"/>
            <w:vAlign w:val="center"/>
          </w:tcPr>
          <w:p w14:paraId="5B17DDEE">
            <w:pPr>
              <w:spacing w:line="570" w:lineRule="exact"/>
              <w:jc w:val="center"/>
              <w:rPr>
                <w:rFonts w:hint="eastAsia"/>
                <w:color w:val="000000"/>
                <w:sz w:val="20"/>
                <w:szCs w:val="20"/>
              </w:rPr>
            </w:pPr>
            <w:r>
              <w:rPr>
                <w:rFonts w:hint="eastAsia"/>
                <w:color w:val="000000"/>
                <w:sz w:val="20"/>
                <w:szCs w:val="20"/>
              </w:rPr>
              <w:t>套</w:t>
            </w:r>
          </w:p>
        </w:tc>
        <w:tc>
          <w:tcPr>
            <w:tcW w:w="478" w:type="dxa"/>
            <w:tcBorders>
              <w:top w:val="single" w:color="auto" w:sz="4" w:space="0"/>
              <w:left w:val="single" w:color="auto" w:sz="4" w:space="0"/>
              <w:bottom w:val="single" w:color="auto" w:sz="4" w:space="0"/>
              <w:right w:val="single" w:color="auto" w:sz="4" w:space="0"/>
            </w:tcBorders>
            <w:shd w:val="clear" w:color="auto" w:fill="auto"/>
            <w:vAlign w:val="center"/>
          </w:tcPr>
          <w:p w14:paraId="27A77298">
            <w:pPr>
              <w:spacing w:line="570" w:lineRule="exact"/>
              <w:jc w:val="center"/>
              <w:rPr>
                <w:rFonts w:hint="eastAsia"/>
                <w:color w:val="000000"/>
                <w:sz w:val="20"/>
                <w:szCs w:val="20"/>
              </w:rPr>
            </w:pPr>
            <w:r>
              <w:rPr>
                <w:rFonts w:hint="eastAsia"/>
                <w:color w:val="000000"/>
                <w:sz w:val="20"/>
                <w:szCs w:val="20"/>
              </w:rPr>
              <w:t>25</w:t>
            </w:r>
          </w:p>
        </w:tc>
        <w:tc>
          <w:tcPr>
            <w:tcW w:w="5976" w:type="dxa"/>
            <w:tcBorders>
              <w:top w:val="single" w:color="auto" w:sz="4" w:space="0"/>
              <w:left w:val="single" w:color="auto" w:sz="4" w:space="0"/>
              <w:bottom w:val="single" w:color="auto" w:sz="4" w:space="0"/>
              <w:right w:val="single" w:color="auto" w:sz="4" w:space="0"/>
            </w:tcBorders>
            <w:shd w:val="clear" w:color="auto" w:fill="auto"/>
            <w:vAlign w:val="center"/>
          </w:tcPr>
          <w:p w14:paraId="7293C2FE">
            <w:pPr>
              <w:spacing w:line="400" w:lineRule="exact"/>
              <w:rPr>
                <w:rFonts w:hint="eastAsia" w:eastAsia="宋体"/>
                <w:color w:val="000000"/>
                <w:sz w:val="20"/>
                <w:szCs w:val="20"/>
                <w:lang w:eastAsia="zh-CN"/>
              </w:rPr>
            </w:pPr>
            <w:r>
              <w:rPr>
                <w:rFonts w:hint="eastAsia"/>
                <w:color w:val="000000"/>
                <w:sz w:val="20"/>
                <w:szCs w:val="20"/>
              </w:rPr>
              <w:t xml:space="preserve">产品尺寸（单位mm）:  ≥1200L*550W*750H </w:t>
            </w:r>
          </w:p>
          <w:p w14:paraId="6ACEBC58">
            <w:pPr>
              <w:numPr>
                <w:ilvl w:val="0"/>
                <w:numId w:val="1"/>
              </w:numPr>
              <w:spacing w:line="400" w:lineRule="exact"/>
              <w:ind w:left="100" w:leftChars="0" w:firstLine="0" w:firstLineChars="0"/>
              <w:rPr>
                <w:rFonts w:hint="eastAsia"/>
                <w:color w:val="000000"/>
                <w:sz w:val="20"/>
                <w:szCs w:val="20"/>
              </w:rPr>
            </w:pPr>
            <w:r>
              <w:rPr>
                <w:rFonts w:hint="eastAsia"/>
                <w:color w:val="000000"/>
                <w:sz w:val="20"/>
                <w:szCs w:val="20"/>
              </w:rPr>
              <w:t>桌面：E1级高密度板台面，厚度为</w:t>
            </w:r>
            <w:r>
              <w:rPr>
                <w:rFonts w:hint="eastAsia"/>
                <w:color w:val="000000"/>
                <w:sz w:val="20"/>
                <w:szCs w:val="20"/>
                <w:lang w:eastAsia="zh-CN"/>
              </w:rPr>
              <w:t>：</w:t>
            </w:r>
            <w:r>
              <w:rPr>
                <w:rFonts w:hint="eastAsia"/>
                <w:color w:val="000000"/>
                <w:sz w:val="20"/>
                <w:szCs w:val="20"/>
              </w:rPr>
              <w:t>25MM</w:t>
            </w:r>
            <w:r>
              <w:rPr>
                <w:rFonts w:hint="eastAsia"/>
                <w:color w:val="000000"/>
                <w:sz w:val="20"/>
                <w:szCs w:val="20"/>
                <w:lang w:val="en-US" w:eastAsia="zh-CN"/>
              </w:rPr>
              <w:t>--30</w:t>
            </w:r>
            <w:r>
              <w:rPr>
                <w:rFonts w:hint="eastAsia"/>
                <w:color w:val="000000"/>
                <w:sz w:val="20"/>
                <w:szCs w:val="20"/>
              </w:rPr>
              <w:t>MM，内材经过防虫、防腐的化学处理，强度高、钢性好、不变形、比重合理；封边：PVC胶边；游离甲醛释放量优于国家标准，密度≥750公斤/立方米，游离甲醛含量≤8mg/100g；</w:t>
            </w:r>
          </w:p>
          <w:p w14:paraId="23E71694">
            <w:pPr>
              <w:numPr>
                <w:ilvl w:val="0"/>
                <w:numId w:val="1"/>
              </w:numPr>
              <w:spacing w:line="400" w:lineRule="exact"/>
              <w:ind w:left="100" w:leftChars="0" w:firstLine="0" w:firstLineChars="0"/>
              <w:rPr>
                <w:rFonts w:hint="eastAsia" w:eastAsia="宋体"/>
                <w:color w:val="000000"/>
                <w:sz w:val="20"/>
                <w:szCs w:val="20"/>
                <w:lang w:eastAsia="zh-CN"/>
              </w:rPr>
            </w:pPr>
            <w:r>
              <w:rPr>
                <w:rFonts w:hint="eastAsia"/>
                <w:color w:val="000000"/>
                <w:sz w:val="20"/>
                <w:szCs w:val="20"/>
              </w:rPr>
              <w:t>2.桌架：≥1.5mm厚蛋管冷轧钢立柱，≥1.2mm冷轧钢横梁，表面高温静电喷涂；</w:t>
            </w:r>
          </w:p>
          <w:p w14:paraId="252DCA70">
            <w:pPr>
              <w:spacing w:line="400" w:lineRule="exact"/>
              <w:rPr>
                <w:rFonts w:hint="eastAsia" w:eastAsia="宋体"/>
                <w:color w:val="000000"/>
                <w:sz w:val="20"/>
                <w:szCs w:val="20"/>
                <w:lang w:eastAsia="zh-CN"/>
              </w:rPr>
            </w:pPr>
            <w:r>
              <w:rPr>
                <w:rFonts w:hint="eastAsia"/>
                <w:color w:val="000000"/>
                <w:sz w:val="20"/>
                <w:szCs w:val="20"/>
              </w:rPr>
              <w:t>3.书网：材料为≥0.8mm冷轧钢架，表面高温静电喷涂；</w:t>
            </w:r>
          </w:p>
          <w:p w14:paraId="29FE99B1">
            <w:pPr>
              <w:spacing w:line="400" w:lineRule="exact"/>
              <w:rPr>
                <w:rFonts w:hint="eastAsia" w:eastAsia="宋体"/>
                <w:color w:val="000000"/>
                <w:sz w:val="20"/>
                <w:szCs w:val="20"/>
                <w:lang w:eastAsia="zh-CN"/>
              </w:rPr>
            </w:pPr>
            <w:r>
              <w:rPr>
                <w:rFonts w:hint="eastAsia"/>
                <w:color w:val="000000"/>
                <w:sz w:val="20"/>
                <w:szCs w:val="20"/>
              </w:rPr>
              <w:t>4.挡板：挡板E1级高密度板采用≥12MM，内材经过防虫、防腐的化学处理，强度高、钢性好、不变形、比重合理；封边：PVC胶边；游离甲醛释放量优于国家标准，密度≥700公斤/立方米，游离甲醛含量≤8mg/100g；</w:t>
            </w:r>
          </w:p>
          <w:p w14:paraId="7D07DFFF">
            <w:pPr>
              <w:spacing w:line="400" w:lineRule="exact"/>
              <w:rPr>
                <w:rFonts w:hint="eastAsia" w:eastAsia="宋体"/>
                <w:color w:val="000000"/>
                <w:sz w:val="20"/>
                <w:szCs w:val="20"/>
                <w:lang w:eastAsia="zh-CN"/>
              </w:rPr>
            </w:pPr>
            <w:r>
              <w:rPr>
                <w:rFonts w:hint="eastAsia"/>
                <w:color w:val="000000"/>
                <w:sz w:val="20"/>
                <w:szCs w:val="20"/>
              </w:rPr>
              <w:t>5.脚轮：可调节高低，两个带刹车轮，两个不带刹车，方便用户随时调节桌面平整；</w:t>
            </w:r>
          </w:p>
          <w:p w14:paraId="71071027">
            <w:pPr>
              <w:spacing w:line="400" w:lineRule="exact"/>
              <w:rPr>
                <w:rFonts w:hint="eastAsia" w:eastAsia="宋体"/>
                <w:color w:val="000000"/>
                <w:sz w:val="20"/>
                <w:szCs w:val="20"/>
                <w:lang w:eastAsia="zh-CN"/>
              </w:rPr>
            </w:pPr>
            <w:r>
              <w:rPr>
                <w:rFonts w:hint="eastAsia"/>
                <w:color w:val="000000"/>
                <w:sz w:val="20"/>
                <w:szCs w:val="20"/>
              </w:rPr>
              <w:t>6.折叠：整个桌子可90度折叠，节省空间；</w:t>
            </w:r>
          </w:p>
          <w:p w14:paraId="73426B42">
            <w:pPr>
              <w:spacing w:line="400" w:lineRule="exact"/>
              <w:rPr>
                <w:rFonts w:hint="eastAsia" w:eastAsia="宋体"/>
                <w:color w:val="000000"/>
                <w:sz w:val="20"/>
                <w:szCs w:val="20"/>
                <w:lang w:eastAsia="zh-CN"/>
              </w:rPr>
            </w:pPr>
            <w:r>
              <w:rPr>
                <w:rFonts w:hint="eastAsia"/>
                <w:color w:val="000000"/>
                <w:sz w:val="20"/>
                <w:szCs w:val="20"/>
              </w:rPr>
              <w:t>7.木板颜色：多色可选或提供样品色定制；</w:t>
            </w:r>
          </w:p>
          <w:p w14:paraId="376A9183">
            <w:pPr>
              <w:spacing w:line="400" w:lineRule="exact"/>
              <w:rPr>
                <w:rFonts w:hint="eastAsia"/>
                <w:sz w:val="20"/>
                <w:szCs w:val="20"/>
              </w:rPr>
            </w:pPr>
            <w:r>
              <w:rPr>
                <w:rFonts w:hint="eastAsia"/>
                <w:color w:val="000000"/>
                <w:sz w:val="20"/>
                <w:szCs w:val="20"/>
              </w:rPr>
              <w:t>8.平衡码（选配）：1.可固定拼接、整体移动；2.可固定桌面平整；</w:t>
            </w:r>
          </w:p>
        </w:tc>
        <w:tc>
          <w:tcPr>
            <w:tcW w:w="1056" w:type="dxa"/>
            <w:tcBorders>
              <w:top w:val="single" w:color="auto" w:sz="4" w:space="0"/>
              <w:left w:val="single" w:color="auto" w:sz="4" w:space="0"/>
              <w:bottom w:val="single" w:color="auto" w:sz="4" w:space="0"/>
              <w:right w:val="single" w:color="auto" w:sz="4" w:space="0"/>
            </w:tcBorders>
            <w:shd w:val="clear" w:color="auto" w:fill="auto"/>
            <w:vAlign w:val="center"/>
          </w:tcPr>
          <w:p w14:paraId="391CDC96">
            <w:pPr>
              <w:spacing w:line="570" w:lineRule="exact"/>
              <w:jc w:val="center"/>
              <w:rPr>
                <w:rFonts w:hint="eastAsia"/>
                <w:color w:val="000000"/>
                <w:sz w:val="20"/>
                <w:szCs w:val="20"/>
                <w:lang w:val="en-US" w:eastAsia="zh-CN"/>
              </w:rPr>
            </w:pPr>
            <w:r>
              <w:rPr>
                <w:rFonts w:hint="eastAsia"/>
                <w:color w:val="000000"/>
                <w:sz w:val="20"/>
                <w:szCs w:val="20"/>
              </w:rPr>
              <w:t>21300</w:t>
            </w:r>
          </w:p>
        </w:tc>
        <w:tc>
          <w:tcPr>
            <w:tcW w:w="641" w:type="dxa"/>
            <w:tcBorders>
              <w:top w:val="single" w:color="auto" w:sz="4" w:space="0"/>
              <w:left w:val="single" w:color="auto" w:sz="4" w:space="0"/>
              <w:bottom w:val="single" w:color="auto" w:sz="4" w:space="0"/>
              <w:right w:val="single" w:color="auto" w:sz="4" w:space="0"/>
            </w:tcBorders>
            <w:shd w:val="clear" w:color="auto" w:fill="auto"/>
            <w:vAlign w:val="center"/>
          </w:tcPr>
          <w:p w14:paraId="6A505558">
            <w:pPr>
              <w:spacing w:line="570" w:lineRule="exact"/>
              <w:jc w:val="center"/>
              <w:rPr>
                <w:rFonts w:hint="eastAsia" w:ascii="宋体" w:hAnsi="宋体"/>
                <w:szCs w:val="21"/>
              </w:rPr>
            </w:pPr>
            <w:r>
              <w:rPr>
                <w:rFonts w:hint="eastAsia" w:ascii="宋体" w:hAnsi="宋体"/>
                <w:szCs w:val="21"/>
              </w:rPr>
              <w:t>3</w:t>
            </w:r>
            <w:r>
              <w:rPr>
                <w:rFonts w:ascii="宋体" w:hAnsi="宋体"/>
                <w:szCs w:val="21"/>
              </w:rPr>
              <w:t>2</w:t>
            </w:r>
          </w:p>
        </w:tc>
      </w:tr>
      <w:tr w14:paraId="5BBF95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425" w:type="dxa"/>
            <w:tcBorders>
              <w:left w:val="single" w:color="auto" w:sz="4" w:space="0"/>
              <w:right w:val="single" w:color="auto" w:sz="4" w:space="0"/>
            </w:tcBorders>
          </w:tcPr>
          <w:p w14:paraId="2307E9C1">
            <w:pPr>
              <w:spacing w:line="570" w:lineRule="exact"/>
              <w:jc w:val="center"/>
              <w:rPr>
                <w:rFonts w:ascii="宋体" w:hAnsi="宋体"/>
                <w:b/>
                <w:bCs/>
                <w:szCs w:val="21"/>
              </w:rPr>
            </w:pPr>
          </w:p>
        </w:tc>
        <w:tc>
          <w:tcPr>
            <w:tcW w:w="436" w:type="dxa"/>
            <w:tcBorders>
              <w:top w:val="single" w:color="auto" w:sz="4" w:space="0"/>
              <w:left w:val="single" w:color="auto" w:sz="4" w:space="0"/>
              <w:bottom w:val="single" w:color="auto" w:sz="4" w:space="0"/>
              <w:right w:val="single" w:color="auto" w:sz="4" w:space="0"/>
            </w:tcBorders>
            <w:vAlign w:val="center"/>
          </w:tcPr>
          <w:p w14:paraId="52CB723A">
            <w:pPr>
              <w:keepNext w:val="0"/>
              <w:keepLines w:val="0"/>
              <w:widowControl/>
              <w:suppressLineNumbers w:val="0"/>
              <w:jc w:val="right"/>
              <w:textAlignment w:val="center"/>
              <w:rPr>
                <w:rFonts w:hint="eastAsia" w:ascii="宋体" w:hAnsi="宋体" w:eastAsia="宋体"/>
                <w:szCs w:val="21"/>
                <w:lang w:val="en-US" w:eastAsia="zh-CN"/>
              </w:rPr>
            </w:pPr>
            <w:r>
              <w:rPr>
                <w:rFonts w:hint="eastAsia" w:ascii="宋体" w:hAnsi="宋体"/>
                <w:szCs w:val="21"/>
                <w:lang w:val="en-US" w:eastAsia="zh-CN"/>
              </w:rPr>
              <w:t>4</w:t>
            </w:r>
          </w:p>
        </w:tc>
        <w:tc>
          <w:tcPr>
            <w:tcW w:w="66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7E61520">
            <w:pPr>
              <w:spacing w:line="570" w:lineRule="exact"/>
              <w:jc w:val="center"/>
              <w:rPr>
                <w:rFonts w:hint="eastAsia"/>
                <w:color w:val="000000"/>
                <w:sz w:val="20"/>
                <w:szCs w:val="20"/>
              </w:rPr>
            </w:pPr>
            <w:r>
              <w:rPr>
                <w:rFonts w:hint="eastAsia"/>
                <w:color w:val="000000"/>
                <w:sz w:val="20"/>
                <w:szCs w:val="20"/>
                <w:lang w:val="en-US" w:eastAsia="zh-CN"/>
              </w:rPr>
              <w:t>智能学生</w:t>
            </w:r>
            <w:r>
              <w:rPr>
                <w:rFonts w:hint="eastAsia"/>
                <w:color w:val="000000"/>
                <w:sz w:val="20"/>
                <w:szCs w:val="20"/>
              </w:rPr>
              <w:t>椅</w:t>
            </w:r>
          </w:p>
        </w:tc>
        <w:tc>
          <w:tcPr>
            <w:tcW w:w="444" w:type="dxa"/>
            <w:tcBorders>
              <w:top w:val="single" w:color="auto" w:sz="4" w:space="0"/>
              <w:left w:val="single" w:color="auto" w:sz="4" w:space="0"/>
              <w:bottom w:val="single" w:color="auto" w:sz="4" w:space="0"/>
              <w:right w:val="single" w:color="auto" w:sz="4" w:space="0"/>
            </w:tcBorders>
            <w:shd w:val="clear" w:color="auto" w:fill="auto"/>
            <w:vAlign w:val="center"/>
          </w:tcPr>
          <w:p w14:paraId="57C15903">
            <w:pPr>
              <w:spacing w:line="570" w:lineRule="exact"/>
              <w:jc w:val="center"/>
              <w:rPr>
                <w:rFonts w:hint="eastAsia"/>
                <w:color w:val="000000"/>
                <w:sz w:val="20"/>
                <w:szCs w:val="20"/>
              </w:rPr>
            </w:pPr>
            <w:r>
              <w:rPr>
                <w:rFonts w:hint="eastAsia"/>
                <w:color w:val="000000"/>
                <w:sz w:val="20"/>
                <w:szCs w:val="20"/>
              </w:rPr>
              <w:t>张</w:t>
            </w:r>
          </w:p>
        </w:tc>
        <w:tc>
          <w:tcPr>
            <w:tcW w:w="478" w:type="dxa"/>
            <w:tcBorders>
              <w:top w:val="single" w:color="auto" w:sz="4" w:space="0"/>
              <w:left w:val="single" w:color="auto" w:sz="4" w:space="0"/>
              <w:bottom w:val="single" w:color="auto" w:sz="4" w:space="0"/>
              <w:right w:val="single" w:color="auto" w:sz="4" w:space="0"/>
            </w:tcBorders>
            <w:shd w:val="clear" w:color="auto" w:fill="auto"/>
            <w:vAlign w:val="center"/>
          </w:tcPr>
          <w:p w14:paraId="257BAA84">
            <w:pPr>
              <w:spacing w:line="570" w:lineRule="exact"/>
              <w:jc w:val="center"/>
              <w:rPr>
                <w:rFonts w:hint="eastAsia"/>
                <w:color w:val="000000"/>
                <w:sz w:val="20"/>
                <w:szCs w:val="20"/>
              </w:rPr>
            </w:pPr>
            <w:r>
              <w:rPr>
                <w:rFonts w:hint="eastAsia"/>
                <w:color w:val="000000"/>
                <w:sz w:val="20"/>
                <w:szCs w:val="20"/>
              </w:rPr>
              <w:t>50</w:t>
            </w:r>
          </w:p>
        </w:tc>
        <w:tc>
          <w:tcPr>
            <w:tcW w:w="5976" w:type="dxa"/>
            <w:tcBorders>
              <w:top w:val="single" w:color="auto" w:sz="4" w:space="0"/>
              <w:left w:val="single" w:color="auto" w:sz="4" w:space="0"/>
              <w:bottom w:val="single" w:color="auto" w:sz="4" w:space="0"/>
              <w:right w:val="single" w:color="auto" w:sz="4" w:space="0"/>
            </w:tcBorders>
            <w:shd w:val="clear" w:color="auto" w:fill="auto"/>
            <w:vAlign w:val="center"/>
          </w:tcPr>
          <w:p w14:paraId="69FA64FF">
            <w:pPr>
              <w:spacing w:line="400" w:lineRule="exact"/>
              <w:rPr>
                <w:rFonts w:hint="eastAsia" w:eastAsia="宋体"/>
                <w:color w:val="000000"/>
                <w:sz w:val="20"/>
                <w:szCs w:val="20"/>
                <w:lang w:eastAsia="zh-CN"/>
              </w:rPr>
            </w:pPr>
            <w:r>
              <w:rPr>
                <w:rFonts w:hint="eastAsia"/>
                <w:color w:val="000000"/>
                <w:sz w:val="20"/>
                <w:szCs w:val="20"/>
              </w:rPr>
              <w:t>1.面料：靠靠背和坐垫布料采用涤纶双层面料材质，内外两层均为涤纶，加工工艺使用经编/染色，面料厚度≥3mm。</w:t>
            </w:r>
          </w:p>
          <w:p w14:paraId="20672BC8">
            <w:pPr>
              <w:spacing w:line="400" w:lineRule="exact"/>
              <w:rPr>
                <w:rFonts w:hint="eastAsia" w:eastAsia="宋体"/>
                <w:color w:val="000000"/>
                <w:sz w:val="20"/>
                <w:szCs w:val="20"/>
                <w:lang w:eastAsia="zh-CN"/>
              </w:rPr>
            </w:pPr>
            <w:r>
              <w:rPr>
                <w:rFonts w:hint="eastAsia"/>
                <w:color w:val="000000"/>
                <w:sz w:val="20"/>
                <w:szCs w:val="20"/>
              </w:rPr>
              <w:t>2.靠背：尺寸</w:t>
            </w:r>
            <w:r>
              <w:rPr>
                <w:rFonts w:hint="eastAsia"/>
                <w:color w:val="000000"/>
                <w:sz w:val="20"/>
                <w:szCs w:val="20"/>
                <w:lang w:val="en-US" w:eastAsia="zh-CN"/>
              </w:rPr>
              <w:t>约：</w:t>
            </w:r>
            <w:r>
              <w:rPr>
                <w:rFonts w:hint="eastAsia"/>
                <w:color w:val="000000"/>
                <w:sz w:val="20"/>
                <w:szCs w:val="20"/>
              </w:rPr>
              <w:t>430*140*300mm，塑料背架采用全新进口PA+30%玻纤材料，按照人体工程学设计，从背架两侧向内倾斜，上下部向外倾斜呈“C”字型，贴合人体背部；内部镂空≥360*240mm空间用来透气，方便人体向后背靠时，更贴合人体背部；内侧整面采用布料覆盖，布料的拉紧度。</w:t>
            </w:r>
          </w:p>
          <w:p w14:paraId="4872858A">
            <w:pPr>
              <w:spacing w:line="400" w:lineRule="exact"/>
              <w:rPr>
                <w:rFonts w:hint="eastAsia" w:eastAsia="宋体"/>
                <w:color w:val="000000"/>
                <w:sz w:val="20"/>
                <w:szCs w:val="20"/>
                <w:lang w:eastAsia="zh-CN"/>
              </w:rPr>
            </w:pPr>
            <w:r>
              <w:rPr>
                <w:rFonts w:hint="eastAsia"/>
                <w:color w:val="000000"/>
                <w:sz w:val="20"/>
                <w:szCs w:val="20"/>
              </w:rPr>
              <w:t>3.座垫：尺寸≥472*450*75mm，采用优于或等于45#高密度、高弹力定型海绵，内嵌注塑成型的塑料底座，座垫的过渡面均采用圆弧过渡；座面表面采用面料覆盖，并用螺丝固定，座面是中间高前后两侧底，四周采用R50的圆弧；座面通过塑料连接件+螺丝固定在脚架的后横梁上，前横梁不用任何固定，从前侧可以将座面翻转90°；</w:t>
            </w:r>
          </w:p>
          <w:p w14:paraId="7AF5AEEE">
            <w:pPr>
              <w:spacing w:line="400" w:lineRule="exact"/>
              <w:rPr>
                <w:rFonts w:hint="eastAsia"/>
                <w:color w:val="000000"/>
                <w:sz w:val="20"/>
                <w:szCs w:val="20"/>
              </w:rPr>
            </w:pPr>
            <w:r>
              <w:rPr>
                <w:rFonts w:hint="eastAsia"/>
                <w:color w:val="000000"/>
                <w:sz w:val="20"/>
                <w:szCs w:val="20"/>
              </w:rPr>
              <w:t>4.扶手：采用PA+30%玻纤材质，扶手面尺寸为：190*60mm--230*70mm，厚度：20mm--25mm，连接段尺寸为:35*25mm--40*30mm：扶手面与连接段的角度:115°--120°，扶手面四周均采用圆弧设计，整体向前切斜，扶手前段的尺寸≥100mm。更加方便使用手扶。</w:t>
            </w:r>
          </w:p>
          <w:p w14:paraId="3317FA52">
            <w:pPr>
              <w:spacing w:line="400" w:lineRule="exact"/>
              <w:rPr>
                <w:rFonts w:hint="eastAsia" w:eastAsia="宋体"/>
                <w:color w:val="000000"/>
                <w:sz w:val="20"/>
                <w:szCs w:val="20"/>
                <w:lang w:eastAsia="zh-CN"/>
              </w:rPr>
            </w:pPr>
            <w:r>
              <w:rPr>
                <w:rFonts w:hint="eastAsia"/>
                <w:color w:val="000000"/>
                <w:sz w:val="20"/>
                <w:szCs w:val="20"/>
              </w:rPr>
              <w:t>5.椅架：椅架主体采用32.5*20.5mm，壁厚1.5mm的方管+冷轧钢圆管Ø19mm焊接而成，前椅架弯曲成型，上下弯曲角度≥153°，椅架尺寸≥450*540mm，横梁长度≥490mm；后椅架长度≥600mm，宽度≥560mm。前后椅架左右两侧通过螺丝进行固定，两横梁之间通过两条钢丝绳连接，方便前后椅架可以折叠。</w:t>
            </w:r>
          </w:p>
          <w:p w14:paraId="56B8CB01">
            <w:pPr>
              <w:spacing w:line="400" w:lineRule="exact"/>
              <w:rPr>
                <w:rFonts w:hint="eastAsia" w:eastAsia="宋体"/>
                <w:color w:val="000000"/>
                <w:sz w:val="20"/>
                <w:szCs w:val="20"/>
                <w:lang w:eastAsia="zh-CN"/>
              </w:rPr>
            </w:pPr>
            <w:r>
              <w:rPr>
                <w:rFonts w:hint="eastAsia"/>
                <w:color w:val="000000"/>
                <w:sz w:val="20"/>
                <w:szCs w:val="20"/>
              </w:rPr>
              <w:t>6.功能：座板可翻起、可全折叠</w:t>
            </w:r>
          </w:p>
          <w:p w14:paraId="6CB0CF53">
            <w:pPr>
              <w:spacing w:line="400" w:lineRule="exact"/>
              <w:rPr>
                <w:rFonts w:hint="eastAsia"/>
                <w:sz w:val="20"/>
                <w:szCs w:val="20"/>
              </w:rPr>
            </w:pPr>
            <w:r>
              <w:rPr>
                <w:rFonts w:hint="eastAsia"/>
                <w:color w:val="000000"/>
                <w:sz w:val="20"/>
                <w:szCs w:val="20"/>
              </w:rPr>
              <w:t>7.产品尺寸</w:t>
            </w:r>
            <w:r>
              <w:rPr>
                <w:rFonts w:hint="eastAsia"/>
                <w:color w:val="000000"/>
                <w:sz w:val="20"/>
                <w:szCs w:val="20"/>
                <w:lang w:val="en-US" w:eastAsia="zh-CN"/>
              </w:rPr>
              <w:t>(mm)</w:t>
            </w:r>
            <w:r>
              <w:rPr>
                <w:rFonts w:hint="eastAsia"/>
                <w:color w:val="000000"/>
                <w:sz w:val="20"/>
                <w:szCs w:val="20"/>
              </w:rPr>
              <w:t>：L6</w:t>
            </w:r>
            <w:r>
              <w:rPr>
                <w:rFonts w:hint="eastAsia"/>
                <w:color w:val="000000"/>
                <w:sz w:val="20"/>
                <w:szCs w:val="20"/>
                <w:lang w:val="en-US" w:eastAsia="zh-CN"/>
              </w:rPr>
              <w:t>0</w:t>
            </w:r>
            <w:r>
              <w:rPr>
                <w:rFonts w:hint="eastAsia"/>
                <w:color w:val="000000"/>
                <w:sz w:val="20"/>
                <w:szCs w:val="20"/>
              </w:rPr>
              <w:t>0*W5</w:t>
            </w:r>
            <w:r>
              <w:rPr>
                <w:rFonts w:hint="eastAsia"/>
                <w:color w:val="000000"/>
                <w:sz w:val="20"/>
                <w:szCs w:val="20"/>
                <w:lang w:val="en-US" w:eastAsia="zh-CN"/>
              </w:rPr>
              <w:t>5</w:t>
            </w:r>
            <w:r>
              <w:rPr>
                <w:rFonts w:hint="eastAsia"/>
                <w:color w:val="000000"/>
                <w:sz w:val="20"/>
                <w:szCs w:val="20"/>
              </w:rPr>
              <w:t>0*H8</w:t>
            </w:r>
            <w:r>
              <w:rPr>
                <w:rFonts w:hint="eastAsia"/>
                <w:color w:val="000000"/>
                <w:sz w:val="20"/>
                <w:szCs w:val="20"/>
                <w:lang w:val="en-US" w:eastAsia="zh-CN"/>
              </w:rPr>
              <w:t>00--</w:t>
            </w:r>
            <w:r>
              <w:rPr>
                <w:rFonts w:hint="eastAsia"/>
                <w:color w:val="000000"/>
                <w:sz w:val="20"/>
                <w:szCs w:val="20"/>
              </w:rPr>
              <w:t>L6</w:t>
            </w:r>
            <w:r>
              <w:rPr>
                <w:rFonts w:hint="eastAsia"/>
                <w:color w:val="000000"/>
                <w:sz w:val="20"/>
                <w:szCs w:val="20"/>
                <w:lang w:val="en-US" w:eastAsia="zh-CN"/>
              </w:rPr>
              <w:t>5</w:t>
            </w:r>
            <w:r>
              <w:rPr>
                <w:rFonts w:hint="eastAsia"/>
                <w:color w:val="000000"/>
                <w:sz w:val="20"/>
                <w:szCs w:val="20"/>
              </w:rPr>
              <w:t>0*W</w:t>
            </w:r>
            <w:r>
              <w:rPr>
                <w:rFonts w:hint="eastAsia"/>
                <w:color w:val="000000"/>
                <w:sz w:val="20"/>
                <w:szCs w:val="20"/>
                <w:lang w:val="en-US" w:eastAsia="zh-CN"/>
              </w:rPr>
              <w:t>60</w:t>
            </w:r>
            <w:r>
              <w:rPr>
                <w:rFonts w:hint="eastAsia"/>
                <w:color w:val="000000"/>
                <w:sz w:val="20"/>
                <w:szCs w:val="20"/>
              </w:rPr>
              <w:t>0*H8</w:t>
            </w:r>
            <w:r>
              <w:rPr>
                <w:rFonts w:hint="eastAsia"/>
                <w:color w:val="000000"/>
                <w:sz w:val="20"/>
                <w:szCs w:val="20"/>
                <w:lang w:val="en-US" w:eastAsia="zh-CN"/>
              </w:rPr>
              <w:t>50</w:t>
            </w:r>
          </w:p>
        </w:tc>
        <w:tc>
          <w:tcPr>
            <w:tcW w:w="1056" w:type="dxa"/>
            <w:tcBorders>
              <w:top w:val="single" w:color="auto" w:sz="4" w:space="0"/>
              <w:left w:val="single" w:color="auto" w:sz="4" w:space="0"/>
              <w:bottom w:val="single" w:color="auto" w:sz="4" w:space="0"/>
              <w:right w:val="single" w:color="auto" w:sz="4" w:space="0"/>
            </w:tcBorders>
            <w:shd w:val="clear" w:color="auto" w:fill="auto"/>
            <w:vAlign w:val="center"/>
          </w:tcPr>
          <w:p w14:paraId="25216817">
            <w:pPr>
              <w:spacing w:line="570" w:lineRule="exact"/>
              <w:jc w:val="center"/>
              <w:rPr>
                <w:rFonts w:hint="eastAsia"/>
                <w:color w:val="000000"/>
                <w:sz w:val="20"/>
                <w:szCs w:val="20"/>
                <w:lang w:val="en-US" w:eastAsia="zh-CN"/>
              </w:rPr>
            </w:pPr>
            <w:r>
              <w:rPr>
                <w:rFonts w:hint="eastAsia"/>
                <w:color w:val="000000"/>
                <w:sz w:val="20"/>
                <w:szCs w:val="20"/>
              </w:rPr>
              <w:t>17500</w:t>
            </w:r>
          </w:p>
        </w:tc>
        <w:tc>
          <w:tcPr>
            <w:tcW w:w="641" w:type="dxa"/>
            <w:tcBorders>
              <w:top w:val="single" w:color="auto" w:sz="4" w:space="0"/>
              <w:left w:val="single" w:color="auto" w:sz="4" w:space="0"/>
              <w:bottom w:val="single" w:color="auto" w:sz="4" w:space="0"/>
              <w:right w:val="single" w:color="auto" w:sz="4" w:space="0"/>
            </w:tcBorders>
            <w:shd w:val="clear" w:color="auto" w:fill="auto"/>
            <w:vAlign w:val="center"/>
          </w:tcPr>
          <w:p w14:paraId="0E742933">
            <w:pPr>
              <w:spacing w:line="570" w:lineRule="exact"/>
              <w:jc w:val="center"/>
              <w:rPr>
                <w:rFonts w:hint="eastAsia" w:ascii="宋体" w:hAnsi="宋体"/>
                <w:szCs w:val="21"/>
              </w:rPr>
            </w:pPr>
            <w:r>
              <w:rPr>
                <w:rFonts w:hint="eastAsia" w:ascii="宋体" w:hAnsi="宋体"/>
                <w:szCs w:val="21"/>
              </w:rPr>
              <w:t>3</w:t>
            </w:r>
            <w:r>
              <w:rPr>
                <w:rFonts w:ascii="宋体" w:hAnsi="宋体"/>
                <w:szCs w:val="21"/>
              </w:rPr>
              <w:t>3</w:t>
            </w:r>
          </w:p>
        </w:tc>
      </w:tr>
      <w:tr w14:paraId="33F01C3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47" w:hRule="atLeast"/>
          <w:jc w:val="center"/>
        </w:trPr>
        <w:tc>
          <w:tcPr>
            <w:tcW w:w="425" w:type="dxa"/>
            <w:tcBorders>
              <w:top w:val="single" w:color="auto" w:sz="4" w:space="0"/>
              <w:left w:val="single" w:color="auto" w:sz="4" w:space="0"/>
              <w:bottom w:val="single" w:color="auto" w:sz="4" w:space="0"/>
              <w:right w:val="single" w:color="auto" w:sz="4" w:space="0"/>
            </w:tcBorders>
          </w:tcPr>
          <w:p w14:paraId="1A13504F">
            <w:pPr>
              <w:spacing w:line="570" w:lineRule="exact"/>
              <w:jc w:val="center"/>
              <w:rPr>
                <w:rFonts w:ascii="宋体" w:hAnsi="宋体"/>
              </w:rPr>
            </w:pPr>
          </w:p>
          <w:p w14:paraId="66F6FE87">
            <w:pPr>
              <w:spacing w:line="570" w:lineRule="exact"/>
              <w:jc w:val="center"/>
              <w:rPr>
                <w:rFonts w:ascii="宋体" w:hAnsi="宋体"/>
              </w:rPr>
            </w:pPr>
          </w:p>
          <w:p w14:paraId="65162E92">
            <w:pPr>
              <w:spacing w:line="570" w:lineRule="exact"/>
              <w:jc w:val="center"/>
              <w:rPr>
                <w:rFonts w:ascii="宋体" w:hAnsi="宋体"/>
              </w:rPr>
            </w:pPr>
            <w:r>
              <w:rPr>
                <w:rFonts w:hint="eastAsia" w:ascii="宋体" w:hAnsi="宋体"/>
              </w:rPr>
              <w:t>商务条款</w:t>
            </w:r>
          </w:p>
        </w:tc>
        <w:tc>
          <w:tcPr>
            <w:tcW w:w="9696" w:type="dxa"/>
            <w:gridSpan w:val="8"/>
            <w:tcBorders>
              <w:top w:val="single" w:color="auto" w:sz="4" w:space="0"/>
              <w:left w:val="single" w:color="auto" w:sz="4" w:space="0"/>
              <w:bottom w:val="single" w:color="auto" w:sz="4" w:space="0"/>
              <w:right w:val="single" w:color="auto" w:sz="4" w:space="0"/>
            </w:tcBorders>
          </w:tcPr>
          <w:p w14:paraId="43562802">
            <w:pPr>
              <w:widowControl/>
              <w:shd w:val="clear" w:color="auto" w:fill="FFFFFF"/>
              <w:spacing w:line="570" w:lineRule="exact"/>
              <w:rPr>
                <w:rFonts w:hint="eastAsia" w:ascii="宋体" w:hAnsi="宋体" w:cs="宋体"/>
                <w:szCs w:val="21"/>
              </w:rPr>
            </w:pPr>
            <w:bookmarkStart w:id="1" w:name="_top"/>
            <w:bookmarkEnd w:id="1"/>
            <w:r>
              <w:rPr>
                <w:rFonts w:hint="eastAsia" w:ascii="宋体" w:hAnsi="宋体"/>
                <w:color w:val="000000"/>
                <w:szCs w:val="21"/>
              </w:rPr>
              <w:t>□</w:t>
            </w:r>
            <w:r>
              <w:rPr>
                <w:rFonts w:hint="eastAsia" w:ascii="宋体" w:hAnsi="宋体" w:cs="宋体"/>
                <w:szCs w:val="21"/>
              </w:rPr>
              <w:t>▲一、合同签订期：自中标通知书发出之日起25日内（注：中标通知书发出之日起25日内必须签订合同。）注：中标通知书发出之日起25日内必须签订合同。）签订合同</w:t>
            </w:r>
            <w:r>
              <w:rPr>
                <w:rFonts w:hint="eastAsia" w:ascii="宋体" w:hAnsi="宋体" w:cs="宋体"/>
                <w:szCs w:val="21"/>
                <w:lang w:val="en-US" w:eastAsia="zh-CN"/>
              </w:rPr>
              <w:t>前</w:t>
            </w:r>
            <w:r>
              <w:rPr>
                <w:rFonts w:hint="eastAsia" w:ascii="宋体" w:hAnsi="宋体" w:cs="宋体"/>
                <w:szCs w:val="21"/>
              </w:rPr>
              <w:t>、成交供应商须提供</w:t>
            </w:r>
            <w:r>
              <w:rPr>
                <w:rFonts w:hint="eastAsia" w:ascii="宋体" w:hAnsi="宋体" w:cs="宋体"/>
                <w:szCs w:val="21"/>
                <w:lang w:val="en-US" w:eastAsia="zh-CN"/>
              </w:rPr>
              <w:t>核心产品：</w:t>
            </w:r>
            <w:r>
              <w:rPr>
                <w:rFonts w:hint="eastAsia" w:ascii="宋体" w:hAnsi="宋体" w:cs="宋体"/>
                <w:szCs w:val="21"/>
              </w:rPr>
              <w:t>智能交互平板</w:t>
            </w:r>
            <w:r>
              <w:rPr>
                <w:rFonts w:hint="eastAsia" w:ascii="宋体" w:hAnsi="宋体" w:cs="宋体"/>
                <w:szCs w:val="21"/>
                <w:lang w:eastAsia="zh-CN"/>
              </w:rPr>
              <w:t>，</w:t>
            </w:r>
            <w:r>
              <w:rPr>
                <w:rFonts w:hint="eastAsia" w:ascii="宋体" w:hAnsi="宋体" w:cs="宋体"/>
                <w:szCs w:val="21"/>
              </w:rPr>
              <w:t>至</w:t>
            </w:r>
            <w:r>
              <w:rPr>
                <w:rFonts w:hint="eastAsia" w:ascii="宋体" w:hAnsi="宋体" w:cs="宋体"/>
                <w:szCs w:val="21"/>
                <w:lang w:val="en-US" w:eastAsia="zh-CN"/>
              </w:rPr>
              <w:t>采购人</w:t>
            </w:r>
            <w:r>
              <w:rPr>
                <w:rFonts w:hint="eastAsia" w:ascii="宋体" w:hAnsi="宋体" w:cs="宋体"/>
                <w:szCs w:val="21"/>
              </w:rPr>
              <w:t>处进行整体性能演示，如出现所提供样品不符合采购需求文件的技术参数要求或无法提供所有样品均视为</w:t>
            </w:r>
            <w:r>
              <w:rPr>
                <w:rFonts w:hint="eastAsia" w:ascii="宋体" w:hAnsi="宋体" w:cs="宋体"/>
                <w:szCs w:val="21"/>
                <w:lang w:val="en-US" w:eastAsia="zh-CN"/>
              </w:rPr>
              <w:t>放弃中标</w:t>
            </w:r>
            <w:r>
              <w:rPr>
                <w:rFonts w:hint="eastAsia" w:ascii="宋体" w:hAnsi="宋体" w:cs="宋体"/>
                <w:szCs w:val="21"/>
              </w:rPr>
              <w:t>，并上报上级监管部门报备。</w:t>
            </w:r>
          </w:p>
          <w:p w14:paraId="5A476277">
            <w:pPr>
              <w:widowControl/>
              <w:shd w:val="clear" w:color="auto" w:fill="FFFFFF"/>
              <w:spacing w:line="570" w:lineRule="exact"/>
              <w:rPr>
                <w:rFonts w:hint="eastAsia" w:eastAsia="宋体"/>
                <w:lang w:val="en-US" w:eastAsia="zh-CN"/>
              </w:rPr>
            </w:pPr>
            <w:r>
              <w:rPr>
                <w:rFonts w:hint="eastAsia" w:ascii="宋体" w:hAnsi="宋体"/>
                <w:color w:val="000000"/>
                <w:szCs w:val="21"/>
              </w:rPr>
              <w:t>□</w:t>
            </w:r>
            <w:r>
              <w:rPr>
                <w:rFonts w:hint="eastAsia" w:ascii="宋体" w:hAnsi="宋体"/>
                <w:szCs w:val="21"/>
              </w:rPr>
              <w:t>二、</w:t>
            </w:r>
            <w:r>
              <w:rPr>
                <w:rFonts w:hint="eastAsia" w:ascii="宋体" w:hAnsi="宋体"/>
                <w:bCs/>
                <w:szCs w:val="21"/>
              </w:rPr>
              <w:t>货物期限或者货物时间：签订合同日起25个工作日</w:t>
            </w:r>
            <w:r>
              <w:rPr>
                <w:rFonts w:hint="eastAsia" w:ascii="宋体" w:hAnsi="宋体"/>
                <w:bCs/>
                <w:szCs w:val="21"/>
                <w:lang w:val="en-US" w:eastAsia="zh-CN"/>
              </w:rPr>
              <w:t>内</w:t>
            </w:r>
          </w:p>
          <w:p w14:paraId="099D5996">
            <w:pPr>
              <w:widowControl/>
              <w:shd w:val="clear" w:color="auto" w:fill="FFFFFF"/>
              <w:spacing w:line="570" w:lineRule="exact"/>
              <w:rPr>
                <w:rFonts w:ascii="宋体" w:hAnsi="宋体"/>
                <w:bCs/>
                <w:szCs w:val="21"/>
                <w:u w:val="single"/>
              </w:rPr>
            </w:pPr>
            <w:r>
              <w:rPr>
                <w:rFonts w:hint="eastAsia" w:ascii="宋体" w:hAnsi="宋体"/>
                <w:color w:val="000000"/>
                <w:szCs w:val="21"/>
              </w:rPr>
              <w:t>□</w:t>
            </w:r>
            <w:r>
              <w:rPr>
                <w:rFonts w:hint="eastAsia" w:ascii="宋体" w:hAnsi="宋体"/>
                <w:szCs w:val="21"/>
              </w:rPr>
              <w:t>三、货物地点：广西南宁市大学西路169号南宁职业技术大学</w:t>
            </w:r>
          </w:p>
          <w:p w14:paraId="1A05234A">
            <w:pPr>
              <w:widowControl/>
              <w:shd w:val="clear" w:color="auto" w:fill="FFFFFF"/>
              <w:spacing w:line="570" w:lineRule="exact"/>
              <w:rPr>
                <w:rFonts w:hint="eastAsia" w:ascii="宋体" w:hAnsi="宋体" w:cs="宋体"/>
                <w:szCs w:val="21"/>
              </w:rPr>
            </w:pPr>
            <w:r>
              <w:rPr>
                <w:rFonts w:hint="eastAsia" w:ascii="宋体" w:hAnsi="宋体"/>
                <w:color w:val="000000"/>
                <w:szCs w:val="21"/>
              </w:rPr>
              <w:t>□</w:t>
            </w:r>
            <w:r>
              <w:rPr>
                <w:rFonts w:hint="eastAsia" w:ascii="宋体" w:hAnsi="宋体"/>
                <w:bCs/>
                <w:szCs w:val="21"/>
              </w:rPr>
              <w:t>四、</w:t>
            </w:r>
            <w:r>
              <w:rPr>
                <w:rFonts w:hint="eastAsia" w:ascii="宋体" w:hAnsi="宋体" w:cs="宋体"/>
                <w:szCs w:val="21"/>
              </w:rPr>
              <w:t>验收标准、规范：</w:t>
            </w:r>
            <w:r>
              <w:rPr>
                <w:rFonts w:hint="eastAsia"/>
              </w:rPr>
              <w:t>采购人根据响应文件要求、响应文件承诺以及合同条款逐条进行验收，确认符合采购需求，予以验收通过。如与采购需求不一致，采购人出具书面异议给成交供应商，成交供应商应当自收到书面异议后10个工作日内进行整改，整改后仍不通过的，不予验收，由此造成的一切不利后果及经济损失由成交供应商自行承担。验收通过后方可完成交付。</w:t>
            </w:r>
          </w:p>
          <w:p w14:paraId="20C45EC7">
            <w:pPr>
              <w:widowControl/>
              <w:shd w:val="clear" w:color="auto" w:fill="FFFFFF"/>
              <w:spacing w:line="570" w:lineRule="exact"/>
              <w:rPr>
                <w:rFonts w:ascii="宋体" w:hAnsi="宋体"/>
                <w:szCs w:val="21"/>
                <w:highlight w:val="none"/>
              </w:rPr>
            </w:pPr>
            <w:r>
              <w:rPr>
                <w:rFonts w:hint="eastAsia" w:ascii="宋体" w:hAnsi="宋体"/>
                <w:color w:val="000000"/>
                <w:szCs w:val="21"/>
              </w:rPr>
              <w:t>□</w:t>
            </w:r>
            <w:r>
              <w:rPr>
                <w:rFonts w:hint="eastAsia" w:ascii="宋体" w:hAnsi="宋体"/>
                <w:b/>
                <w:bCs/>
                <w:szCs w:val="21"/>
              </w:rPr>
              <w:t>▲</w:t>
            </w:r>
            <w:r>
              <w:rPr>
                <w:rFonts w:hint="eastAsia" w:ascii="宋体" w:hAnsi="宋体"/>
                <w:szCs w:val="21"/>
              </w:rPr>
              <w:t>五、售后服务要求：成交供应商完成全部产品安装后5个工作日内采购人组织验收，采购人根据磋商文件要求、响应文件承诺以及合同条款进行验收，成交人须在验收时进行演示，经采购人对演示情况进行审查后，确认符合采购需求，予以验收通过。如演示采购需求不一致，采购人出具书面异议给成交供应商，成交供应商应当自收到书面异议后10个工作日内进行整改，</w:t>
            </w:r>
            <w:r>
              <w:rPr>
                <w:rFonts w:hint="eastAsia" w:ascii="宋体" w:hAnsi="宋体"/>
                <w:szCs w:val="21"/>
                <w:highlight w:val="none"/>
              </w:rPr>
              <w:t>整改后仍不通过的，不予验收，由此造成的一切不利后果及经济损失由成交供应商自行承担。验收通过后方可完成交付。</w:t>
            </w:r>
          </w:p>
          <w:p w14:paraId="14D2496B">
            <w:pPr>
              <w:spacing w:line="570" w:lineRule="exact"/>
              <w:rPr>
                <w:rFonts w:hint="eastAsia" w:ascii="宋体" w:hAnsi="宋体"/>
                <w:color w:val="000000"/>
                <w:szCs w:val="21"/>
              </w:rPr>
            </w:pPr>
            <w:r>
              <w:rPr>
                <w:rFonts w:hint="eastAsia" w:ascii="宋体" w:hAnsi="宋体"/>
                <w:color w:val="000000"/>
                <w:szCs w:val="21"/>
              </w:rPr>
              <w:t>1、质量保证期</w:t>
            </w:r>
            <w:r>
              <w:rPr>
                <w:rFonts w:hint="eastAsia" w:ascii="宋体" w:hAnsi="宋体"/>
                <w:color w:val="000000"/>
                <w:szCs w:val="21"/>
                <w:lang w:eastAsia="zh-CN"/>
              </w:rPr>
              <w:t>：</w:t>
            </w:r>
            <w:r>
              <w:rPr>
                <w:rFonts w:hint="eastAsia" w:ascii="宋体" w:hAnsi="宋体"/>
                <w:color w:val="000000"/>
                <w:szCs w:val="21"/>
              </w:rPr>
              <w:t>交货验收合格之日起所有软硬件设备、配件提供</w:t>
            </w:r>
            <w:r>
              <w:rPr>
                <w:rFonts w:hint="eastAsia" w:ascii="宋体" w:hAnsi="宋体"/>
                <w:color w:val="000000"/>
                <w:szCs w:val="21"/>
                <w:lang w:val="en-US" w:eastAsia="zh-CN"/>
              </w:rPr>
              <w:t>1</w:t>
            </w:r>
            <w:r>
              <w:rPr>
                <w:rFonts w:hint="eastAsia" w:ascii="宋体" w:hAnsi="宋体"/>
                <w:color w:val="000000"/>
                <w:szCs w:val="21"/>
              </w:rPr>
              <w:t>年的免费质保及软件永久免费升级服务。保修期满前1个月内成交供应商应负责一次免费全面检查 。因人为因素出现的故障不在免费保修范围内。超过保修期的机器设备，终生维修，维修时只收部件成本费。</w:t>
            </w:r>
          </w:p>
          <w:p w14:paraId="19D93F76">
            <w:pPr>
              <w:spacing w:line="570" w:lineRule="exact"/>
              <w:rPr>
                <w:rFonts w:hint="eastAsia" w:ascii="宋体" w:hAnsi="宋体"/>
                <w:color w:val="000000"/>
                <w:szCs w:val="21"/>
              </w:rPr>
            </w:pPr>
            <w:r>
              <w:rPr>
                <w:rFonts w:hint="eastAsia" w:ascii="宋体" w:hAnsi="宋体"/>
                <w:color w:val="000000"/>
                <w:szCs w:val="21"/>
                <w:lang w:val="en-US" w:eastAsia="zh-CN"/>
              </w:rPr>
              <w:t>2、</w:t>
            </w:r>
            <w:r>
              <w:rPr>
                <w:rFonts w:hint="eastAsia" w:ascii="宋体" w:hAnsi="宋体"/>
                <w:color w:val="000000"/>
                <w:szCs w:val="21"/>
              </w:rPr>
              <w:t>响应时间：在设备整个使用期内，中标人应确保设备的正常使用，在接到用户 维修要求后应30分钟内作出回应，在接到报修通知后</w:t>
            </w:r>
            <w:r>
              <w:rPr>
                <w:rFonts w:hint="eastAsia" w:ascii="宋体" w:hAnsi="宋体"/>
                <w:color w:val="000000"/>
                <w:szCs w:val="21"/>
                <w:lang w:val="en-US" w:eastAsia="zh-CN"/>
              </w:rPr>
              <w:t>8</w:t>
            </w:r>
            <w:r>
              <w:rPr>
                <w:rFonts w:hint="eastAsia" w:ascii="宋体" w:hAnsi="宋体"/>
                <w:color w:val="000000"/>
                <w:szCs w:val="21"/>
              </w:rPr>
              <w:t>小时内派有关技术员到达现场维修(不可抗力除外),一般故障不超过24小时排除，重大故障不超过48个小时排除。质保期内定期对设备进行免费保养和维护，提供终身有偿维护和保养服务。</w:t>
            </w:r>
          </w:p>
          <w:p w14:paraId="402CDC8B">
            <w:pPr>
              <w:spacing w:line="570" w:lineRule="exact"/>
              <w:rPr>
                <w:rFonts w:hint="eastAsia" w:ascii="宋体" w:hAnsi="宋体"/>
                <w:color w:val="000000"/>
                <w:szCs w:val="21"/>
              </w:rPr>
            </w:pPr>
            <w:r>
              <w:rPr>
                <w:rFonts w:hint="eastAsia" w:ascii="宋体" w:hAnsi="宋体"/>
                <w:color w:val="000000"/>
                <w:szCs w:val="21"/>
              </w:rPr>
              <w:t>3、售后服务技术人员要求：专职人员</w:t>
            </w:r>
          </w:p>
          <w:p w14:paraId="757EBA71">
            <w:pPr>
              <w:spacing w:line="570" w:lineRule="exact"/>
              <w:rPr>
                <w:rFonts w:hint="eastAsia" w:ascii="宋体" w:hAnsi="宋体"/>
                <w:color w:val="000000"/>
                <w:szCs w:val="21"/>
              </w:rPr>
            </w:pPr>
            <w:r>
              <w:rPr>
                <w:rFonts w:hint="eastAsia" w:ascii="宋体" w:hAnsi="宋体"/>
                <w:color w:val="000000"/>
                <w:szCs w:val="21"/>
                <w:lang w:val="en-US" w:eastAsia="zh-CN"/>
              </w:rPr>
              <w:t>4</w:t>
            </w:r>
            <w:r>
              <w:rPr>
                <w:rFonts w:hint="eastAsia" w:ascii="宋体" w:hAnsi="宋体"/>
                <w:color w:val="000000"/>
                <w:szCs w:val="21"/>
              </w:rPr>
              <w:t>、备品备件要求：无</w:t>
            </w:r>
          </w:p>
          <w:p w14:paraId="1590D87A">
            <w:pPr>
              <w:spacing w:line="570" w:lineRule="exact"/>
              <w:rPr>
                <w:rFonts w:hint="eastAsia" w:ascii="宋体" w:hAnsi="宋体"/>
                <w:color w:val="000000"/>
                <w:szCs w:val="21"/>
              </w:rPr>
            </w:pPr>
            <w:r>
              <w:rPr>
                <w:rFonts w:hint="eastAsia" w:ascii="宋体" w:hAnsi="宋体"/>
                <w:color w:val="000000"/>
                <w:szCs w:val="21"/>
                <w:lang w:val="en-US" w:eastAsia="zh-CN"/>
              </w:rPr>
              <w:t>5</w:t>
            </w:r>
            <w:r>
              <w:rPr>
                <w:rFonts w:hint="eastAsia" w:ascii="宋体" w:hAnsi="宋体"/>
                <w:color w:val="000000"/>
                <w:szCs w:val="21"/>
              </w:rPr>
              <w:t>、其他：无</w:t>
            </w:r>
          </w:p>
          <w:p w14:paraId="743BC8E5">
            <w:pPr>
              <w:spacing w:line="570" w:lineRule="exact"/>
              <w:rPr>
                <w:rFonts w:ascii="宋体" w:hAnsi="宋体"/>
                <w:szCs w:val="21"/>
              </w:rPr>
            </w:pPr>
            <w:r>
              <w:rPr>
                <w:rFonts w:hint="eastAsia" w:ascii="宋体" w:hAnsi="宋体"/>
                <w:color w:val="000000"/>
                <w:szCs w:val="21"/>
              </w:rPr>
              <w:t>□</w:t>
            </w:r>
            <w:r>
              <w:rPr>
                <w:rFonts w:hint="eastAsia" w:ascii="宋体" w:hAnsi="宋体"/>
                <w:szCs w:val="21"/>
              </w:rPr>
              <w:t>六、其他要求：</w:t>
            </w:r>
          </w:p>
          <w:p w14:paraId="70F3FBF0">
            <w:pPr>
              <w:spacing w:line="570" w:lineRule="exact"/>
              <w:rPr>
                <w:rFonts w:ascii="宋体" w:hAnsi="宋体"/>
                <w:szCs w:val="21"/>
              </w:rPr>
            </w:pPr>
            <w:r>
              <w:rPr>
                <w:rFonts w:hint="eastAsia" w:ascii="宋体" w:hAnsi="宋体"/>
                <w:szCs w:val="21"/>
              </w:rPr>
              <w:t>1、报价必须含以下部分，包括：</w:t>
            </w:r>
          </w:p>
          <w:p w14:paraId="54D4C22B">
            <w:pPr>
              <w:spacing w:line="570" w:lineRule="exact"/>
              <w:rPr>
                <w:rFonts w:ascii="宋体" w:hAnsi="宋体" w:cs="宋体"/>
                <w:szCs w:val="21"/>
              </w:rPr>
            </w:pPr>
            <w:r>
              <w:rPr>
                <w:rFonts w:hint="eastAsia" w:ascii="宋体" w:hAnsi="宋体" w:cs="宋体"/>
                <w:szCs w:val="21"/>
              </w:rPr>
              <w:t>（1）货物的价格；</w:t>
            </w:r>
          </w:p>
          <w:p w14:paraId="79D35C26">
            <w:pPr>
              <w:spacing w:line="570" w:lineRule="exact"/>
              <w:rPr>
                <w:rFonts w:ascii="宋体" w:hAnsi="宋体" w:cs="宋体"/>
                <w:szCs w:val="21"/>
              </w:rPr>
            </w:pPr>
            <w:r>
              <w:rPr>
                <w:rFonts w:hint="eastAsia" w:ascii="宋体" w:hAnsi="宋体" w:cs="宋体"/>
                <w:szCs w:val="21"/>
              </w:rPr>
              <w:t>（2）必要的保险费用和各项税金；</w:t>
            </w:r>
          </w:p>
          <w:p w14:paraId="5D4F95FA">
            <w:pPr>
              <w:tabs>
                <w:tab w:val="left" w:pos="3490"/>
                <w:tab w:val="left" w:pos="3670"/>
                <w:tab w:val="left" w:pos="3895"/>
              </w:tabs>
              <w:spacing w:line="570" w:lineRule="exact"/>
              <w:rPr>
                <w:rFonts w:ascii="宋体" w:hAnsi="宋体"/>
                <w:szCs w:val="21"/>
                <w:u w:val="single"/>
              </w:rPr>
            </w:pPr>
            <w:r>
              <w:rPr>
                <w:rFonts w:hint="eastAsia" w:ascii="宋体" w:hAnsi="宋体" w:cs="宋体"/>
                <w:szCs w:val="21"/>
              </w:rPr>
              <w:t>（3）其他（如运输、装卸、安装、调试、培训、技术支持、售后货物、更新升级等费用，根据项目具体情况填写）：</w:t>
            </w:r>
          </w:p>
          <w:p w14:paraId="4FD855AD">
            <w:pPr>
              <w:spacing w:line="570" w:lineRule="exact"/>
              <w:rPr>
                <w:rFonts w:ascii="宋体" w:hAnsi="宋体" w:cs="宋体"/>
                <w:szCs w:val="21"/>
              </w:rPr>
            </w:pPr>
            <w:r>
              <w:rPr>
                <w:rFonts w:hint="eastAsia" w:ascii="宋体" w:hAnsi="宋体"/>
                <w:color w:val="000000"/>
                <w:szCs w:val="21"/>
              </w:rPr>
              <w:t>□</w:t>
            </w:r>
            <w:r>
              <w:rPr>
                <w:rFonts w:hint="eastAsia" w:ascii="宋体" w:hAnsi="宋体"/>
                <w:b/>
                <w:bCs/>
                <w:szCs w:val="21"/>
              </w:rPr>
              <w:t>▲</w:t>
            </w:r>
            <w:r>
              <w:rPr>
                <w:rFonts w:hint="eastAsia" w:ascii="宋体" w:hAnsi="宋体" w:cs="宋体"/>
                <w:szCs w:val="21"/>
              </w:rPr>
              <w:t>2、付款方式：选择以下第（2）种方式</w:t>
            </w:r>
          </w:p>
          <w:p w14:paraId="7512FD7B">
            <w:pPr>
              <w:numPr>
                <w:ilvl w:val="0"/>
                <w:numId w:val="2"/>
              </w:numPr>
              <w:spacing w:line="570" w:lineRule="exact"/>
              <w:ind w:firstLine="420" w:firstLineChars="200"/>
              <w:rPr>
                <w:rFonts w:ascii="宋体" w:hAnsi="宋体"/>
                <w:color w:val="000000"/>
                <w:szCs w:val="21"/>
              </w:rPr>
            </w:pPr>
            <w:r>
              <w:rPr>
                <w:rFonts w:hint="eastAsia" w:ascii="宋体" w:hAnsi="宋体"/>
                <w:color w:val="000000"/>
                <w:szCs w:val="21"/>
              </w:rPr>
              <w:t>本项目无预付款，合同签订后，设备完成硬件建设，甲方向乙方支付合同总价30%进度款，乙方按合同要培训交货完毕并验收合格后，甲方向乙方支付合同总价的70%，支付前由乙方按规定向甲方开具正式发票。</w:t>
            </w:r>
          </w:p>
          <w:p w14:paraId="72545C31">
            <w:pPr>
              <w:spacing w:line="570" w:lineRule="exact"/>
              <w:ind w:firstLine="420" w:firstLineChars="200"/>
              <w:rPr>
                <w:rFonts w:ascii="宋体" w:hAnsi="宋体" w:cs="宋体"/>
                <w:szCs w:val="21"/>
                <w:u w:val="single"/>
              </w:rPr>
            </w:pPr>
            <w:r>
              <w:rPr>
                <w:rFonts w:hint="eastAsia" w:ascii="宋体" w:hAnsi="宋体"/>
                <w:color w:val="000000"/>
                <w:szCs w:val="21"/>
              </w:rPr>
              <w:t>（2）</w:t>
            </w:r>
            <w:r>
              <w:rPr>
                <w:rFonts w:hint="eastAsia" w:ascii="宋体" w:hAnsi="宋体" w:cs="宋体"/>
                <w:szCs w:val="21"/>
              </w:rPr>
              <w:t>本项目采取预付款形式，预付形式为</w:t>
            </w:r>
            <w:r>
              <w:rPr>
                <w:rFonts w:hint="eastAsia" w:ascii="宋体" w:hAnsi="宋体" w:cs="宋体"/>
                <w:szCs w:val="21"/>
                <w:u w:val="single"/>
              </w:rPr>
              <w:t>：第一期付款:合同签订后，在担保措施生效及具备实施条件后10个工作日内支付甲方向乙方支付合同总价30%预付款，支付前由乙方按规定向甲方开具正式发票</w:t>
            </w:r>
          </w:p>
          <w:p w14:paraId="0ADF3C44">
            <w:pPr>
              <w:spacing w:line="570" w:lineRule="exact"/>
              <w:ind w:firstLine="420" w:firstLineChars="200"/>
              <w:rPr>
                <w:rFonts w:ascii="宋体" w:hAnsi="宋体" w:cs="宋体"/>
                <w:szCs w:val="21"/>
                <w:u w:val="single"/>
              </w:rPr>
            </w:pPr>
            <w:r>
              <w:rPr>
                <w:rFonts w:hint="eastAsia" w:ascii="宋体" w:hAnsi="宋体" w:cs="宋体"/>
                <w:szCs w:val="21"/>
                <w:u w:val="single"/>
              </w:rPr>
              <w:t>第二期付款:乙方交货完毕并验收合格后，甲方向乙方支付合同总价的70%，支付前由乙方按规定向甲方开具正式发票。</w:t>
            </w:r>
          </w:p>
          <w:p w14:paraId="587373E9">
            <w:pPr>
              <w:spacing w:line="570" w:lineRule="exact"/>
              <w:rPr>
                <w:rFonts w:ascii="宋体" w:hAnsi="宋体" w:cs="宋体"/>
                <w:szCs w:val="21"/>
              </w:rPr>
            </w:pPr>
            <w:r>
              <w:rPr>
                <w:rFonts w:hint="eastAsia" w:ascii="宋体" w:hAnsi="宋体"/>
                <w:color w:val="000000"/>
                <w:szCs w:val="21"/>
              </w:rPr>
              <w:t>□</w:t>
            </w:r>
            <w:r>
              <w:rPr>
                <w:rFonts w:hint="eastAsia" w:ascii="宋体" w:hAnsi="宋体" w:cs="宋体"/>
                <w:szCs w:val="21"/>
              </w:rPr>
              <w:t>3、对合同条款的调整（如对验收、违约责任等有特殊要求的）</w:t>
            </w:r>
          </w:p>
        </w:tc>
      </w:tr>
      <w:tr w14:paraId="56BC71C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47" w:hRule="atLeast"/>
          <w:jc w:val="center"/>
        </w:trPr>
        <w:tc>
          <w:tcPr>
            <w:tcW w:w="425" w:type="dxa"/>
            <w:tcBorders>
              <w:top w:val="single" w:color="auto" w:sz="4" w:space="0"/>
              <w:left w:val="single" w:color="auto" w:sz="4" w:space="0"/>
              <w:bottom w:val="single" w:color="auto" w:sz="4" w:space="0"/>
              <w:right w:val="single" w:color="auto" w:sz="4" w:space="0"/>
            </w:tcBorders>
            <w:vAlign w:val="center"/>
          </w:tcPr>
          <w:p w14:paraId="7E524619">
            <w:pPr>
              <w:spacing w:line="570" w:lineRule="exact"/>
              <w:jc w:val="center"/>
              <w:rPr>
                <w:rFonts w:ascii="宋体" w:hAnsi="宋体"/>
              </w:rPr>
            </w:pPr>
            <w:r>
              <w:rPr>
                <w:rFonts w:hint="eastAsia" w:ascii="宋体" w:hAnsi="宋体"/>
              </w:rPr>
              <w:t>其他说明</w:t>
            </w:r>
          </w:p>
        </w:tc>
        <w:tc>
          <w:tcPr>
            <w:tcW w:w="9696" w:type="dxa"/>
            <w:gridSpan w:val="8"/>
            <w:tcBorders>
              <w:top w:val="single" w:color="auto" w:sz="4" w:space="0"/>
              <w:left w:val="single" w:color="auto" w:sz="4" w:space="0"/>
              <w:bottom w:val="single" w:color="auto" w:sz="4" w:space="0"/>
              <w:right w:val="single" w:color="auto" w:sz="4" w:space="0"/>
            </w:tcBorders>
          </w:tcPr>
          <w:p w14:paraId="376053EB">
            <w:pPr>
              <w:widowControl/>
              <w:shd w:val="clear" w:color="auto" w:fill="FFFFFF"/>
              <w:spacing w:line="570" w:lineRule="exact"/>
              <w:rPr>
                <w:rFonts w:ascii="宋体" w:hAnsi="宋体"/>
              </w:rPr>
            </w:pPr>
            <w:r>
              <w:rPr>
                <w:rFonts w:hint="eastAsia" w:ascii="宋体" w:hAnsi="宋体"/>
              </w:rPr>
              <w:t>一、进口产品说明（根据项目实际情况选择）</w:t>
            </w:r>
          </w:p>
          <w:p w14:paraId="4B6EC8D4">
            <w:pPr>
              <w:spacing w:line="570" w:lineRule="exact"/>
              <w:ind w:firstLine="420" w:firstLineChars="200"/>
              <w:rPr>
                <w:rFonts w:ascii="宋体" w:hAnsi="宋体"/>
                <w:color w:val="000000"/>
                <w:szCs w:val="21"/>
              </w:rPr>
            </w:pPr>
            <w:r>
              <w:rPr>
                <w:rFonts w:hint="eastAsia" w:ascii="宋体" w:hAnsi="宋体"/>
                <w:color w:val="000000"/>
                <w:szCs w:val="21"/>
              </w:rPr>
              <w:t>□本表的第项货物所涉及的货物已按规定办妥进口产品采购审核手续，投标产品可选用进口产品；但如选用进口产品时必须为全套原装进口产品（即通过中国海关报关验放进入中国境内且产自关境外的产品），同时投标人必须负责办理进口产品所有相关手续并承担所有费用。</w:t>
            </w:r>
            <w:r>
              <w:rPr>
                <w:rFonts w:hint="eastAsia" w:ascii="宋体" w:hAnsi="宋体"/>
                <w:b/>
                <w:bCs/>
                <w:color w:val="000000"/>
                <w:szCs w:val="21"/>
              </w:rPr>
              <w:t>其他货物不接受进口产品参与投标</w:t>
            </w:r>
            <w:r>
              <w:rPr>
                <w:rFonts w:hint="eastAsia" w:ascii="宋体" w:hAnsi="宋体"/>
                <w:color w:val="000000"/>
                <w:szCs w:val="21"/>
              </w:rPr>
              <w:t>，</w:t>
            </w:r>
            <w:r>
              <w:rPr>
                <w:rFonts w:hint="eastAsia" w:ascii="宋体" w:hAnsi="宋体"/>
                <w:b/>
                <w:color w:val="000000"/>
                <w:szCs w:val="21"/>
              </w:rPr>
              <w:t>否则作无效标处理。</w:t>
            </w:r>
          </w:p>
          <w:p w14:paraId="2A847758">
            <w:pPr>
              <w:tabs>
                <w:tab w:val="left" w:pos="180"/>
                <w:tab w:val="left" w:pos="1620"/>
              </w:tabs>
              <w:spacing w:line="570" w:lineRule="exact"/>
              <w:ind w:firstLine="420" w:firstLineChars="200"/>
              <w:rPr>
                <w:rFonts w:ascii="宋体" w:hAnsi="宋体"/>
                <w:color w:val="000000"/>
                <w:szCs w:val="21"/>
              </w:rPr>
            </w:pPr>
            <w:r>
              <w:rPr>
                <w:rFonts w:hint="eastAsia" w:ascii="宋体" w:hAnsi="宋体"/>
                <w:color w:val="000000"/>
                <w:szCs w:val="21"/>
                <w:lang w:eastAsia="zh-CN"/>
              </w:rPr>
              <w:t>□</w:t>
            </w:r>
            <w:r>
              <w:rPr>
                <w:rFonts w:hint="eastAsia" w:ascii="宋体" w:hAnsi="宋体"/>
                <w:color w:val="000000"/>
                <w:szCs w:val="21"/>
              </w:rPr>
              <w:t>本分标货物所涉及的货物不接受进口产品（即通过中国海关报关验放进入中国境内且产自关境外的产品）参与投标，</w:t>
            </w:r>
            <w:r>
              <w:rPr>
                <w:rFonts w:hint="eastAsia" w:ascii="宋体" w:hAnsi="宋体"/>
                <w:b/>
                <w:color w:val="000000"/>
                <w:szCs w:val="21"/>
              </w:rPr>
              <w:t>如有进口产品参与投标的作无效标处理</w:t>
            </w:r>
            <w:r>
              <w:rPr>
                <w:rFonts w:hint="eastAsia" w:ascii="宋体" w:hAnsi="宋体"/>
                <w:color w:val="000000"/>
                <w:szCs w:val="21"/>
              </w:rPr>
              <w:t>。</w:t>
            </w:r>
          </w:p>
          <w:p w14:paraId="13A55726">
            <w:pPr>
              <w:tabs>
                <w:tab w:val="left" w:pos="180"/>
                <w:tab w:val="left" w:pos="1620"/>
              </w:tabs>
              <w:spacing w:line="570" w:lineRule="exact"/>
              <w:rPr>
                <w:rFonts w:ascii="宋体" w:hAnsi="宋体"/>
                <w:b/>
                <w:color w:val="000000"/>
                <w:szCs w:val="21"/>
              </w:rPr>
            </w:pPr>
            <w:r>
              <w:rPr>
                <w:rFonts w:hint="eastAsia" w:ascii="宋体" w:hAnsi="宋体"/>
                <w:b/>
                <w:color w:val="000000"/>
                <w:szCs w:val="21"/>
              </w:rPr>
              <w:t>二、与本项目有关的设计图纸、技术规范、文件等附件资料及其获取方式（如有）</w:t>
            </w:r>
          </w:p>
          <w:p w14:paraId="21EDEDEC">
            <w:pPr>
              <w:tabs>
                <w:tab w:val="left" w:pos="180"/>
                <w:tab w:val="left" w:pos="1620"/>
              </w:tabs>
              <w:spacing w:line="570" w:lineRule="exact"/>
              <w:rPr>
                <w:rFonts w:ascii="宋体" w:hAnsi="宋体"/>
                <w:color w:val="000000"/>
                <w:szCs w:val="21"/>
              </w:rPr>
            </w:pPr>
            <w:r>
              <w:rPr>
                <w:rFonts w:hint="eastAsia" w:ascii="宋体" w:hAnsi="宋体"/>
                <w:color w:val="000000"/>
                <w:szCs w:val="21"/>
              </w:rPr>
              <w:t>文件或者资料名称：</w:t>
            </w:r>
          </w:p>
          <w:p w14:paraId="26CA150D">
            <w:pPr>
              <w:tabs>
                <w:tab w:val="left" w:pos="180"/>
                <w:tab w:val="left" w:pos="1620"/>
              </w:tabs>
              <w:spacing w:line="570" w:lineRule="exact"/>
              <w:rPr>
                <w:rFonts w:ascii="宋体" w:hAnsi="宋体"/>
                <w:color w:val="000000"/>
                <w:szCs w:val="21"/>
              </w:rPr>
            </w:pPr>
            <w:r>
              <w:rPr>
                <w:rFonts w:hint="eastAsia" w:ascii="宋体" w:hAnsi="宋体"/>
                <w:color w:val="000000"/>
                <w:szCs w:val="21"/>
              </w:rPr>
              <w:t>公布渠道或者获取方式：</w:t>
            </w:r>
          </w:p>
          <w:p w14:paraId="32CEAE0E">
            <w:pPr>
              <w:tabs>
                <w:tab w:val="left" w:pos="180"/>
                <w:tab w:val="left" w:pos="1620"/>
              </w:tabs>
              <w:spacing w:line="570" w:lineRule="exact"/>
              <w:rPr>
                <w:rFonts w:hint="eastAsia" w:ascii="宋体" w:hAnsi="宋体"/>
                <w:color w:val="000000"/>
                <w:szCs w:val="21"/>
              </w:rPr>
            </w:pPr>
            <w:r>
              <w:rPr>
                <w:rFonts w:hint="eastAsia" w:ascii="宋体" w:hAnsi="宋体"/>
                <w:color w:val="000000"/>
                <w:szCs w:val="21"/>
              </w:rPr>
              <w:t>▲三、核心产品</w:t>
            </w:r>
          </w:p>
          <w:p w14:paraId="3F639A4A">
            <w:pPr>
              <w:tabs>
                <w:tab w:val="left" w:pos="180"/>
                <w:tab w:val="left" w:pos="1620"/>
              </w:tabs>
              <w:spacing w:line="570" w:lineRule="exact"/>
              <w:rPr>
                <w:rFonts w:hint="eastAsia" w:ascii="宋体" w:hAnsi="宋体" w:cs="宋体"/>
                <w:highlight w:val="yellow"/>
                <w:lang w:val="en-GB"/>
              </w:rPr>
            </w:pPr>
            <w:r>
              <w:rPr>
                <w:rFonts w:hint="eastAsia" w:ascii="宋体" w:hAnsi="宋体"/>
                <w:color w:val="000000"/>
                <w:szCs w:val="21"/>
              </w:rPr>
              <w:t>“采购清单及技术参数”表中的核心产品为序号第1项：智能交互平板。</w:t>
            </w:r>
          </w:p>
          <w:p w14:paraId="11B103D3">
            <w:pPr>
              <w:widowControl/>
              <w:shd w:val="clear" w:color="auto" w:fill="FFFFFF"/>
              <w:spacing w:line="570" w:lineRule="exact"/>
              <w:rPr>
                <w:rFonts w:ascii="宋体" w:hAnsi="宋体"/>
              </w:rPr>
            </w:pPr>
            <w:r>
              <w:rPr>
                <w:rFonts w:hint="eastAsia" w:ascii="宋体" w:hAnsi="宋体"/>
              </w:rPr>
              <w:t>四、验收标准采购人根据响应文件要求、响应文件承诺以及合同条款逐条进行验收，确认符合采购需求，予以验收通过。如与采购需求不一致，采购人出具书面异议给成交供应商，成交供应商应当自收到书面异议后10个工作日内进行整改，整改后仍不通过的，不予验收，由此造成的一切不利后果及经济损失由成交供应商自行承担。验收通过后方可完成交付。</w:t>
            </w:r>
          </w:p>
          <w:p w14:paraId="39F5B472">
            <w:pPr>
              <w:widowControl/>
              <w:shd w:val="clear" w:color="auto" w:fill="FFFFFF"/>
              <w:spacing w:line="570" w:lineRule="exact"/>
              <w:rPr>
                <w:rFonts w:hint="eastAsia" w:ascii="宋体" w:hAnsi="宋体"/>
                <w:lang w:val="en-US" w:eastAsia="zh-CN"/>
              </w:rPr>
            </w:pPr>
            <w:r>
              <w:rPr>
                <w:rFonts w:hint="eastAsia" w:ascii="宋体" w:hAnsi="宋体"/>
              </w:rPr>
              <w:t>五、其他</w:t>
            </w:r>
          </w:p>
          <w:p w14:paraId="14D8AF67">
            <w:pPr>
              <w:widowControl/>
              <w:shd w:val="clear" w:color="auto" w:fill="FFFFFF"/>
              <w:spacing w:line="570" w:lineRule="exact"/>
              <w:rPr>
                <w:rFonts w:hint="eastAsia" w:ascii="宋体" w:hAnsi="宋体" w:cs="宋体"/>
                <w:szCs w:val="21"/>
              </w:rPr>
            </w:pPr>
            <w:r>
              <w:rPr>
                <w:rFonts w:hint="eastAsia" w:ascii="宋体" w:hAnsi="宋体" w:cs="宋体"/>
                <w:szCs w:val="21"/>
                <w:lang w:val="en-US" w:eastAsia="zh-CN"/>
              </w:rPr>
              <w:t>1、</w:t>
            </w:r>
            <w:r>
              <w:rPr>
                <w:rFonts w:hint="eastAsia" w:ascii="宋体" w:hAnsi="宋体" w:cs="宋体"/>
                <w:szCs w:val="21"/>
              </w:rPr>
              <w:t>本项目采购标的对应的中小企业划分标准所属行业：</w:t>
            </w:r>
            <w:bookmarkStart w:id="2" w:name="OLE_LINK210"/>
            <w:bookmarkStart w:id="3" w:name="OLE_LINK211"/>
            <w:r>
              <w:rPr>
                <w:rFonts w:hint="eastAsia" w:ascii="宋体" w:hAnsi="宋体" w:cs="宋体"/>
                <w:szCs w:val="21"/>
              </w:rPr>
              <w:t>制造业、科学研究和技术服务业</w:t>
            </w:r>
            <w:bookmarkEnd w:id="2"/>
            <w:bookmarkEnd w:id="3"/>
            <w:r>
              <w:rPr>
                <w:rFonts w:hint="eastAsia" w:ascii="宋体" w:hAnsi="宋体" w:cs="宋体"/>
                <w:szCs w:val="21"/>
              </w:rPr>
              <w:t>。</w:t>
            </w:r>
          </w:p>
          <w:p w14:paraId="0761F29E">
            <w:pPr>
              <w:pStyle w:val="4"/>
              <w:jc w:val="both"/>
              <w:rPr>
                <w:rFonts w:hint="eastAsia" w:ascii="宋体" w:hAnsi="宋体" w:eastAsia="宋体" w:cs="宋体"/>
                <w:b w:val="0"/>
                <w:bCs w:val="0"/>
                <w:kern w:val="2"/>
                <w:sz w:val="21"/>
                <w:szCs w:val="21"/>
                <w:highlight w:val="none"/>
                <w:lang w:val="en-US" w:eastAsia="zh-CN" w:bidi="ar-SA"/>
              </w:rPr>
            </w:pPr>
            <w:r>
              <w:rPr>
                <w:rFonts w:hint="eastAsia" w:ascii="宋体" w:hAnsi="宋体" w:eastAsia="宋体" w:cs="宋体"/>
                <w:b w:val="0"/>
                <w:bCs w:val="0"/>
                <w:kern w:val="2"/>
                <w:sz w:val="21"/>
                <w:szCs w:val="21"/>
                <w:highlight w:val="none"/>
                <w:lang w:val="en-US" w:eastAsia="zh-CN" w:bidi="ar-SA"/>
              </w:rPr>
              <w:t>2、技术要求评审中允许负偏离的条款数为</w:t>
            </w:r>
            <w:r>
              <w:rPr>
                <w:rFonts w:hint="eastAsia" w:ascii="宋体" w:hAnsi="宋体" w:cs="宋体"/>
                <w:b w:val="0"/>
                <w:bCs w:val="0"/>
                <w:kern w:val="2"/>
                <w:sz w:val="21"/>
                <w:szCs w:val="21"/>
                <w:highlight w:val="none"/>
                <w:lang w:val="en-US" w:eastAsia="zh-CN" w:bidi="ar-SA"/>
              </w:rPr>
              <w:t>1</w:t>
            </w:r>
            <w:r>
              <w:rPr>
                <w:rFonts w:hint="eastAsia" w:ascii="宋体" w:hAnsi="宋体" w:eastAsia="宋体" w:cs="宋体"/>
                <w:b w:val="0"/>
                <w:bCs w:val="0"/>
                <w:kern w:val="2"/>
                <w:sz w:val="21"/>
                <w:szCs w:val="21"/>
                <w:highlight w:val="none"/>
                <w:lang w:val="en-US" w:eastAsia="zh-CN" w:bidi="ar-SA"/>
              </w:rPr>
              <w:t>项。</w:t>
            </w:r>
          </w:p>
          <w:p w14:paraId="15DFDF5B">
            <w:pPr>
              <w:pStyle w:val="4"/>
              <w:jc w:val="both"/>
            </w:pPr>
            <w:r>
              <w:rPr>
                <w:rFonts w:hint="eastAsia" w:ascii="宋体" w:hAnsi="宋体" w:eastAsia="宋体" w:cs="宋体"/>
                <w:b w:val="0"/>
                <w:bCs w:val="0"/>
                <w:kern w:val="2"/>
                <w:sz w:val="21"/>
                <w:szCs w:val="21"/>
                <w:highlight w:val="none"/>
                <w:lang w:val="en-US" w:eastAsia="zh-CN" w:bidi="ar-SA"/>
              </w:rPr>
              <w:t>3、商务要求评审中允许负偏离的条款数为</w:t>
            </w:r>
            <w:r>
              <w:rPr>
                <w:rFonts w:hint="eastAsia" w:ascii="宋体" w:hAnsi="宋体" w:cs="宋体"/>
                <w:b w:val="0"/>
                <w:bCs w:val="0"/>
                <w:kern w:val="2"/>
                <w:sz w:val="21"/>
                <w:szCs w:val="21"/>
                <w:highlight w:val="none"/>
                <w:lang w:val="en-US" w:eastAsia="zh-CN" w:bidi="ar-SA"/>
              </w:rPr>
              <w:t>1</w:t>
            </w:r>
            <w:r>
              <w:rPr>
                <w:rFonts w:hint="eastAsia" w:ascii="宋体" w:hAnsi="宋体" w:eastAsia="宋体" w:cs="宋体"/>
                <w:b w:val="0"/>
                <w:bCs w:val="0"/>
                <w:kern w:val="2"/>
                <w:sz w:val="21"/>
                <w:szCs w:val="21"/>
                <w:highlight w:val="none"/>
                <w:lang w:val="en-US" w:eastAsia="zh-CN" w:bidi="ar-SA"/>
              </w:rPr>
              <w:t>。</w:t>
            </w:r>
          </w:p>
        </w:tc>
      </w:tr>
    </w:tbl>
    <w:p w14:paraId="000CEF4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1"/>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68043C"/>
    <w:multiLevelType w:val="singleLevel"/>
    <w:tmpl w:val="8E68043C"/>
    <w:lvl w:ilvl="0" w:tentative="0">
      <w:start w:val="1"/>
      <w:numFmt w:val="decimal"/>
      <w:suff w:val="nothing"/>
      <w:lvlText w:val="（%1）"/>
      <w:lvlJc w:val="left"/>
    </w:lvl>
  </w:abstractNum>
  <w:abstractNum w:abstractNumId="1">
    <w:nsid w:val="D7A197A8"/>
    <w:multiLevelType w:val="singleLevel"/>
    <w:tmpl w:val="D7A197A8"/>
    <w:lvl w:ilvl="0" w:tentative="0">
      <w:start w:val="1"/>
      <w:numFmt w:val="decimal"/>
      <w:lvlText w:val="%1."/>
      <w:lvlJc w:val="left"/>
      <w:pPr>
        <w:tabs>
          <w:tab w:val="left" w:pos="312"/>
        </w:tabs>
        <w:ind w:left="100" w:leftChars="0" w:firstLine="0" w:firstLineChars="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kxM2U3ZjJhOWE0MWViMzJjODIzOTU5NDViYmJkMDYifQ=="/>
  </w:docVars>
  <w:rsids>
    <w:rsidRoot w:val="160747DB"/>
    <w:rsid w:val="049F343C"/>
    <w:rsid w:val="10C02BA5"/>
    <w:rsid w:val="160747DB"/>
    <w:rsid w:val="4DC74927"/>
    <w:rsid w:val="5C4F0523"/>
    <w:rsid w:val="5C965957"/>
    <w:rsid w:val="5FD52A6C"/>
    <w:rsid w:val="764029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toc 1"/>
    <w:basedOn w:val="1"/>
    <w:next w:val="1"/>
    <w:unhideWhenUsed/>
    <w:qFormat/>
    <w:uiPriority w:val="39"/>
    <w:rPr>
      <w:sz w:val="28"/>
    </w:rPr>
  </w:style>
  <w:style w:type="paragraph" w:styleId="4">
    <w:name w:val="Title"/>
    <w:basedOn w:val="1"/>
    <w:next w:val="1"/>
    <w:qFormat/>
    <w:uiPriority w:val="0"/>
    <w:pPr>
      <w:spacing w:before="240" w:after="60"/>
      <w:jc w:val="center"/>
      <w:outlineLvl w:val="0"/>
    </w:pPr>
    <w:rPr>
      <w:rFonts w:ascii="Cambria" w:hAnsi="Cambria"/>
      <w:b/>
      <w:bCs/>
      <w:sz w:val="32"/>
      <w:szCs w:val="32"/>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5495</Words>
  <Characters>6149</Characters>
  <Lines>0</Lines>
  <Paragraphs>0</Paragraphs>
  <TotalTime>1</TotalTime>
  <ScaleCrop>false</ScaleCrop>
  <LinksUpToDate>false</LinksUpToDate>
  <CharactersWithSpaces>6175</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2025-07-22T08:38:00Z</dcterms:created>
  <dc:creator>南宁职业技术大学-南宁职业技术大学</dc:creator>
  <cp:lastModifiedBy>W</cp:lastModifiedBy>
  <dcterms:modified xsi:type="dcterms:W3CDTF">2025-07-28T04:40:55Z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ICV">
    <vt:lpwstr>25491B66D4984FD4899A80BBDE052575_13</vt:lpwstr>
  </property>
  <property fmtid="{D5CDD505-2E9C-101B-9397-08002B2CF9AE}" pid="4" name="KSOTemplateDocerSaveRecord">
    <vt:lpwstr>eyJoZGlkIjoiMzAzN2QxNTY3MjYzODk0MDRhNjYzYWIyNWZmZTFhNWQiLCJ1c2VySWQiOiIxMjQ0NjEyMzM5In0=</vt:lpwstr>
  </property>
</Properties>
</file>