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8DAB">
      <w:pPr>
        <w:spacing w:line="276" w:lineRule="auto"/>
        <w:jc w:val="center"/>
        <w:rPr>
          <w:rFonts w:hint="eastAsia" w:ascii="仿宋_GB2312" w:hAnsi="宋体" w:eastAsia="仿宋_GB2312" w:cs="Arial"/>
          <w:b/>
          <w:color w:val="auto"/>
          <w:sz w:val="36"/>
          <w:szCs w:val="36"/>
          <w:lang w:val="en-US" w:eastAsia="zh-CN"/>
        </w:rPr>
      </w:pPr>
      <w:r>
        <w:rPr>
          <w:rFonts w:hint="eastAsia" w:ascii="仿宋_GB2312" w:hAnsi="宋体" w:eastAsia="仿宋_GB2312" w:cs="Arial"/>
          <w:b/>
          <w:color w:val="auto"/>
          <w:sz w:val="36"/>
          <w:szCs w:val="36"/>
          <w:lang w:val="en-US" w:eastAsia="zh-CN"/>
        </w:rPr>
        <w:t>广西国家通用语言文字教育教学指导委员会筹设工作补充采购办公设备</w:t>
      </w:r>
    </w:p>
    <w:tbl>
      <w:tblPr>
        <w:tblStyle w:val="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852"/>
        <w:gridCol w:w="600"/>
        <w:gridCol w:w="585"/>
        <w:gridCol w:w="3023"/>
        <w:gridCol w:w="1277"/>
        <w:gridCol w:w="1799"/>
      </w:tblGrid>
      <w:tr w14:paraId="6DEA9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9"/>
            <w:tcBorders>
              <w:top w:val="single" w:color="auto" w:sz="4" w:space="0"/>
              <w:left w:val="single" w:color="auto" w:sz="4" w:space="0"/>
              <w:right w:val="single" w:color="auto" w:sz="4" w:space="0"/>
            </w:tcBorders>
            <w:noWrap w:val="0"/>
            <w:vAlign w:val="center"/>
          </w:tcPr>
          <w:p w14:paraId="13B8A372">
            <w:pPr>
              <w:spacing w:line="570" w:lineRule="exact"/>
              <w:jc w:val="center"/>
              <w:rPr>
                <w:rFonts w:ascii="宋体" w:hAnsi="宋体" w:cs="宋体"/>
                <w:b/>
                <w:sz w:val="24"/>
              </w:rPr>
            </w:pPr>
            <w:r>
              <w:rPr>
                <w:rFonts w:hint="eastAsia" w:ascii="仿宋_GB2312" w:hAnsi="宋体" w:eastAsia="仿宋_GB2312" w:cs="Arial"/>
                <w:b/>
                <w:color w:val="000000"/>
                <w:sz w:val="32"/>
                <w:szCs w:val="32"/>
              </w:rPr>
              <w:t>货物需求一览表</w:t>
            </w:r>
          </w:p>
        </w:tc>
      </w:tr>
      <w:tr w14:paraId="66A20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right w:val="single" w:color="auto" w:sz="4" w:space="0"/>
            </w:tcBorders>
            <w:noWrap w:val="0"/>
            <w:vAlign w:val="center"/>
          </w:tcPr>
          <w:p w14:paraId="2820CC87">
            <w:pPr>
              <w:spacing w:line="570" w:lineRule="exact"/>
              <w:jc w:val="center"/>
              <w:rPr>
                <w:rFonts w:ascii="仿宋_GB2312" w:hAnsi="宋体" w:eastAsia="仿宋_GB2312" w:cs="Arial"/>
                <w:color w:val="000000"/>
                <w:sz w:val="32"/>
                <w:szCs w:val="32"/>
              </w:rPr>
            </w:pPr>
            <w:r>
              <w:rPr>
                <w:rFonts w:hint="eastAsia" w:ascii="仿宋_GB2312" w:hAnsi="宋体" w:eastAsia="仿宋_GB2312" w:cs="Arial"/>
                <w:color w:val="000000"/>
                <w:sz w:val="32"/>
                <w:szCs w:val="32"/>
              </w:rPr>
              <w:t>标段</w:t>
            </w:r>
          </w:p>
        </w:tc>
        <w:tc>
          <w:tcPr>
            <w:tcW w:w="8136" w:type="dxa"/>
            <w:gridSpan w:val="6"/>
            <w:tcBorders>
              <w:top w:val="single" w:color="auto" w:sz="4" w:space="0"/>
              <w:left w:val="single" w:color="auto" w:sz="4" w:space="0"/>
              <w:right w:val="single" w:color="auto" w:sz="4" w:space="0"/>
            </w:tcBorders>
            <w:noWrap w:val="0"/>
            <w:vAlign w:val="center"/>
          </w:tcPr>
          <w:p w14:paraId="5FBB628C">
            <w:pPr>
              <w:spacing w:line="570" w:lineRule="exact"/>
              <w:jc w:val="left"/>
              <w:rPr>
                <w:rFonts w:hint="eastAsia" w:hAnsi="宋体" w:eastAsia="宋体"/>
                <w:b/>
                <w:bCs/>
                <w:sz w:val="28"/>
                <w:lang w:eastAsia="zh-CN"/>
              </w:rPr>
            </w:pPr>
            <w:r>
              <w:rPr>
                <w:rFonts w:hint="eastAsia" w:ascii="仿宋_GB2312" w:hAnsi="宋体" w:eastAsia="仿宋_GB2312" w:cs="Arial"/>
                <w:color w:val="000000"/>
                <w:sz w:val="32"/>
                <w:szCs w:val="32"/>
                <w:lang w:val="en-US" w:eastAsia="zh-CN"/>
              </w:rPr>
              <w:t>/</w:t>
            </w:r>
          </w:p>
        </w:tc>
      </w:tr>
      <w:tr w14:paraId="3456D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716A8E2F">
            <w:pPr>
              <w:spacing w:line="570" w:lineRule="exact"/>
              <w:jc w:val="center"/>
              <w:rPr>
                <w:rFonts w:ascii="宋体" w:hAnsi="宋体" w:cs="宋体"/>
                <w:sz w:val="24"/>
              </w:rPr>
            </w:pPr>
            <w:r>
              <w:rPr>
                <w:rFonts w:hint="eastAsia" w:ascii="宋体" w:hAnsi="宋体" w:cs="宋体"/>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FF23E5D">
            <w:pPr>
              <w:spacing w:line="570" w:lineRule="exact"/>
              <w:jc w:val="center"/>
              <w:rPr>
                <w:rFonts w:ascii="宋体" w:hAnsi="宋体" w:cs="宋体"/>
                <w:sz w:val="24"/>
              </w:rPr>
            </w:pPr>
            <w:r>
              <w:rPr>
                <w:rFonts w:hint="eastAsia" w:ascii="宋体" w:hAnsi="宋体" w:cs="宋体"/>
                <w:sz w:val="24"/>
              </w:rPr>
              <w:t>序号</w:t>
            </w: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7C279F5D">
            <w:pPr>
              <w:spacing w:line="570" w:lineRule="exact"/>
              <w:jc w:val="center"/>
              <w:rPr>
                <w:rFonts w:ascii="宋体" w:hAnsi="宋体" w:cs="宋体"/>
                <w:sz w:val="24"/>
              </w:rPr>
            </w:pPr>
            <w:r>
              <w:rPr>
                <w:rFonts w:hint="eastAsia" w:ascii="宋体" w:hAnsi="宋体" w:cs="宋体"/>
                <w:sz w:val="24"/>
              </w:rPr>
              <w:t>采购货物名称</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4B9D4CA">
            <w:pPr>
              <w:spacing w:line="570" w:lineRule="exact"/>
              <w:jc w:val="center"/>
              <w:rPr>
                <w:rFonts w:ascii="宋体" w:hAnsi="宋体" w:cs="宋体"/>
                <w:sz w:val="24"/>
              </w:rPr>
            </w:pPr>
            <w:r>
              <w:rPr>
                <w:rFonts w:hint="eastAsia" w:ascii="宋体" w:hAnsi="宋体" w:cs="宋体"/>
                <w:sz w:val="24"/>
              </w:rPr>
              <w:t>单位</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0F4CF27">
            <w:pPr>
              <w:spacing w:line="570" w:lineRule="exact"/>
              <w:jc w:val="center"/>
              <w:rPr>
                <w:rFonts w:ascii="宋体" w:hAnsi="宋体" w:cs="宋体"/>
                <w:sz w:val="24"/>
              </w:rPr>
            </w:pPr>
            <w:r>
              <w:rPr>
                <w:rFonts w:hint="eastAsia" w:ascii="宋体" w:hAnsi="宋体" w:cs="宋体"/>
                <w:sz w:val="24"/>
              </w:rPr>
              <w:t>数量</w:t>
            </w:r>
          </w:p>
        </w:tc>
        <w:tc>
          <w:tcPr>
            <w:tcW w:w="3023" w:type="dxa"/>
            <w:tcBorders>
              <w:top w:val="single" w:color="auto" w:sz="4" w:space="0"/>
              <w:left w:val="single" w:color="auto" w:sz="4" w:space="0"/>
              <w:bottom w:val="single" w:color="auto" w:sz="4" w:space="0"/>
              <w:right w:val="single" w:color="auto" w:sz="4" w:space="0"/>
            </w:tcBorders>
            <w:noWrap w:val="0"/>
            <w:vAlign w:val="top"/>
          </w:tcPr>
          <w:p w14:paraId="2B3B5F31">
            <w:pPr>
              <w:spacing w:line="570" w:lineRule="exact"/>
              <w:jc w:val="center"/>
              <w:rPr>
                <w:rFonts w:ascii="宋体" w:hAnsi="宋体" w:cs="宋体"/>
                <w:sz w:val="24"/>
              </w:rPr>
            </w:pPr>
            <w:r>
              <w:rPr>
                <w:rFonts w:hint="eastAsia" w:ascii="宋体" w:hAnsi="宋体" w:cs="宋体"/>
                <w:sz w:val="24"/>
              </w:rPr>
              <w:t>货物参数</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712D660">
            <w:pPr>
              <w:spacing w:line="570" w:lineRule="exact"/>
              <w:jc w:val="center"/>
              <w:rPr>
                <w:rFonts w:ascii="宋体" w:hAnsi="宋体" w:cs="宋体"/>
                <w:sz w:val="24"/>
              </w:rPr>
            </w:pPr>
            <w:r>
              <w:rPr>
                <w:rFonts w:hint="eastAsia" w:ascii="宋体" w:hAnsi="宋体" w:cs="宋体"/>
                <w:sz w:val="24"/>
              </w:rPr>
              <w:t>分项预算合计（元）</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121B1E13">
            <w:pPr>
              <w:spacing w:line="570" w:lineRule="exact"/>
              <w:jc w:val="center"/>
              <w:rPr>
                <w:rFonts w:ascii="宋体" w:hAnsi="宋体" w:cs="宋体"/>
                <w:sz w:val="24"/>
              </w:rPr>
            </w:pPr>
            <w:r>
              <w:rPr>
                <w:rFonts w:hint="eastAsia"/>
              </w:rPr>
              <w:t>中小企业划分标准所属行业名称（行业名称及划分见本章附件2）</w:t>
            </w:r>
          </w:p>
        </w:tc>
      </w:tr>
      <w:tr w14:paraId="374F8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3769E6B2">
            <w:pPr>
              <w:spacing w:line="570" w:lineRule="exact"/>
              <w:jc w:val="center"/>
              <w:rPr>
                <w:rFonts w:ascii="宋体" w:hAnsi="宋体"/>
                <w:b/>
                <w:bCs/>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512B069">
            <w:pPr>
              <w:spacing w:line="570" w:lineRule="exact"/>
              <w:jc w:val="center"/>
              <w:rPr>
                <w:rFonts w:ascii="宋体" w:hAnsi="宋体"/>
                <w:szCs w:val="21"/>
              </w:rPr>
            </w:pPr>
            <w:r>
              <w:rPr>
                <w:rFonts w:hint="eastAsia" w:ascii="宋体" w:hAnsi="宋体"/>
                <w:szCs w:val="21"/>
              </w:rPr>
              <w:t>1</w:t>
            </w: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6859F1A8">
            <w:pPr>
              <w:spacing w:line="570" w:lineRule="exact"/>
              <w:rPr>
                <w:rFonts w:ascii="宋体" w:hAnsi="宋体"/>
                <w:szCs w:val="21"/>
              </w:rPr>
            </w:pPr>
            <w:r>
              <w:rPr>
                <w:rFonts w:hint="eastAsia" w:ascii="宋体" w:hAnsi="宋体"/>
                <w:szCs w:val="21"/>
                <w:lang w:val="en-US" w:eastAsia="zh-CN"/>
              </w:rPr>
              <w:t>笔记本电脑</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60BB2E0F">
            <w:pPr>
              <w:spacing w:line="570" w:lineRule="exact"/>
              <w:rPr>
                <w:rFonts w:hint="eastAsia" w:ascii="宋体" w:hAnsi="宋体" w:eastAsia="宋体"/>
                <w:szCs w:val="21"/>
                <w:lang w:val="en-US" w:eastAsia="zh-CN"/>
              </w:rPr>
            </w:pPr>
            <w:r>
              <w:rPr>
                <w:rFonts w:hint="eastAsia" w:ascii="宋体" w:hAnsi="宋体"/>
                <w:szCs w:val="21"/>
                <w:lang w:val="en-US" w:eastAsia="zh-CN"/>
              </w:rPr>
              <w:t>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10897F9">
            <w:pPr>
              <w:spacing w:line="570" w:lineRule="exact"/>
              <w:rPr>
                <w:rFonts w:hint="eastAsia" w:ascii="宋体" w:hAnsi="宋体" w:eastAsia="宋体"/>
                <w:szCs w:val="21"/>
                <w:lang w:val="en-US" w:eastAsia="zh-CN"/>
              </w:rPr>
            </w:pPr>
            <w:r>
              <w:rPr>
                <w:rFonts w:hint="eastAsia" w:ascii="宋体" w:hAnsi="宋体"/>
                <w:szCs w:val="21"/>
                <w:lang w:val="en-US" w:eastAsia="zh-CN"/>
              </w:rPr>
              <w:t>2</w:t>
            </w:r>
          </w:p>
        </w:tc>
        <w:tc>
          <w:tcPr>
            <w:tcW w:w="3023" w:type="dxa"/>
            <w:tcBorders>
              <w:top w:val="single" w:color="auto" w:sz="4" w:space="0"/>
              <w:left w:val="single" w:color="auto" w:sz="4" w:space="0"/>
              <w:bottom w:val="single" w:color="auto" w:sz="4" w:space="0"/>
              <w:right w:val="single" w:color="auto" w:sz="4" w:space="0"/>
            </w:tcBorders>
            <w:noWrap w:val="0"/>
            <w:vAlign w:val="top"/>
          </w:tcPr>
          <w:p w14:paraId="5DD3D827">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eastAsia" w:ascii="宋体" w:hAnsi="宋体" w:cs="宋体"/>
                <w:szCs w:val="21"/>
              </w:rPr>
              <w:t>▲</w:t>
            </w:r>
            <w:r>
              <w:rPr>
                <w:rFonts w:hint="default" w:ascii="宋体" w:hAnsi="宋体" w:eastAsia="宋体"/>
                <w:szCs w:val="21"/>
                <w:lang w:val="en-US" w:eastAsia="zh-CN"/>
              </w:rPr>
              <w:t>1.处理器：锐龙 AI 9 HX 370 以上的处理器，主频≥5.1GHz，12核心处理器及以上；</w:t>
            </w:r>
          </w:p>
          <w:p w14:paraId="154D1681">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eastAsia" w:ascii="宋体" w:hAnsi="宋体" w:cs="宋体"/>
                <w:szCs w:val="21"/>
              </w:rPr>
              <w:t>▲</w:t>
            </w:r>
            <w:r>
              <w:rPr>
                <w:rFonts w:hint="default" w:ascii="宋体" w:hAnsi="宋体" w:eastAsia="宋体"/>
                <w:szCs w:val="21"/>
                <w:lang w:val="en-US" w:eastAsia="zh-CN"/>
              </w:rPr>
              <w:t>2.内存：内存容量≥32GB，频率≥7500MHz；</w:t>
            </w:r>
          </w:p>
          <w:p w14:paraId="16D122C7">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eastAsia" w:ascii="宋体" w:hAnsi="宋体" w:cs="宋体"/>
                <w:szCs w:val="21"/>
              </w:rPr>
              <w:t>▲</w:t>
            </w:r>
            <w:r>
              <w:rPr>
                <w:rFonts w:hint="default" w:ascii="宋体" w:hAnsi="宋体" w:eastAsia="宋体"/>
                <w:szCs w:val="21"/>
                <w:lang w:val="en-US" w:eastAsia="zh-CN"/>
              </w:rPr>
              <w:t>3.存储：容量≥1TB SSD固态盘；</w:t>
            </w:r>
          </w:p>
          <w:p w14:paraId="0816A22A">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eastAsia" w:ascii="宋体" w:hAnsi="宋体" w:cs="宋体"/>
                <w:szCs w:val="21"/>
              </w:rPr>
              <w:t>▲</w:t>
            </w:r>
            <w:r>
              <w:rPr>
                <w:rFonts w:hint="default" w:ascii="宋体" w:hAnsi="宋体" w:eastAsia="宋体"/>
                <w:szCs w:val="21"/>
                <w:lang w:val="en-US" w:eastAsia="zh-CN"/>
              </w:rPr>
              <w:t>4.显示设备：16英寸OLED屏幕， 分辨率≥2880*1800 ，屏幕刷新率≥120Hz；</w:t>
            </w:r>
          </w:p>
          <w:p w14:paraId="5CD2ABBE">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default" w:ascii="宋体" w:hAnsi="宋体" w:eastAsia="宋体"/>
                <w:szCs w:val="21"/>
                <w:lang w:val="en-US" w:eastAsia="zh-CN"/>
              </w:rPr>
              <w:t>5.网卡：支持WiFi 7无线协议，支持蓝牙；</w:t>
            </w:r>
          </w:p>
          <w:p w14:paraId="649E5F51">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default" w:ascii="宋体" w:hAnsi="宋体" w:eastAsia="宋体"/>
                <w:szCs w:val="21"/>
                <w:lang w:val="en-US" w:eastAsia="zh-CN"/>
              </w:rPr>
              <w:t>6.接口：HDMI 2.0接口≥1个；</w:t>
            </w:r>
          </w:p>
          <w:p w14:paraId="342A9741">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default" w:ascii="宋体" w:hAnsi="宋体" w:eastAsia="宋体"/>
                <w:szCs w:val="21"/>
                <w:lang w:val="en-US" w:eastAsia="zh-CN"/>
              </w:rPr>
              <w:t>7.电源：容量≥78Wh；</w:t>
            </w:r>
          </w:p>
          <w:p w14:paraId="1D5D0A3F">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eastAsia" w:ascii="宋体" w:hAnsi="宋体" w:cs="宋体"/>
                <w:szCs w:val="21"/>
              </w:rPr>
              <w:t>▲</w:t>
            </w:r>
            <w:r>
              <w:rPr>
                <w:rFonts w:hint="default" w:ascii="宋体" w:hAnsi="宋体" w:eastAsia="宋体"/>
                <w:szCs w:val="21"/>
                <w:lang w:val="en-US" w:eastAsia="zh-CN"/>
              </w:rPr>
              <w:t>8.整机规格：整机重量≤1.5kg，整机厚度≤14mm，整机散热采用双风扇；</w:t>
            </w:r>
          </w:p>
          <w:p w14:paraId="76BA36D7">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default" w:ascii="宋体" w:hAnsi="宋体" w:eastAsia="宋体"/>
                <w:szCs w:val="21"/>
                <w:lang w:val="en-US" w:eastAsia="zh-CN"/>
              </w:rPr>
              <w:t>9.生物识别功能：支持人脸识别；</w:t>
            </w:r>
          </w:p>
          <w:p w14:paraId="7FDF8298">
            <w:pPr>
              <w:keepNext w:val="0"/>
              <w:keepLines w:val="0"/>
              <w:pageBreakBefore w:val="0"/>
              <w:widowControl w:val="0"/>
              <w:suppressLineNumbers w:val="0"/>
              <w:kinsoku/>
              <w:wordWrap w:val="0"/>
              <w:overflowPunct w:val="0"/>
              <w:topLinePunct w:val="0"/>
              <w:autoSpaceDE w:val="0"/>
              <w:autoSpaceDN w:val="0"/>
              <w:bidi w:val="0"/>
              <w:adjustRightInd/>
              <w:snapToGrid/>
              <w:jc w:val="left"/>
              <w:textAlignment w:val="auto"/>
              <w:rPr>
                <w:rFonts w:hint="default" w:ascii="宋体" w:hAnsi="宋体" w:eastAsia="宋体"/>
                <w:szCs w:val="21"/>
                <w:lang w:val="en-US" w:eastAsia="zh-CN"/>
              </w:rPr>
            </w:pPr>
            <w:r>
              <w:rPr>
                <w:rFonts w:hint="default" w:ascii="宋体" w:hAnsi="宋体" w:eastAsia="宋体"/>
                <w:szCs w:val="21"/>
                <w:lang w:val="en-US" w:eastAsia="zh-CN"/>
              </w:rPr>
              <w:t>10.操作系统：Windows 11 正版操作系统。</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26F63FE">
            <w:pPr>
              <w:spacing w:line="570" w:lineRule="exact"/>
              <w:rPr>
                <w:rFonts w:hint="default" w:ascii="宋体" w:hAnsi="宋体" w:eastAsia="宋体"/>
                <w:szCs w:val="21"/>
                <w:lang w:val="en-US" w:eastAsia="zh-CN"/>
              </w:rPr>
            </w:pPr>
            <w:r>
              <w:rPr>
                <w:rFonts w:hint="eastAsia" w:ascii="宋体" w:hAnsi="宋体"/>
                <w:szCs w:val="21"/>
                <w:lang w:val="en-US" w:eastAsia="zh-CN"/>
              </w:rPr>
              <w:t>16000</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601F82E0">
            <w:pPr>
              <w:spacing w:line="570" w:lineRule="exact"/>
              <w:rPr>
                <w:rFonts w:ascii="宋体" w:hAnsi="宋体"/>
                <w:szCs w:val="21"/>
              </w:rPr>
            </w:pPr>
          </w:p>
        </w:tc>
      </w:tr>
      <w:tr w14:paraId="06BD0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60FDC6">
            <w:pPr>
              <w:spacing w:line="570" w:lineRule="exact"/>
              <w:jc w:val="center"/>
              <w:rPr>
                <w:rFonts w:ascii="宋体" w:hAnsi="宋体"/>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F559F26">
            <w:pPr>
              <w:spacing w:line="570" w:lineRule="exact"/>
              <w:jc w:val="center"/>
              <w:rPr>
                <w:rFonts w:hint="eastAsia" w:ascii="宋体" w:hAnsi="宋体" w:eastAsia="宋体"/>
                <w:szCs w:val="21"/>
                <w:lang w:eastAsia="zh-CN"/>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045F76C1">
            <w:pPr>
              <w:spacing w:line="570" w:lineRule="exact"/>
              <w:rPr>
                <w:rFonts w:hint="default" w:ascii="宋体" w:hAnsi="宋体" w:eastAsia="宋体"/>
                <w:szCs w:val="21"/>
                <w:lang w:val="en-US" w:eastAsia="zh-CN"/>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16E46228">
            <w:pPr>
              <w:spacing w:line="570" w:lineRule="exact"/>
              <w:rPr>
                <w:rFonts w:ascii="宋体" w:hAnsi="宋体"/>
                <w:szCs w:val="21"/>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9EE1357">
            <w:pPr>
              <w:spacing w:line="570" w:lineRule="exact"/>
              <w:rPr>
                <w:rFonts w:ascii="宋体" w:hAnsi="宋体"/>
                <w:szCs w:val="21"/>
              </w:rPr>
            </w:pPr>
          </w:p>
        </w:tc>
        <w:tc>
          <w:tcPr>
            <w:tcW w:w="3023" w:type="dxa"/>
            <w:tcBorders>
              <w:top w:val="single" w:color="auto" w:sz="4" w:space="0"/>
              <w:left w:val="single" w:color="auto" w:sz="4" w:space="0"/>
              <w:bottom w:val="single" w:color="auto" w:sz="4" w:space="0"/>
              <w:right w:val="single" w:color="auto" w:sz="4" w:space="0"/>
            </w:tcBorders>
            <w:noWrap w:val="0"/>
            <w:vAlign w:val="top"/>
          </w:tcPr>
          <w:p w14:paraId="6DD6B19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szCs w:val="21"/>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E7E1309">
            <w:pPr>
              <w:spacing w:line="570" w:lineRule="exact"/>
              <w:rPr>
                <w:rFonts w:hint="default" w:ascii="宋体" w:hAnsi="宋体" w:eastAsia="宋体"/>
                <w:szCs w:val="21"/>
                <w:lang w:val="en-US" w:eastAsia="zh-CN"/>
              </w:rPr>
            </w:pPr>
          </w:p>
        </w:tc>
        <w:tc>
          <w:tcPr>
            <w:tcW w:w="1799" w:type="dxa"/>
            <w:tcBorders>
              <w:top w:val="single" w:color="auto" w:sz="4" w:space="0"/>
              <w:left w:val="single" w:color="auto" w:sz="4" w:space="0"/>
              <w:bottom w:val="single" w:color="auto" w:sz="4" w:space="0"/>
              <w:right w:val="single" w:color="auto" w:sz="4" w:space="0"/>
            </w:tcBorders>
            <w:noWrap w:val="0"/>
            <w:vAlign w:val="top"/>
          </w:tcPr>
          <w:p w14:paraId="0A3224A8">
            <w:pPr>
              <w:spacing w:line="570" w:lineRule="exact"/>
              <w:rPr>
                <w:rFonts w:ascii="宋体" w:hAnsi="宋体"/>
                <w:szCs w:val="21"/>
              </w:rPr>
            </w:pPr>
          </w:p>
        </w:tc>
      </w:tr>
      <w:tr w14:paraId="48D3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CC4F95A">
            <w:pPr>
              <w:spacing w:line="570" w:lineRule="exact"/>
              <w:jc w:val="center"/>
              <w:rPr>
                <w:rFonts w:ascii="宋体" w:hAnsi="宋体"/>
                <w:szCs w:val="21"/>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6937D83">
            <w:pPr>
              <w:spacing w:line="570" w:lineRule="exact"/>
              <w:jc w:val="center"/>
              <w:rPr>
                <w:rFonts w:hint="default" w:ascii="宋体" w:hAnsi="宋体" w:cs="宋体"/>
                <w:color w:val="000000"/>
                <w:szCs w:val="21"/>
                <w:lang w:val="en-US" w:eastAsia="zh-CN"/>
              </w:rPr>
            </w:pPr>
          </w:p>
        </w:tc>
        <w:tc>
          <w:tcPr>
            <w:tcW w:w="1747" w:type="dxa"/>
            <w:gridSpan w:val="2"/>
            <w:tcBorders>
              <w:top w:val="single" w:color="auto" w:sz="4" w:space="0"/>
              <w:left w:val="single" w:color="auto" w:sz="4" w:space="0"/>
              <w:bottom w:val="single" w:color="auto" w:sz="4" w:space="0"/>
              <w:right w:val="single" w:color="auto" w:sz="4" w:space="0"/>
            </w:tcBorders>
            <w:noWrap w:val="0"/>
            <w:vAlign w:val="center"/>
          </w:tcPr>
          <w:p w14:paraId="728CE001">
            <w:pPr>
              <w:spacing w:line="570" w:lineRule="exact"/>
              <w:rPr>
                <w:rFonts w:hint="default" w:ascii="宋体" w:hAnsi="宋体" w:eastAsia="宋体"/>
                <w:szCs w:val="21"/>
                <w:lang w:val="en-US" w:eastAsia="zh-CN"/>
              </w:rPr>
            </w:pPr>
          </w:p>
        </w:tc>
        <w:tc>
          <w:tcPr>
            <w:tcW w:w="600" w:type="dxa"/>
            <w:tcBorders>
              <w:top w:val="single" w:color="auto" w:sz="4" w:space="0"/>
              <w:left w:val="single" w:color="auto" w:sz="4" w:space="0"/>
              <w:bottom w:val="single" w:color="auto" w:sz="4" w:space="0"/>
              <w:right w:val="single" w:color="auto" w:sz="4" w:space="0"/>
            </w:tcBorders>
            <w:noWrap w:val="0"/>
            <w:vAlign w:val="center"/>
          </w:tcPr>
          <w:p w14:paraId="591873A9">
            <w:pPr>
              <w:spacing w:line="570" w:lineRule="exact"/>
              <w:rPr>
                <w:rFonts w:hint="default" w:ascii="宋体" w:hAnsi="宋体"/>
                <w:szCs w:val="21"/>
                <w:lang w:val="en-US" w:eastAsia="zh-CN"/>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1404A219">
            <w:pPr>
              <w:spacing w:line="570" w:lineRule="exact"/>
              <w:rPr>
                <w:rFonts w:hint="default" w:ascii="宋体" w:hAnsi="宋体"/>
                <w:szCs w:val="21"/>
                <w:lang w:val="en-US" w:eastAsia="zh-CN"/>
              </w:rPr>
            </w:pPr>
          </w:p>
        </w:tc>
        <w:tc>
          <w:tcPr>
            <w:tcW w:w="3023" w:type="dxa"/>
            <w:tcBorders>
              <w:top w:val="single" w:color="auto" w:sz="4" w:space="0"/>
              <w:left w:val="single" w:color="auto" w:sz="4" w:space="0"/>
              <w:bottom w:val="single" w:color="auto" w:sz="4" w:space="0"/>
              <w:right w:val="single" w:color="auto" w:sz="4" w:space="0"/>
            </w:tcBorders>
            <w:noWrap w:val="0"/>
            <w:vAlign w:val="top"/>
          </w:tcPr>
          <w:p w14:paraId="0A549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1AE3502">
            <w:pPr>
              <w:spacing w:line="570" w:lineRule="exact"/>
              <w:rPr>
                <w:rFonts w:hint="default" w:ascii="宋体" w:hAnsi="宋体"/>
                <w:szCs w:val="21"/>
                <w:lang w:val="en-US" w:eastAsia="zh-CN"/>
              </w:rPr>
            </w:pPr>
          </w:p>
        </w:tc>
        <w:tc>
          <w:tcPr>
            <w:tcW w:w="1799" w:type="dxa"/>
            <w:tcBorders>
              <w:top w:val="single" w:color="auto" w:sz="4" w:space="0"/>
              <w:left w:val="single" w:color="auto" w:sz="4" w:space="0"/>
              <w:bottom w:val="single" w:color="auto" w:sz="4" w:space="0"/>
              <w:right w:val="single" w:color="auto" w:sz="4" w:space="0"/>
            </w:tcBorders>
            <w:noWrap w:val="0"/>
            <w:vAlign w:val="top"/>
          </w:tcPr>
          <w:p w14:paraId="5D54872B">
            <w:pPr>
              <w:spacing w:line="570" w:lineRule="exact"/>
              <w:rPr>
                <w:rFonts w:ascii="宋体" w:hAnsi="宋体"/>
                <w:szCs w:val="21"/>
              </w:rPr>
            </w:pPr>
          </w:p>
        </w:tc>
      </w:tr>
      <w:tr w14:paraId="40A0B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38CE84A7">
            <w:pPr>
              <w:spacing w:line="570" w:lineRule="exact"/>
              <w:jc w:val="center"/>
              <w:rPr>
                <w:rFonts w:ascii="宋体" w:hAnsi="宋体"/>
              </w:rPr>
            </w:pPr>
          </w:p>
          <w:p w14:paraId="1CAA7FF1">
            <w:pPr>
              <w:spacing w:line="570" w:lineRule="exact"/>
              <w:jc w:val="center"/>
              <w:rPr>
                <w:rFonts w:ascii="宋体" w:hAnsi="宋体"/>
              </w:rPr>
            </w:pPr>
          </w:p>
          <w:p w14:paraId="01C8419D">
            <w:pPr>
              <w:spacing w:line="570" w:lineRule="exact"/>
              <w:jc w:val="center"/>
              <w:rPr>
                <w:rFonts w:ascii="宋体" w:hAnsi="宋体"/>
              </w:rPr>
            </w:pPr>
            <w:r>
              <w:rPr>
                <w:rFonts w:hint="eastAsia" w:ascii="宋体" w:hAnsi="宋体"/>
              </w:rPr>
              <w:t>商务条款</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658B105D">
            <w:pPr>
              <w:widowControl/>
              <w:shd w:val="clear" w:color="auto" w:fill="FFFFFF"/>
              <w:spacing w:line="570" w:lineRule="exact"/>
              <w:rPr>
                <w:rFonts w:ascii="宋体" w:hAnsi="宋体"/>
                <w:szCs w:val="21"/>
              </w:rPr>
            </w:pPr>
            <w:bookmarkStart w:id="0" w:name="_top"/>
            <w:bookmarkEnd w:id="0"/>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91440</wp:posOffset>
                      </wp:positionV>
                      <wp:extent cx="70485" cy="106680"/>
                      <wp:effectExtent l="4445" t="4445" r="20320" b="2222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28F2A4EC">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5pt;margin-top:7.2pt;height:8.4pt;width:5.55pt;z-index:251661312;mso-width-relative:page;mso-height-relative:page;" filled="f" stroked="t" coordsize="21600,21600" o:gfxdata="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V9O53UAAAABgEAAA8AAAAAAAAAAQAgAAAAIgAAAGRy&#10;cy9kb3ducmV2LnhtbFBLAQIUABQAAAAIAIdO4kCvLdF2QgIAAGoEAAAOAAAAAAAAAAEAIAAAACMB&#10;AABkcnMvZTJvRG9jLnhtbFBLBQYAAAAABgAGAFkBAADXBQAAAAA=&#10;">
                      <v:fill on="f" focussize="0,0"/>
                      <v:stroke color="#000000" miterlimit="8" joinstyle="miter"/>
                      <v:imagedata o:title=""/>
                      <o:lock v:ext="edit" aspectratio="f"/>
                      <v:textbox>
                        <w:txbxContent>
                          <w:p w14:paraId="28F2A4EC">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cs="宋体"/>
                <w:szCs w:val="21"/>
              </w:rPr>
              <w:t>▲</w:t>
            </w:r>
            <w:r>
              <w:rPr>
                <w:rFonts w:hint="eastAsia" w:ascii="宋体" w:hAnsi="宋体"/>
                <w:szCs w:val="21"/>
              </w:rPr>
              <w:t>一、合同签订期：自中标通知书发出之日起日内（注：</w:t>
            </w:r>
            <w:r>
              <w:rPr>
                <w:rFonts w:hint="eastAsia"/>
              </w:rPr>
              <w:t>中标通知书发出之日起</w:t>
            </w:r>
            <w:r>
              <w:rPr>
                <w:rFonts w:hint="eastAsia"/>
                <w:highlight w:val="none"/>
                <w:lang w:val="en-US" w:eastAsia="zh-CN"/>
              </w:rPr>
              <w:t>25</w:t>
            </w:r>
            <w:r>
              <w:rPr>
                <w:rFonts w:hint="eastAsia"/>
              </w:rPr>
              <w:t>日内必须签订合同。</w:t>
            </w:r>
            <w:r>
              <w:rPr>
                <w:rFonts w:hint="eastAsia" w:ascii="宋体" w:hAnsi="宋体"/>
                <w:szCs w:val="21"/>
              </w:rPr>
              <w:t>）</w:t>
            </w:r>
          </w:p>
          <w:p w14:paraId="503B369C">
            <w:pPr>
              <w:widowControl/>
              <w:shd w:val="clear" w:color="auto" w:fill="FFFFFF"/>
              <w:spacing w:line="570" w:lineRule="exact"/>
              <w:rPr>
                <w:rFonts w:ascii="宋体" w:hAnsi="宋体"/>
                <w:szCs w:val="21"/>
              </w:rPr>
            </w:pPr>
            <w:r>
              <w:rPr>
                <w:rFonts w:hint="eastAsia" w:ascii="宋体" w:hAnsi="宋体"/>
                <w:color w:val="000000"/>
                <w:szCs w:val="21"/>
                <w:lang w:eastAsia="zh-CN"/>
              </w:rPr>
              <w:t>☑</w:t>
            </w:r>
            <w:r>
              <w:rPr>
                <w:rFonts w:hint="eastAsia" w:ascii="宋体" w:hAnsi="宋体"/>
                <w:szCs w:val="21"/>
              </w:rPr>
              <w:t>二、</w:t>
            </w:r>
            <w:r>
              <w:rPr>
                <w:rFonts w:hint="eastAsia" w:ascii="宋体" w:hAnsi="宋体"/>
                <w:bCs/>
                <w:szCs w:val="21"/>
                <w:lang w:val="en-US" w:eastAsia="zh-CN"/>
              </w:rPr>
              <w:t>交货</w:t>
            </w:r>
            <w:r>
              <w:rPr>
                <w:rFonts w:hint="eastAsia" w:ascii="宋体" w:hAnsi="宋体"/>
                <w:bCs/>
                <w:szCs w:val="21"/>
              </w:rPr>
              <w:t>期限或者</w:t>
            </w:r>
            <w:r>
              <w:rPr>
                <w:rFonts w:hint="eastAsia" w:ascii="宋体" w:hAnsi="宋体"/>
                <w:bCs/>
                <w:szCs w:val="21"/>
                <w:lang w:val="en-US" w:eastAsia="zh-CN"/>
              </w:rPr>
              <w:t>交货</w:t>
            </w:r>
            <w:r>
              <w:rPr>
                <w:rFonts w:hint="eastAsia" w:ascii="宋体" w:hAnsi="宋体"/>
                <w:bCs/>
                <w:szCs w:val="21"/>
              </w:rPr>
              <w:t>时间：</w:t>
            </w:r>
            <w:r>
              <w:rPr>
                <w:rFonts w:hint="eastAsia"/>
                <w:b/>
                <w:bCs/>
                <w:szCs w:val="21"/>
                <w:lang w:val="en-US" w:eastAsia="zh-CN"/>
              </w:rPr>
              <w:t>合同签订后20个工作日内。</w:t>
            </w:r>
            <w:r>
              <w:rPr>
                <w:rFonts w:hint="eastAsia"/>
                <w:b/>
                <w:bCs/>
                <w:szCs w:val="21"/>
              </w:rPr>
              <w:t xml:space="preserve"> </w:t>
            </w:r>
          </w:p>
          <w:p w14:paraId="41E798D7">
            <w:pPr>
              <w:widowControl/>
              <w:shd w:val="clear" w:color="auto" w:fill="FFFFFF"/>
              <w:spacing w:line="570" w:lineRule="exact"/>
              <w:rPr>
                <w:rFonts w:hint="default" w:ascii="宋体" w:hAnsi="宋体" w:eastAsia="宋体"/>
                <w:bCs/>
                <w:szCs w:val="21"/>
                <w:u w:val="single"/>
                <w:lang w:val="en-US" w:eastAsia="zh-CN"/>
              </w:rPr>
            </w:pPr>
            <w:r>
              <w:rPr>
                <w:rFonts w:hint="eastAsia" w:ascii="宋体" w:hAnsi="宋体"/>
                <w:color w:val="000000"/>
                <w:szCs w:val="21"/>
                <w:lang w:eastAsia="zh-CN"/>
              </w:rPr>
              <w:t>☑</w:t>
            </w:r>
            <w:r>
              <w:rPr>
                <w:rFonts w:hint="eastAsia" w:ascii="宋体" w:hAnsi="宋体"/>
                <w:szCs w:val="21"/>
              </w:rPr>
              <w:t>三、</w:t>
            </w:r>
            <w:r>
              <w:rPr>
                <w:rFonts w:hint="eastAsia" w:ascii="宋体" w:hAnsi="宋体"/>
                <w:szCs w:val="21"/>
                <w:lang w:val="en-US" w:eastAsia="zh-CN"/>
              </w:rPr>
              <w:t>交货</w:t>
            </w:r>
            <w:r>
              <w:rPr>
                <w:rFonts w:hint="eastAsia" w:ascii="宋体" w:hAnsi="宋体"/>
                <w:szCs w:val="21"/>
              </w:rPr>
              <w:t>地点：</w:t>
            </w:r>
            <w:r>
              <w:rPr>
                <w:rFonts w:hint="eastAsia" w:ascii="宋体" w:hAnsi="宋体"/>
                <w:szCs w:val="21"/>
                <w:lang w:val="en-US" w:eastAsia="zh-CN"/>
              </w:rPr>
              <w:t>南宁市大学西路169号学校综合楼410室</w:t>
            </w:r>
          </w:p>
          <w:p w14:paraId="50046738">
            <w:pPr>
              <w:widowControl/>
              <w:shd w:val="clear" w:color="auto" w:fill="FFFFFF"/>
              <w:spacing w:line="570" w:lineRule="exact"/>
              <w:rPr>
                <w:rFonts w:hint="eastAsia" w:ascii="宋体" w:hAnsi="宋体" w:cs="宋体"/>
                <w:szCs w:val="21"/>
              </w:rPr>
            </w:pPr>
            <w:r>
              <w:rPr>
                <w:rFonts w:hint="eastAsia" w:ascii="宋体" w:hAnsi="宋体"/>
                <w:color w:val="000000"/>
                <w:szCs w:val="21"/>
                <w:lang w:eastAsia="zh-CN"/>
              </w:rPr>
              <w:t>☑</w:t>
            </w:r>
            <w:r>
              <w:rPr>
                <w:rFonts w:hint="eastAsia" w:ascii="宋体" w:hAnsi="宋体"/>
                <w:bCs/>
                <w:szCs w:val="21"/>
              </w:rPr>
              <w:t>四、</w:t>
            </w:r>
            <w:r>
              <w:rPr>
                <w:rFonts w:hint="eastAsia" w:ascii="宋体" w:hAnsi="宋体" w:cs="宋体"/>
                <w:szCs w:val="21"/>
              </w:rPr>
              <w:t>验收标准、规范：</w:t>
            </w:r>
          </w:p>
          <w:p w14:paraId="68D674FE">
            <w:pPr>
              <w:widowControl/>
              <w:shd w:val="clear" w:color="auto" w:fill="FFFFFF"/>
              <w:spacing w:line="57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1.核对货物的名称、型号、规格、数量、单价、材质、生产厂家、单位等信息是否准确，货物是否符合“货物需求一览表”中所列参数及使用要求。</w:t>
            </w:r>
          </w:p>
          <w:p w14:paraId="1011ADB3">
            <w:pPr>
              <w:widowControl/>
              <w:shd w:val="clear" w:color="auto" w:fill="FFFFFF"/>
              <w:spacing w:line="57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2.对产品的外观进行全面检查，包括产品表面是否有明显划痕、污渍、变形等缺陷，产品颜色是否均匀、与需求一致等。如果产品有包装，还需要检查包装是否完好无损，标志、标签是否齐全、清晰可辨等。</w:t>
            </w:r>
          </w:p>
          <w:p w14:paraId="7196D9C3">
            <w:pPr>
              <w:widowControl/>
              <w:shd w:val="clear" w:color="auto" w:fill="FFFFFF"/>
              <w:spacing w:line="57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3.设备、设施安装完毕后，应对其使用功能进行检查和测试。</w:t>
            </w:r>
            <w:r>
              <w:rPr>
                <w:rFonts w:hint="eastAsia"/>
                <w:lang w:val="en-US" w:eastAsia="zh-CN"/>
              </w:rPr>
              <w:t>首次验收费用由学校承担，二次验收费用由供应商承担。</w:t>
            </w:r>
          </w:p>
          <w:p w14:paraId="25A08D4B">
            <w:pPr>
              <w:widowControl/>
              <w:shd w:val="clear" w:color="auto" w:fill="FFFFFF"/>
              <w:spacing w:line="570" w:lineRule="exact"/>
              <w:rPr>
                <w:rFonts w:ascii="宋体" w:hAnsi="宋体"/>
                <w:szCs w:val="21"/>
              </w:rPr>
            </w:pPr>
            <w:r>
              <w:rPr>
                <w:rFonts w:ascii="宋体" w:hAnsi="宋体"/>
                <w:b/>
                <w:bCs/>
                <w:szCs w:val="21"/>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59055</wp:posOffset>
                      </wp:positionV>
                      <wp:extent cx="70485" cy="106680"/>
                      <wp:effectExtent l="4445" t="4445" r="20320" b="2222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2EF09E65">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pt;margin-top:4.65pt;height:8.4pt;width:5.55pt;z-index:251659264;mso-width-relative:page;mso-height-relative:page;" filled="f" stroked="t" coordsize="21600,21600" o:gfxdata="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0i+ynTAAAABQEAAA8AAAAAAAAAAQAgAAAAIgAAAGRy&#10;cy9kb3ducmV2LnhtbFBLAQIUABQAAAAIAIdO4kBsZ3naQwIAAGoEAAAOAAAAAAAAAAEAIAAAACIB&#10;AABkcnMvZTJvRG9jLnhtbFBLBQYAAAAABgAGAFkBAADXBQAAAAA=&#10;">
                      <v:fill on="f" focussize="0,0"/>
                      <v:stroke color="#000000" miterlimit="8" joinstyle="miter"/>
                      <v:imagedata o:title=""/>
                      <o:lock v:ext="edit" aspectratio="f"/>
                      <v:textbox>
                        <w:txbxContent>
                          <w:p w14:paraId="2EF09E65">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b/>
                <w:bCs/>
                <w:szCs w:val="21"/>
              </w:rPr>
              <w:t xml:space="preserve">▲ </w:t>
            </w:r>
            <w:r>
              <w:rPr>
                <w:rFonts w:hint="eastAsia" w:ascii="宋体" w:hAnsi="宋体"/>
                <w:szCs w:val="21"/>
              </w:rPr>
              <w:t>五、售后服务要求：</w:t>
            </w:r>
          </w:p>
          <w:p w14:paraId="220E3CB0">
            <w:pPr>
              <w:widowControl/>
              <w:shd w:val="clear" w:color="auto" w:fill="FFFFFF"/>
              <w:spacing w:line="570" w:lineRule="exact"/>
              <w:rPr>
                <w:rFonts w:ascii="宋体" w:hAnsi="宋体" w:cs="宋体"/>
                <w:szCs w:val="21"/>
              </w:rPr>
            </w:pPr>
            <w:r>
              <w:rPr>
                <w:rFonts w:hint="eastAsia" w:ascii="宋体" w:hAnsi="宋体" w:cs="宋体"/>
                <w:szCs w:val="21"/>
              </w:rPr>
              <w:t>1、质量保证期</w:t>
            </w:r>
            <w:r>
              <w:rPr>
                <w:rFonts w:hint="eastAsia" w:ascii="宋体" w:hAnsi="宋体" w:cs="宋体"/>
                <w:szCs w:val="21"/>
                <w:lang w:val="en-US" w:eastAsia="zh-CN"/>
              </w:rPr>
              <w:t>3</w:t>
            </w:r>
            <w:r>
              <w:rPr>
                <w:rFonts w:hint="eastAsia" w:ascii="宋体" w:hAnsi="宋体" w:cs="宋体"/>
                <w:szCs w:val="21"/>
              </w:rPr>
              <w:t>年（自提交成果并验收合格之日起计）</w:t>
            </w:r>
          </w:p>
          <w:p w14:paraId="0C24174C">
            <w:pPr>
              <w:widowControl/>
              <w:shd w:val="clear" w:color="auto" w:fill="FFFFFF"/>
              <w:spacing w:line="570" w:lineRule="exact"/>
              <w:rPr>
                <w:rFonts w:ascii="宋体" w:hAnsi="宋体" w:cs="宋体"/>
                <w:szCs w:val="21"/>
              </w:rPr>
            </w:pPr>
            <w:r>
              <w:rPr>
                <w:rFonts w:hint="eastAsia" w:ascii="宋体" w:hAnsi="宋体" w:cs="宋体"/>
                <w:szCs w:val="21"/>
              </w:rPr>
              <w:t>2、售后服务技术人员要求：</w:t>
            </w:r>
            <w:r>
              <w:rPr>
                <w:rFonts w:hint="eastAsia" w:ascii="宋体" w:hAnsi="宋体" w:cs="宋体"/>
                <w:szCs w:val="21"/>
                <w:u w:val="single"/>
              </w:rPr>
              <w:t>专职</w:t>
            </w:r>
          </w:p>
          <w:p w14:paraId="1E57EE39">
            <w:pPr>
              <w:spacing w:line="570" w:lineRule="exact"/>
              <w:rPr>
                <w:rFonts w:ascii="宋体" w:hAnsi="宋体"/>
                <w:szCs w:val="21"/>
              </w:rPr>
            </w:pPr>
            <w:r>
              <w:rPr>
                <w:rFonts w:hint="eastAsia" w:ascii="宋体" w:hAnsi="宋体"/>
                <w:color w:val="000000"/>
                <w:szCs w:val="21"/>
              </w:rPr>
              <w:t>□</w:t>
            </w:r>
            <w:r>
              <w:rPr>
                <w:rFonts w:hint="eastAsia" w:ascii="宋体" w:hAnsi="宋体"/>
                <w:szCs w:val="21"/>
              </w:rPr>
              <w:t>六、其他要求：</w:t>
            </w:r>
          </w:p>
          <w:p w14:paraId="3AB2050F">
            <w:pPr>
              <w:spacing w:line="570" w:lineRule="exact"/>
              <w:rPr>
                <w:rFonts w:ascii="宋体" w:hAnsi="宋体"/>
                <w:szCs w:val="21"/>
              </w:rPr>
            </w:pPr>
            <w:r>
              <w:rPr>
                <w:rFonts w:hint="eastAsia" w:ascii="宋体" w:hAnsi="宋体"/>
                <w:szCs w:val="21"/>
              </w:rPr>
              <w:t>1、报价必须含以下部分，包括：</w:t>
            </w:r>
          </w:p>
          <w:p w14:paraId="7505CEE0">
            <w:pPr>
              <w:spacing w:line="570" w:lineRule="exact"/>
              <w:rPr>
                <w:rFonts w:ascii="宋体" w:hAnsi="宋体" w:cs="宋体"/>
                <w:szCs w:val="21"/>
              </w:rPr>
            </w:pPr>
            <w:r>
              <w:rPr>
                <w:rFonts w:hint="eastAsia" w:ascii="宋体" w:hAnsi="宋体" w:cs="宋体"/>
                <w:szCs w:val="21"/>
              </w:rPr>
              <w:t>（1）货物的价格；</w:t>
            </w:r>
          </w:p>
          <w:p w14:paraId="0AF0F8A4">
            <w:pPr>
              <w:spacing w:line="570" w:lineRule="exact"/>
              <w:rPr>
                <w:rFonts w:ascii="宋体" w:hAnsi="宋体" w:cs="宋体"/>
                <w:szCs w:val="21"/>
              </w:rPr>
            </w:pPr>
            <w:r>
              <w:rPr>
                <w:rFonts w:hint="eastAsia" w:ascii="宋体" w:hAnsi="宋体" w:cs="宋体"/>
                <w:szCs w:val="21"/>
              </w:rPr>
              <w:t>（2）必要的保险费用和各项税金；</w:t>
            </w:r>
          </w:p>
          <w:p w14:paraId="01F4F338">
            <w:pPr>
              <w:tabs>
                <w:tab w:val="left" w:pos="3490"/>
                <w:tab w:val="left" w:pos="3670"/>
                <w:tab w:val="left" w:pos="3895"/>
              </w:tabs>
              <w:spacing w:line="570" w:lineRule="exact"/>
              <w:rPr>
                <w:rFonts w:ascii="宋体" w:hAnsi="宋体"/>
                <w:szCs w:val="21"/>
                <w:u w:val="single"/>
              </w:rPr>
            </w:pPr>
            <w:r>
              <w:rPr>
                <w:rFonts w:hint="eastAsia" w:ascii="宋体" w:hAnsi="宋体" w:cs="宋体"/>
                <w:szCs w:val="21"/>
              </w:rPr>
              <w:t>（3）其他（如运输、装卸、安装、调试、培训、技术支持、售后货物、更新升级等费用，根据项目具体情况填写）：</w:t>
            </w:r>
          </w:p>
          <w:p w14:paraId="47BA7FFF">
            <w:pPr>
              <w:spacing w:line="570" w:lineRule="exact"/>
              <w:rPr>
                <w:rFonts w:ascii="宋体" w:hAnsi="宋体" w:cs="宋体"/>
                <w:szCs w:val="21"/>
              </w:rPr>
            </w:pPr>
            <w:r>
              <w:rPr>
                <w:rFonts w:ascii="宋体" w:hAnsi="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70485</wp:posOffset>
                      </wp:positionV>
                      <wp:extent cx="70485" cy="106680"/>
                      <wp:effectExtent l="4445" t="4445" r="20320" b="222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0485" cy="106680"/>
                              </a:xfrm>
                              <a:prstGeom prst="rect">
                                <a:avLst/>
                              </a:prstGeom>
                              <a:noFill/>
                              <a:ln w="9525">
                                <a:solidFill>
                                  <a:srgbClr val="000000"/>
                                </a:solidFill>
                                <a:miter lim="800000"/>
                              </a:ln>
                              <a:effectLst/>
                            </wps:spPr>
                            <wps:txbx>
                              <w:txbxContent>
                                <w:p w14:paraId="72B5C49A">
                                  <w:r>
                                    <w:rPr>
                                      <w:lang w:val="zh-CN"/>
                                    </w:rPr>
                                    <w:t>[键入文档的引述或关注点的摘要。您可将文本框放置在文档中的任何位置。可使用“文本框工具”选项卡更改重要引述文本框的格式。]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5pt;margin-top:5.55pt;height:8.4pt;width:5.55pt;z-index:251660288;mso-width-relative:page;mso-height-relative:page;" filled="f" stroked="t" coordsize="21600,21600" o:gfxdata="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jARxtIAAAAGAQAADwAAAAAAAAABACAAAAAiAAAAZHJz&#10;L2Rvd25yZXYueG1sUEsBAhQAFAAAAAgAh07iQEZbHXJDAgAAagQAAA4AAAAAAAAAAQAgAAAAIQEA&#10;AGRycy9lMm9Eb2MueG1sUEsFBgAAAAAGAAYAWQEAANYFAAAAAA==&#10;">
                      <v:fill on="f" focussize="0,0"/>
                      <v:stroke color="#000000" miterlimit="8" joinstyle="miter"/>
                      <v:imagedata o:title=""/>
                      <o:lock v:ext="edit" aspectratio="f"/>
                      <v:textbox>
                        <w:txbxContent>
                          <w:p w14:paraId="72B5C49A">
                            <w:r>
                              <w:rPr>
                                <w:lang w:val="zh-CN"/>
                              </w:rPr>
                              <w:t>[键入文档的引述或关注点的摘要。您可将文本框放置在文档中的任何位置。可使用“文本框工具”选项卡更改重要引述文本框的格式。]</w:t>
                            </w:r>
                          </w:p>
                        </w:txbxContent>
                      </v:textbox>
                    </v:shape>
                  </w:pict>
                </mc:Fallback>
              </mc:AlternateContent>
            </w:r>
            <w:r>
              <w:rPr>
                <w:rFonts w:hint="eastAsia" w:ascii="宋体" w:hAnsi="宋体"/>
                <w:b/>
                <w:bCs/>
                <w:szCs w:val="21"/>
              </w:rPr>
              <w:t>▲</w:t>
            </w:r>
            <w:r>
              <w:rPr>
                <w:rFonts w:hint="eastAsia" w:ascii="宋体" w:hAnsi="宋体" w:cs="宋体"/>
                <w:szCs w:val="21"/>
              </w:rPr>
              <w:t>2、付款方式：选择以下第</w:t>
            </w:r>
            <w:r>
              <w:rPr>
                <w:rFonts w:hint="eastAsia" w:ascii="宋体" w:hAnsi="宋体" w:cs="宋体"/>
                <w:szCs w:val="21"/>
                <w:lang w:val="en-US" w:eastAsia="zh-CN"/>
              </w:rPr>
              <w:t>1</w:t>
            </w:r>
            <w:r>
              <w:rPr>
                <w:rFonts w:hint="eastAsia" w:ascii="宋体" w:hAnsi="宋体" w:cs="宋体"/>
                <w:szCs w:val="21"/>
              </w:rPr>
              <w:t>种方式</w:t>
            </w:r>
          </w:p>
          <w:p w14:paraId="75191F96">
            <w:pPr>
              <w:spacing w:line="570" w:lineRule="exact"/>
              <w:rPr>
                <w:rFonts w:ascii="宋体" w:hAnsi="宋体" w:cs="宋体"/>
                <w:szCs w:val="21"/>
              </w:rPr>
            </w:pPr>
            <w:r>
              <w:rPr>
                <w:rFonts w:hint="eastAsia" w:ascii="宋体" w:hAnsi="宋体"/>
                <w:color w:val="000000"/>
                <w:szCs w:val="21"/>
              </w:rPr>
              <w:t>（1）</w:t>
            </w:r>
            <w:r>
              <w:rPr>
                <w:rFonts w:hint="eastAsia" w:ascii="宋体" w:hAnsi="宋体" w:cs="宋体"/>
                <w:szCs w:val="21"/>
              </w:rPr>
              <w:t>本项目无预付款，供应商所提交的货物经采购人书面验收合格后，一次性（</w:t>
            </w:r>
            <w:r>
              <w:rPr>
                <w:rFonts w:hint="eastAsia"/>
              </w:rPr>
              <w:t>或按项目进度分次付款，项目进度内容及每次付款比例要写明</w:t>
            </w:r>
            <w:r>
              <w:rPr>
                <w:rFonts w:hint="eastAsia" w:ascii="宋体" w:hAnsi="宋体" w:cs="宋体"/>
                <w:szCs w:val="21"/>
              </w:rPr>
              <w:t>）支付合同款。</w:t>
            </w:r>
          </w:p>
          <w:p w14:paraId="3F8CE058">
            <w:pPr>
              <w:spacing w:line="570" w:lineRule="exact"/>
              <w:rPr>
                <w:rFonts w:hint="eastAsia" w:ascii="宋体" w:hAnsi="宋体"/>
                <w:color w:val="000000"/>
                <w:szCs w:val="21"/>
              </w:rPr>
            </w:pPr>
            <w:r>
              <w:rPr>
                <w:rFonts w:hint="eastAsia" w:ascii="宋体" w:hAnsi="宋体"/>
                <w:color w:val="000000"/>
                <w:szCs w:val="21"/>
              </w:rPr>
              <w:t>（2）本项目采取预付款形式，预付形式为：第一期付款：合同签订后10个工作日内，甲方向乙方支付合同总价30%预付款，支付前由乙方按规定向甲方开具正式发票；</w:t>
            </w:r>
          </w:p>
          <w:p w14:paraId="3DD2457E">
            <w:pPr>
              <w:spacing w:line="570" w:lineRule="exact"/>
              <w:rPr>
                <w:rFonts w:hint="eastAsia" w:ascii="宋体" w:hAnsi="宋体"/>
                <w:color w:val="000000"/>
                <w:szCs w:val="21"/>
              </w:rPr>
            </w:pPr>
            <w:r>
              <w:rPr>
                <w:rFonts w:hint="eastAsia" w:ascii="宋体" w:hAnsi="宋体"/>
                <w:color w:val="000000"/>
                <w:szCs w:val="21"/>
              </w:rPr>
              <w:t>第二期付款：乙方交货完毕并验收合格后，甲方向乙方支付合同总价70%的服务款项（无息），支付前由乙方按规定向甲方开具正式发票。</w:t>
            </w:r>
          </w:p>
          <w:p w14:paraId="7F7945F0">
            <w:pPr>
              <w:spacing w:line="570" w:lineRule="exact"/>
              <w:rPr>
                <w:rFonts w:ascii="宋体" w:hAnsi="宋体" w:cs="宋体"/>
                <w:szCs w:val="21"/>
              </w:rPr>
            </w:pPr>
            <w:r>
              <w:rPr>
                <w:rFonts w:hint="eastAsia" w:ascii="宋体" w:hAnsi="宋体"/>
                <w:color w:val="000000"/>
                <w:szCs w:val="21"/>
              </w:rPr>
              <w:t>□</w:t>
            </w:r>
            <w:r>
              <w:rPr>
                <w:rFonts w:hint="eastAsia" w:ascii="宋体" w:hAnsi="宋体" w:cs="宋体"/>
                <w:szCs w:val="21"/>
              </w:rPr>
              <w:t>3、对合同条款的调整（如对验收、违约责任等有特殊要求的）</w:t>
            </w:r>
          </w:p>
        </w:tc>
      </w:tr>
      <w:tr w14:paraId="1A1EA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2FFB142">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其他说明</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740B1048">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一、进口产品说明（根据项目实际情况选择）</w:t>
            </w:r>
          </w:p>
          <w:p w14:paraId="55123D7F">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61D95653">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☑本分标货物所涉及的货物不接受进口产品（即通过中国海关报关验放进入中国境内且产自关境外的产品）参与投标，如有进口产品参与投标的作无效标处理。</w:t>
            </w:r>
          </w:p>
          <w:p w14:paraId="27575CCE">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二、与本项目有关的设计图纸、技术规范、文件等附件资料及其获取方式（如有）</w:t>
            </w:r>
          </w:p>
          <w:p w14:paraId="6C7DD642">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文件或者资料名称：</w:t>
            </w:r>
          </w:p>
          <w:p w14:paraId="5A749D1C">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公布渠道或者获取方式：</w:t>
            </w:r>
          </w:p>
          <w:p w14:paraId="5ADA55D5">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▲三、核心产品</w:t>
            </w:r>
          </w:p>
          <w:p w14:paraId="2984604F">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“采购清单及技术参数”表中的核心产品为序号第 1 项产品。</w:t>
            </w:r>
          </w:p>
          <w:p w14:paraId="5F7DD1EE">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四、验收标准</w:t>
            </w:r>
          </w:p>
          <w:p w14:paraId="1123C7C6">
            <w:pPr>
              <w:widowControl/>
              <w:shd w:val="clear" w:color="auto" w:fill="FFFFFF"/>
              <w:spacing w:line="570" w:lineRule="exact"/>
              <w:rPr>
                <w:rFonts w:hint="default" w:ascii="宋体" w:hAnsi="宋体" w:cs="宋体"/>
                <w:szCs w:val="21"/>
                <w:lang w:val="en-US" w:eastAsia="zh-CN"/>
              </w:rPr>
            </w:pPr>
            <w:r>
              <w:rPr>
                <w:rFonts w:hint="eastAsia" w:ascii="宋体" w:hAnsi="宋体" w:cs="宋体"/>
                <w:szCs w:val="21"/>
                <w:lang w:val="en-US" w:eastAsia="zh-CN"/>
              </w:rPr>
              <w:t>1.核对货物的名称、型号、规格、数量、单价、材质、生产厂家、单位等信息是否准确，货物是否符合“货物需求一览表”中所列参数及使用要求。</w:t>
            </w:r>
          </w:p>
          <w:p w14:paraId="33C7C88D">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2.对产品的外观进行全面检查，包括产品表面是否有明显划痕、污渍、变形等缺陷，产品颜色是否均匀、与需求一致等。如果产品有包装，还需要检查包装是否完好无损，标志、标签是否齐全、清晰可辨等。</w:t>
            </w:r>
          </w:p>
          <w:p w14:paraId="609C6797">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3.电脑、打印机安装完毕后，进行开机测试，确保达到性能指标和技术要求。</w:t>
            </w:r>
          </w:p>
          <w:p w14:paraId="7043DAE4">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4.办公椅安装好后，进行靠背多角度调节定位等相关测试。</w:t>
            </w:r>
          </w:p>
          <w:p w14:paraId="23C4E19A">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5.办公桌、会议桌、会议椅安装完毕后，检查其稳固性是否符合要求，板材是否符合环保标准。</w:t>
            </w:r>
          </w:p>
          <w:p w14:paraId="3787F19F">
            <w:pPr>
              <w:widowControl/>
              <w:shd w:val="clear" w:color="auto" w:fill="FFFFFF"/>
              <w:spacing w:line="570" w:lineRule="exact"/>
              <w:rPr>
                <w:rFonts w:hint="default" w:ascii="宋体" w:hAnsi="宋体" w:cs="宋体"/>
                <w:szCs w:val="21"/>
                <w:lang w:val="en-US" w:eastAsia="zh-CN"/>
              </w:rPr>
            </w:pPr>
            <w:r>
              <w:rPr>
                <w:rFonts w:hint="eastAsia" w:ascii="宋体" w:hAnsi="宋体" w:cs="宋体"/>
                <w:szCs w:val="21"/>
                <w:lang w:val="en-US" w:eastAsia="zh-CN"/>
              </w:rPr>
              <w:t>6.所有锁具进行开关测试，确保可以正常使用。</w:t>
            </w:r>
          </w:p>
          <w:p w14:paraId="1DF3D49E">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五、其他</w:t>
            </w:r>
          </w:p>
          <w:p w14:paraId="358C2E65">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1、本项目采购标的对应的中小企业划分标准所属行业：零售业。</w:t>
            </w:r>
          </w:p>
          <w:p w14:paraId="722337D0">
            <w:pPr>
              <w:widowControl/>
              <w:shd w:val="clear" w:color="auto" w:fill="FFFFFF"/>
              <w:spacing w:line="570" w:lineRule="exact"/>
              <w:rPr>
                <w:rFonts w:hint="eastAsia" w:ascii="宋体" w:hAnsi="宋体" w:cs="宋体"/>
                <w:szCs w:val="21"/>
                <w:lang w:val="en-US" w:eastAsia="zh-CN"/>
              </w:rPr>
            </w:pPr>
            <w:r>
              <w:rPr>
                <w:rFonts w:hint="eastAsia" w:ascii="宋体" w:hAnsi="宋体" w:cs="宋体"/>
                <w:szCs w:val="21"/>
                <w:lang w:val="en-US" w:eastAsia="zh-CN"/>
              </w:rPr>
              <w:t>2、</w:t>
            </w:r>
            <w:bookmarkStart w:id="1" w:name="_GoBack"/>
            <w:r>
              <w:rPr>
                <w:rFonts w:hint="eastAsia" w:ascii="宋体" w:hAnsi="宋体" w:cs="宋体"/>
                <w:szCs w:val="21"/>
                <w:lang w:val="en-US" w:eastAsia="zh-CN"/>
              </w:rPr>
              <w:t>技术要求评审中允许负偏离的条款数为1项</w:t>
            </w:r>
            <w:bookmarkEnd w:id="1"/>
            <w:r>
              <w:rPr>
                <w:rFonts w:hint="eastAsia" w:ascii="宋体" w:hAnsi="宋体" w:cs="宋体"/>
                <w:szCs w:val="21"/>
                <w:lang w:val="en-US" w:eastAsia="zh-CN"/>
              </w:rPr>
              <w:t>。</w:t>
            </w:r>
          </w:p>
          <w:p w14:paraId="18ECE20D">
            <w:pPr>
              <w:pStyle w:val="2"/>
              <w:rPr>
                <w:rFonts w:hint="default"/>
                <w:lang w:val="en-US" w:eastAsia="zh-CN"/>
              </w:rPr>
            </w:pPr>
            <w:r>
              <w:rPr>
                <w:rFonts w:hint="eastAsia" w:ascii="宋体" w:hAnsi="宋体" w:eastAsia="宋体" w:cs="宋体"/>
                <w:kern w:val="2"/>
                <w:sz w:val="21"/>
                <w:szCs w:val="21"/>
                <w:lang w:val="en-US" w:eastAsia="zh-CN" w:bidi="ar-SA"/>
              </w:rPr>
              <w:t>3、商务要求评审中允许负偏离的条款数为</w:t>
            </w:r>
            <w:r>
              <w:rPr>
                <w:rFonts w:hint="eastAsia" w:ascii="宋体" w:hAnsi="宋体" w:cs="宋体"/>
                <w:kern w:val="2"/>
                <w:sz w:val="21"/>
                <w:szCs w:val="21"/>
                <w:lang w:val="en-US" w:eastAsia="zh-CN" w:bidi="ar-SA"/>
              </w:rPr>
              <w:t>0</w:t>
            </w:r>
            <w:r>
              <w:rPr>
                <w:rFonts w:hint="eastAsia" w:ascii="宋体" w:hAnsi="宋体" w:eastAsia="宋体" w:cs="宋体"/>
                <w:kern w:val="2"/>
                <w:sz w:val="21"/>
                <w:szCs w:val="21"/>
                <w:lang w:val="en-US" w:eastAsia="zh-CN" w:bidi="ar-SA"/>
              </w:rPr>
              <w:t>项。</w:t>
            </w:r>
          </w:p>
        </w:tc>
      </w:tr>
    </w:tbl>
    <w:p w14:paraId="52C64A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B393B"/>
    <w:rsid w:val="024912E2"/>
    <w:rsid w:val="053A6656"/>
    <w:rsid w:val="085D5E05"/>
    <w:rsid w:val="093251F6"/>
    <w:rsid w:val="1F8A7D32"/>
    <w:rsid w:val="57014E5D"/>
    <w:rsid w:val="59905F4A"/>
    <w:rsid w:val="5D2B1D73"/>
    <w:rsid w:val="5FD52A6C"/>
    <w:rsid w:val="799B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sz w:val="28"/>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1682</Words>
  <Characters>1781</Characters>
  <Lines>0</Lines>
  <Paragraphs>0</Paragraphs>
  <TotalTime>2</TotalTime>
  <ScaleCrop>false</ScaleCrop>
  <LinksUpToDate>false</LinksUpToDate>
  <CharactersWithSpaces>1797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2025-07-08T01:48:00Z</dcterms:created>
  <dc:creator>南宁职业技术大学-南宁职业技术大学</dc:creator>
  <cp:lastModifiedBy>loong</cp:lastModifiedBy>
  <dcterms:modified xsi:type="dcterms:W3CDTF">2025-07-11T01:33:31Z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95C7E4615BAE43F7BD90B7E15DC99223_13</vt:lpwstr>
  </property>
  <property fmtid="{D5CDD505-2E9C-101B-9397-08002B2CF9AE}" pid="4" name="KSOTemplateDocerSaveRecord">
    <vt:lpwstr>eyJoZGlkIjoiYmQ3MGE3NDkyYWM3YWM5NGIwOGJlODhkYmIxYzM1ZDkiLCJ1c2VySWQiOiI3MDM5NzE4MDQifQ==</vt:lpwstr>
  </property>
</Properties>
</file>