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FC7F4">
      <w:pPr>
        <w:jc w:val="center"/>
      </w:pPr>
      <w:r>
        <w:rPr>
          <w:rFonts w:ascii="黑体" w:hAnsi="黑体" w:eastAsia="黑体"/>
          <w:sz w:val="28"/>
          <w:szCs w:val="28"/>
        </w:rPr>
        <w:t>南宁市周文军技能大师工作室</w:t>
      </w:r>
      <w:r>
        <w:rPr>
          <w:rFonts w:hint="eastAsia" w:ascii="黑体" w:hAnsi="黑体" w:eastAsia="黑体"/>
          <w:sz w:val="28"/>
          <w:szCs w:val="28"/>
        </w:rPr>
        <w:t>电脑（6台）</w:t>
      </w:r>
      <w:r>
        <w:rPr>
          <w:rFonts w:ascii="黑体" w:hAnsi="黑体" w:eastAsia="黑体"/>
          <w:sz w:val="28"/>
          <w:szCs w:val="28"/>
        </w:rPr>
        <w:t>采购项目</w:t>
      </w:r>
    </w:p>
    <w:tbl>
      <w:tblPr>
        <w:tblStyle w:val="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32"/>
        <w:gridCol w:w="853"/>
        <w:gridCol w:w="735"/>
        <w:gridCol w:w="3926"/>
        <w:gridCol w:w="886"/>
        <w:gridCol w:w="1799"/>
      </w:tblGrid>
      <w:tr w14:paraId="7442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366FDD2D">
            <w:pPr>
              <w:spacing w:line="570" w:lineRule="exact"/>
              <w:jc w:val="center"/>
              <w:rPr>
                <w:rFonts w:ascii="宋体" w:hAnsi="宋体" w:cs="宋体"/>
                <w:b/>
                <w:sz w:val="24"/>
              </w:rPr>
            </w:pPr>
            <w:r>
              <w:rPr>
                <w:rFonts w:hint="eastAsia" w:ascii="仿宋_GB2312" w:hAnsi="宋体" w:eastAsia="仿宋_GB2312" w:cs="Arial"/>
                <w:b/>
                <w:color w:val="000000"/>
                <w:sz w:val="32"/>
                <w:szCs w:val="32"/>
              </w:rPr>
              <w:t>货物需求一览表</w:t>
            </w:r>
          </w:p>
        </w:tc>
      </w:tr>
      <w:tr w14:paraId="1745E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5CB8F06">
            <w:pPr>
              <w:spacing w:line="570" w:lineRule="exact"/>
              <w:jc w:val="center"/>
              <w:rPr>
                <w:rFonts w:ascii="宋体" w:hAnsi="宋体" w:cs="宋体"/>
                <w:sz w:val="24"/>
              </w:rPr>
            </w:pPr>
            <w:r>
              <w:rPr>
                <w:rFonts w:hint="eastAsia" w:ascii="宋体" w:hAnsi="宋体" w:cs="宋体"/>
              </w:rPr>
              <w:t>采购清单及货物参数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5B40243">
            <w:pPr>
              <w:spacing w:line="570" w:lineRule="exact"/>
              <w:jc w:val="center"/>
              <w:rPr>
                <w:rFonts w:ascii="宋体" w:hAnsi="宋体" w:cs="宋体"/>
                <w:sz w:val="24"/>
              </w:rPr>
            </w:pPr>
            <w:r>
              <w:rPr>
                <w:rFonts w:hint="eastAsia" w:ascii="宋体" w:hAnsi="宋体" w:cs="宋体"/>
                <w:sz w:val="24"/>
              </w:rPr>
              <w:t>序号</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4F2AA1F0">
            <w:pPr>
              <w:spacing w:line="570" w:lineRule="exact"/>
              <w:jc w:val="center"/>
              <w:rPr>
                <w:rFonts w:ascii="宋体" w:hAnsi="宋体" w:cs="宋体"/>
                <w:sz w:val="24"/>
              </w:rPr>
            </w:pPr>
            <w:r>
              <w:rPr>
                <w:rFonts w:hint="eastAsia" w:ascii="宋体" w:hAnsi="宋体" w:cs="宋体"/>
                <w:sz w:val="24"/>
              </w:rPr>
              <w:t>采购货物名称</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35A92B5">
            <w:pPr>
              <w:spacing w:line="570" w:lineRule="exact"/>
              <w:jc w:val="center"/>
              <w:rPr>
                <w:rFonts w:ascii="宋体" w:hAnsi="宋体" w:cs="宋体"/>
                <w:sz w:val="24"/>
              </w:rPr>
            </w:pPr>
            <w:r>
              <w:rPr>
                <w:rFonts w:hint="eastAsia" w:ascii="宋体" w:hAnsi="宋体" w:cs="宋体"/>
                <w:sz w:val="24"/>
              </w:rPr>
              <w:t>单位</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87DE527">
            <w:pPr>
              <w:spacing w:line="570" w:lineRule="exact"/>
              <w:jc w:val="center"/>
              <w:rPr>
                <w:rFonts w:ascii="宋体" w:hAnsi="宋体" w:cs="宋体"/>
                <w:sz w:val="24"/>
              </w:rPr>
            </w:pPr>
            <w:r>
              <w:rPr>
                <w:rFonts w:hint="eastAsia" w:ascii="宋体" w:hAnsi="宋体" w:cs="宋体"/>
                <w:sz w:val="24"/>
              </w:rPr>
              <w:t>数量</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1026A3C6">
            <w:pPr>
              <w:spacing w:line="570" w:lineRule="exact"/>
              <w:jc w:val="center"/>
              <w:rPr>
                <w:rFonts w:ascii="宋体" w:hAnsi="宋体" w:cs="宋体"/>
                <w:sz w:val="24"/>
              </w:rPr>
            </w:pPr>
            <w:r>
              <w:rPr>
                <w:rFonts w:hint="eastAsia" w:ascii="宋体" w:hAnsi="宋体" w:cs="宋体"/>
                <w:sz w:val="24"/>
              </w:rPr>
              <w:t>货物参数</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6C13F8B2">
            <w:pPr>
              <w:spacing w:line="570" w:lineRule="exact"/>
              <w:jc w:val="center"/>
              <w:rPr>
                <w:rFonts w:ascii="宋体" w:hAnsi="宋体" w:cs="宋体"/>
                <w:sz w:val="24"/>
              </w:rPr>
            </w:pPr>
            <w:r>
              <w:rPr>
                <w:rFonts w:hint="eastAsia" w:ascii="宋体" w:hAnsi="宋体" w:cs="宋体"/>
                <w:sz w:val="24"/>
              </w:rPr>
              <w:t>分项预算合计（元）</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578DDA44">
            <w:pPr>
              <w:spacing w:line="570" w:lineRule="exact"/>
              <w:jc w:val="center"/>
              <w:rPr>
                <w:rFonts w:ascii="宋体" w:hAnsi="宋体" w:cs="宋体"/>
                <w:sz w:val="24"/>
              </w:rPr>
            </w:pPr>
            <w:r>
              <w:rPr>
                <w:rFonts w:hint="eastAsia"/>
              </w:rPr>
              <w:t>中小企业划分标准所属行业名称（行业名称及划分见本章附件2）</w:t>
            </w:r>
          </w:p>
        </w:tc>
      </w:tr>
      <w:tr w14:paraId="77960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2D24231D">
            <w:pPr>
              <w:spacing w:line="570" w:lineRule="exact"/>
              <w:jc w:val="center"/>
              <w:rPr>
                <w:rFonts w:ascii="宋体" w:hAnsi="宋体"/>
                <w:b/>
                <w:bCs/>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E5E4C56">
            <w:pPr>
              <w:spacing w:line="570" w:lineRule="exact"/>
              <w:jc w:val="center"/>
              <w:rPr>
                <w:rFonts w:ascii="宋体" w:hAnsi="宋体"/>
                <w:szCs w:val="21"/>
              </w:rPr>
            </w:pPr>
            <w:r>
              <w:rPr>
                <w:rFonts w:hint="eastAsia" w:ascii="宋体" w:hAnsi="宋体"/>
                <w:szCs w:val="21"/>
              </w:rPr>
              <w:t>1</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05147526">
            <w:pPr>
              <w:spacing w:line="570" w:lineRule="exact"/>
              <w:rPr>
                <w:rFonts w:ascii="宋体" w:hAnsi="宋体"/>
                <w:szCs w:val="21"/>
              </w:rPr>
            </w:pPr>
            <w:r>
              <w:rPr>
                <w:rFonts w:hint="eastAsia" w:ascii="宋体" w:hAnsi="宋体"/>
                <w:szCs w:val="21"/>
              </w:rPr>
              <w:t>台式计算机</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2C9E592D">
            <w:pPr>
              <w:spacing w:line="570" w:lineRule="exact"/>
              <w:rPr>
                <w:rFonts w:hint="eastAsia" w:ascii="宋体" w:hAnsi="宋体"/>
                <w:szCs w:val="21"/>
              </w:rPr>
            </w:pPr>
            <w:r>
              <w:rPr>
                <w:rFonts w:hint="eastAsia" w:ascii="宋体" w:hAnsi="宋体"/>
                <w:szCs w:val="21"/>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7B0CE00">
            <w:pPr>
              <w:spacing w:line="570" w:lineRule="exact"/>
              <w:rPr>
                <w:rFonts w:hint="eastAsia" w:ascii="宋体" w:hAnsi="宋体"/>
                <w:szCs w:val="21"/>
              </w:rPr>
            </w:pPr>
            <w:r>
              <w:rPr>
                <w:rFonts w:hint="eastAsia" w:ascii="宋体" w:hAnsi="宋体"/>
                <w:szCs w:val="21"/>
              </w:rPr>
              <w:t>6</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C628663">
            <w:pPr>
              <w:rPr>
                <w:rFonts w:hint="eastAsia" w:ascii="宋体" w:hAnsi="宋体"/>
                <w:szCs w:val="21"/>
              </w:rPr>
            </w:pPr>
            <w:r>
              <w:rPr>
                <w:rFonts w:hint="eastAsia" w:ascii="宋体" w:hAnsi="宋体"/>
                <w:szCs w:val="21"/>
              </w:rPr>
              <w:t>1.液晶显示器：23.8英寸宽屏16:9 LED低蓝光液晶显示器,分辨率 1920x1080,配HDMI线。</w:t>
            </w:r>
          </w:p>
          <w:p w14:paraId="7ACDF434">
            <w:pPr>
              <w:jc w:val="left"/>
              <w:rPr>
                <w:rFonts w:asciiTheme="minorEastAsia" w:hAnsiTheme="minorEastAsia" w:eastAsiaTheme="minorEastAsia"/>
                <w:szCs w:val="21"/>
              </w:rPr>
            </w:pPr>
            <w:r>
              <w:rPr>
                <w:rFonts w:hint="eastAsia" w:ascii="宋体" w:hAnsi="宋体"/>
                <w:szCs w:val="21"/>
              </w:rPr>
              <w:t>2.CPU：</w:t>
            </w:r>
            <w:r>
              <w:rPr>
                <w:rFonts w:hint="eastAsia" w:asciiTheme="minorEastAsia" w:hAnsiTheme="minorEastAsia" w:eastAsiaTheme="minorEastAsia"/>
                <w:szCs w:val="21"/>
              </w:rPr>
              <w:t>CPU:</w:t>
            </w:r>
          </w:p>
          <w:p w14:paraId="3FF502EA">
            <w:pPr>
              <w:jc w:val="left"/>
              <w:rPr>
                <w:rFonts w:hint="eastAsia" w:asciiTheme="minorEastAsia" w:hAnsiTheme="minorEastAsia" w:eastAsiaTheme="minorEastAsia"/>
                <w:szCs w:val="21"/>
              </w:rPr>
            </w:pPr>
            <w:r>
              <w:rPr>
                <w:rFonts w:hint="eastAsia" w:asciiTheme="minorEastAsia" w:hAnsiTheme="minorEastAsia" w:eastAsiaTheme="minorEastAsia"/>
                <w:szCs w:val="21"/>
              </w:rPr>
              <w:t>主频：≥2.1GHz</w:t>
            </w:r>
          </w:p>
          <w:p w14:paraId="357DA440">
            <w:pPr>
              <w:jc w:val="left"/>
              <w:rPr>
                <w:rFonts w:hint="eastAsia" w:asciiTheme="minorEastAsia" w:hAnsiTheme="minorEastAsia" w:eastAsiaTheme="minorEastAsia"/>
                <w:szCs w:val="21"/>
              </w:rPr>
            </w:pPr>
            <w:r>
              <w:rPr>
                <w:rFonts w:hint="eastAsia" w:asciiTheme="minorEastAsia" w:hAnsiTheme="minorEastAsia" w:eastAsiaTheme="minorEastAsia"/>
                <w:szCs w:val="21"/>
              </w:rPr>
              <w:t>最大睿频频率 ：≥5.20 GHz</w:t>
            </w:r>
          </w:p>
          <w:p w14:paraId="3012EB8A">
            <w:pPr>
              <w:jc w:val="left"/>
              <w:rPr>
                <w:rFonts w:hint="eastAsia" w:asciiTheme="minorEastAsia" w:hAnsiTheme="minorEastAsia" w:eastAsiaTheme="minorEastAsia"/>
                <w:szCs w:val="21"/>
              </w:rPr>
            </w:pPr>
            <w:r>
              <w:rPr>
                <w:rFonts w:hint="eastAsia" w:asciiTheme="minorEastAsia" w:hAnsiTheme="minorEastAsia" w:eastAsiaTheme="minorEastAsia"/>
                <w:szCs w:val="21"/>
              </w:rPr>
              <w:t>内核数：16</w:t>
            </w:r>
          </w:p>
          <w:p w14:paraId="60E2E120">
            <w:pPr>
              <w:jc w:val="left"/>
              <w:rPr>
                <w:rFonts w:hint="eastAsia" w:asciiTheme="minorEastAsia" w:hAnsiTheme="minorEastAsia" w:eastAsiaTheme="minorEastAsia"/>
                <w:szCs w:val="21"/>
              </w:rPr>
            </w:pPr>
            <w:r>
              <w:rPr>
                <w:rFonts w:hint="eastAsia" w:asciiTheme="minorEastAsia" w:hAnsiTheme="minorEastAsia" w:eastAsiaTheme="minorEastAsia"/>
                <w:szCs w:val="21"/>
              </w:rPr>
              <w:t>性能核数：8</w:t>
            </w:r>
          </w:p>
          <w:p w14:paraId="7AE37A37">
            <w:pPr>
              <w:jc w:val="left"/>
              <w:rPr>
                <w:rFonts w:hint="eastAsia" w:asciiTheme="minorEastAsia" w:hAnsiTheme="minorEastAsia" w:eastAsiaTheme="minorEastAsia"/>
                <w:szCs w:val="21"/>
              </w:rPr>
            </w:pPr>
            <w:r>
              <w:rPr>
                <w:rFonts w:hint="eastAsia" w:asciiTheme="minorEastAsia" w:hAnsiTheme="minorEastAsia" w:eastAsiaTheme="minorEastAsia"/>
                <w:szCs w:val="21"/>
              </w:rPr>
              <w:t>能效核数：8</w:t>
            </w:r>
          </w:p>
          <w:p w14:paraId="470FA280">
            <w:pPr>
              <w:rPr>
                <w:rFonts w:hint="eastAsia" w:ascii="宋体" w:hAnsi="宋体"/>
                <w:szCs w:val="21"/>
              </w:rPr>
            </w:pPr>
            <w:r>
              <w:rPr>
                <w:rFonts w:hint="eastAsia" w:asciiTheme="minorEastAsia" w:hAnsiTheme="minorEastAsia" w:eastAsiaTheme="minorEastAsia"/>
                <w:szCs w:val="21"/>
              </w:rPr>
              <w:t>总线程数：24</w:t>
            </w:r>
            <w:r>
              <w:rPr>
                <w:rFonts w:hint="eastAsia" w:ascii="宋体" w:hAnsi="宋体"/>
                <w:szCs w:val="21"/>
              </w:rPr>
              <w:t>3.主板芯片组：Intel H770。</w:t>
            </w:r>
          </w:p>
          <w:p w14:paraId="45D8E926">
            <w:pPr>
              <w:jc w:val="left"/>
              <w:rPr>
                <w:rFonts w:asciiTheme="minorEastAsia" w:hAnsiTheme="minorEastAsia" w:eastAsiaTheme="minorEastAsia"/>
                <w:szCs w:val="21"/>
              </w:rPr>
            </w:pPr>
            <w:r>
              <w:rPr>
                <w:rFonts w:hint="eastAsia" w:ascii="宋体" w:hAnsi="宋体"/>
                <w:szCs w:val="21"/>
              </w:rPr>
              <w:t>4.硬盘：</w:t>
            </w:r>
          </w:p>
          <w:p w14:paraId="5446C487">
            <w:pPr>
              <w:jc w:val="left"/>
              <w:rPr>
                <w:rFonts w:hint="eastAsia"/>
              </w:rPr>
            </w:pPr>
            <w:r>
              <w:rPr>
                <w:rFonts w:hint="eastAsia"/>
              </w:rPr>
              <w:t>硬盘类型：固态硬盘</w:t>
            </w:r>
          </w:p>
          <w:p w14:paraId="39EE5120">
            <w:pPr>
              <w:jc w:val="left"/>
            </w:pPr>
            <w:r>
              <w:rPr>
                <w:rFonts w:hint="eastAsia"/>
              </w:rPr>
              <w:t>接口类型</w:t>
            </w:r>
            <w:r>
              <w:t>‌</w:t>
            </w:r>
            <w:r>
              <w:rPr>
                <w:rFonts w:hint="eastAsia" w:ascii="宋体" w:hAnsi="宋体" w:cs="宋体"/>
              </w:rPr>
              <w:t>：</w:t>
            </w:r>
            <w:r>
              <w:t>M.2 PCIe 3.0×4</w:t>
            </w:r>
            <w:r>
              <w:rPr>
                <w:rFonts w:hint="eastAsia"/>
              </w:rPr>
              <w:t>通道接口，支持</w:t>
            </w:r>
            <w:r>
              <w:t>NVMe 1.3</w:t>
            </w:r>
            <w:r>
              <w:rPr>
                <w:rFonts w:hint="eastAsia"/>
              </w:rPr>
              <w:t>协议。</w:t>
            </w:r>
            <w:r>
              <w:t xml:space="preserve"> ‌</w:t>
            </w:r>
          </w:p>
          <w:p w14:paraId="06AB098D">
            <w:pPr>
              <w:jc w:val="left"/>
            </w:pPr>
            <w:r>
              <w:rPr>
                <w:rFonts w:hint="cs"/>
              </w:rPr>
              <w:t>‌</w:t>
            </w:r>
            <w:r>
              <w:rPr>
                <w:rFonts w:hint="eastAsia"/>
              </w:rPr>
              <w:t>存储容量</w:t>
            </w:r>
            <w:r>
              <w:t>‌</w:t>
            </w:r>
            <w:r>
              <w:rPr>
                <w:rFonts w:hint="eastAsia" w:ascii="宋体" w:hAnsi="宋体" w:cs="宋体"/>
              </w:rPr>
              <w:t>：≥</w:t>
            </w:r>
            <w:r>
              <w:t>512GB ‌</w:t>
            </w:r>
          </w:p>
          <w:p w14:paraId="6A9A204A">
            <w:pPr>
              <w:jc w:val="left"/>
            </w:pPr>
            <w:r>
              <w:rPr>
                <w:rFonts w:hint="cs"/>
              </w:rPr>
              <w:t>‌</w:t>
            </w:r>
            <w:r>
              <w:rPr>
                <w:rFonts w:hint="eastAsia"/>
              </w:rPr>
              <w:t>顺序读写速度</w:t>
            </w:r>
            <w:r>
              <w:t>‌</w:t>
            </w:r>
            <w:r>
              <w:rPr>
                <w:rFonts w:hint="eastAsia" w:ascii="宋体" w:hAnsi="宋体" w:cs="宋体"/>
              </w:rPr>
              <w:t>：≥</w:t>
            </w:r>
            <w:r>
              <w:t>1650MB/s</w:t>
            </w:r>
          </w:p>
          <w:p w14:paraId="35D5AE52">
            <w:pPr>
              <w:jc w:val="left"/>
            </w:pPr>
            <w:r>
              <w:rPr>
                <w:rFonts w:hint="eastAsia"/>
              </w:rPr>
              <w:t>写入速度：≥</w:t>
            </w:r>
            <w:r>
              <w:t>1000MB/s ‌</w:t>
            </w:r>
          </w:p>
          <w:p w14:paraId="2152CB3A">
            <w:pPr>
              <w:rPr>
                <w:rFonts w:hint="eastAsia" w:ascii="宋体" w:hAnsi="宋体"/>
                <w:szCs w:val="21"/>
              </w:rPr>
            </w:pPr>
            <w:r>
              <w:rPr>
                <w:rFonts w:hint="cs"/>
              </w:rPr>
              <w:t>‌</w:t>
            </w:r>
            <w:r>
              <w:rPr>
                <w:rFonts w:hint="eastAsia"/>
              </w:rPr>
              <w:t>随机读写性能</w:t>
            </w:r>
            <w:r>
              <w:t>‌</w:t>
            </w:r>
            <w:r>
              <w:rPr>
                <w:rFonts w:hint="eastAsia" w:ascii="宋体" w:hAnsi="宋体" w:cs="宋体"/>
              </w:rPr>
              <w:t>：</w:t>
            </w:r>
            <w:r>
              <w:t>4K</w:t>
            </w:r>
            <w:r>
              <w:rPr>
                <w:rFonts w:hint="eastAsia"/>
              </w:rPr>
              <w:t>随机读写</w:t>
            </w:r>
            <w:r>
              <w:t>IOPS</w:t>
            </w:r>
            <w:r>
              <w:rPr>
                <w:rFonts w:hint="eastAsia"/>
              </w:rPr>
              <w:t>可达</w:t>
            </w:r>
            <w:r>
              <w:t>50</w:t>
            </w:r>
            <w:r>
              <w:rPr>
                <w:rFonts w:hint="eastAsia"/>
              </w:rPr>
              <w:t>万次以上，读取延迟约</w:t>
            </w:r>
            <w:r>
              <w:t>0.01ms</w:t>
            </w:r>
            <w:r>
              <w:rPr>
                <w:rFonts w:hint="eastAsia" w:ascii="宋体" w:hAnsi="宋体"/>
                <w:szCs w:val="21"/>
              </w:rPr>
              <w:t>5.</w:t>
            </w:r>
          </w:p>
          <w:p w14:paraId="6913596A">
            <w:pPr>
              <w:jc w:val="left"/>
              <w:rPr>
                <w:rFonts w:hint="eastAsia" w:asciiTheme="minorEastAsia" w:hAnsiTheme="minorEastAsia" w:eastAsiaTheme="minorEastAsia"/>
                <w:szCs w:val="21"/>
              </w:rPr>
            </w:pPr>
            <w:r>
              <w:rPr>
                <w:rFonts w:hint="eastAsia" w:ascii="宋体" w:hAnsi="宋体"/>
                <w:szCs w:val="21"/>
                <w:lang w:val="en-US" w:eastAsia="zh-CN"/>
              </w:rPr>
              <w:t>5.</w:t>
            </w:r>
            <w:r>
              <w:rPr>
                <w:rFonts w:hint="eastAsia" w:ascii="宋体" w:hAnsi="宋体"/>
                <w:szCs w:val="21"/>
              </w:rPr>
              <w:t>内存：</w:t>
            </w:r>
            <w:r>
              <w:rPr>
                <w:rFonts w:hint="eastAsia" w:asciiTheme="minorEastAsia" w:hAnsiTheme="minorEastAsia" w:eastAsiaTheme="minorEastAsia"/>
                <w:szCs w:val="21"/>
              </w:rPr>
              <w:t>内存类型：DDR4</w:t>
            </w:r>
          </w:p>
          <w:p w14:paraId="265A2115">
            <w:pPr>
              <w:jc w:val="left"/>
              <w:rPr>
                <w:rFonts w:asciiTheme="minorEastAsia" w:hAnsiTheme="minorEastAsia" w:eastAsiaTheme="minorEastAsia"/>
                <w:szCs w:val="21"/>
              </w:rPr>
            </w:pPr>
            <w:r>
              <w:rPr>
                <w:rFonts w:hint="eastAsia" w:asciiTheme="minorEastAsia" w:hAnsiTheme="minorEastAsia" w:eastAsiaTheme="minorEastAsia"/>
                <w:szCs w:val="21"/>
              </w:rPr>
              <w:t>容量：≥</w:t>
            </w:r>
            <w:r>
              <w:rPr>
                <w:rFonts w:asciiTheme="minorEastAsia" w:hAnsiTheme="minorEastAsia" w:eastAsiaTheme="minorEastAsia"/>
                <w:szCs w:val="21"/>
              </w:rPr>
              <w:t>32GB</w:t>
            </w:r>
            <w:r>
              <w:rPr>
                <w:rFonts w:hint="eastAsia" w:asciiTheme="minorEastAsia" w:hAnsiTheme="minorEastAsia" w:eastAsiaTheme="minorEastAsia"/>
                <w:szCs w:val="21"/>
              </w:rPr>
              <w:t>（单条）</w:t>
            </w:r>
            <w:r>
              <w:rPr>
                <w:rFonts w:eastAsiaTheme="minorEastAsia"/>
                <w:szCs w:val="21"/>
              </w:rPr>
              <w:t>‌</w:t>
            </w:r>
          </w:p>
          <w:p w14:paraId="5C481D41">
            <w:pPr>
              <w:jc w:val="left"/>
              <w:rPr>
                <w:rFonts w:asciiTheme="minorEastAsia" w:hAnsiTheme="minorEastAsia" w:eastAsiaTheme="minorEastAsia"/>
                <w:szCs w:val="21"/>
              </w:rPr>
            </w:pPr>
            <w:r>
              <w:rPr>
                <w:rFonts w:hint="eastAsia" w:asciiTheme="minorEastAsia" w:hAnsiTheme="minorEastAsia" w:eastAsiaTheme="minorEastAsia"/>
                <w:szCs w:val="21"/>
              </w:rPr>
              <w:t>频率：3200MHz</w:t>
            </w:r>
          </w:p>
          <w:p w14:paraId="17914E50">
            <w:pPr>
              <w:rPr>
                <w:rFonts w:hint="eastAsia" w:ascii="宋体" w:hAnsi="宋体" w:eastAsiaTheme="minorEastAsia"/>
                <w:szCs w:val="21"/>
                <w:lang w:eastAsia="zh-CN"/>
              </w:rPr>
            </w:pPr>
            <w:r>
              <w:rPr>
                <w:rFonts w:hint="eastAsia" w:asciiTheme="minorEastAsia" w:hAnsiTheme="minorEastAsia" w:eastAsiaTheme="minorEastAsia"/>
                <w:szCs w:val="21"/>
              </w:rPr>
              <w:t>预留可扩容插槽，可支持扩容到64GB内存</w:t>
            </w:r>
            <w:r>
              <w:rPr>
                <w:rFonts w:hint="eastAsia" w:asciiTheme="minorEastAsia" w:hAnsiTheme="minorEastAsia" w:eastAsiaTheme="minorEastAsia"/>
                <w:szCs w:val="21"/>
                <w:lang w:eastAsia="zh-CN"/>
              </w:rPr>
              <w:t>。</w:t>
            </w:r>
          </w:p>
          <w:p w14:paraId="56066806">
            <w:pPr>
              <w:pStyle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6.显卡</w:t>
            </w:r>
            <w:r>
              <w:rPr>
                <w:rFonts w:hint="eastAsia" w:ascii="宋体" w:hAnsi="宋体"/>
                <w:szCs w:val="21"/>
              </w:rPr>
              <w:t>：</w:t>
            </w:r>
            <w:r>
              <w:rPr>
                <w:rFonts w:hint="eastAsia" w:asciiTheme="minorEastAsia" w:hAnsiTheme="minorEastAsia" w:eastAsiaTheme="minorEastAsia"/>
                <w:sz w:val="21"/>
                <w:szCs w:val="21"/>
              </w:rPr>
              <w:t>显存频率：14002 MHz</w:t>
            </w:r>
          </w:p>
          <w:p w14:paraId="4ED193EF">
            <w:pPr>
              <w:pStyle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超频模式加速频率: 1845 MHz</w:t>
            </w:r>
          </w:p>
          <w:p w14:paraId="592504ED">
            <w:pPr>
              <w:pStyle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GPU 基础频率: 1560 MHz</w:t>
            </w:r>
          </w:p>
          <w:p w14:paraId="7C3ACE69">
            <w:pPr>
              <w:pStyle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游戏模式加速频率: 1815 MHz</w:t>
            </w:r>
          </w:p>
          <w:p w14:paraId="770D9BEF">
            <w:pPr>
              <w:pStyle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GPU 基础频率: 1530 MHz</w:t>
            </w:r>
          </w:p>
          <w:p w14:paraId="60242186">
            <w:pPr>
              <w:pStyle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显存类型：GDDR6</w:t>
            </w:r>
          </w:p>
          <w:p w14:paraId="6526FBB4">
            <w:pPr>
              <w:pStyle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显存容量：6GB</w:t>
            </w:r>
          </w:p>
          <w:p w14:paraId="2393030E">
            <w:pPr>
              <w:pStyle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显存位宽：192bit</w:t>
            </w:r>
          </w:p>
          <w:p w14:paraId="59E901AE">
            <w:pPr>
              <w:pStyle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最大分辨率：7680x4320</w:t>
            </w:r>
          </w:p>
          <w:p w14:paraId="00C868A4">
            <w:pPr>
              <w:rPr>
                <w:rFonts w:hint="eastAsia" w:ascii="宋体" w:hAnsi="宋体" w:eastAsiaTheme="minorEastAsia"/>
                <w:szCs w:val="21"/>
                <w:lang w:eastAsia="zh-CN"/>
              </w:rPr>
            </w:pPr>
            <w:r>
              <w:rPr>
                <w:rFonts w:hint="eastAsia" w:asciiTheme="minorEastAsia" w:hAnsiTheme="minorEastAsia" w:eastAsiaTheme="minorEastAsia"/>
                <w:sz w:val="21"/>
                <w:szCs w:val="21"/>
              </w:rPr>
              <w:t>显卡接口：PCI Express 3.0 16X</w:t>
            </w:r>
            <w:r>
              <w:rPr>
                <w:rFonts w:hint="eastAsia" w:asciiTheme="minorEastAsia" w:hAnsiTheme="minorEastAsia" w:eastAsiaTheme="minorEastAsia"/>
                <w:sz w:val="21"/>
                <w:szCs w:val="21"/>
                <w:lang w:eastAsia="zh-CN"/>
              </w:rPr>
              <w:t>。</w:t>
            </w:r>
          </w:p>
          <w:p w14:paraId="74539B9A">
            <w:pPr>
              <w:rPr>
                <w:rFonts w:hint="eastAsia" w:ascii="宋体" w:hAnsi="宋体"/>
                <w:szCs w:val="21"/>
              </w:rPr>
            </w:pPr>
            <w:r>
              <w:rPr>
                <w:rFonts w:hint="eastAsia" w:ascii="宋体" w:hAnsi="宋体"/>
                <w:szCs w:val="21"/>
              </w:rPr>
              <w:t>7.光驱：无光驱。</w:t>
            </w:r>
          </w:p>
          <w:p w14:paraId="44CD18A6">
            <w:pPr>
              <w:rPr>
                <w:rFonts w:hint="eastAsia" w:ascii="宋体" w:hAnsi="宋体"/>
                <w:szCs w:val="21"/>
              </w:rPr>
            </w:pPr>
            <w:r>
              <w:rPr>
                <w:rFonts w:hint="eastAsia" w:ascii="宋体" w:hAnsi="宋体"/>
                <w:szCs w:val="21"/>
              </w:rPr>
              <w:t>8.网卡：10/100/1000M自适应，RJ45接口。</w:t>
            </w:r>
          </w:p>
          <w:p w14:paraId="564AE931">
            <w:pPr>
              <w:rPr>
                <w:rFonts w:hint="eastAsia" w:ascii="宋体" w:hAnsi="宋体"/>
                <w:szCs w:val="21"/>
              </w:rPr>
            </w:pPr>
            <w:r>
              <w:rPr>
                <w:rFonts w:hint="eastAsia" w:ascii="宋体" w:hAnsi="宋体"/>
                <w:szCs w:val="21"/>
              </w:rPr>
              <w:t>9.操作系统：预装Windows 11  64位操作系统。</w:t>
            </w:r>
          </w:p>
          <w:p w14:paraId="62805C19">
            <w:pPr>
              <w:rPr>
                <w:rFonts w:hint="eastAsia" w:ascii="宋体" w:hAnsi="宋体"/>
                <w:szCs w:val="21"/>
              </w:rPr>
            </w:pPr>
            <w:r>
              <w:rPr>
                <w:rFonts w:hint="eastAsia" w:ascii="宋体" w:hAnsi="宋体"/>
                <w:szCs w:val="21"/>
              </w:rPr>
              <w:t>10.鼠标、键盘：原厂抗菌光电鼠标、原厂抗菌标准键盘。</w:t>
            </w:r>
          </w:p>
          <w:p w14:paraId="4A72CF76">
            <w:pPr>
              <w:rPr>
                <w:rFonts w:hint="eastAsia" w:ascii="宋体" w:hAnsi="宋体" w:eastAsia="宋体"/>
                <w:szCs w:val="21"/>
                <w:lang w:eastAsia="zh-CN"/>
              </w:rPr>
            </w:pPr>
            <w:r>
              <w:rPr>
                <w:rFonts w:hint="eastAsia" w:ascii="宋体" w:hAnsi="宋体"/>
                <w:szCs w:val="21"/>
              </w:rPr>
              <w:t>11.电源：为响应国家节能政策，要求电源须为≥360W高效节能电源，且电源典型效率不低于91.20%</w:t>
            </w:r>
            <w:r>
              <w:rPr>
                <w:rFonts w:hint="eastAsia" w:ascii="宋体" w:hAnsi="宋体"/>
                <w:szCs w:val="21"/>
                <w:lang w:eastAsia="zh-CN"/>
              </w:rPr>
              <w:t>。</w:t>
            </w:r>
          </w:p>
          <w:p w14:paraId="008F3319">
            <w:pPr>
              <w:rPr>
                <w:rFonts w:hint="eastAsia" w:ascii="宋体" w:hAnsi="宋体"/>
                <w:szCs w:val="21"/>
              </w:rPr>
            </w:pPr>
            <w:r>
              <w:rPr>
                <w:rFonts w:hint="eastAsia" w:ascii="宋体" w:hAnsi="宋体"/>
                <w:szCs w:val="21"/>
              </w:rPr>
              <w:t>12.高效散热静音，具有高温报警功能。</w:t>
            </w:r>
          </w:p>
          <w:p w14:paraId="7B8041F9">
            <w:r>
              <w:rPr>
                <w:rFonts w:hint="eastAsia" w:ascii="宋体" w:hAnsi="宋体"/>
                <w:szCs w:val="21"/>
              </w:rPr>
              <w:t>▲13.三年免费保修。为保证设备的品质和服务，供货时需提供设备生产厂家针对此项目的售后服务承诺函原件；。</w:t>
            </w:r>
          </w:p>
          <w:p w14:paraId="14621C78">
            <w:pPr>
              <w:pStyle w:val="2"/>
            </w:pPr>
            <w:r>
              <w:rPr>
                <w:rFonts w:hint="eastAsia" w:ascii="宋体" w:hAnsi="宋体" w:eastAsia="宋体" w:cs="Times New Roman"/>
                <w:kern w:val="2"/>
                <w:sz w:val="21"/>
                <w:szCs w:val="21"/>
                <w:lang w:val="en-US" w:eastAsia="zh-CN" w:bidi="ar-SA"/>
              </w:rPr>
              <w:t>▲14、云管理软件功能：</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（1）支持2块硬盘的保护和同传，每块硬盘都支持安装操作系统；</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（2）支持同时安装24个操作系统；</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（3）在2块硬盘上最大可同时支持40个分区（含启动分区、数据分区）；</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（4）支持可由任意一台主机发起网络拷贝、增量拷贝和临时部署；</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（5）网络传输速度标值：千兆网卡 7GB-15GB/Min；</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（6）支持断点续传功能：支持多种情况的断点续传功能；</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（7）支持网络故障定位：支持网络故障定位，便于排查；</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（8）支持在局域网内分组管理，为多个系统分配不同的IP；</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（9）支持硬盘容量差异网络拷贝；</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（10）支持6秒内的物理掉线(断路)可自动恢复；</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（11）支持网络传输数据加密（投标时提供功能截图）；</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（12）网络克隆维护：在局域网络内一次最多可传输254台客户端；</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（13）支持主流的DOS/Win7/Win8/Win10/Win11/Linux等操作系统；</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（14）可以从底层控制U盘和光盘的使用，防止病毒的带入；</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（15）支持定制软件界面；</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（16）支持远程唤醒、远程重启、远程锁定、远程关机等；</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（17）可通过设备管理列表查询当前运行状态下所有固定资产设备的明细信息；</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（18）详细记录每一种设备所属的设备类型、制造开发商、在当前物理架构上所处的位置、当前设备运行状态（投标时提供功能截图）；</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（19）提供硬件设备驱动程序级别的更新功能，同时具备对应的数字签名者、程序版本、程序日期及对应的供应商信息（投标时提供功能截图）；</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（20）视觉效果调优，可根据实际需求调节功能外观和性能设置（投标时提供功能截图）；</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（21）计算资源和虚拟内存分配，根据不同的应用场景分配当前的计算资源及虚拟内存资源（投标时提供功能截图）；</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（22）提供专业级别的数据执行保护功能，以免受病毒攻击或其他安全威胁的破坏（投标时提供功能截图）。</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2816810C">
            <w:pPr>
              <w:spacing w:line="570" w:lineRule="exact"/>
              <w:rPr>
                <w:rFonts w:ascii="宋体" w:hAnsi="宋体"/>
                <w:szCs w:val="21"/>
              </w:rPr>
            </w:pPr>
            <w:r>
              <w:rPr>
                <w:rFonts w:hint="eastAsia" w:ascii="宋体" w:hAnsi="宋体"/>
                <w:szCs w:val="21"/>
              </w:rPr>
              <w:t>7500</w:t>
            </w:r>
          </w:p>
        </w:tc>
        <w:tc>
          <w:tcPr>
            <w:tcW w:w="1799" w:type="dxa"/>
            <w:tcBorders>
              <w:top w:val="single" w:color="auto" w:sz="4" w:space="0"/>
              <w:left w:val="single" w:color="auto" w:sz="4" w:space="0"/>
              <w:bottom w:val="single" w:color="auto" w:sz="4" w:space="0"/>
              <w:right w:val="single" w:color="auto" w:sz="4" w:space="0"/>
            </w:tcBorders>
            <w:noWrap w:val="0"/>
            <w:vAlign w:val="top"/>
          </w:tcPr>
          <w:p w14:paraId="143FDF26">
            <w:pPr>
              <w:spacing w:line="570" w:lineRule="exact"/>
              <w:rPr>
                <w:rFonts w:ascii="宋体" w:hAnsi="宋体"/>
                <w:szCs w:val="21"/>
              </w:rPr>
            </w:pPr>
          </w:p>
        </w:tc>
      </w:tr>
      <w:tr w14:paraId="152B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60EE0A7C">
            <w:pPr>
              <w:spacing w:line="570" w:lineRule="exact"/>
              <w:jc w:val="center"/>
              <w:rPr>
                <w:rFonts w:ascii="宋体" w:hAnsi="宋体"/>
              </w:rPr>
            </w:pPr>
          </w:p>
          <w:p w14:paraId="18485ADF">
            <w:pPr>
              <w:spacing w:line="570" w:lineRule="exact"/>
              <w:jc w:val="center"/>
              <w:rPr>
                <w:rFonts w:ascii="宋体" w:hAnsi="宋体"/>
              </w:rPr>
            </w:pPr>
          </w:p>
          <w:p w14:paraId="7A575202">
            <w:pPr>
              <w:spacing w:line="570" w:lineRule="exact"/>
              <w:jc w:val="center"/>
              <w:rPr>
                <w:rFonts w:ascii="宋体" w:hAnsi="宋体"/>
              </w:rPr>
            </w:pPr>
            <w:r>
              <w:rPr>
                <w:rFonts w:hint="eastAsia" w:ascii="宋体" w:hAnsi="宋体"/>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03B9DB7F">
            <w:pPr>
              <w:widowControl/>
              <w:shd w:val="clear" w:color="auto" w:fill="FFFFFF"/>
              <w:spacing w:line="570" w:lineRule="exact"/>
              <w:rPr>
                <w:rFonts w:ascii="宋体" w:hAnsi="宋体"/>
                <w:szCs w:val="21"/>
              </w:rPr>
            </w:pPr>
            <w:bookmarkStart w:id="0" w:name="_top"/>
            <w:bookmarkEnd w:id="0"/>
            <w:r>
              <w:rPr>
                <w:rFonts w:hint="eastAsia" w:ascii="宋体" w:hAnsi="宋体" w:cs="宋体"/>
                <w:szCs w:val="21"/>
              </w:rPr>
              <w:t>▲</w:t>
            </w:r>
            <w:r>
              <w:rPr>
                <w:rFonts w:hint="eastAsia" w:ascii="宋体" w:hAnsi="宋体"/>
                <w:szCs w:val="21"/>
              </w:rPr>
              <w:t>一、合同签订期：自中标通知书发出之日起日内（注：</w:t>
            </w:r>
            <w:r>
              <w:rPr>
                <w:rFonts w:hint="eastAsia"/>
              </w:rPr>
              <w:t>中标通知书发出之</w:t>
            </w:r>
            <w:r>
              <w:rPr>
                <w:rFonts w:hint="eastAsia"/>
                <w:highlight w:val="none"/>
              </w:rPr>
              <w:t>日起</w:t>
            </w:r>
            <w:r>
              <w:rPr>
                <w:rFonts w:hint="eastAsia"/>
                <w:highlight w:val="none"/>
                <w:lang w:val="en-US" w:eastAsia="zh-CN"/>
              </w:rPr>
              <w:t>5</w:t>
            </w:r>
            <w:r>
              <w:rPr>
                <w:rFonts w:hint="eastAsia"/>
                <w:highlight w:val="none"/>
              </w:rPr>
              <w:t>日内</w:t>
            </w:r>
            <w:r>
              <w:rPr>
                <w:rFonts w:hint="eastAsia"/>
              </w:rPr>
              <w:t>必须签订合同。</w:t>
            </w:r>
            <w:r>
              <w:rPr>
                <w:rFonts w:hint="eastAsia" w:ascii="宋体" w:hAnsi="宋体"/>
                <w:szCs w:val="21"/>
              </w:rPr>
              <w:t>）</w:t>
            </w:r>
          </w:p>
          <w:p w14:paraId="2165D457">
            <w:pPr>
              <w:widowControl/>
              <w:shd w:val="clear" w:color="auto" w:fill="FFFFFF"/>
              <w:spacing w:line="570" w:lineRule="exact"/>
              <w:rPr>
                <w:rFonts w:ascii="宋体" w:hAnsi="宋体"/>
                <w:szCs w:val="21"/>
              </w:rPr>
            </w:pPr>
            <w:r>
              <w:rPr>
                <w:rFonts w:hint="eastAsia" w:ascii="宋体" w:hAnsi="宋体"/>
                <w:color w:val="000000"/>
                <w:szCs w:val="21"/>
              </w:rPr>
              <w:t>□</w:t>
            </w:r>
            <w:r>
              <w:rPr>
                <w:rFonts w:hint="eastAsia" w:ascii="宋体" w:hAnsi="宋体"/>
                <w:szCs w:val="21"/>
              </w:rPr>
              <w:t>二、</w:t>
            </w:r>
            <w:r>
              <w:rPr>
                <w:rFonts w:hint="eastAsia" w:ascii="宋体" w:hAnsi="宋体"/>
                <w:bCs/>
                <w:szCs w:val="21"/>
              </w:rPr>
              <w:t>货物期限或者货物时间：合同签订之后五个工作日内</w:t>
            </w:r>
          </w:p>
          <w:p w14:paraId="21B41C03">
            <w:pPr>
              <w:widowControl/>
              <w:shd w:val="clear" w:color="auto" w:fill="FFFFFF"/>
              <w:spacing w:line="570" w:lineRule="exact"/>
              <w:rPr>
                <w:rFonts w:ascii="宋体" w:hAnsi="宋体"/>
                <w:bCs/>
                <w:szCs w:val="21"/>
                <w:u w:val="single"/>
              </w:rPr>
            </w:pPr>
            <w:r>
              <w:rPr>
                <w:rFonts w:hint="eastAsia" w:ascii="宋体" w:hAnsi="宋体"/>
                <w:color w:val="000000"/>
                <w:szCs w:val="21"/>
              </w:rPr>
              <w:t>□</w:t>
            </w:r>
            <w:r>
              <w:rPr>
                <w:rFonts w:hint="eastAsia" w:ascii="宋体" w:hAnsi="宋体"/>
                <w:szCs w:val="21"/>
              </w:rPr>
              <w:t>三、货物地点：大学西路169号 南宁职业技术大学 6训215室</w:t>
            </w:r>
          </w:p>
          <w:p w14:paraId="3E513632">
            <w:pPr>
              <w:widowControl/>
              <w:shd w:val="clear" w:color="auto" w:fill="FFFFFF"/>
              <w:spacing w:line="570" w:lineRule="exact"/>
              <w:rPr>
                <w:rFonts w:ascii="宋体" w:hAnsi="宋体"/>
                <w:bCs/>
                <w:szCs w:val="21"/>
                <w:u w:val="single"/>
              </w:rPr>
            </w:pPr>
            <w:r>
              <w:rPr>
                <w:rFonts w:hint="eastAsia" w:ascii="宋体" w:hAnsi="宋体"/>
                <w:color w:val="000000"/>
                <w:szCs w:val="21"/>
              </w:rPr>
              <w:t>□</w:t>
            </w:r>
            <w:r>
              <w:rPr>
                <w:rFonts w:hint="eastAsia" w:ascii="宋体" w:hAnsi="宋体"/>
                <w:bCs/>
                <w:szCs w:val="21"/>
              </w:rPr>
              <w:t>四、</w:t>
            </w:r>
            <w:r>
              <w:rPr>
                <w:rFonts w:hint="eastAsia" w:ascii="宋体" w:hAnsi="宋体" w:cs="宋体"/>
                <w:szCs w:val="21"/>
              </w:rPr>
              <w:t>验收标准、规范：按国家标准规范实行</w:t>
            </w:r>
          </w:p>
          <w:p w14:paraId="0D91B8C7">
            <w:pPr>
              <w:widowControl/>
              <w:shd w:val="clear" w:color="auto" w:fill="FFFFFF"/>
              <w:spacing w:line="570" w:lineRule="exact"/>
              <w:rPr>
                <w:rFonts w:ascii="宋体" w:hAnsi="宋体"/>
                <w:szCs w:val="21"/>
              </w:rPr>
            </w:pPr>
            <w:r>
              <w:rPr>
                <w:rFonts w:hint="eastAsia" w:ascii="宋体" w:hAnsi="宋体"/>
                <w:b/>
                <w:bCs/>
                <w:szCs w:val="21"/>
              </w:rPr>
              <w:t xml:space="preserve">▲ </w:t>
            </w:r>
            <w:r>
              <w:rPr>
                <w:rFonts w:hint="eastAsia" w:ascii="宋体" w:hAnsi="宋体"/>
                <w:szCs w:val="21"/>
              </w:rPr>
              <w:t>五、售后服务要求：</w:t>
            </w:r>
          </w:p>
          <w:p w14:paraId="5F3EEEF3">
            <w:pPr>
              <w:widowControl/>
              <w:shd w:val="clear" w:color="auto" w:fill="FFFFFF"/>
              <w:spacing w:line="570" w:lineRule="exact"/>
              <w:rPr>
                <w:rFonts w:ascii="宋体" w:hAnsi="宋体" w:cs="宋体"/>
                <w:szCs w:val="21"/>
              </w:rPr>
            </w:pPr>
            <w:r>
              <w:rPr>
                <w:rFonts w:hint="eastAsia" w:ascii="宋体" w:hAnsi="宋体" w:cs="宋体"/>
                <w:szCs w:val="21"/>
              </w:rPr>
              <w:t>1、质量保证期年叁年（自提交成果并验收合格之日起计）</w:t>
            </w:r>
          </w:p>
          <w:p w14:paraId="07D0B071">
            <w:pPr>
              <w:widowControl/>
              <w:shd w:val="clear" w:color="auto" w:fill="FFFFFF"/>
              <w:spacing w:line="570" w:lineRule="exact"/>
              <w:rPr>
                <w:rFonts w:ascii="宋体" w:hAnsi="宋体" w:cs="宋体"/>
                <w:szCs w:val="21"/>
              </w:rPr>
            </w:pPr>
            <w:r>
              <w:rPr>
                <w:rFonts w:hint="eastAsia" w:ascii="宋体" w:hAnsi="宋体" w:cs="宋体"/>
                <w:szCs w:val="21"/>
              </w:rPr>
              <w:t>2、响应时间：接到采购人处理问题通知后4小时内到达采购人指定现场</w:t>
            </w:r>
          </w:p>
          <w:p w14:paraId="3FD1BE77">
            <w:pPr>
              <w:widowControl/>
              <w:shd w:val="clear" w:color="auto" w:fill="FFFFFF"/>
              <w:spacing w:line="570" w:lineRule="exact"/>
              <w:rPr>
                <w:rFonts w:hint="eastAsia" w:ascii="宋体" w:hAnsi="宋体" w:cs="宋体"/>
                <w:szCs w:val="21"/>
                <w:u w:val="single"/>
              </w:rPr>
            </w:pPr>
            <w:r>
              <w:rPr>
                <w:rFonts w:hint="eastAsia" w:ascii="宋体" w:hAnsi="宋体" w:cs="宋体"/>
                <w:szCs w:val="21"/>
              </w:rPr>
              <w:t>3、售后服务技术人员要求：</w:t>
            </w:r>
            <w:r>
              <w:rPr>
                <w:rFonts w:hint="eastAsia" w:ascii="宋体" w:hAnsi="宋体" w:cs="宋体"/>
                <w:szCs w:val="21"/>
                <w:u w:val="single"/>
              </w:rPr>
              <w:t>专职</w:t>
            </w:r>
          </w:p>
          <w:p w14:paraId="5030CC6B">
            <w:pPr>
              <w:widowControl/>
              <w:shd w:val="clear" w:color="auto" w:fill="FFFFFF"/>
              <w:spacing w:line="570" w:lineRule="exact"/>
              <w:rPr>
                <w:rFonts w:hint="eastAsia" w:ascii="宋体" w:hAnsi="宋体" w:cs="宋体"/>
                <w:szCs w:val="21"/>
              </w:rPr>
            </w:pPr>
            <w:r>
              <w:rPr>
                <w:rFonts w:hint="eastAsia" w:ascii="宋体" w:hAnsi="宋体" w:cs="宋体"/>
                <w:szCs w:val="21"/>
              </w:rPr>
              <w:t>5、备品备件要求：元</w:t>
            </w:r>
          </w:p>
          <w:p w14:paraId="611AE471">
            <w:pPr>
              <w:widowControl/>
              <w:shd w:val="clear" w:color="auto" w:fill="FFFFFF"/>
              <w:tabs>
                <w:tab w:val="left" w:pos="3580"/>
              </w:tabs>
              <w:spacing w:line="570" w:lineRule="exact"/>
              <w:rPr>
                <w:rFonts w:ascii="宋体" w:hAnsi="宋体"/>
                <w:bCs/>
                <w:szCs w:val="21"/>
                <w:u w:val="single"/>
              </w:rPr>
            </w:pPr>
            <w:r>
              <w:rPr>
                <w:rFonts w:hint="eastAsia" w:ascii="宋体" w:hAnsi="宋体" w:cs="宋体"/>
                <w:szCs w:val="21"/>
              </w:rPr>
              <w:t>6、其他：</w:t>
            </w:r>
          </w:p>
          <w:p w14:paraId="331F7EF8">
            <w:pPr>
              <w:spacing w:line="570" w:lineRule="exact"/>
              <w:rPr>
                <w:rFonts w:ascii="宋体" w:hAnsi="宋体"/>
                <w:szCs w:val="21"/>
              </w:rPr>
            </w:pPr>
            <w:r>
              <w:rPr>
                <w:rFonts w:hint="eastAsia" w:ascii="宋体" w:hAnsi="宋体"/>
                <w:color w:val="000000"/>
                <w:szCs w:val="21"/>
              </w:rPr>
              <w:t>☑</w:t>
            </w:r>
            <w:r>
              <w:rPr>
                <w:rFonts w:hint="eastAsia" w:ascii="宋体" w:hAnsi="宋体"/>
                <w:szCs w:val="21"/>
              </w:rPr>
              <w:t>六、其他要求：</w:t>
            </w:r>
          </w:p>
          <w:p w14:paraId="1514EC50">
            <w:pPr>
              <w:spacing w:line="570" w:lineRule="exact"/>
              <w:rPr>
                <w:rFonts w:ascii="宋体" w:hAnsi="宋体"/>
                <w:szCs w:val="21"/>
              </w:rPr>
            </w:pPr>
            <w:r>
              <w:rPr>
                <w:rFonts w:hint="eastAsia" w:ascii="宋体" w:hAnsi="宋体"/>
                <w:szCs w:val="21"/>
              </w:rPr>
              <w:t>1、报价必须含以下部分，包括：</w:t>
            </w:r>
          </w:p>
          <w:p w14:paraId="49B1F9E3">
            <w:pPr>
              <w:spacing w:line="570" w:lineRule="exact"/>
              <w:rPr>
                <w:rFonts w:ascii="宋体" w:hAnsi="宋体" w:cs="宋体"/>
                <w:szCs w:val="21"/>
              </w:rPr>
            </w:pPr>
            <w:r>
              <w:rPr>
                <w:rFonts w:hint="eastAsia" w:ascii="宋体" w:hAnsi="宋体" w:cs="宋体"/>
                <w:szCs w:val="21"/>
              </w:rPr>
              <w:t>（1）货物的价格；</w:t>
            </w:r>
          </w:p>
          <w:p w14:paraId="70706CE0">
            <w:pPr>
              <w:spacing w:line="570" w:lineRule="exact"/>
              <w:rPr>
                <w:rFonts w:ascii="宋体" w:hAnsi="宋体" w:cs="宋体"/>
                <w:szCs w:val="21"/>
              </w:rPr>
            </w:pPr>
            <w:r>
              <w:rPr>
                <w:rFonts w:hint="eastAsia" w:ascii="宋体" w:hAnsi="宋体" w:cs="宋体"/>
                <w:szCs w:val="21"/>
              </w:rPr>
              <w:t>（2）必要的保险费用和各项税金；</w:t>
            </w:r>
          </w:p>
          <w:p w14:paraId="005F1E33">
            <w:pPr>
              <w:tabs>
                <w:tab w:val="left" w:pos="3490"/>
                <w:tab w:val="left" w:pos="3670"/>
                <w:tab w:val="left" w:pos="3895"/>
              </w:tabs>
              <w:spacing w:line="570" w:lineRule="exact"/>
              <w:rPr>
                <w:rFonts w:ascii="宋体" w:hAnsi="宋体"/>
                <w:szCs w:val="21"/>
                <w:u w:val="single"/>
              </w:rPr>
            </w:pPr>
            <w:r>
              <w:rPr>
                <w:rFonts w:hint="eastAsia" w:ascii="宋体" w:hAnsi="宋体" w:cs="宋体"/>
                <w:szCs w:val="21"/>
              </w:rPr>
              <w:t>（3）其他（如运输、装卸、安装、调试、培训、技术支持、售后货物、更新升级等费用，根据项目具体情况填写）：</w:t>
            </w:r>
          </w:p>
          <w:p w14:paraId="318A2B50">
            <w:pPr>
              <w:spacing w:line="570" w:lineRule="exact"/>
              <w:rPr>
                <w:rFonts w:ascii="宋体" w:hAnsi="宋体" w:cs="宋体"/>
                <w:szCs w:val="21"/>
              </w:rPr>
            </w:pPr>
            <w:r>
              <w:rPr>
                <w:rFonts w:hint="eastAsia" w:ascii="宋体" w:hAnsi="宋体"/>
                <w:b/>
                <w:bCs/>
                <w:szCs w:val="21"/>
              </w:rPr>
              <w:t>▲</w:t>
            </w:r>
            <w:r>
              <w:rPr>
                <w:rFonts w:hint="eastAsia" w:ascii="宋体" w:hAnsi="宋体" w:cs="宋体"/>
                <w:szCs w:val="21"/>
              </w:rPr>
              <w:t>2、付款方式：选择以下第种方式</w:t>
            </w:r>
          </w:p>
          <w:p w14:paraId="50D2D703">
            <w:pPr>
              <w:spacing w:line="570" w:lineRule="exact"/>
              <w:ind w:firstLine="420" w:firstLineChars="200"/>
              <w:rPr>
                <w:rFonts w:ascii="宋体" w:hAnsi="宋体" w:cs="宋体"/>
                <w:szCs w:val="21"/>
              </w:rPr>
            </w:pPr>
            <w:r>
              <w:rPr>
                <w:rFonts w:hint="eastAsia" w:ascii="宋体" w:hAnsi="宋体"/>
                <w:color w:val="000000"/>
                <w:szCs w:val="21"/>
              </w:rPr>
              <w:t>（1）</w:t>
            </w:r>
            <w:r>
              <w:rPr>
                <w:rFonts w:hint="eastAsia" w:ascii="宋体" w:hAnsi="宋体" w:cs="宋体"/>
                <w:szCs w:val="21"/>
              </w:rPr>
              <w:t>本项目无预付款，供应商所提交的货物经采购人书面验收合格后，一次性支付合同款。</w:t>
            </w:r>
          </w:p>
        </w:tc>
      </w:tr>
      <w:tr w14:paraId="18826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1193F43F">
            <w:pPr>
              <w:spacing w:line="570" w:lineRule="exact"/>
              <w:jc w:val="center"/>
              <w:rPr>
                <w:rFonts w:ascii="宋体" w:hAnsi="宋体"/>
              </w:rPr>
            </w:pPr>
            <w:r>
              <w:rPr>
                <w:rFonts w:hint="eastAsia" w:ascii="宋体" w:hAnsi="宋体"/>
              </w:rPr>
              <w:t>其他说明</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42E4BADE">
            <w:pPr>
              <w:widowControl/>
              <w:shd w:val="clear" w:color="auto" w:fill="FFFFFF"/>
              <w:spacing w:line="570" w:lineRule="exact"/>
              <w:rPr>
                <w:rFonts w:ascii="宋体" w:hAnsi="宋体"/>
              </w:rPr>
            </w:pPr>
            <w:r>
              <w:rPr>
                <w:rFonts w:hint="eastAsia" w:ascii="宋体" w:hAnsi="宋体"/>
              </w:rPr>
              <w:t>一、进口产品说明（根据项目实际情况选择）</w:t>
            </w:r>
          </w:p>
          <w:p w14:paraId="46A3272E">
            <w:pPr>
              <w:spacing w:line="570" w:lineRule="exact"/>
              <w:ind w:firstLine="420" w:firstLineChars="200"/>
              <w:rPr>
                <w:rFonts w:ascii="宋体" w:hAnsi="宋体"/>
                <w:color w:val="000000"/>
                <w:szCs w:val="21"/>
              </w:rPr>
            </w:pPr>
            <w:r>
              <w:rPr>
                <w:rFonts w:hint="eastAsia" w:ascii="宋体" w:hAnsi="宋体"/>
                <w:color w:val="000000"/>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b/>
                <w:bCs/>
                <w:color w:val="000000"/>
                <w:szCs w:val="21"/>
              </w:rPr>
              <w:t>其他货物不接受进口产品参与投标</w:t>
            </w:r>
            <w:r>
              <w:rPr>
                <w:rFonts w:hint="eastAsia" w:ascii="宋体" w:hAnsi="宋体"/>
                <w:color w:val="000000"/>
                <w:szCs w:val="21"/>
              </w:rPr>
              <w:t>，</w:t>
            </w:r>
            <w:r>
              <w:rPr>
                <w:rFonts w:hint="eastAsia" w:ascii="宋体" w:hAnsi="宋体"/>
                <w:b/>
                <w:color w:val="000000"/>
                <w:szCs w:val="21"/>
              </w:rPr>
              <w:t>否则作无效标处理。</w:t>
            </w:r>
          </w:p>
          <w:p w14:paraId="5FB45709">
            <w:pPr>
              <w:tabs>
                <w:tab w:val="left" w:pos="180"/>
                <w:tab w:val="left" w:pos="1620"/>
              </w:tabs>
              <w:spacing w:line="570" w:lineRule="exact"/>
              <w:ind w:firstLine="420" w:firstLineChars="200"/>
              <w:rPr>
                <w:rFonts w:ascii="宋体" w:hAnsi="宋体"/>
                <w:color w:val="000000"/>
                <w:szCs w:val="21"/>
              </w:rPr>
            </w:pPr>
            <w:r>
              <w:rPr>
                <w:rFonts w:hint="eastAsia" w:ascii="宋体" w:hAnsi="宋体"/>
                <w:color w:val="000000"/>
                <w:szCs w:val="21"/>
              </w:rPr>
              <w:t>☑本分标货物所涉及的货物不接受进口产品（即通过中国海关报关验放进入中国境内且产自关境外的产品）参与投标，</w:t>
            </w:r>
            <w:r>
              <w:rPr>
                <w:rFonts w:hint="eastAsia" w:ascii="宋体" w:hAnsi="宋体"/>
                <w:b/>
                <w:color w:val="000000"/>
                <w:szCs w:val="21"/>
              </w:rPr>
              <w:t>如有进口产品参与投标的作无效标处理</w:t>
            </w:r>
            <w:r>
              <w:rPr>
                <w:rFonts w:hint="eastAsia" w:ascii="宋体" w:hAnsi="宋体"/>
                <w:color w:val="000000"/>
                <w:szCs w:val="21"/>
              </w:rPr>
              <w:t>。</w:t>
            </w:r>
          </w:p>
          <w:p w14:paraId="17D26812">
            <w:pPr>
              <w:widowControl/>
              <w:numPr>
                <w:ilvl w:val="0"/>
                <w:numId w:val="1"/>
              </w:numPr>
              <w:shd w:val="clear" w:color="auto" w:fill="FFFFFF"/>
              <w:spacing w:line="570" w:lineRule="exact"/>
              <w:rPr>
                <w:rFonts w:hint="eastAsia" w:ascii="宋体" w:hAnsi="宋体" w:cs="宋体"/>
                <w:szCs w:val="21"/>
              </w:rPr>
            </w:pPr>
            <w:r>
              <w:rPr>
                <w:rFonts w:hint="eastAsia" w:ascii="宋体" w:hAnsi="宋体" w:cs="宋体"/>
                <w:szCs w:val="21"/>
              </w:rPr>
              <w:t>本项目采购标的对应的中小企业划分标准所属行业：。</w:t>
            </w:r>
          </w:p>
          <w:p w14:paraId="73F526AF">
            <w:pPr>
              <w:widowControl/>
              <w:shd w:val="clear" w:color="auto" w:fill="FFFFFF"/>
              <w:spacing w:line="57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3、技术要求评审中允许负偏离的条款数为0项。</w:t>
            </w:r>
          </w:p>
          <w:p w14:paraId="72796E7F">
            <w:pPr>
              <w:widowControl/>
              <w:numPr>
                <w:ilvl w:val="0"/>
                <w:numId w:val="0"/>
              </w:numPr>
              <w:shd w:val="clear" w:color="auto" w:fill="FFFFFF"/>
              <w:spacing w:line="570" w:lineRule="exact"/>
              <w:rPr>
                <w:rFonts w:hint="eastAsia" w:ascii="宋体" w:hAnsi="宋体" w:cs="宋体"/>
                <w:szCs w:val="21"/>
              </w:rPr>
            </w:pPr>
            <w:r>
              <w:rPr>
                <w:rFonts w:hint="eastAsia" w:ascii="宋体" w:hAnsi="宋体" w:eastAsia="宋体" w:cs="宋体"/>
                <w:kern w:val="2"/>
                <w:sz w:val="21"/>
                <w:szCs w:val="21"/>
                <w:highlight w:val="none"/>
                <w:lang w:val="en-US" w:eastAsia="zh-CN" w:bidi="ar-SA"/>
              </w:rPr>
              <w:t>4、商务要求评审中允许负偏离的条款数为</w:t>
            </w:r>
            <w:r>
              <w:rPr>
                <w:rFonts w:hint="eastAsia" w:ascii="宋体" w:hAnsi="宋体" w:cs="宋体"/>
                <w:kern w:val="2"/>
                <w:sz w:val="21"/>
                <w:szCs w:val="21"/>
                <w:highlight w:val="none"/>
                <w:lang w:val="en-US" w:eastAsia="zh-CN" w:bidi="ar-SA"/>
              </w:rPr>
              <w:t>1</w:t>
            </w:r>
            <w:bookmarkStart w:id="1" w:name="_GoBack"/>
            <w:bookmarkEnd w:id="1"/>
            <w:r>
              <w:rPr>
                <w:rFonts w:hint="eastAsia" w:ascii="宋体" w:hAnsi="宋体" w:eastAsia="宋体" w:cs="宋体"/>
                <w:kern w:val="2"/>
                <w:sz w:val="21"/>
                <w:szCs w:val="21"/>
                <w:highlight w:val="none"/>
                <w:lang w:val="en-US" w:eastAsia="zh-CN" w:bidi="ar-SA"/>
              </w:rPr>
              <w:t>项。</w:t>
            </w:r>
          </w:p>
        </w:tc>
      </w:tr>
    </w:tbl>
    <w:p w14:paraId="5F41E8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ZShuSong-Z01">
    <w:altName w:val="Segoe Print"/>
    <w:panose1 w:val="00000000000000000000"/>
    <w:charset w:val="00"/>
    <w:family w:val="auto"/>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EE12F"/>
    <w:multiLevelType w:val="singleLevel"/>
    <w:tmpl w:val="536EE1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M2U3ZjJhOWE0MWViMzJjODIzOTU5NDViYmJkMDYifQ=="/>
  </w:docVars>
  <w:rsids>
    <w:rsidRoot w:val="40EC2C5F"/>
    <w:rsid w:val="40EC2C5F"/>
    <w:rsid w:val="42FB7E11"/>
    <w:rsid w:val="59F75988"/>
    <w:rsid w:val="5FD52A6C"/>
    <w:rsid w:val="6555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rPr>
      <w:sz w:val="28"/>
    </w:rPr>
  </w:style>
  <w:style w:type="paragraph" w:styleId="3">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996</Words>
  <Characters>1125</Characters>
  <Lines>0</Lines>
  <Paragraphs>0</Paragraphs>
  <TotalTime>44</TotalTime>
  <ScaleCrop>false</ScaleCrop>
  <LinksUpToDate>false</LinksUpToDate>
  <CharactersWithSpaces>1143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2025-07-22T08:48:00Z</dcterms:created>
  <dc:creator>南宁职业技术大学-南宁职业技术大学</dc:creator>
  <cp:lastModifiedBy>南宁职业技术大学-南宁职业技术大学</cp:lastModifiedBy>
  <dcterms:modified xsi:type="dcterms:W3CDTF">2025-07-25T02:13:37Z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9128B7C864E74A85A65C1AEC973E4A9C_11</vt:lpwstr>
  </property>
  <property fmtid="{D5CDD505-2E9C-101B-9397-08002B2CF9AE}" pid="4" name="KSOTemplateDocerSaveRecord">
    <vt:lpwstr>eyJoZGlkIjoiYjNjNTY1YTkxODY3ZTk3YzY5NjBkMzQyODEyNGNlNDkiLCJ1c2VySWQiOiI0MTgwNjkyMDcifQ==</vt:lpwstr>
  </property>
</Properties>
</file>