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CD74A">
      <w:pPr>
        <w:spacing w:line="570" w:lineRule="exact"/>
        <w:jc w:val="center"/>
        <w:rPr>
          <w:rFonts w:hint="eastAsia" w:ascii="FangSong_GB2312" w:hAnsi="宋体" w:eastAsia="FangSong_GB2312" w:cs="Arial"/>
          <w:b/>
          <w:color w:val="auto"/>
          <w:sz w:val="32"/>
          <w:szCs w:val="32"/>
          <w:highlight w:val="none"/>
          <w:lang w:val="en-US" w:eastAsia="zh-CN"/>
        </w:rPr>
      </w:pPr>
      <w:r>
        <w:rPr>
          <w:rFonts w:hint="eastAsia" w:ascii="FangSong_GB2312" w:hAnsi="宋体" w:eastAsia="FangSong_GB2312" w:cs="Arial"/>
          <w:b/>
          <w:color w:val="auto"/>
          <w:sz w:val="32"/>
          <w:szCs w:val="32"/>
          <w:highlight w:val="none"/>
        </w:rPr>
        <w:t>南宁市高技能人才培训基地（培训机房建设）</w:t>
      </w:r>
      <w:r>
        <w:rPr>
          <w:rFonts w:hint="eastAsia" w:ascii="FangSong_GB2312" w:hAnsi="宋体" w:eastAsia="FangSong_GB2312" w:cs="Arial"/>
          <w:b/>
          <w:color w:val="auto"/>
          <w:sz w:val="32"/>
          <w:szCs w:val="32"/>
          <w:highlight w:val="none"/>
          <w:lang w:val="en-US" w:eastAsia="zh-CN"/>
        </w:rPr>
        <w:t>项目</w:t>
      </w:r>
    </w:p>
    <w:tbl>
      <w:tblPr>
        <w:tblStyle w:val="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34"/>
        <w:gridCol w:w="630"/>
        <w:gridCol w:w="525"/>
        <w:gridCol w:w="3795"/>
        <w:gridCol w:w="1048"/>
        <w:gridCol w:w="1799"/>
      </w:tblGrid>
      <w:tr w14:paraId="15F7B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380EA01B">
            <w:pPr>
              <w:spacing w:line="570" w:lineRule="exact"/>
              <w:jc w:val="center"/>
              <w:rPr>
                <w:rFonts w:hint="eastAsia" w:ascii="宋体" w:hAnsi="宋体" w:cs="宋体"/>
                <w:b/>
                <w:color w:val="auto"/>
                <w:sz w:val="24"/>
                <w:highlight w:val="none"/>
              </w:rPr>
            </w:pPr>
            <w:r>
              <w:rPr>
                <w:rFonts w:hint="eastAsia" w:ascii="FangSong_GB2312" w:hAnsi="宋体" w:eastAsia="FangSong_GB2312" w:cs="Arial"/>
                <w:b/>
                <w:color w:val="auto"/>
                <w:sz w:val="32"/>
                <w:szCs w:val="32"/>
                <w:highlight w:val="none"/>
              </w:rPr>
              <w:t>货物需求一览表</w:t>
            </w:r>
          </w:p>
        </w:tc>
      </w:tr>
      <w:tr w14:paraId="37004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777DE4C8">
            <w:pPr>
              <w:spacing w:line="570" w:lineRule="exact"/>
              <w:jc w:val="center"/>
              <w:rPr>
                <w:rFonts w:hint="eastAsia" w:ascii="宋体" w:hAnsi="宋体" w:cs="宋体"/>
                <w:color w:val="auto"/>
                <w:sz w:val="24"/>
                <w:highlight w:val="none"/>
              </w:rPr>
            </w:pPr>
            <w:r>
              <w:rPr>
                <w:rFonts w:hint="eastAsia" w:ascii="宋体" w:hAnsi="宋体" w:cs="宋体"/>
                <w:color w:val="auto"/>
                <w:highlight w:val="none"/>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726462">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47AE96F">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采购货物名称</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1FB29C1">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4C5D9CB8">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3795" w:type="dxa"/>
            <w:tcBorders>
              <w:top w:val="single" w:color="auto" w:sz="4" w:space="0"/>
              <w:left w:val="single" w:color="auto" w:sz="4" w:space="0"/>
              <w:bottom w:val="single" w:color="auto" w:sz="4" w:space="0"/>
              <w:right w:val="single" w:color="auto" w:sz="4" w:space="0"/>
            </w:tcBorders>
            <w:noWrap w:val="0"/>
            <w:vAlign w:val="center"/>
          </w:tcPr>
          <w:p w14:paraId="2A1FC29F">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货物参数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F00CFD9">
            <w:pPr>
              <w:spacing w:line="570" w:lineRule="exact"/>
              <w:jc w:val="center"/>
              <w:rPr>
                <w:rFonts w:hint="eastAsia" w:ascii="宋体" w:hAnsi="宋体" w:cs="宋体"/>
                <w:color w:val="auto"/>
                <w:sz w:val="24"/>
                <w:highlight w:val="none"/>
              </w:rPr>
            </w:pPr>
            <w:r>
              <w:rPr>
                <w:rFonts w:hint="eastAsia" w:ascii="宋体" w:hAnsi="宋体" w:cs="宋体"/>
                <w:color w:val="auto"/>
                <w:sz w:val="24"/>
                <w:highlight w:val="none"/>
              </w:rPr>
              <w:t>分项预算合计（元）</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D655F55">
            <w:pPr>
              <w:spacing w:line="570" w:lineRule="exact"/>
              <w:jc w:val="center"/>
              <w:rPr>
                <w:rFonts w:hint="eastAsia" w:ascii="宋体" w:hAnsi="宋体" w:cs="宋体"/>
                <w:color w:val="auto"/>
                <w:sz w:val="24"/>
                <w:highlight w:val="none"/>
              </w:rPr>
            </w:pPr>
            <w:r>
              <w:rPr>
                <w:rFonts w:hint="eastAsia"/>
                <w:color w:val="auto"/>
                <w:highlight w:val="none"/>
              </w:rPr>
              <w:t>中小企业划分标准所属行业名称（行业名称及划分见本章附件2）</w:t>
            </w:r>
          </w:p>
        </w:tc>
      </w:tr>
      <w:tr w14:paraId="20E92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36888CE">
            <w:pPr>
              <w:spacing w:line="570" w:lineRule="exact"/>
              <w:jc w:val="center"/>
              <w:rPr>
                <w:rFonts w:hint="eastAsia" w:ascii="宋体" w:hAnsi="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19B9065">
            <w:pPr>
              <w:spacing w:line="57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CE92D86">
            <w:pPr>
              <w:jc w:val="center"/>
              <w:rPr>
                <w:rFonts w:hint="eastAsia" w:ascii="宋体" w:hAnsi="宋体" w:eastAsia="宋体"/>
                <w:color w:val="auto"/>
                <w:szCs w:val="21"/>
                <w:highlight w:val="none"/>
                <w:lang w:val="en-US" w:eastAsia="zh-CN"/>
              </w:rPr>
            </w:pPr>
            <w:r>
              <w:rPr>
                <w:rFonts w:hint="eastAsia" w:ascii="宋体" w:hAnsi="宋体"/>
                <w:szCs w:val="21"/>
              </w:rPr>
              <w:t>接入网关</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0BA6D">
            <w:pPr>
              <w:spacing w:line="570" w:lineRule="exact"/>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台</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7BE1E">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lang w:val="en-US" w:eastAsia="zh-CN"/>
              </w:rPr>
              <w:t>1</w:t>
            </w:r>
          </w:p>
        </w:tc>
        <w:tc>
          <w:tcPr>
            <w:tcW w:w="3795" w:type="dxa"/>
            <w:tcBorders>
              <w:top w:val="single" w:color="auto" w:sz="4" w:space="0"/>
              <w:left w:val="single" w:color="auto" w:sz="4" w:space="0"/>
              <w:bottom w:val="single" w:color="auto" w:sz="4" w:space="0"/>
              <w:right w:val="single" w:color="auto" w:sz="4" w:space="0"/>
            </w:tcBorders>
            <w:noWrap w:val="0"/>
            <w:vAlign w:val="top"/>
          </w:tcPr>
          <w:p w14:paraId="3952FE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 xml:space="preserve">1、1U，8个GE千兆电口，2个SFP千兆光口，4G EMMC存储，单电源。 </w:t>
            </w:r>
          </w:p>
          <w:p w14:paraId="416D4E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2、防火墙吞吐量≥2Gbps；IPS+AV吞吐量≥1.6Gbps;并发连接150万；每秒新建1.6万；Ipsec VPN吞吐400M；SSL VPN用户数400。</w:t>
            </w:r>
          </w:p>
          <w:p w14:paraId="0A1D90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3、含防病毒库＋IPS攻击特征库＋url及应用特征库+资产管理+威胁情报升级功能授权3年。</w:t>
            </w:r>
          </w:p>
          <w:p w14:paraId="521F0E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4、支持路由、透明、旁路及混合部署模式；支持常见DOS攻击防护及ARP攻击防护；支持基于协议的长连接管理。</w:t>
            </w:r>
          </w:p>
          <w:p w14:paraId="0A150F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5、支持基于单IP、IP网段、ISP地址库、区域（国内各省）地址库的白名单，匹配白名单的流量将跳过防火墙过滤直接转发。</w:t>
            </w:r>
          </w:p>
          <w:p w14:paraId="6BF942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6、支持基于IPV4/IPV6的接口/安全域、地址、用户、服务、应用和时间的会话控制策略，包括总连接数控制、每秒总新建连接数控制、每IP总连接数控制、每IP新建连接数控制。</w:t>
            </w:r>
          </w:p>
          <w:p w14:paraId="32F74DA8">
            <w:pPr>
              <w:jc w:val="left"/>
              <w:rPr>
                <w:szCs w:val="21"/>
              </w:rPr>
            </w:pPr>
            <w:r>
              <w:rPr>
                <w:rFonts w:hint="eastAsia"/>
                <w:szCs w:val="21"/>
              </w:rPr>
              <w:t>▲7、支持策略预编译技术，在大量防火墙访问控制策略情况下整机性能不受影响。【供货时必须验证相关功能】</w:t>
            </w:r>
          </w:p>
          <w:p w14:paraId="397E3E05">
            <w:pPr>
              <w:jc w:val="left"/>
              <w:rPr>
                <w:szCs w:val="21"/>
              </w:rPr>
            </w:pPr>
            <w:r>
              <w:rPr>
                <w:rFonts w:hint="eastAsia"/>
                <w:szCs w:val="21"/>
              </w:rPr>
              <w:t>▲8、支持对服务器、客户端进行的口令暴力破解的攻击防护；支持高、中、低三种密码检查强度，支持对常见应用（如HTTP、Telnet、SSH、FTP、SMTP、POP3等）进行弱口令检查，并上报安全事件，【供货时必须验证相关功能】。</w:t>
            </w:r>
          </w:p>
          <w:p w14:paraId="2B69E1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9、支持标准DNS服务器功能，支持多种DNS 记录 ，包括A ，NS，CNMAE，TXT，MX，PTR、AAAA 记录。支持DNS透明代理功能，可将指定范围内的DNS请求自动重定向至管理员指定的DNS服务器，且支持多台DNS服务器的负载均衡。负载均衡算法至少包括轮询、加权轮询、优先级。</w:t>
            </w:r>
          </w:p>
          <w:p w14:paraId="6C0A7D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10、支持通过主动及被动探测方式，识别终端类型（至少包括：PC、网络打印机、网络摄像机、网络设备、防火墙、负载均衡等），支持多种资产异常告警选项包括MAC地址、操作系统、厂商、类别、指纹等。</w:t>
            </w:r>
          </w:p>
          <w:p w14:paraId="6C5C1805">
            <w:pPr>
              <w:jc w:val="left"/>
              <w:rPr>
                <w:rFonts w:hint="default"/>
                <w:color w:val="auto"/>
                <w:highlight w:val="none"/>
                <w:lang w:val="en-US" w:eastAsia="zh-CN"/>
              </w:rPr>
            </w:pPr>
            <w:r>
              <w:rPr>
                <w:rFonts w:hint="eastAsia"/>
                <w:szCs w:val="21"/>
              </w:rPr>
              <w:t>▲11、支持高、中、低三种密码检查强度，【供货时必须验证相关功能】。</w:t>
            </w:r>
          </w:p>
          <w:p w14:paraId="5FE8D8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12、支持并开通基于DPI和DFI技术的应用特征识别及行为控制，应用识别的种类不少于2000种；支持并开通基于URL分类库的WEB访问管理，URL分类库规模不少于2000万条。</w:t>
            </w:r>
          </w:p>
          <w:p w14:paraId="28FAF6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13、支持并开通IPSec VPN、GRE VPN，并且支持从管控平台查询到每条gre over ipsec的实时包、抖动、延迟数据以图形化界面进行展示。</w:t>
            </w:r>
          </w:p>
          <w:p w14:paraId="1DC525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14、支持mac，windows，linux客户端链接，同时支持windows 浏览器sslvpn调取登陆，支持浏览器代理访问内网资源。</w:t>
            </w:r>
          </w:p>
          <w:p w14:paraId="7927F1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15、支持设备本地的配置手动和自动备份，自动备份可按照日、周、月定期备份配置，并从任意配置恢复或者导出，支持自动备份配置不少于32个。</w:t>
            </w:r>
          </w:p>
          <w:p w14:paraId="5201C9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16、支持SYSLOG和SNMP v1、v2、v3，SYSLOG日志支持同时发给8个日志服务器。</w:t>
            </w:r>
          </w:p>
          <w:p w14:paraId="3B9616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default"/>
                <w:color w:val="auto"/>
                <w:highlight w:val="none"/>
                <w:lang w:val="en-US" w:eastAsia="zh-CN"/>
              </w:rPr>
              <w:t>17、支持日志审计可记录所有用户的操作日志，包括用户登陆、查看配置、修改配置、删除和添加配置等各类详细动作。</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7DD502D">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2000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26DA5B7C">
            <w:pPr>
              <w:pStyle w:val="4"/>
              <w:numPr>
                <w:ilvl w:val="0"/>
                <w:numId w:val="0"/>
              </w:numPr>
              <w:spacing w:line="570" w:lineRule="exact"/>
              <w:ind w:leftChars="0"/>
              <w:rPr>
                <w:rFonts w:hint="eastAsia" w:ascii="宋体" w:hAnsi="宋体"/>
                <w:color w:val="auto"/>
                <w:szCs w:val="21"/>
                <w:highlight w:val="none"/>
              </w:rPr>
            </w:pPr>
          </w:p>
        </w:tc>
      </w:tr>
      <w:tr w14:paraId="4B71E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6CE956C">
            <w:pPr>
              <w:spacing w:line="570" w:lineRule="exact"/>
              <w:jc w:val="center"/>
              <w:rPr>
                <w:rFonts w:hint="eastAsia" w:ascii="宋体" w:hAnsi="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8C71A8">
            <w:pPr>
              <w:spacing w:line="57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3E8B4E">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工作站</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03C44">
            <w:pPr>
              <w:spacing w:line="57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台</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B3280">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64</w:t>
            </w:r>
          </w:p>
        </w:tc>
        <w:tc>
          <w:tcPr>
            <w:tcW w:w="3795" w:type="dxa"/>
            <w:tcBorders>
              <w:top w:val="single" w:color="auto" w:sz="4" w:space="0"/>
              <w:left w:val="single" w:color="auto" w:sz="4" w:space="0"/>
              <w:bottom w:val="single" w:color="auto" w:sz="4" w:space="0"/>
              <w:right w:val="single" w:color="auto" w:sz="4" w:space="0"/>
            </w:tcBorders>
            <w:noWrap w:val="0"/>
            <w:vAlign w:val="top"/>
          </w:tcPr>
          <w:p w14:paraId="01169E6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一、硬件配置</w:t>
            </w:r>
          </w:p>
          <w:p w14:paraId="0171E58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▲1、主板：B760芯片组或以上，带BIOS自动控制的可变速CPU风扇，配备智能散热系统包括由BIOS管理的智能风扇通过对机箱内部的温度感应来调节风扇速度，有效的降低噪音的同时高效散热功能；</w:t>
            </w:r>
          </w:p>
          <w:p w14:paraId="1BE6B37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2、扩展插槽：支持1个M.2;1个M.2 2230（用于WIFI）/2280(用于SSD硬盘)，1个PCIe x1，1个PCIe x16；</w:t>
            </w:r>
          </w:p>
          <w:p w14:paraId="77BC604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▲3、处理器：</w:t>
            </w:r>
            <w:r>
              <w:rPr>
                <w:rFonts w:hint="eastAsia" w:ascii="宋体" w:hAnsi="宋体" w:eastAsia="宋体"/>
                <w:color w:val="auto"/>
                <w:szCs w:val="21"/>
                <w:highlight w:val="none"/>
                <w:lang w:val="en-US" w:eastAsia="zh-CN"/>
              </w:rPr>
              <w:t>相当于</w:t>
            </w:r>
            <w:r>
              <w:rPr>
                <w:rFonts w:hint="default" w:ascii="宋体" w:hAnsi="宋体" w:eastAsia="宋体"/>
                <w:color w:val="auto"/>
                <w:szCs w:val="21"/>
                <w:highlight w:val="none"/>
                <w:lang w:val="en-US" w:eastAsia="zh-CN"/>
              </w:rPr>
              <w:t xml:space="preserve">英特尔® 酷睿™10核16线程高性能处理器I5-14400睿频 4.7GHz </w:t>
            </w:r>
            <w:r>
              <w:rPr>
                <w:rFonts w:hint="eastAsia" w:ascii="宋体" w:hAnsi="宋体" w:eastAsia="宋体"/>
                <w:color w:val="auto"/>
                <w:szCs w:val="21"/>
                <w:highlight w:val="none"/>
                <w:lang w:val="en-US" w:eastAsia="zh-CN"/>
              </w:rPr>
              <w:t>或以上性能处理器</w:t>
            </w:r>
            <w:r>
              <w:rPr>
                <w:rFonts w:hint="default" w:ascii="宋体" w:hAnsi="宋体" w:eastAsia="宋体"/>
                <w:color w:val="auto"/>
                <w:szCs w:val="21"/>
                <w:highlight w:val="none"/>
                <w:lang w:val="en-US" w:eastAsia="zh-CN"/>
              </w:rPr>
              <w:t>，三级缓存20MB Intel® Smart Cache, 支持英特尔® 傲腾频率™ 内存；睿频加速Max技术3.0</w:t>
            </w:r>
          </w:p>
          <w:p w14:paraId="3087F4D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▲4、内存及端口：本次配置64G DDR5 5600，支持2个DIMM插槽扩展；正面：≥1个USB-C 3.2，≥2个USB3.2，≥2个USB3.2，≥Audio 1个 Combo, ≥1个M麦克风接口；背面：≥4个 USB2.0,≥1个VGA,≥1个HDMI ，≥1 组音频接口；</w:t>
            </w:r>
          </w:p>
          <w:p w14:paraId="24E0F1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▲5、存储硬盘：本次配置1块1TBSSDM.22280 PLC固态盘，大可支持3块硬盘，1个3.5英寸盘位+1个2.5英寸盘位支持在3.5英寸托架中混用2.5英寸SSD支持M.2；</w:t>
            </w:r>
          </w:p>
          <w:p w14:paraId="4422BF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6、网络：本次配置千兆电网络端口支持故障切换和负载均衡功能，支持IOAT2/VMDQ网络加速技术，支持网络唤醒，网络冗余，负载均衡等网络高级特性；</w:t>
            </w:r>
          </w:p>
          <w:p w14:paraId="72B024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7、电源及外设：功率500w白金级高效率热插拔电源模块，支持睿能技术，噪音优化；</w:t>
            </w:r>
          </w:p>
          <w:p w14:paraId="6C193A5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8、键盘/鼠标：原厂同品牌标准键盘和鼠标；标配原厂≥1.5米USB黑色光电鼠标，鼠标寿命：≥500万次；其它参数应符合GB/T 26245的相关规定；≥1.5米黑色有线键盘(104个按键，键程2.3mn-4.0mn,按键压力0.54N±0.14N),键盘外观结构、连接方式、主要功能、安全、电磁兼容性、可靠性应符合GB/T14081的相关规定；键盘寿命≥1000万次；键盘鼠标所用线材经±60°弯折不低于3000次，功能、外观完好；</w:t>
            </w:r>
          </w:p>
          <w:p w14:paraId="43DA2A8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9、机箱：前置电源开关,  ≥17L机箱；</w:t>
            </w:r>
          </w:p>
          <w:p w14:paraId="2388248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10、显示器：与主机同品牌≥23.8英寸宽屏液晶显示器，分辨率1920x1080，具有低蓝光护眼功能。显示屏屏占比 ≥80%;屏像素密度≥120像素/英寸；可视角度水平≥170°;支持防蓝光模式，蓝光加权辐射亮度比≤0.0012W/( ·cd · sr);显示屏应支持低频闪≤-35dB; 镜面反射率≤10%;其它参数应符合SJ/T 11292的相关规定；接口：显示器与显卡外接显示接口匹配；参数调节：a)提供0SD选单按钮用于调节色彩、模式等；b)支 持色温、亮度、对比度调节；</w:t>
            </w:r>
          </w:p>
          <w:p w14:paraId="0BEEBDC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ascii="宋体" w:hAnsi="宋体"/>
                <w:szCs w:val="21"/>
              </w:rPr>
              <w:t>▲11、其他：主机通过多项严苛认证，充分保障机器运行稳定</w:t>
            </w:r>
            <w:r>
              <w:rPr>
                <w:rFonts w:hint="eastAsia" w:ascii="宋体" w:hAnsi="宋体"/>
                <w:szCs w:val="21"/>
              </w:rPr>
              <w:t>。</w:t>
            </w:r>
            <w:r>
              <w:rPr>
                <w:rFonts w:hint="default" w:ascii="宋体" w:hAnsi="宋体" w:eastAsia="宋体"/>
                <w:color w:val="auto"/>
                <w:szCs w:val="21"/>
                <w:highlight w:val="none"/>
                <w:lang w:val="en-US" w:eastAsia="zh-CN"/>
              </w:rPr>
              <w:t>严苛测试认证：3C认证、节能认证（CECP）、整机防雷报告、MTBF平均无故障≥100万小时认证等（需提供上述相关认证复印件并加盖投标人公章）。</w:t>
            </w:r>
          </w:p>
          <w:p w14:paraId="4737EF1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二、配套与管理平台兼容客户端软件</w:t>
            </w:r>
          </w:p>
          <w:p w14:paraId="018E0CD1">
            <w:pPr>
              <w:rPr>
                <w:rFonts w:hint="default" w:ascii="宋体" w:hAnsi="宋体" w:eastAsia="宋体"/>
                <w:color w:val="auto"/>
                <w:szCs w:val="21"/>
                <w:highlight w:val="none"/>
                <w:lang w:val="en-US" w:eastAsia="zh-CN"/>
              </w:rPr>
            </w:pPr>
            <w:r>
              <w:rPr>
                <w:rFonts w:hint="eastAsia" w:ascii="宋体" w:hAnsi="宋体"/>
                <w:szCs w:val="21"/>
              </w:rPr>
              <w:t>▲1、终端云管理平台客户端支持部署在署在intel、AMD、飞腾、龙芯、海光、兆芯、飞腾、鲲鹏、盘古、麒麟等架构的服务器与设备，操作系统支持Windows、麒麟、统信、ubuntu等。（供货时必须提供终端大数据看板客户端对上述10个架构设备上部署的证明截图）▲2、支持Legacy与UEFI两种方式启动系统、双硬盘，支持NVME，M.2新型高速固态硬盘，同时兼容新老机型部署。（</w:t>
            </w:r>
            <w:r>
              <w:rPr>
                <w:rFonts w:hint="eastAsia"/>
                <w:szCs w:val="21"/>
              </w:rPr>
              <w:t>供货时必须验证相关功能</w:t>
            </w:r>
            <w:r>
              <w:rPr>
                <w:rFonts w:hint="eastAsia" w:ascii="宋体" w:hAnsi="宋体"/>
                <w:szCs w:val="21"/>
              </w:rPr>
              <w:t>）</w:t>
            </w:r>
          </w:p>
          <w:p w14:paraId="195B2B7F">
            <w:pPr>
              <w:jc w:val="left"/>
              <w:rPr>
                <w:rFonts w:hint="eastAsia" w:ascii="宋体" w:hAnsi="宋体"/>
                <w:szCs w:val="21"/>
              </w:rPr>
            </w:pPr>
            <w:r>
              <w:rPr>
                <w:rFonts w:hint="eastAsia" w:ascii="宋体" w:hAnsi="宋体"/>
                <w:szCs w:val="21"/>
              </w:rPr>
              <w:t>3、管理分组及桌面分配：支持将客户端进行分组的方式管理，管理员可根据配置好的镜像分配给相应的分组，支持P2P部署功能，可在正常上课的同时边部署边使用，支持分区共享，支持断点续传，不需要强制一次下发完成，大幅减少网络传输中的重复数据，可以大幅提高传输效率。</w:t>
            </w:r>
          </w:p>
          <w:p w14:paraId="532DA7BF">
            <w:pPr>
              <w:rPr>
                <w:rFonts w:hint="eastAsia" w:ascii="宋体" w:hAnsi="宋体"/>
                <w:szCs w:val="21"/>
              </w:rPr>
            </w:pPr>
            <w:r>
              <w:rPr>
                <w:rFonts w:hint="eastAsia" w:ascii="宋体" w:hAnsi="宋体"/>
                <w:szCs w:val="21"/>
              </w:rPr>
              <w:t>▲4、终端在无操作系统的裸机状态下，开机设置网络启动后，连上服务端即可使用，无须提前网络部署或对终端硬盘进行任何的操作。（</w:t>
            </w:r>
            <w:r>
              <w:rPr>
                <w:rFonts w:hint="eastAsia"/>
                <w:szCs w:val="21"/>
              </w:rPr>
              <w:t>供货时必须验证相关功能</w:t>
            </w:r>
            <w:r>
              <w:rPr>
                <w:rFonts w:hint="eastAsia" w:ascii="宋体" w:hAnsi="宋体"/>
                <w:szCs w:val="21"/>
              </w:rPr>
              <w:t>）</w:t>
            </w:r>
          </w:p>
          <w:p w14:paraId="210AACC9">
            <w:pPr>
              <w:rPr>
                <w:rFonts w:hint="eastAsia" w:ascii="宋体" w:hAnsi="宋体"/>
                <w:szCs w:val="21"/>
              </w:rPr>
            </w:pPr>
            <w:r>
              <w:rPr>
                <w:rFonts w:hint="eastAsia" w:ascii="宋体" w:hAnsi="宋体"/>
                <w:szCs w:val="21"/>
              </w:rPr>
              <w:t>▲5、支持客户端双硬盘的统一部署和保护还原，支持每次/天/周/月及手动还原等多种恢复策略。（</w:t>
            </w:r>
            <w:r>
              <w:rPr>
                <w:rFonts w:hint="eastAsia"/>
                <w:szCs w:val="21"/>
              </w:rPr>
              <w:t>供货时必须验证相关功能</w:t>
            </w:r>
            <w:r>
              <w:rPr>
                <w:rFonts w:hint="eastAsia" w:ascii="宋体" w:hAnsi="宋体"/>
                <w:szCs w:val="21"/>
              </w:rPr>
              <w:t>）</w:t>
            </w:r>
          </w:p>
          <w:p w14:paraId="319354DE">
            <w:pPr>
              <w:rPr>
                <w:rFonts w:hint="eastAsia" w:ascii="宋体" w:hAnsi="宋体"/>
                <w:szCs w:val="21"/>
              </w:rPr>
            </w:pPr>
            <w:r>
              <w:rPr>
                <w:rFonts w:hint="eastAsia" w:ascii="宋体" w:hAnsi="宋体"/>
                <w:szCs w:val="21"/>
              </w:rPr>
              <w:t>▲6、支持客户端共存操作系统数量不少于64个，并需具有多项系统部署策略，不局限于部署所有系统，部署默认系统，部署隐藏系统等策略。（</w:t>
            </w:r>
            <w:r>
              <w:rPr>
                <w:rFonts w:hint="eastAsia"/>
                <w:szCs w:val="21"/>
              </w:rPr>
              <w:t>供货时必须验证相关功能</w:t>
            </w:r>
            <w:r>
              <w:rPr>
                <w:rFonts w:hint="eastAsia" w:ascii="宋体" w:hAnsi="宋体"/>
                <w:szCs w:val="21"/>
              </w:rPr>
              <w:t>）</w:t>
            </w:r>
          </w:p>
          <w:p w14:paraId="7C2B84D0">
            <w:pPr>
              <w:rPr>
                <w:rFonts w:hint="eastAsia" w:ascii="宋体" w:hAnsi="宋体"/>
                <w:szCs w:val="21"/>
              </w:rPr>
            </w:pPr>
            <w:r>
              <w:rPr>
                <w:rFonts w:hint="eastAsia" w:ascii="宋体" w:hAnsi="宋体"/>
                <w:szCs w:val="21"/>
              </w:rPr>
              <w:t>▲7、终端需支持在断网或服务端宕机的极端情况下，部署至本地硬盘的所有操作系统，均可正常使用和每次开机还原，同时提供单机保存的管理接口。（</w:t>
            </w:r>
            <w:r>
              <w:rPr>
                <w:rFonts w:hint="eastAsia"/>
                <w:szCs w:val="21"/>
              </w:rPr>
              <w:t>供货时必须验证相关功能</w:t>
            </w:r>
            <w:r>
              <w:rPr>
                <w:rFonts w:hint="eastAsia" w:ascii="宋体" w:hAnsi="宋体"/>
                <w:szCs w:val="21"/>
              </w:rPr>
              <w:t>）</w:t>
            </w:r>
          </w:p>
          <w:p w14:paraId="2C931A4C">
            <w:pPr>
              <w:rPr>
                <w:rFonts w:hint="eastAsia" w:ascii="宋体" w:hAnsi="宋体"/>
                <w:szCs w:val="21"/>
              </w:rPr>
            </w:pPr>
            <w:r>
              <w:rPr>
                <w:rFonts w:hint="eastAsia" w:ascii="宋体" w:hAnsi="宋体"/>
                <w:szCs w:val="21"/>
              </w:rPr>
              <w:t>▲8、通过桌面云服务器部署至终端本地硬盘的操作系统，需支持卸载客户端软件，同时保留操作系统的功能，便于管理人员对终端的灵活调配。（供</w:t>
            </w:r>
            <w:r>
              <w:rPr>
                <w:rFonts w:hint="eastAsia"/>
                <w:szCs w:val="21"/>
              </w:rPr>
              <w:t>供货时必须验证相关功能</w:t>
            </w:r>
            <w:r>
              <w:rPr>
                <w:rFonts w:hint="eastAsia" w:ascii="宋体" w:hAnsi="宋体"/>
                <w:szCs w:val="21"/>
              </w:rPr>
              <w:t>）</w:t>
            </w:r>
          </w:p>
          <w:p w14:paraId="5583D880">
            <w:pPr>
              <w:rPr>
                <w:rFonts w:hint="default" w:ascii="宋体" w:hAnsi="宋体" w:eastAsia="宋体"/>
                <w:color w:val="auto"/>
                <w:szCs w:val="21"/>
                <w:highlight w:val="none"/>
                <w:lang w:val="en-US" w:eastAsia="zh-CN"/>
              </w:rPr>
            </w:pPr>
            <w:r>
              <w:rPr>
                <w:rFonts w:hint="eastAsia" w:ascii="宋体" w:hAnsi="宋体"/>
                <w:szCs w:val="21"/>
              </w:rPr>
              <w:t>▲9、终端开机操作系统选单需支持中文显示及密码验证进入功能，每个系统名称需支持不少于10个汉字，每个系统可设置不同的验证密码。（</w:t>
            </w:r>
            <w:r>
              <w:rPr>
                <w:rFonts w:hint="eastAsia"/>
                <w:szCs w:val="21"/>
              </w:rPr>
              <w:t>供货时必须验证相关功能</w:t>
            </w:r>
            <w:r>
              <w:rPr>
                <w:rFonts w:hint="eastAsia" w:ascii="宋体" w:hAnsi="宋体"/>
                <w:szCs w:val="21"/>
              </w:rPr>
              <w:t>）</w:t>
            </w:r>
          </w:p>
          <w:p w14:paraId="0566E54B">
            <w:pPr>
              <w:jc w:val="left"/>
              <w:rPr>
                <w:rFonts w:hint="eastAsia" w:ascii="宋体" w:hAnsi="宋体"/>
                <w:szCs w:val="21"/>
              </w:rPr>
            </w:pPr>
            <w:r>
              <w:rPr>
                <w:rFonts w:hint="eastAsia" w:ascii="宋体" w:hAnsi="宋体"/>
                <w:szCs w:val="21"/>
              </w:rPr>
              <w:t>10、支持客户端裸机开机使用，并提供开机自动部署的开关，用户可灵活手动调整。</w:t>
            </w:r>
          </w:p>
          <w:p w14:paraId="751078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11、在终端系统每次还原策略下，支持对直连打印机，共享，打印机驱动，以及系统内默认纸张的智能记忆与全自动设置。在减轻维护工作的同时，达到对打印机的智能管理。（需提供相关功能截图并加盖投标人公章）</w:t>
            </w:r>
          </w:p>
          <w:p w14:paraId="121870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12、采购单位保留对成交人所投的产品进行全面测试演示的权利，若不符合标书要求，视为不合格产品，视成交人违约，采购单位有权取消其中标资格，并按虚假应标行为处理。</w:t>
            </w:r>
          </w:p>
          <w:p w14:paraId="0FC54C5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三、服务及保修</w:t>
            </w:r>
          </w:p>
          <w:p w14:paraId="39643D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原厂三年有限保修，365天全年无休；结合当下主流沟通交流方式，为保障售后服务品质，要求产品生产厂家具备微信服务平台，微信服务平台具备服务中心查询、驱动自动下载、在线技术支持、厂家商城、维修单进度查询等功能模块，中标后须提供产品生产厂家官网截图证明（包含官网链接、服务平台微信二维码、功能模块简单介绍、微信服务平台关注流程指引等）；</w:t>
            </w:r>
          </w:p>
          <w:p w14:paraId="43F633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2、供货时提供3年7x24售后支持服务证明，提供原厂基础安装服务。</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4443DCA">
            <w:pPr>
              <w:keepNext w:val="0"/>
              <w:keepLines w:val="0"/>
              <w:widowControl/>
              <w:suppressLineNumbers w:val="0"/>
              <w:jc w:val="left"/>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396800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39F1B646">
            <w:pPr>
              <w:spacing w:line="570" w:lineRule="exact"/>
              <w:rPr>
                <w:rFonts w:ascii="宋体" w:hAnsi="宋体"/>
                <w:color w:val="auto"/>
                <w:szCs w:val="21"/>
                <w:highlight w:val="none"/>
              </w:rPr>
            </w:pPr>
          </w:p>
          <w:p w14:paraId="31D1CE9D">
            <w:pPr>
              <w:spacing w:line="570" w:lineRule="exact"/>
              <w:rPr>
                <w:rFonts w:hint="eastAsia" w:ascii="宋体" w:hAnsi="宋体"/>
                <w:color w:val="auto"/>
                <w:szCs w:val="21"/>
                <w:highlight w:val="none"/>
              </w:rPr>
            </w:pPr>
          </w:p>
        </w:tc>
      </w:tr>
      <w:tr w14:paraId="42A26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0C956375">
            <w:pPr>
              <w:spacing w:line="570" w:lineRule="exact"/>
              <w:jc w:val="center"/>
              <w:rPr>
                <w:rFonts w:hint="eastAsia" w:ascii="宋体" w:hAnsi="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217D94">
            <w:pPr>
              <w:spacing w:line="57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3CBA3">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管理平台</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7D471">
            <w:pPr>
              <w:spacing w:line="57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套</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987CF">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w:t>
            </w:r>
          </w:p>
        </w:tc>
        <w:tc>
          <w:tcPr>
            <w:tcW w:w="37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F331F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一、管理平台功能参数</w:t>
            </w:r>
          </w:p>
          <w:p w14:paraId="1ADCEC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1、管理软件支持C/S与B/S混合架构管理，控制台支持多语言（中文简、繁体、英文）（供货时必须验证相关功能）</w:t>
            </w:r>
          </w:p>
          <w:p w14:paraId="63B87E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▲2、在一个界面上， 提供资源概览功能，包括镜像数量， 磁盘数量，分组数量，提供终端统计功能，包含终端总量，在线数量， 离线数量，一键唤醒全部终端，一键关闭全部终端；提供部署进度统计功能，包括完成部署，在整部署，正在分析，以及异常终端统计，竞标文件中须提供资源概览功能截图；</w:t>
            </w:r>
          </w:p>
          <w:p w14:paraId="57510F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支持授权信息展示，快捷入口（首次使用、上传更新、重新部署），服务器概况图形化展示（负载状态、CPU使用率、内存使用率、硬盘使用率、在线终端），终端状态图形化展示、支持一键唤醒、关机和重启；</w:t>
            </w:r>
          </w:p>
          <w:p w14:paraId="70F3F9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4、支持批量管理设置终端机计算机名、IP地址等配置信息。针对不同的群组指定不同的部署策略、虚拟磁盘。</w:t>
            </w:r>
          </w:p>
          <w:p w14:paraId="5B1A29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▲5、软件需支持磁盘虚拟化技术，实现不同品牌所有的计算机终端集中统一管理。（供货时必须验证相关功能）</w:t>
            </w:r>
          </w:p>
          <w:p w14:paraId="764DF3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▲6、支持同传网络探测与网络速度监控，可实时监控所管理的终端的网络速度和部署进度。（供货时必须验证相关功能）</w:t>
            </w:r>
          </w:p>
          <w:p w14:paraId="22B13D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7、支持跨网段部署，软件负载要求，单台入门级服务器（或主流PC）可管理客户端≥500台。</w:t>
            </w:r>
          </w:p>
          <w:p w14:paraId="0C1989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8、多环境教学组合:自定义多个教学系统环境的复原组合，独立设置某一系统盘数据盘的还原模式，支持计算机名、IP地址等信息的导入导出功能。</w:t>
            </w:r>
          </w:p>
          <w:p w14:paraId="2CBB6E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9、服务端软件需支持一键简易升级，原有机房客户端软件无需升级，即可实现不同软件版本的客户端统一管理。</w:t>
            </w:r>
          </w:p>
          <w:p w14:paraId="0ED587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10、支持从服务器端发起对客户端进行远程开机、关机、重启，支持管理员远程控制客户端。</w:t>
            </w:r>
          </w:p>
          <w:p w14:paraId="49D640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▲11、支持操作系统快照节点间的任意切换及快速恢复，切换恢复后不会删除或影响其他快照节点，且每个操作系统下的快照节点数量不少于12个。</w:t>
            </w:r>
          </w:p>
          <w:p w14:paraId="3624FB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▲12、支持客户端IP占位功能，实现新客户端加入服务端时，不会由于单点的故障，而影响整体的计算机名和IP排序管理，竞标文件必须提供占位机功能截图；</w:t>
            </w:r>
          </w:p>
          <w:p w14:paraId="3736F9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▲13、支持批量设定终端的计算机名称和IP地址等信息，并针对不同的系统可设置不同的计算机名称和IP地址，以满足教学上课、上机培训等不同的应用需求；（供货时必须验证相关功能）</w:t>
            </w:r>
          </w:p>
          <w:p w14:paraId="51B43E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14、为保障教学课堂纪律，在不需要教学管理软件的情况下，禁止学生在教师授课时私自操作电脑，支持管理员一键禁用、启用所有学生机的键盘、鼠标。</w:t>
            </w:r>
          </w:p>
          <w:p w14:paraId="157441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15、系统需软件预注册功能，一台客户机上传更新并注册软件后，其他客户机只需要重启即可自动注册； </w:t>
            </w:r>
          </w:p>
          <w:p w14:paraId="517370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▲16、本次配置1套授权，以满足所有管理服务器的使用需求。</w:t>
            </w:r>
          </w:p>
          <w:p w14:paraId="21F0DA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二、配置数据处理安全服务：</w:t>
            </w:r>
          </w:p>
          <w:p w14:paraId="22E261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2.1、支持异机跨平台恢复功能，目标机可选只需安装基本的操作系统对服务器进行远程恢复或者仅提供磁盘就能裸机恢复。</w:t>
            </w:r>
          </w:p>
          <w:p w14:paraId="373767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2.2、迁移过程中可以指定迁移文件及目录，而不是整体lun镜像；支持自由选择需忽略的文件或目录，自动跳过临时文件。</w:t>
            </w:r>
          </w:p>
          <w:p w14:paraId="54BDB1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2.3、支持系统迁移验证功能，在不影响生产系统的情形下验证迁移系统的可用性。</w:t>
            </w:r>
          </w:p>
          <w:p w14:paraId="3150EB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2.4、支持无停机的系统迁移，迁移过程中生产服务器无需停机迁移。</w:t>
            </w:r>
          </w:p>
          <w:p w14:paraId="07C7FD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2.5、全面支持p2v,v2v,v2p,p2p，c2c,p2c,v2c等一系列的X2X（X代表任意平台）的系统迁移。</w:t>
            </w:r>
          </w:p>
          <w:p w14:paraId="095CE4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2.6、支持跨平台恢复功能，恢复的主机只需要安装基本的操作系统就能对服务器进行远程恢复。可以便捷的进行容灾演练。</w:t>
            </w:r>
          </w:p>
          <w:p w14:paraId="216CC9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2.7、支持文件级整机迁移和块级整机迁移两种迁移模式。(供货时必须验证相关功能)</w:t>
            </w:r>
          </w:p>
          <w:p w14:paraId="7C66C4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2.8、支持IPv4和IPv6网络环境的部署和运行。</w:t>
            </w:r>
          </w:p>
          <w:p w14:paraId="6151C9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2.9、支持断点续传, 即迁移过程中碰到网络中断或备端不可达等异常情况, 环境恢复后续传。</w:t>
            </w:r>
          </w:p>
          <w:p w14:paraId="0F9DDE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2.10、支持MBR、GPT格式的系统迁移，自动匹配对应格式。</w:t>
            </w:r>
          </w:p>
          <w:p w14:paraId="16F302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2.11、支持BIOS和UEFI引导模式的整机迁移。</w:t>
            </w:r>
          </w:p>
          <w:p w14:paraId="2125F9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2.12、支持迁移前检查主机系统、磁盘等信息。</w:t>
            </w:r>
          </w:p>
          <w:p w14:paraId="5CCCDA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2.13、支持通过导入授权激活内置数据库复制模块，以支持任意数据库版本之间，硬件平台异构实时复制。支持多种异构数据库之间的数据同步、转换，例如：从Oracle同步到MySQL、DB2、KUDU、HANA、PostgreSQL等数据库；支持从MySQL同步到Oracle、DB2、AntDB、MaxCompute、TDSQL等数据库平台。（供货时必须验证相关功能）</w:t>
            </w:r>
          </w:p>
          <w:p w14:paraId="522857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2.14、支持通过导入授权激活异构数据库同步复制功能，实现数据库数据的转换、数据拆分及分发、数据过滤的功能，支持国外数据库转换到国产数据库，例如从Oracle同步到中兴GoldenDB、达梦DM、TDSQL等国产数据库。</w:t>
            </w:r>
          </w:p>
          <w:p w14:paraId="15715B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2.15、支持通过导入授权激活应用高可用功能，实现从备端一键式业务系统回切功能，包括数据自动反向复制，ip地址反向漂移，源端业务系统自动启动等功能。(供货时必须验证相关功能）；支持节点仲裁技术，防止脑裂的发生，支持全自动、半自动、手动切换，支持节点仲裁、磁盘仲裁。（供货时必须验证相关功能）。</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D111D90">
            <w:pPr>
              <w:keepNext w:val="0"/>
              <w:keepLines w:val="0"/>
              <w:widowControl/>
              <w:suppressLineNumbers w:val="0"/>
              <w:jc w:val="left"/>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10364101">
            <w:pPr>
              <w:spacing w:line="570" w:lineRule="exact"/>
              <w:rPr>
                <w:rFonts w:hint="eastAsia" w:ascii="宋体" w:hAnsi="宋体"/>
                <w:color w:val="auto"/>
                <w:szCs w:val="21"/>
                <w:highlight w:val="none"/>
              </w:rPr>
            </w:pPr>
          </w:p>
        </w:tc>
      </w:tr>
      <w:tr w14:paraId="3A85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0E14AE79">
            <w:pPr>
              <w:spacing w:line="570" w:lineRule="exact"/>
              <w:jc w:val="center"/>
              <w:rPr>
                <w:rFonts w:hint="eastAsia" w:ascii="宋体" w:hAnsi="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8FB739B">
            <w:pPr>
              <w:spacing w:line="57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83F93">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打印机</w:t>
            </w:r>
          </w:p>
        </w:tc>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3E9A2">
            <w:pPr>
              <w:spacing w:line="57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台</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F7A55">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p>
        </w:tc>
        <w:tc>
          <w:tcPr>
            <w:tcW w:w="37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37658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sz w:val="20"/>
                <w:szCs w:val="20"/>
              </w:rPr>
              <w:t>一</w:t>
            </w:r>
            <w:r>
              <w:rPr>
                <w:rFonts w:hint="eastAsia" w:ascii="宋体" w:hAnsi="宋体" w:eastAsia="宋体" w:cs="Times New Roman"/>
                <w:color w:val="auto"/>
                <w:kern w:val="2"/>
                <w:sz w:val="21"/>
                <w:szCs w:val="21"/>
                <w:highlight w:val="none"/>
                <w:lang w:val="en-US" w:eastAsia="zh-CN" w:bidi="ar-SA"/>
              </w:rPr>
              <w:t>、打印功能</w:t>
            </w:r>
          </w:p>
          <w:p w14:paraId="667ACC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▲1、黑白打印速度：A4：35ppm，letter：37ppm</w:t>
            </w:r>
          </w:p>
          <w:p w14:paraId="70F6D2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2、其它打印速度：双面打印速度：31ppm（A4），33ppm（letter）</w:t>
            </w:r>
          </w:p>
          <w:p w14:paraId="2B8EEF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3、首页打印时间：5.8秒（就绪，letter），6.1秒（就绪，A4），6.4秒（睡眠，letter），6.7秒（睡眠，A4）</w:t>
            </w:r>
          </w:p>
          <w:p w14:paraId="288623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4、打印语言：HP PCL6，HP PCL 5c，HP postscript 3级仿真，PDF，URF，Native Office，PWG Raster</w:t>
            </w:r>
          </w:p>
          <w:p w14:paraId="4EE474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5、月打印负荷：5万页以上：最高8万页</w:t>
            </w:r>
          </w:p>
          <w:p w14:paraId="6B4012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二、复印功能</w:t>
            </w:r>
          </w:p>
          <w:p w14:paraId="6FEE45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1、复印速度</w:t>
            </w:r>
            <w:r>
              <w:rPr>
                <w:rFonts w:hint="eastAsia" w:ascii="宋体" w:hAnsi="宋体" w:eastAsia="宋体" w:cs="Times New Roman"/>
                <w:color w:val="auto"/>
                <w:kern w:val="2"/>
                <w:sz w:val="21"/>
                <w:szCs w:val="21"/>
                <w:highlight w:val="none"/>
                <w:lang w:val="en-US" w:eastAsia="zh-CN" w:bidi="ar-SA"/>
              </w:rPr>
              <w:tab/>
            </w:r>
            <w:r>
              <w:rPr>
                <w:rFonts w:hint="eastAsia" w:ascii="宋体" w:hAnsi="宋体" w:eastAsia="宋体" w:cs="Times New Roman"/>
                <w:color w:val="auto"/>
                <w:kern w:val="2"/>
                <w:sz w:val="21"/>
                <w:szCs w:val="21"/>
                <w:highlight w:val="none"/>
                <w:lang w:val="en-US" w:eastAsia="zh-CN" w:bidi="ar-SA"/>
              </w:rPr>
              <w:t>标准质量：35cpm（A4），37cpm（letter）</w:t>
            </w:r>
          </w:p>
          <w:p w14:paraId="066B88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2、双面复印：3cpm（A4），33cpm（letter）</w:t>
            </w:r>
          </w:p>
          <w:p w14:paraId="17A897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3、连续复印：1-999页</w:t>
            </w:r>
          </w:p>
          <w:p w14:paraId="2543BF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4、缩放范围：25-400%</w:t>
            </w:r>
          </w:p>
          <w:p w14:paraId="51A92D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三、扫描功能</w:t>
            </w:r>
          </w:p>
          <w:p w14:paraId="11A8E7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▲1、扫描控制器：标准配置</w:t>
            </w:r>
          </w:p>
          <w:p w14:paraId="1F7135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▲2、扫描类型：平板式</w:t>
            </w:r>
          </w:p>
          <w:p w14:paraId="7CC1F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3、扫描元件：CIS</w:t>
            </w:r>
          </w:p>
          <w:p w14:paraId="6469F7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4、扫描速度：黑白：31ppm（letter），彩色：21ppm（letter）</w:t>
            </w:r>
          </w:p>
          <w:p w14:paraId="1BF527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5、黑白：29ppm（A4），彩色：20ppm（A4）</w:t>
            </w:r>
          </w:p>
          <w:p w14:paraId="751025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6、光学分辨率：1200×1200dpi</w:t>
            </w:r>
          </w:p>
          <w:p w14:paraId="3AC277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7、扫描尺寸：平板：216×297mm（最大），102×152mm（最小）</w:t>
            </w:r>
          </w:p>
          <w:p w14:paraId="113B94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8、扫描格式：JPEG，PDF，PNG</w:t>
            </w:r>
          </w:p>
          <w:p w14:paraId="45F0F0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9、色彩深度：24位</w:t>
            </w:r>
          </w:p>
          <w:p w14:paraId="77D777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10、灰度等级：256级。</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AED04F4">
            <w:pPr>
              <w:keepNext w:val="0"/>
              <w:keepLines w:val="0"/>
              <w:widowControl/>
              <w:suppressLineNumbers w:val="0"/>
              <w:jc w:val="left"/>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6000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50AE3275">
            <w:pPr>
              <w:spacing w:line="570" w:lineRule="exact"/>
              <w:rPr>
                <w:rFonts w:hint="eastAsia" w:ascii="宋体" w:hAnsi="宋体"/>
                <w:color w:val="auto"/>
                <w:szCs w:val="21"/>
                <w:highlight w:val="none"/>
              </w:rPr>
            </w:pPr>
          </w:p>
        </w:tc>
      </w:tr>
      <w:tr w14:paraId="7ACCC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left w:val="single" w:color="auto" w:sz="4" w:space="0"/>
              <w:right w:val="single" w:color="auto" w:sz="4" w:space="0"/>
            </w:tcBorders>
            <w:noWrap w:val="0"/>
            <w:vAlign w:val="top"/>
          </w:tcPr>
          <w:p w14:paraId="55EA048B">
            <w:pPr>
              <w:spacing w:line="570" w:lineRule="exact"/>
              <w:jc w:val="center"/>
              <w:rPr>
                <w:rFonts w:hint="eastAsia" w:ascii="宋体" w:hAnsi="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69D6DA1">
            <w:pPr>
              <w:spacing w:line="570" w:lineRule="exact"/>
              <w:jc w:val="center"/>
              <w:rPr>
                <w:rFonts w:hint="eastAsia" w:ascii="宋体" w:hAnsi="宋体" w:eastAsia="宋体"/>
                <w:color w:val="auto"/>
                <w:szCs w:val="21"/>
                <w:highlight w:val="none"/>
                <w:lang w:val="en-US" w:eastAsia="zh-CN"/>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CB50CA0">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合计</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218B162">
            <w:pPr>
              <w:spacing w:line="570" w:lineRule="exact"/>
              <w:jc w:val="center"/>
              <w:rPr>
                <w:rFonts w:hint="eastAsia" w:ascii="宋体" w:hAnsi="宋体"/>
                <w:color w:val="auto"/>
                <w:szCs w:val="21"/>
                <w:highlight w:val="none"/>
                <w:lang w:val="en-US" w:eastAsia="zh-CN"/>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4B71A020">
            <w:pPr>
              <w:jc w:val="center"/>
              <w:rPr>
                <w:rFonts w:hint="eastAsia" w:ascii="宋体" w:hAnsi="宋体"/>
                <w:color w:val="auto"/>
                <w:szCs w:val="21"/>
                <w:highlight w:val="none"/>
                <w:lang w:val="en-US" w:eastAsia="zh-CN"/>
              </w:rPr>
            </w:pPr>
          </w:p>
        </w:tc>
        <w:tc>
          <w:tcPr>
            <w:tcW w:w="3795" w:type="dxa"/>
            <w:tcBorders>
              <w:top w:val="single" w:color="auto" w:sz="4" w:space="0"/>
              <w:left w:val="single" w:color="auto" w:sz="4" w:space="0"/>
              <w:bottom w:val="single" w:color="auto" w:sz="4" w:space="0"/>
              <w:right w:val="single" w:color="auto" w:sz="4" w:space="0"/>
            </w:tcBorders>
            <w:noWrap w:val="0"/>
            <w:vAlign w:val="top"/>
          </w:tcPr>
          <w:p w14:paraId="68627B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553BD3D">
            <w:pPr>
              <w:keepNext w:val="0"/>
              <w:keepLines w:val="0"/>
              <w:widowControl/>
              <w:suppressLineNumbers w:val="0"/>
              <w:jc w:val="left"/>
              <w:textAlignment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408000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2A2674BC">
            <w:pPr>
              <w:spacing w:line="570" w:lineRule="exact"/>
              <w:rPr>
                <w:rFonts w:hint="eastAsia" w:ascii="宋体" w:hAnsi="宋体"/>
                <w:color w:val="auto"/>
                <w:szCs w:val="21"/>
                <w:highlight w:val="none"/>
              </w:rPr>
            </w:pPr>
          </w:p>
        </w:tc>
      </w:tr>
      <w:tr w14:paraId="005A2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7ADB256D">
            <w:pPr>
              <w:spacing w:line="570" w:lineRule="exact"/>
              <w:jc w:val="center"/>
              <w:rPr>
                <w:rFonts w:hint="eastAsia" w:ascii="宋体" w:hAnsi="宋体"/>
                <w:color w:val="auto"/>
                <w:highlight w:val="none"/>
              </w:rPr>
            </w:pPr>
          </w:p>
          <w:p w14:paraId="578E8679">
            <w:pPr>
              <w:spacing w:line="570" w:lineRule="exact"/>
              <w:jc w:val="center"/>
              <w:rPr>
                <w:rFonts w:hint="eastAsia" w:ascii="宋体" w:hAnsi="宋体"/>
                <w:color w:val="auto"/>
                <w:highlight w:val="none"/>
              </w:rPr>
            </w:pPr>
          </w:p>
          <w:p w14:paraId="2147E81C">
            <w:pPr>
              <w:spacing w:line="570" w:lineRule="exact"/>
              <w:jc w:val="center"/>
              <w:rPr>
                <w:rFonts w:hint="eastAsia" w:ascii="宋体" w:hAnsi="宋体"/>
                <w:color w:val="auto"/>
                <w:highlight w:val="none"/>
              </w:rPr>
            </w:pPr>
            <w:r>
              <w:rPr>
                <w:rFonts w:hint="eastAsia" w:ascii="宋体" w:hAnsi="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4334F049">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一、合同签订期：自中标通知书发出之日起</w:t>
            </w:r>
            <w:r>
              <w:rPr>
                <w:rFonts w:hint="eastAsia" w:ascii="宋体" w:hAnsi="宋体" w:cs="宋体"/>
                <w:color w:val="auto"/>
                <w:szCs w:val="21"/>
                <w:highlight w:val="none"/>
                <w:lang w:val="en-US" w:eastAsia="zh-CN"/>
              </w:rPr>
              <w:t>15个工作</w:t>
            </w:r>
            <w:r>
              <w:rPr>
                <w:rFonts w:hint="eastAsia" w:ascii="宋体" w:hAnsi="宋体" w:cs="宋体"/>
                <w:color w:val="auto"/>
                <w:szCs w:val="21"/>
                <w:highlight w:val="none"/>
              </w:rPr>
              <w:t>日内。</w:t>
            </w:r>
          </w:p>
          <w:p w14:paraId="429C1B47">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▲二、交货期：自合同签订之日起</w:t>
            </w:r>
            <w:r>
              <w:rPr>
                <w:rFonts w:hint="eastAsia" w:ascii="宋体" w:hAnsi="宋体" w:cs="宋体"/>
                <w:color w:val="auto"/>
                <w:szCs w:val="21"/>
                <w:highlight w:val="none"/>
                <w:lang w:val="en-US" w:eastAsia="zh-CN"/>
              </w:rPr>
              <w:t>10个工作日</w:t>
            </w:r>
            <w:r>
              <w:rPr>
                <w:rFonts w:hint="eastAsia" w:ascii="宋体" w:hAnsi="宋体" w:cs="宋体"/>
                <w:color w:val="auto"/>
                <w:szCs w:val="21"/>
                <w:highlight w:val="none"/>
              </w:rPr>
              <w:t>内。</w:t>
            </w:r>
          </w:p>
          <w:p w14:paraId="740E79A7">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三、交货地点：南宁职</w:t>
            </w:r>
            <w:bookmarkStart w:id="0" w:name="_GoBack"/>
            <w:bookmarkEnd w:id="0"/>
            <w:r>
              <w:rPr>
                <w:rFonts w:hint="eastAsia" w:ascii="宋体" w:hAnsi="宋体" w:cs="宋体"/>
                <w:color w:val="auto"/>
                <w:szCs w:val="21"/>
                <w:highlight w:val="none"/>
              </w:rPr>
              <w:t>业技术大学。</w:t>
            </w:r>
          </w:p>
          <w:p w14:paraId="1A98B63F">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四、交货方式：现场交货。</w:t>
            </w:r>
          </w:p>
          <w:p w14:paraId="7F19080E">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五、售后服务要求</w:t>
            </w:r>
          </w:p>
          <w:p w14:paraId="5E9A0746">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▲1.质量保证期 3 年（自交货并验收合格之日起计）</w:t>
            </w:r>
          </w:p>
          <w:p w14:paraId="5B7229A6">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故障响应时间：中标供应商接到故障通知后在8小时内到达采购人指定现场；</w:t>
            </w:r>
          </w:p>
          <w:p w14:paraId="25555D02">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六、其他要求：</w:t>
            </w:r>
          </w:p>
          <w:p w14:paraId="24639997">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 投标报价为采购人指定地点的现场交货价，包括：</w:t>
            </w:r>
          </w:p>
          <w:p w14:paraId="65973D93">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1）货物及标准附件、备品备件、专用工具的价格；</w:t>
            </w:r>
          </w:p>
          <w:p w14:paraId="74664BAA">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2）运输、装卸、调试、培训、技术支持、售后服务等费用；</w:t>
            </w:r>
          </w:p>
          <w:p w14:paraId="21CBB2A1">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3）必要的保险费用和各项税费。</w:t>
            </w:r>
          </w:p>
          <w:p w14:paraId="28E32EEA">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▲2．付款条件：本项目无预付款，供应商交货完毕并验收合格后，一次性支付合同款。</w:t>
            </w:r>
          </w:p>
          <w:p w14:paraId="6451A665">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3．备品备件及耗材等要求：有稳定的备件供应渠道，并从设备厂商的中国公司及其分销商购置整机和备件补充，可以满足客户的设备在升级、扩充和保修服务配件及消耗品等多方面的需求。</w:t>
            </w:r>
          </w:p>
          <w:p w14:paraId="25C2E89F">
            <w:pPr>
              <w:widowControl/>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4．验收条件及标准：采购人对中标供应商所交货物必须依照招标文件上的技术规格实质要求和国家有关标准验收，进行现场测试比对，达到要求的方可验收。如因中标供应商虚假应标而造成采购人损失的，中标供应商应承担相应法律责任，并赔偿因此而造成的采购人的损失。</w:t>
            </w:r>
            <w:r>
              <w:rPr>
                <w:rFonts w:hint="eastAsia"/>
                <w:lang w:val="en-US" w:eastAsia="zh-CN"/>
              </w:rPr>
              <w:t>如首次验收不通过，后续验收费用由供应商支付</w:t>
            </w:r>
            <w:r>
              <w:rPr>
                <w:rFonts w:hint="eastAsia" w:ascii="宋体" w:hAnsi="宋体"/>
                <w:kern w:val="0"/>
                <w:szCs w:val="21"/>
              </w:rPr>
              <w:t>。</w:t>
            </w:r>
          </w:p>
          <w:p w14:paraId="6750309F">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5．验收方法及方案：</w:t>
            </w:r>
          </w:p>
          <w:p w14:paraId="7EFA8562">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1）符合中华人民共和国国家安全质量标准、环保标准或行业标准。</w:t>
            </w:r>
          </w:p>
          <w:p w14:paraId="1EAE641E">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2）符合招标文件和投标文件承诺中采购人认可的合理最佳配置、参数及各项要求。</w:t>
            </w:r>
          </w:p>
          <w:p w14:paraId="6D2E72C4">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3）货物符合国家官方合格标准。</w:t>
            </w:r>
          </w:p>
          <w:p w14:paraId="0D11C0D3">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▲4）中标供应商须确保货物为原制造商制造的全新产品，无污染，无侵权行为、表面无划损、无任何缺陷隐患，在中国境内可依常规安全合法使用。</w:t>
            </w:r>
          </w:p>
          <w:p w14:paraId="53DA6EAA">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5）采购人组成验收小组按国家有关规定、规范进行验收，必要时邀请相关的专业人员或机构参与验收。因货物质量问题发生争议时，由本地质量技术监督部门鉴定。</w:t>
            </w:r>
          </w:p>
          <w:p w14:paraId="0F3A76D7">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6）中标供应商必须依照招标文件的要求和投标文件的承诺，将设备、系统调试至正常运行的最佳状态。</w:t>
            </w:r>
          </w:p>
          <w:p w14:paraId="70D314F2">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6.本项目采购标的需执行的国家相关标准、行业标准、地方标准或其他强制性标准、规范等要求：无。</w:t>
            </w:r>
          </w:p>
        </w:tc>
      </w:tr>
      <w:tr w14:paraId="2A1F8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E9153D0">
            <w:pPr>
              <w:spacing w:line="570" w:lineRule="exact"/>
              <w:jc w:val="center"/>
              <w:rPr>
                <w:rFonts w:hint="eastAsia" w:ascii="宋体" w:hAnsi="宋体"/>
                <w:color w:val="auto"/>
                <w:highlight w:val="none"/>
              </w:rPr>
            </w:pPr>
            <w:r>
              <w:rPr>
                <w:rFonts w:hint="eastAsia" w:ascii="宋体" w:hAnsi="宋体"/>
                <w:color w:val="auto"/>
                <w:highlight w:val="none"/>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2F365254">
            <w:pPr>
              <w:widowControl/>
              <w:shd w:val="clear" w:color="auto" w:fill="FFFFFF"/>
              <w:spacing w:line="570" w:lineRule="exact"/>
              <w:rPr>
                <w:rFonts w:hint="eastAsia" w:ascii="宋体" w:hAnsi="宋体" w:eastAsia="宋体"/>
                <w:color w:val="auto"/>
                <w:highlight w:val="none"/>
                <w:lang w:eastAsia="zh-CN"/>
              </w:rPr>
            </w:pPr>
            <w:r>
              <w:rPr>
                <w:rFonts w:hint="eastAsia" w:ascii="宋体" w:hAnsi="宋体"/>
                <w:color w:val="auto"/>
                <w:highlight w:val="none"/>
              </w:rPr>
              <w:t>商务要求评审中允许负偏离的条款数为</w:t>
            </w:r>
            <w:r>
              <w:rPr>
                <w:rFonts w:hint="eastAsia" w:ascii="宋体" w:hAnsi="宋体"/>
                <w:color w:val="auto"/>
                <w:highlight w:val="none"/>
                <w:lang w:val="en-US" w:eastAsia="zh-CN"/>
              </w:rPr>
              <w:t>1</w:t>
            </w:r>
            <w:r>
              <w:rPr>
                <w:rFonts w:hint="eastAsia" w:ascii="宋体" w:hAnsi="宋体"/>
                <w:color w:val="auto"/>
                <w:highlight w:val="none"/>
              </w:rPr>
              <w:t>项</w:t>
            </w:r>
            <w:r>
              <w:rPr>
                <w:rFonts w:hint="eastAsia" w:ascii="宋体" w:hAnsi="宋体"/>
                <w:color w:val="auto"/>
                <w:highlight w:val="none"/>
                <w:lang w:val="en-US" w:eastAsia="zh-CN"/>
              </w:rPr>
              <w:t>；</w:t>
            </w:r>
          </w:p>
          <w:p w14:paraId="5DD10DB8">
            <w:pPr>
              <w:widowControl/>
              <w:shd w:val="clear" w:color="auto" w:fill="FFFFFF"/>
              <w:spacing w:line="570" w:lineRule="exact"/>
              <w:rPr>
                <w:rFonts w:hint="eastAsia" w:ascii="宋体" w:hAnsi="宋体"/>
                <w:color w:val="auto"/>
                <w:highlight w:val="none"/>
              </w:rPr>
            </w:pPr>
            <w:r>
              <w:rPr>
                <w:rFonts w:hint="eastAsia" w:ascii="宋体" w:hAnsi="宋体"/>
                <w:color w:val="auto"/>
                <w:highlight w:val="none"/>
              </w:rPr>
              <w:t>技术要求评审中允许负偏离的条款数为</w:t>
            </w:r>
            <w:r>
              <w:rPr>
                <w:rFonts w:hint="eastAsia" w:ascii="宋体" w:hAnsi="宋体"/>
                <w:color w:val="auto"/>
                <w:highlight w:val="none"/>
                <w:lang w:val="en-US" w:eastAsia="zh-CN"/>
              </w:rPr>
              <w:t>1</w:t>
            </w:r>
            <w:r>
              <w:rPr>
                <w:rFonts w:hint="eastAsia" w:ascii="宋体" w:hAnsi="宋体"/>
                <w:color w:val="auto"/>
                <w:highlight w:val="none"/>
              </w:rPr>
              <w:t>项</w:t>
            </w:r>
            <w:r>
              <w:rPr>
                <w:rFonts w:hint="eastAsia" w:ascii="宋体" w:hAnsi="宋体"/>
                <w:color w:val="auto"/>
                <w:highlight w:val="none"/>
                <w:lang w:eastAsia="zh-CN"/>
              </w:rPr>
              <w:t>。</w:t>
            </w:r>
          </w:p>
        </w:tc>
      </w:tr>
    </w:tbl>
    <w:p w14:paraId="138D5E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36088"/>
    <w:rsid w:val="05785B85"/>
    <w:rsid w:val="0C236088"/>
    <w:rsid w:val="28F2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4954</Words>
  <Characters>5657</Characters>
  <Lines>0</Lines>
  <Paragraphs>0</Paragraphs>
  <TotalTime>37</TotalTime>
  <ScaleCrop>false</ScaleCrop>
  <LinksUpToDate>false</LinksUpToDate>
  <CharactersWithSpaces>5709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2025-05-07T06:24:00Z</dcterms:created>
  <dc:creator>南宁职业技术大学-南宁职业技术大学</dc:creator>
  <cp:lastModifiedBy>南宁职业技术大学-南宁职业技术大学</cp:lastModifiedBy>
  <cp:lastPrinted>2025-05-07T06:52:00Z</cp:lastPrinted>
  <dcterms:modified xsi:type="dcterms:W3CDTF">2025-05-07T07:25:01Z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B435EE1C14484EF3A5327DE3FF8765BA_11</vt:lpwstr>
  </property>
  <property fmtid="{D5CDD505-2E9C-101B-9397-08002B2CF9AE}" pid="4" name="KSOTemplateDocerSaveRecord">
    <vt:lpwstr>eyJoZGlkIjoiYjNjNTY1YTkxODY3ZTk3YzY5NjBkMzQyODEyNGNlNDkiLCJ1c2VySWQiOiI0MTgwNjkyMDcifQ==</vt:lpwstr>
  </property>
</Properties>
</file>