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B82F8">
      <w:pPr>
        <w:spacing w:line="360" w:lineRule="auto"/>
        <w:jc w:val="center"/>
        <w:rPr>
          <w:rFonts w:hint="eastAsia" w:ascii="宋体" w:hAnsi="宋体" w:eastAsia="宋体" w:cs="宋体"/>
          <w:b/>
          <w:sz w:val="36"/>
          <w:szCs w:val="36"/>
          <w:lang w:eastAsia="zh-CN"/>
        </w:rPr>
      </w:pPr>
      <w:r>
        <w:rPr>
          <w:rFonts w:hint="eastAsia" w:ascii="宋体" w:hAnsi="宋体" w:cs="宋体"/>
          <w:b/>
          <w:bCs/>
          <w:sz w:val="36"/>
          <w:szCs w:val="36"/>
        </w:rPr>
        <w:t>智慧旅游虚拟仿真实训室建设项目</w:t>
      </w:r>
      <w:r>
        <w:rPr>
          <w:rFonts w:hint="eastAsia" w:ascii="宋体" w:hAnsi="宋体" w:cs="宋体"/>
          <w:b/>
          <w:bCs/>
          <w:sz w:val="36"/>
          <w:szCs w:val="36"/>
          <w:lang w:eastAsia="zh-CN"/>
        </w:rPr>
        <w:t>（</w:t>
      </w:r>
      <w:r>
        <w:rPr>
          <w:rFonts w:hint="eastAsia" w:ascii="宋体" w:hAnsi="宋体" w:cs="宋体"/>
          <w:b/>
          <w:bCs/>
          <w:sz w:val="36"/>
          <w:szCs w:val="36"/>
          <w:lang w:val="en-US" w:eastAsia="zh-CN"/>
        </w:rPr>
        <w:t>家具</w:t>
      </w:r>
      <w:r>
        <w:rPr>
          <w:rFonts w:hint="eastAsia" w:ascii="宋体" w:hAnsi="宋体" w:cs="宋体"/>
          <w:b/>
          <w:bCs/>
          <w:sz w:val="36"/>
          <w:szCs w:val="36"/>
          <w:lang w:eastAsia="zh-CN"/>
        </w:rPr>
        <w:t>）采购</w:t>
      </w:r>
    </w:p>
    <w:p w14:paraId="014CC4F0">
      <w:pPr>
        <w:widowControl/>
        <w:ind w:firstLine="420" w:firstLineChars="200"/>
        <w:jc w:val="left"/>
        <w:rPr>
          <w:rFonts w:ascii="宋体" w:hAnsi="宋体" w:eastAsia="宋体" w:cs="宋体"/>
          <w:color w:val="auto"/>
          <w:kern w:val="0"/>
          <w:szCs w:val="21"/>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260"/>
        <w:gridCol w:w="7893"/>
        <w:gridCol w:w="846"/>
        <w:gridCol w:w="730"/>
        <w:gridCol w:w="1176"/>
        <w:gridCol w:w="1496"/>
      </w:tblGrid>
      <w:tr w14:paraId="524E9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07" w:type="dxa"/>
            <w:vAlign w:val="center"/>
          </w:tcPr>
          <w:p w14:paraId="3BC4D60D">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260" w:type="dxa"/>
            <w:shd w:val="clear" w:color="auto" w:fill="auto"/>
            <w:vAlign w:val="center"/>
          </w:tcPr>
          <w:p w14:paraId="0076BBA8">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商品名称</w:t>
            </w:r>
          </w:p>
        </w:tc>
        <w:tc>
          <w:tcPr>
            <w:tcW w:w="7893" w:type="dxa"/>
            <w:shd w:val="clear" w:color="auto" w:fill="auto"/>
            <w:vAlign w:val="center"/>
          </w:tcPr>
          <w:p w14:paraId="7F9A0EC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参数</w:t>
            </w:r>
          </w:p>
        </w:tc>
        <w:tc>
          <w:tcPr>
            <w:tcW w:w="846" w:type="dxa"/>
            <w:shd w:val="clear" w:color="auto" w:fill="auto"/>
            <w:vAlign w:val="center"/>
          </w:tcPr>
          <w:p w14:paraId="1E0308CB">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730" w:type="dxa"/>
            <w:shd w:val="clear" w:color="auto" w:fill="auto"/>
            <w:vAlign w:val="center"/>
          </w:tcPr>
          <w:p w14:paraId="42CD9568">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176" w:type="dxa"/>
            <w:vAlign w:val="center"/>
          </w:tcPr>
          <w:p w14:paraId="6D900BDC">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控制总价(元)</w:t>
            </w:r>
          </w:p>
        </w:tc>
        <w:tc>
          <w:tcPr>
            <w:tcW w:w="1496" w:type="dxa"/>
            <w:vAlign w:val="center"/>
          </w:tcPr>
          <w:p w14:paraId="2E0346D0">
            <w:pPr>
              <w:jc w:val="center"/>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val="en-US" w:eastAsia="zh-CN"/>
              </w:rPr>
              <w:t>意向</w:t>
            </w:r>
            <w:r>
              <w:rPr>
                <w:rFonts w:hint="eastAsia" w:ascii="宋体" w:hAnsi="宋体" w:eastAsia="宋体" w:cs="宋体"/>
                <w:b/>
                <w:color w:val="auto"/>
                <w:szCs w:val="21"/>
                <w:highlight w:val="none"/>
              </w:rPr>
              <w:t>品牌</w:t>
            </w:r>
          </w:p>
        </w:tc>
      </w:tr>
      <w:tr w14:paraId="76DB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2A7B8F7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260" w:type="dxa"/>
            <w:shd w:val="clear" w:color="auto" w:fill="auto"/>
            <w:vAlign w:val="center"/>
          </w:tcPr>
          <w:p w14:paraId="0B96131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钢制讲台</w:t>
            </w:r>
          </w:p>
        </w:tc>
        <w:tc>
          <w:tcPr>
            <w:tcW w:w="7893" w:type="dxa"/>
            <w:shd w:val="clear" w:color="auto" w:fill="auto"/>
            <w:vAlign w:val="center"/>
          </w:tcPr>
          <w:p w14:paraId="35854D9D">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宋体" w:hAnsi="宋体" w:eastAsia="宋体" w:cs="宋体"/>
                <w:sz w:val="21"/>
                <w:szCs w:val="21"/>
              </w:rPr>
            </w:pP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 w:val="21"/>
                <w:szCs w:val="21"/>
              </w:rPr>
              <w:t>讲台尺寸：1100*780*1000mm</w:t>
            </w:r>
            <w:r>
              <w:rPr>
                <w:rFonts w:hint="eastAsia" w:ascii="宋体" w:hAnsi="宋体" w:eastAsia="宋体" w:cs="宋体"/>
                <w:sz w:val="21"/>
                <w:szCs w:val="21"/>
                <w:lang w:eastAsia="zh-CN"/>
              </w:rPr>
              <w:t>。</w:t>
            </w:r>
            <w:r>
              <w:rPr>
                <w:rFonts w:hint="eastAsia" w:ascii="宋体" w:hAnsi="宋体" w:eastAsia="宋体" w:cs="宋体"/>
                <w:color w:val="000000"/>
                <w:sz w:val="21"/>
                <w:szCs w:val="21"/>
                <w:shd w:val="clear" w:color="auto" w:fill="FFFFFF"/>
              </w:rPr>
              <w:t>讲</w:t>
            </w:r>
            <w:r>
              <w:rPr>
                <w:rFonts w:hint="eastAsia" w:ascii="宋体" w:hAnsi="宋体" w:eastAsia="宋体" w:cs="宋体"/>
                <w:color w:val="000000"/>
                <w:sz w:val="21"/>
                <w:szCs w:val="21"/>
                <w:shd w:val="clear" w:color="auto" w:fill="FFFFFF"/>
                <w:lang w:val="en-US" w:eastAsia="zh-CN"/>
              </w:rPr>
              <w:t>台</w:t>
            </w:r>
            <w:r>
              <w:rPr>
                <w:rFonts w:hint="eastAsia" w:ascii="宋体" w:hAnsi="宋体" w:eastAsia="宋体" w:cs="宋体"/>
                <w:color w:val="000000"/>
                <w:sz w:val="21"/>
                <w:szCs w:val="21"/>
                <w:shd w:val="clear" w:color="auto" w:fill="FFFFFF"/>
              </w:rPr>
              <w:t>采用钢木结合构造，</w:t>
            </w:r>
            <w:r>
              <w:rPr>
                <w:rFonts w:hint="eastAsia" w:ascii="宋体" w:hAnsi="宋体" w:eastAsia="宋体" w:cs="宋体"/>
                <w:sz w:val="21"/>
                <w:szCs w:val="21"/>
              </w:rPr>
              <w:t>钢板厚度1.2-1.5mm。</w:t>
            </w:r>
            <w:r>
              <w:rPr>
                <w:rFonts w:hint="eastAsia" w:ascii="宋体" w:hAnsi="宋体" w:eastAsia="宋体" w:cs="宋体"/>
              </w:rPr>
              <w:t>桌体上部分采用圆弧设计。讲台整体设计符合人体力学原理，提供左右实木扶手，供使用者扶用。工艺：脱脂、磷化、静电喷塑、溜平固化，重点部位须采用一次冲压成型技术；所有钣金部分均采用激光切割加工，所有尖角倒圆角不小于R3，盖门采取翻转方式。</w:t>
            </w:r>
          </w:p>
          <w:p w14:paraId="1A077104">
            <w:pPr>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color w:val="auto"/>
                <w:sz w:val="21"/>
                <w:szCs w:val="21"/>
              </w:rPr>
              <w:t>国标19英寸机架，</w:t>
            </w:r>
            <w:r>
              <w:rPr>
                <w:rFonts w:hint="eastAsia" w:ascii="宋体" w:hAnsi="宋体" w:eastAsia="宋体" w:cs="宋体"/>
                <w:sz w:val="21"/>
                <w:szCs w:val="21"/>
              </w:rPr>
              <w:t>后背门设有带锁检修门。</w:t>
            </w:r>
          </w:p>
          <w:p w14:paraId="60F24E9C">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、钢木结合材料一体成</w:t>
            </w:r>
            <w:r>
              <w:rPr>
                <w:rFonts w:hint="eastAsia" w:ascii="宋体" w:hAnsi="宋体" w:eastAsia="宋体" w:cs="宋体"/>
                <w:b w:val="0"/>
                <w:bCs w:val="0"/>
                <w:sz w:val="21"/>
                <w:szCs w:val="21"/>
              </w:rPr>
              <w:t>型；</w:t>
            </w:r>
            <w:r>
              <w:rPr>
                <w:rFonts w:hint="eastAsia" w:ascii="宋体" w:hAnsi="宋体" w:eastAsia="宋体" w:cs="宋体"/>
                <w:b w:val="0"/>
                <w:bCs w:val="0"/>
                <w:sz w:val="21"/>
                <w:szCs w:val="21"/>
                <w:lang w:val="en-US" w:eastAsia="zh-CN"/>
              </w:rPr>
              <w:t>橡胶木</w:t>
            </w:r>
            <w:r>
              <w:rPr>
                <w:rFonts w:hint="eastAsia" w:ascii="宋体" w:hAnsi="宋体" w:eastAsia="宋体" w:cs="宋体"/>
                <w:b w:val="0"/>
                <w:bCs w:val="0"/>
                <w:sz w:val="21"/>
                <w:szCs w:val="21"/>
              </w:rPr>
              <w:t>扶手；桌面为12mm木质耐划台面；全封闭式结构，保障了多媒体设备的安全性</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橡胶木需符合</w:t>
            </w:r>
            <w:r>
              <w:rPr>
                <w:rFonts w:hint="eastAsia" w:ascii="宋体" w:hAnsi="宋体" w:eastAsia="宋体" w:cs="宋体"/>
                <w:b w:val="0"/>
                <w:bCs w:val="0"/>
                <w:i w:val="0"/>
                <w:iCs w:val="0"/>
                <w:color w:val="000000"/>
                <w:kern w:val="0"/>
                <w:sz w:val="21"/>
                <w:szCs w:val="21"/>
                <w:u w:val="none"/>
                <w:lang w:val="en-US" w:eastAsia="zh-CN" w:bidi="ar"/>
              </w:rPr>
              <w:t>GB/T 29894-2013《木材鉴别方法通则》、GB/T 3324-2017《木家具通用技术条件》，木材含水率检测合格。</w:t>
            </w:r>
            <w:r>
              <w:rPr>
                <w:rFonts w:hint="eastAsia" w:ascii="宋体" w:hAnsi="宋体" w:eastAsia="宋体" w:cs="宋体"/>
                <w:b w:val="0"/>
                <w:bCs w:val="0"/>
                <w:color w:val="000000" w:themeColor="text1"/>
                <w:szCs w:val="21"/>
                <w:shd w:val="clear"/>
                <w14:textFill>
                  <w14:solidFill>
                    <w14:schemeClr w14:val="tx1"/>
                  </w14:solidFill>
                </w14:textFill>
              </w:rPr>
              <w:t>报价</w:t>
            </w:r>
            <w:r>
              <w:rPr>
                <w:rFonts w:hint="eastAsia" w:ascii="宋体" w:hAnsi="宋体" w:eastAsia="宋体" w:cs="宋体"/>
                <w:b w:val="0"/>
                <w:bCs w:val="0"/>
                <w:color w:val="000000" w:themeColor="text1"/>
                <w:szCs w:val="21"/>
                <w:shd w:val="clear"/>
                <w:lang w:val="en-US" w:eastAsia="zh-CN"/>
                <w14:textFill>
                  <w14:solidFill>
                    <w14:schemeClr w14:val="tx1"/>
                  </w14:solidFill>
                </w14:textFill>
              </w:rPr>
              <w:t>时</w:t>
            </w:r>
            <w:r>
              <w:rPr>
                <w:rFonts w:hint="eastAsia" w:ascii="宋体" w:hAnsi="宋体" w:eastAsia="宋体" w:cs="宋体"/>
                <w:b w:val="0"/>
                <w:bCs w:val="0"/>
                <w:color w:val="000000" w:themeColor="text1"/>
                <w:szCs w:val="21"/>
                <w:shd w:val="clear"/>
                <w14:textFill>
                  <w14:solidFill>
                    <w14:schemeClr w14:val="tx1"/>
                  </w14:solidFill>
                </w14:textFill>
              </w:rPr>
              <w:t>需提供符合</w:t>
            </w:r>
            <w:r>
              <w:rPr>
                <w:rFonts w:hint="eastAsia" w:ascii="宋体" w:hAnsi="宋体" w:eastAsia="宋体" w:cs="宋体"/>
                <w:b w:val="0"/>
                <w:bCs w:val="0"/>
                <w:color w:val="000000" w:themeColor="text1"/>
                <w:szCs w:val="21"/>
                <w:shd w:val="clear"/>
                <w:lang w:val="en-US" w:eastAsia="zh-CN"/>
                <w14:textFill>
                  <w14:solidFill>
                    <w14:schemeClr w14:val="tx1"/>
                  </w14:solidFill>
                </w14:textFill>
              </w:rPr>
              <w:t>的</w:t>
            </w:r>
            <w:r>
              <w:rPr>
                <w:rFonts w:hint="eastAsia" w:ascii="宋体" w:hAnsi="宋体" w:eastAsia="宋体" w:cs="宋体"/>
                <w:b w:val="0"/>
                <w:bCs w:val="0"/>
                <w:color w:val="000000" w:themeColor="text1"/>
                <w:szCs w:val="21"/>
                <w:shd w:val="clear"/>
                <w14:textFill>
                  <w14:solidFill>
                    <w14:schemeClr w14:val="tx1"/>
                  </w14:solidFill>
                </w14:textFill>
              </w:rPr>
              <w:t>检测报告</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w:t>
            </w:r>
          </w:p>
          <w:p w14:paraId="55E47AD1">
            <w:pPr>
              <w:jc w:val="left"/>
              <w:rPr>
                <w:rFonts w:hint="eastAsia" w:ascii="宋体" w:hAnsi="宋体" w:eastAsia="宋体" w:cs="宋体"/>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w:t>
            </w:r>
            <w:r>
              <w:rPr>
                <w:rFonts w:hint="eastAsia" w:ascii="宋体" w:hAnsi="宋体" w:eastAsia="宋体" w:cs="宋体"/>
                <w:b w:val="0"/>
                <w:bCs w:val="0"/>
                <w:kern w:val="0"/>
                <w:sz w:val="21"/>
                <w:szCs w:val="21"/>
              </w:rPr>
              <w:t>整个讲台只使用一副滑轨，减少故</w:t>
            </w:r>
            <w:r>
              <w:rPr>
                <w:rFonts w:hint="eastAsia" w:ascii="宋体" w:hAnsi="宋体" w:eastAsia="宋体" w:cs="宋体"/>
                <w:kern w:val="0"/>
                <w:sz w:val="21"/>
                <w:szCs w:val="21"/>
              </w:rPr>
              <w:t>障几率</w:t>
            </w:r>
            <w:r>
              <w:rPr>
                <w:rFonts w:hint="eastAsia" w:ascii="宋体" w:hAnsi="宋体" w:eastAsia="宋体" w:cs="宋体"/>
                <w:sz w:val="21"/>
                <w:szCs w:val="21"/>
              </w:rPr>
              <w:t>。</w:t>
            </w:r>
          </w:p>
          <w:p w14:paraId="779577CE">
            <w:pPr>
              <w:jc w:val="left"/>
              <w:rPr>
                <w:rFonts w:hint="eastAsia" w:ascii="宋体" w:hAnsi="宋体" w:eastAsia="宋体" w:cs="宋体"/>
                <w:color w:val="FF0000"/>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、液晶显示器采用反转设计，显示器角度随意调节，可</w:t>
            </w:r>
            <w:r>
              <w:rPr>
                <w:rFonts w:hint="eastAsia" w:ascii="宋体" w:hAnsi="宋体" w:eastAsia="宋体" w:cs="宋体"/>
                <w:kern w:val="0"/>
                <w:sz w:val="21"/>
                <w:szCs w:val="21"/>
              </w:rPr>
              <w:t>使视线和显示器接近垂直，可安装</w:t>
            </w:r>
            <w:r>
              <w:rPr>
                <w:rFonts w:hint="eastAsia" w:ascii="宋体" w:hAnsi="宋体" w:eastAsia="宋体" w:cs="宋体"/>
                <w:sz w:val="21"/>
                <w:szCs w:val="21"/>
              </w:rPr>
              <w:t>17-24寸显示器（要求显示器后面有壁挂孔），关闭后所有设备都隐藏在讲台内；讲台操作由一把锁控制；显示器，键盘、鼠标、中控盒通过内置连环结构控制且互不影响独立操作。</w:t>
            </w:r>
          </w:p>
          <w:p w14:paraId="4E553936">
            <w:pPr>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、整体采用分体式结构，上下两部分采用分体组装。</w:t>
            </w:r>
          </w:p>
          <w:p w14:paraId="3EEED837">
            <w:pPr>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、键盘采用翻转式操作，显示器、中央控制系统、键盘互不影响独立操作。</w:t>
            </w:r>
          </w:p>
          <w:p w14:paraId="17E544B5">
            <w:pPr>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、右侧采用隐藏抽拉式设计，承重不少于6公斤，可安装视频展示台、高拍仪等。</w:t>
            </w:r>
          </w:p>
          <w:p w14:paraId="27E03BDB">
            <w:pPr>
              <w:jc w:val="left"/>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、桌面预留集成笔记本接口模块（USB两个\VGA一个\网络接口一个\ Audio一个\电源接口一个\话筒接口一个。</w:t>
            </w:r>
          </w:p>
          <w:p w14:paraId="6B89DE90">
            <w:pPr>
              <w:jc w:val="lef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、桌体下层内部采用标准机柜设计，带层板，所有设备可整齐固定。</w:t>
            </w:r>
          </w:p>
          <w:p w14:paraId="5A798657">
            <w:pPr>
              <w:jc w:val="left"/>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 xml:space="preserve">、讲台内可放设备：教学终端、中控、实物展示台、键盘、显示器、电脑主机、功放、音响等教学设备； </w:t>
            </w:r>
          </w:p>
          <w:p w14:paraId="4F32B8DF">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rPr>
              <w:t>、讲台具备防盗、防火、防尘、散热强等功能：关闭时所有设备不外露，必须借助钥匙才能开启。</w:t>
            </w:r>
            <w:r>
              <w:rPr>
                <w:rFonts w:hint="eastAsia" w:ascii="宋体" w:hAnsi="宋体" w:eastAsia="宋体" w:cs="宋体"/>
                <w:sz w:val="21"/>
                <w:szCs w:val="21"/>
                <w:lang w:val="en-US" w:eastAsia="zh-CN"/>
              </w:rPr>
              <w:t>参考图片：</w:t>
            </w:r>
          </w:p>
          <w:p w14:paraId="020A6D39">
            <w:pPr>
              <w:jc w:val="left"/>
              <w:rPr>
                <w:rFonts w:hint="eastAsia" w:ascii="宋体" w:hAnsi="宋体" w:eastAsia="宋体" w:cs="宋体"/>
                <w:sz w:val="28"/>
                <w:szCs w:val="28"/>
              </w:rPr>
            </w:pPr>
            <w:r>
              <w:rPr>
                <w:rFonts w:hint="eastAsia" w:ascii="宋体" w:hAnsi="宋体" w:eastAsia="宋体" w:cs="宋体"/>
                <w:sz w:val="28"/>
                <w:szCs w:val="28"/>
              </w:rPr>
              <w:drawing>
                <wp:anchor distT="0" distB="0" distL="114300" distR="114300" simplePos="0" relativeHeight="251660288" behindDoc="1" locked="0" layoutInCell="1" allowOverlap="1">
                  <wp:simplePos x="0" y="0"/>
                  <wp:positionH relativeFrom="column">
                    <wp:posOffset>806450</wp:posOffset>
                  </wp:positionH>
                  <wp:positionV relativeFrom="paragraph">
                    <wp:posOffset>160020</wp:posOffset>
                  </wp:positionV>
                  <wp:extent cx="1520825" cy="1306830"/>
                  <wp:effectExtent l="0" t="0" r="3175" b="7620"/>
                  <wp:wrapTight wrapText="bothSides">
                    <wp:wrapPolygon>
                      <wp:start x="0" y="0"/>
                      <wp:lineTo x="0" y="21411"/>
                      <wp:lineTo x="21375" y="21411"/>
                      <wp:lineTo x="21375"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520825" cy="1306830"/>
                          </a:xfrm>
                          <a:prstGeom prst="rect">
                            <a:avLst/>
                          </a:prstGeom>
                          <a:noFill/>
                          <a:ln>
                            <a:noFill/>
                          </a:ln>
                        </pic:spPr>
                      </pic:pic>
                    </a:graphicData>
                  </a:graphic>
                </wp:anchor>
              </w:drawing>
            </w:r>
            <w:r>
              <w:rPr>
                <w:rFonts w:hint="eastAsia" w:ascii="宋体" w:hAnsi="宋体" w:eastAsia="宋体" w:cs="宋体"/>
                <w:sz w:val="28"/>
                <w:szCs w:val="28"/>
              </w:rPr>
              <w:drawing>
                <wp:anchor distT="0" distB="0" distL="114300" distR="114300" simplePos="0" relativeHeight="251659264" behindDoc="0" locked="0" layoutInCell="1" allowOverlap="1">
                  <wp:simplePos x="0" y="0"/>
                  <wp:positionH relativeFrom="column">
                    <wp:posOffset>2705735</wp:posOffset>
                  </wp:positionH>
                  <wp:positionV relativeFrom="paragraph">
                    <wp:posOffset>97790</wp:posOffset>
                  </wp:positionV>
                  <wp:extent cx="1778000" cy="1369695"/>
                  <wp:effectExtent l="0" t="0" r="12700" b="190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1778000" cy="1369695"/>
                          </a:xfrm>
                          <a:prstGeom prst="rect">
                            <a:avLst/>
                          </a:prstGeom>
                          <a:noFill/>
                          <a:ln>
                            <a:noFill/>
                          </a:ln>
                        </pic:spPr>
                      </pic:pic>
                    </a:graphicData>
                  </a:graphic>
                </wp:anchor>
              </w:drawing>
            </w:r>
          </w:p>
          <w:p w14:paraId="1734D451">
            <w:pPr>
              <w:jc w:val="left"/>
              <w:rPr>
                <w:rFonts w:hint="eastAsia" w:ascii="宋体" w:hAnsi="宋体" w:eastAsia="宋体" w:cs="宋体"/>
                <w:color w:val="auto"/>
                <w:sz w:val="21"/>
                <w:szCs w:val="21"/>
                <w:lang w:eastAsia="zh-CN"/>
              </w:rPr>
            </w:pPr>
            <w:r>
              <w:rPr>
                <w:rFonts w:hint="eastAsia" w:ascii="宋体" w:hAnsi="宋体" w:eastAsia="宋体" w:cs="宋体"/>
                <w:sz w:val="28"/>
                <w:szCs w:val="28"/>
                <w:lang w:eastAsia="zh-CN"/>
              </w:rPr>
              <w:tab/>
            </w:r>
          </w:p>
        </w:tc>
        <w:tc>
          <w:tcPr>
            <w:tcW w:w="846" w:type="dxa"/>
            <w:shd w:val="clear" w:color="auto" w:fill="auto"/>
            <w:vAlign w:val="center"/>
          </w:tcPr>
          <w:p w14:paraId="4DEC466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730" w:type="dxa"/>
            <w:shd w:val="clear" w:color="auto" w:fill="auto"/>
            <w:vAlign w:val="center"/>
          </w:tcPr>
          <w:p w14:paraId="60F54FCB">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w:t>
            </w:r>
          </w:p>
        </w:tc>
        <w:tc>
          <w:tcPr>
            <w:tcW w:w="1176" w:type="dxa"/>
            <w:vAlign w:val="center"/>
          </w:tcPr>
          <w:p w14:paraId="39D4BED1">
            <w:pPr>
              <w:jc w:val="center"/>
              <w:rPr>
                <w:rFonts w:hint="eastAsia" w:ascii="宋体" w:hAnsi="宋体" w:eastAsia="宋体" w:cs="宋体"/>
                <w:color w:val="auto"/>
                <w:szCs w:val="21"/>
                <w:highlight w:val="none"/>
              </w:rPr>
            </w:pPr>
            <w:r>
              <w:rPr>
                <w:rFonts w:hint="eastAsia" w:ascii="宋体" w:hAnsi="宋体" w:eastAsia="宋体" w:cs="宋体"/>
                <w:sz w:val="24"/>
                <w:lang w:val="en-US" w:eastAsia="zh-CN"/>
              </w:rPr>
              <w:t>3007.98</w:t>
            </w:r>
          </w:p>
        </w:tc>
        <w:tc>
          <w:tcPr>
            <w:tcW w:w="1496" w:type="dxa"/>
          </w:tcPr>
          <w:p w14:paraId="0E5E3C28">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骏力</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  卡斯杰</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恒光</w:t>
            </w:r>
          </w:p>
        </w:tc>
      </w:tr>
      <w:tr w14:paraId="6DD4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7" w:type="dxa"/>
            <w:vAlign w:val="center"/>
          </w:tcPr>
          <w:p w14:paraId="2F332EF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60" w:type="dxa"/>
            <w:shd w:val="clear" w:color="auto" w:fill="auto"/>
            <w:vAlign w:val="center"/>
          </w:tcPr>
          <w:p w14:paraId="6744A65A">
            <w:pPr>
              <w:jc w:val="center"/>
              <w:rPr>
                <w:rFonts w:hint="eastAsia" w:ascii="宋体" w:hAnsi="宋体" w:eastAsia="宋体" w:cs="宋体"/>
                <w:color w:val="auto"/>
                <w:szCs w:val="21"/>
                <w:highlight w:val="none"/>
                <w:lang w:val="en-US" w:eastAsia="zh-CN"/>
              </w:rPr>
            </w:pPr>
            <w:r>
              <w:rPr>
                <w:rFonts w:hint="eastAsia" w:ascii="宋体" w:hAnsi="宋体" w:eastAsia="宋体" w:cs="宋体"/>
                <w:sz w:val="24"/>
              </w:rPr>
              <w:t>六角桌椅</w:t>
            </w:r>
          </w:p>
        </w:tc>
        <w:tc>
          <w:tcPr>
            <w:tcW w:w="7893" w:type="dxa"/>
            <w:shd w:val="clear" w:color="auto" w:fill="auto"/>
            <w:vAlign w:val="center"/>
          </w:tcPr>
          <w:p w14:paraId="57A8E2CE">
            <w:pPr>
              <w:jc w:val="left"/>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sz w:val="21"/>
                <w:szCs w:val="21"/>
              </w:rPr>
              <w:t>▲规</w:t>
            </w:r>
            <w:r>
              <w:rPr>
                <w:rFonts w:hint="eastAsia" w:ascii="宋体" w:hAnsi="宋体" w:eastAsia="宋体" w:cs="宋体"/>
                <w:b w:val="0"/>
                <w:bCs w:val="0"/>
                <w:color w:val="000000" w:themeColor="text1"/>
                <w:sz w:val="21"/>
                <w:szCs w:val="21"/>
                <w14:textFill>
                  <w14:solidFill>
                    <w14:schemeClr w14:val="tx1"/>
                  </w14:solidFill>
                </w14:textFill>
              </w:rPr>
              <w:t>格：</w:t>
            </w:r>
            <w:r>
              <w:rPr>
                <w:rFonts w:hint="eastAsia" w:ascii="宋体" w:hAnsi="宋体" w:eastAsia="宋体" w:cs="宋体"/>
                <w:b w:val="0"/>
                <w:bCs w:val="0"/>
                <w:color w:val="000000" w:themeColor="text1"/>
                <w:sz w:val="21"/>
                <w:szCs w:val="21"/>
                <w:lang w:val="en-US" w:eastAsia="zh-CN"/>
                <w14:textFill>
                  <w14:solidFill>
                    <w14:schemeClr w14:val="tx1"/>
                  </w14:solidFill>
                </w14:textFill>
              </w:rPr>
              <w:t>每张桌子由6张</w:t>
            </w:r>
            <w:r>
              <w:rPr>
                <w:rFonts w:hint="eastAsia" w:ascii="宋体" w:hAnsi="宋体" w:eastAsia="宋体" w:cs="宋体"/>
                <w:b w:val="0"/>
                <w:bCs w:val="0"/>
                <w:color w:val="000000" w:themeColor="text1"/>
                <w:sz w:val="21"/>
                <w:szCs w:val="21"/>
                <w14:textFill>
                  <w14:solidFill>
                    <w14:schemeClr w14:val="tx1"/>
                  </w14:solidFill>
                </w14:textFill>
              </w:rPr>
              <w:t>折叠翻转式课桌</w:t>
            </w:r>
            <w:r>
              <w:rPr>
                <w:rFonts w:hint="eastAsia" w:ascii="宋体" w:hAnsi="宋体" w:eastAsia="宋体" w:cs="宋体"/>
                <w:b w:val="0"/>
                <w:bCs w:val="0"/>
                <w:color w:val="000000" w:themeColor="text1"/>
                <w:sz w:val="21"/>
                <w:szCs w:val="21"/>
                <w:lang w:val="en-US" w:eastAsia="zh-CN"/>
                <w14:textFill>
                  <w14:solidFill>
                    <w14:schemeClr w14:val="tx1"/>
                  </w14:solidFill>
                </w14:textFill>
              </w:rPr>
              <w:t>组合成型，桌子</w:t>
            </w:r>
            <w:r>
              <w:rPr>
                <w:rFonts w:hint="eastAsia" w:ascii="宋体" w:hAnsi="宋体" w:eastAsia="宋体" w:cs="宋体"/>
                <w:b w:val="0"/>
                <w:bCs w:val="0"/>
                <w:color w:val="000000" w:themeColor="text1"/>
                <w:sz w:val="21"/>
                <w:szCs w:val="21"/>
                <w14:textFill>
                  <w14:solidFill>
                    <w14:schemeClr w14:val="tx1"/>
                  </w14:solidFill>
                </w14:textFill>
              </w:rPr>
              <w:t>单边</w:t>
            </w:r>
            <w:r>
              <w:rPr>
                <w:rFonts w:hint="eastAsia" w:ascii="宋体" w:hAnsi="宋体" w:eastAsia="宋体" w:cs="宋体"/>
                <w:b w:val="0"/>
                <w:bCs w:val="0"/>
                <w:color w:val="000000" w:themeColor="text1"/>
                <w:sz w:val="21"/>
                <w:szCs w:val="21"/>
                <w:lang w:val="en-US" w:eastAsia="zh-CN"/>
                <w14:textFill>
                  <w14:solidFill>
                    <w14:schemeClr w14:val="tx1"/>
                  </w14:solidFill>
                </w14:textFill>
              </w:rPr>
              <w:t>9</w:t>
            </w:r>
            <w:r>
              <w:rPr>
                <w:rFonts w:hint="eastAsia" w:ascii="宋体" w:hAnsi="宋体" w:eastAsia="宋体" w:cs="宋体"/>
                <w:b w:val="0"/>
                <w:bCs w:val="0"/>
                <w:color w:val="000000" w:themeColor="text1"/>
                <w:sz w:val="21"/>
                <w:szCs w:val="21"/>
                <w14:textFill>
                  <w14:solidFill>
                    <w14:schemeClr w14:val="tx1"/>
                  </w14:solidFill>
                </w14:textFill>
              </w:rPr>
              <w:t>0cm，对角直径约</w:t>
            </w:r>
            <w:r>
              <w:rPr>
                <w:rFonts w:hint="eastAsia" w:ascii="宋体" w:hAnsi="宋体" w:eastAsia="宋体" w:cs="宋体"/>
                <w:b w:val="0"/>
                <w:bCs w:val="0"/>
                <w:color w:val="000000" w:themeColor="text1"/>
                <w:sz w:val="21"/>
                <w:szCs w:val="21"/>
                <w:lang w:val="en-US" w:eastAsia="zh-CN"/>
                <w14:textFill>
                  <w14:solidFill>
                    <w14:schemeClr w14:val="tx1"/>
                  </w14:solidFill>
                </w14:textFill>
              </w:rPr>
              <w:t>18</w:t>
            </w:r>
            <w:r>
              <w:rPr>
                <w:rFonts w:hint="eastAsia" w:ascii="宋体" w:hAnsi="宋体" w:eastAsia="宋体" w:cs="宋体"/>
                <w:b w:val="0"/>
                <w:bCs w:val="0"/>
                <w:color w:val="000000" w:themeColor="text1"/>
                <w:sz w:val="21"/>
                <w:szCs w:val="21"/>
                <w14:textFill>
                  <w14:solidFill>
                    <w14:schemeClr w14:val="tx1"/>
                  </w14:solidFill>
                </w14:textFill>
              </w:rPr>
              <w:t>0cm，高75cm</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桌子外形尺寸允许误差范围为±5mm以内）</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配套6把椅子</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椅子规格约：长59cm×宽47cm×高80cm</w:t>
            </w:r>
            <w:r>
              <w:rPr>
                <w:rFonts w:hint="eastAsia" w:ascii="宋体" w:hAnsi="宋体" w:eastAsia="宋体" w:cs="宋体"/>
                <w:b w:val="0"/>
                <w:bCs w:val="0"/>
                <w:color w:val="000000" w:themeColor="text1"/>
                <w:sz w:val="21"/>
                <w:szCs w:val="21"/>
                <w:lang w:eastAsia="zh-CN"/>
                <w14:textFill>
                  <w14:solidFill>
                    <w14:schemeClr w14:val="tx1"/>
                  </w14:solidFill>
                </w14:textFill>
              </w:rPr>
              <w:t>。</w:t>
            </w:r>
          </w:p>
          <w:p w14:paraId="041493F0">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一、六角桌</w:t>
            </w:r>
            <w:r>
              <w:rPr>
                <w:rFonts w:hint="eastAsia" w:ascii="宋体" w:hAnsi="宋体" w:eastAsia="宋体" w:cs="宋体"/>
                <w:b w:val="0"/>
                <w:bCs w:val="0"/>
                <w:sz w:val="21"/>
                <w:szCs w:val="21"/>
              </w:rPr>
              <w:t>的基本要求</w:t>
            </w:r>
          </w:p>
          <w:p w14:paraId="37BCE9B3">
            <w:pPr>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kern w:val="0"/>
                <w:sz w:val="21"/>
                <w:szCs w:val="21"/>
              </w:rPr>
              <w:t>桌面板</w:t>
            </w:r>
            <w:r>
              <w:rPr>
                <w:rFonts w:hint="eastAsia" w:ascii="宋体" w:hAnsi="宋体" w:eastAsia="宋体" w:cs="宋体"/>
                <w:b w:val="0"/>
                <w:bCs w:val="0"/>
                <w:sz w:val="21"/>
                <w:szCs w:val="21"/>
              </w:rPr>
              <w:t>采用优质</w:t>
            </w:r>
            <w:r>
              <w:rPr>
                <w:rFonts w:hint="eastAsia" w:ascii="宋体" w:hAnsi="宋体" w:eastAsia="宋体" w:cs="宋体"/>
                <w:b w:val="0"/>
                <w:bCs w:val="0"/>
                <w:sz w:val="21"/>
                <w:szCs w:val="21"/>
                <w:lang w:val="en-US" w:eastAsia="zh-CN"/>
              </w:rPr>
              <w:t>刨花板，桌面</w:t>
            </w:r>
            <w:r>
              <w:rPr>
                <w:rFonts w:hint="eastAsia" w:ascii="宋体" w:hAnsi="宋体" w:eastAsia="宋体" w:cs="宋体"/>
                <w:b w:val="0"/>
                <w:bCs w:val="0"/>
                <w:sz w:val="21"/>
                <w:szCs w:val="21"/>
              </w:rPr>
              <w:t>25mm 厚，背板15mm厚</w:t>
            </w:r>
            <w:r>
              <w:rPr>
                <w:rFonts w:hint="eastAsia" w:ascii="宋体" w:hAnsi="宋体" w:eastAsia="宋体" w:cs="宋体"/>
                <w:b w:val="0"/>
                <w:bCs w:val="0"/>
                <w:sz w:val="21"/>
                <w:szCs w:val="21"/>
                <w:lang w:eastAsia="zh-CN"/>
              </w:rPr>
              <w:t>，</w:t>
            </w:r>
            <w:r>
              <w:rPr>
                <w:rFonts w:hint="eastAsia" w:ascii="宋体" w:hAnsi="宋体" w:eastAsia="宋体" w:cs="宋体"/>
                <w:b w:val="0"/>
                <w:bCs w:val="0"/>
                <w:kern w:val="0"/>
                <w:sz w:val="21"/>
                <w:szCs w:val="21"/>
              </w:rPr>
              <w:t>圆角过渡，不得出现直角，避免在使用时伤害人体；</w:t>
            </w:r>
            <w:r>
              <w:rPr>
                <w:rFonts w:hint="eastAsia" w:ascii="宋体" w:hAnsi="宋体" w:eastAsia="宋体" w:cs="宋体"/>
                <w:b w:val="0"/>
                <w:bCs w:val="0"/>
                <w:sz w:val="21"/>
                <w:szCs w:val="21"/>
                <w:lang w:val="en-US" w:eastAsia="zh-CN"/>
              </w:rPr>
              <w:t>板材需符合</w:t>
            </w:r>
            <w:r>
              <w:rPr>
                <w:rFonts w:hint="eastAsia" w:ascii="宋体" w:hAnsi="宋体" w:eastAsia="宋体" w:cs="宋体"/>
                <w:b w:val="0"/>
                <w:bCs w:val="0"/>
                <w:i w:val="0"/>
                <w:iCs w:val="0"/>
                <w:color w:val="000000"/>
                <w:kern w:val="0"/>
                <w:sz w:val="21"/>
                <w:szCs w:val="21"/>
                <w:u w:val="none"/>
                <w:lang w:val="en-US" w:eastAsia="zh-CN" w:bidi="ar"/>
              </w:rPr>
              <w:t>GB/T4897-2015《刨花板》、GB/T 17657-2022《人造板及饰面人造板理化性能试验方法》、GB/T 35601-2017《绿色产品评价人造板和木质地板》、GB 18580-2017室内装饰装修材料人造板及其制品中甲醛释放限量》、GB/T 39600-2021《人造板及其制品甲醛释放量分级》、GB/T21510-2008《纳米无机材料抗荫性能检测方法》、JC/T2039-2010《抗菌防霉木质装饰板》标准，检测内容包含但不限于：甲醛释放量；抗菌性能；防霉菌性能；耐高温性能；总挥发性有机化合物：苯、甲苯、二甲苯、TVOC；规格尺寸及其尺寸偏差；外观质量；板内密度偏差、含水率、2h吸水厚度膨胀率、静曲强度、弾性模量、内胶合强度、表面胶合强度、握螺钉力：板面≥1200、板边≥1000。</w:t>
            </w:r>
            <w:r>
              <w:rPr>
                <w:rFonts w:hint="eastAsia" w:ascii="宋体" w:hAnsi="宋体" w:eastAsia="宋体" w:cs="宋体"/>
                <w:b w:val="0"/>
                <w:bCs w:val="0"/>
                <w:color w:val="000000" w:themeColor="text1"/>
                <w:sz w:val="21"/>
                <w:szCs w:val="21"/>
                <w:shd w:val="clear"/>
                <w14:textFill>
                  <w14:solidFill>
                    <w14:schemeClr w14:val="tx1"/>
                  </w14:solidFill>
                </w14:textFill>
              </w:rPr>
              <w:t>报价</w:t>
            </w:r>
            <w:r>
              <w:rPr>
                <w:rFonts w:hint="eastAsia" w:ascii="宋体" w:hAnsi="宋体" w:eastAsia="宋体" w:cs="宋体"/>
                <w:b w:val="0"/>
                <w:bCs w:val="0"/>
                <w:color w:val="000000" w:themeColor="text1"/>
                <w:sz w:val="21"/>
                <w:szCs w:val="21"/>
                <w:shd w:val="clear"/>
                <w:lang w:val="en-US" w:eastAsia="zh-CN"/>
                <w14:textFill>
                  <w14:solidFill>
                    <w14:schemeClr w14:val="tx1"/>
                  </w14:solidFill>
                </w14:textFill>
              </w:rPr>
              <w:t>时</w:t>
            </w:r>
            <w:r>
              <w:rPr>
                <w:rFonts w:hint="eastAsia" w:ascii="宋体" w:hAnsi="宋体" w:eastAsia="宋体" w:cs="宋体"/>
                <w:b w:val="0"/>
                <w:bCs w:val="0"/>
                <w:color w:val="000000" w:themeColor="text1"/>
                <w:sz w:val="21"/>
                <w:szCs w:val="21"/>
                <w:shd w:val="clear"/>
                <w14:textFill>
                  <w14:solidFill>
                    <w14:schemeClr w14:val="tx1"/>
                  </w14:solidFill>
                </w14:textFill>
              </w:rPr>
              <w:t>需提供符合</w:t>
            </w:r>
            <w:r>
              <w:rPr>
                <w:rFonts w:hint="eastAsia" w:ascii="宋体" w:hAnsi="宋体" w:eastAsia="宋体" w:cs="宋体"/>
                <w:b w:val="0"/>
                <w:bCs w:val="0"/>
                <w:color w:val="000000" w:themeColor="text1"/>
                <w:sz w:val="21"/>
                <w:szCs w:val="21"/>
                <w:shd w:val="clear"/>
                <w:lang w:val="en-US" w:eastAsia="zh-CN"/>
                <w14:textFill>
                  <w14:solidFill>
                    <w14:schemeClr w14:val="tx1"/>
                  </w14:solidFill>
                </w14:textFill>
              </w:rPr>
              <w:t>的</w:t>
            </w:r>
            <w:r>
              <w:rPr>
                <w:rFonts w:hint="eastAsia" w:ascii="宋体" w:hAnsi="宋体" w:eastAsia="宋体" w:cs="宋体"/>
                <w:b w:val="0"/>
                <w:bCs w:val="0"/>
                <w:color w:val="000000" w:themeColor="text1"/>
                <w:sz w:val="21"/>
                <w:szCs w:val="21"/>
                <w:shd w:val="clear"/>
                <w14:textFill>
                  <w14:solidFill>
                    <w14:schemeClr w14:val="tx1"/>
                  </w14:solidFill>
                </w14:textFill>
              </w:rPr>
              <w:t>检测报告</w:t>
            </w:r>
            <w:r>
              <w:rPr>
                <w:rFonts w:hint="eastAsia" w:ascii="宋体" w:hAnsi="宋体" w:eastAsia="宋体" w:cs="宋体"/>
                <w:b w:val="0"/>
                <w:bCs w:val="0"/>
                <w:color w:val="000000" w:themeColor="text1"/>
                <w:sz w:val="21"/>
                <w:szCs w:val="21"/>
                <w:shd w:val="clear"/>
                <w:lang w:eastAsia="zh-CN"/>
                <w14:textFill>
                  <w14:solidFill>
                    <w14:schemeClr w14:val="tx1"/>
                  </w14:solidFill>
                </w14:textFill>
              </w:rPr>
              <w:t>。</w:t>
            </w:r>
          </w:p>
          <w:p w14:paraId="29763E48">
            <w:pPr>
              <w:rPr>
                <w:rFonts w:hint="eastAsia" w:ascii="宋体" w:hAnsi="宋体" w:eastAsia="宋体" w:cs="宋体"/>
                <w:b w:val="0"/>
                <w:bCs w:val="0"/>
                <w:color w:val="FF0000"/>
                <w:kern w:val="0"/>
                <w:sz w:val="21"/>
                <w:szCs w:val="21"/>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脚架及横梁</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前脚为30*60*1.2mm厚椭圆管，后脚为25*50*1.2mm椭圆管</w:t>
            </w:r>
            <w:r>
              <w:rPr>
                <w:rFonts w:hint="eastAsia" w:ascii="宋体" w:hAnsi="宋体" w:eastAsia="宋体" w:cs="宋体"/>
                <w:b w:val="0"/>
                <w:bCs w:val="0"/>
                <w:sz w:val="21"/>
                <w:szCs w:val="21"/>
              </w:rPr>
              <w:t>托臂和托臂之间托台面主横梁采29mm*22mm*35mm梅花管连接，托臂需预留连接梅花管连接孔，梅花管需符合GB/T3325-2017</w:t>
            </w:r>
            <w:r>
              <w:rPr>
                <w:rFonts w:hint="eastAsia" w:ascii="宋体" w:hAnsi="宋体" w:eastAsia="宋体" w:cs="宋体"/>
                <w:b w:val="0"/>
                <w:bCs w:val="0"/>
                <w:color w:val="000000" w:themeColor="text1"/>
                <w:sz w:val="21"/>
                <w:szCs w:val="21"/>
                <w:shd w:val="clear"/>
                <w14:textFill>
                  <w14:solidFill>
                    <w14:schemeClr w14:val="tx1"/>
                  </w14:solidFill>
                </w14:textFill>
              </w:rPr>
              <w:t>《 金属家具通用技术条件》喷涂层</w:t>
            </w:r>
            <w:r>
              <w:rPr>
                <w:rFonts w:hint="eastAsia" w:ascii="宋体" w:hAnsi="宋体" w:eastAsia="宋体" w:cs="宋体"/>
                <w:b w:val="0"/>
                <w:bCs w:val="0"/>
                <w:color w:val="000000" w:themeColor="text1"/>
                <w:sz w:val="21"/>
                <w:szCs w:val="21"/>
                <w:shd w:val="clear"/>
                <w:lang w:val="en-US" w:eastAsia="zh-CN"/>
                <w14:textFill>
                  <w14:solidFill>
                    <w14:schemeClr w14:val="tx1"/>
                  </w14:solidFill>
                </w14:textFill>
              </w:rPr>
              <w:t>应无漏喷、锈蚀；涂层应光滑均匀，色泽一致，应无流挂、疙瘩、皱皮、飞漆等缺陷；</w:t>
            </w:r>
            <w:r>
              <w:rPr>
                <w:rFonts w:hint="eastAsia" w:ascii="宋体" w:hAnsi="宋体" w:eastAsia="宋体" w:cs="宋体"/>
                <w:b w:val="0"/>
                <w:bCs w:val="0"/>
                <w:color w:val="000000" w:themeColor="text1"/>
                <w:sz w:val="21"/>
                <w:szCs w:val="21"/>
                <w:shd w:val="clear"/>
                <w14:textFill>
                  <w14:solidFill>
                    <w14:schemeClr w14:val="tx1"/>
                  </w14:solidFill>
                </w14:textFill>
              </w:rPr>
              <w:t>硬度</w:t>
            </w:r>
            <w:r>
              <w:rPr>
                <w:rFonts w:hint="eastAsia" w:ascii="宋体" w:hAnsi="宋体" w:eastAsia="宋体" w:cs="宋体"/>
                <w:b w:val="0"/>
                <w:bCs w:val="0"/>
                <w:i w:val="0"/>
                <w:iCs w:val="0"/>
                <w:color w:val="000000"/>
                <w:kern w:val="0"/>
                <w:sz w:val="21"/>
                <w:szCs w:val="21"/>
                <w:u w:val="none"/>
                <w:lang w:val="en-US" w:eastAsia="zh-CN" w:bidi="ar"/>
              </w:rPr>
              <w:t>≥H。</w:t>
            </w:r>
            <w:r>
              <w:rPr>
                <w:rFonts w:hint="eastAsia" w:ascii="宋体" w:hAnsi="宋体" w:eastAsia="宋体" w:cs="宋体"/>
                <w:b w:val="0"/>
                <w:bCs w:val="0"/>
                <w:color w:val="000000" w:themeColor="text1"/>
                <w:sz w:val="21"/>
                <w:szCs w:val="21"/>
                <w:shd w:val="clear"/>
                <w14:textFill>
                  <w14:solidFill>
                    <w14:schemeClr w14:val="tx1"/>
                  </w14:solidFill>
                </w14:textFill>
              </w:rPr>
              <w:t>报价</w:t>
            </w:r>
            <w:r>
              <w:rPr>
                <w:rFonts w:hint="eastAsia" w:ascii="宋体" w:hAnsi="宋体" w:eastAsia="宋体" w:cs="宋体"/>
                <w:b w:val="0"/>
                <w:bCs w:val="0"/>
                <w:color w:val="000000" w:themeColor="text1"/>
                <w:sz w:val="21"/>
                <w:szCs w:val="21"/>
                <w:shd w:val="clear"/>
                <w:lang w:val="en-US" w:eastAsia="zh-CN"/>
                <w14:textFill>
                  <w14:solidFill>
                    <w14:schemeClr w14:val="tx1"/>
                  </w14:solidFill>
                </w14:textFill>
              </w:rPr>
              <w:t>时</w:t>
            </w:r>
            <w:r>
              <w:rPr>
                <w:rFonts w:hint="eastAsia" w:ascii="宋体" w:hAnsi="宋体" w:eastAsia="宋体" w:cs="宋体"/>
                <w:b w:val="0"/>
                <w:bCs w:val="0"/>
                <w:color w:val="000000" w:themeColor="text1"/>
                <w:sz w:val="21"/>
                <w:szCs w:val="21"/>
                <w:shd w:val="clear"/>
                <w14:textFill>
                  <w14:solidFill>
                    <w14:schemeClr w14:val="tx1"/>
                  </w14:solidFill>
                </w14:textFill>
              </w:rPr>
              <w:t>需提供符合</w:t>
            </w:r>
            <w:r>
              <w:rPr>
                <w:rFonts w:hint="eastAsia" w:ascii="宋体" w:hAnsi="宋体" w:eastAsia="宋体" w:cs="宋体"/>
                <w:b w:val="0"/>
                <w:bCs w:val="0"/>
                <w:color w:val="000000" w:themeColor="text1"/>
                <w:sz w:val="21"/>
                <w:szCs w:val="21"/>
                <w:shd w:val="clear"/>
                <w:lang w:val="en-US" w:eastAsia="zh-CN"/>
                <w14:textFill>
                  <w14:solidFill>
                    <w14:schemeClr w14:val="tx1"/>
                  </w14:solidFill>
                </w14:textFill>
              </w:rPr>
              <w:t>的</w:t>
            </w:r>
            <w:r>
              <w:rPr>
                <w:rFonts w:hint="eastAsia" w:ascii="宋体" w:hAnsi="宋体" w:eastAsia="宋体" w:cs="宋体"/>
                <w:b w:val="0"/>
                <w:bCs w:val="0"/>
                <w:color w:val="000000" w:themeColor="text1"/>
                <w:sz w:val="21"/>
                <w:szCs w:val="21"/>
                <w:shd w:val="clear"/>
                <w14:textFill>
                  <w14:solidFill>
                    <w14:schemeClr w14:val="tx1"/>
                  </w14:solidFill>
                </w14:textFill>
              </w:rPr>
              <w:t>检测报告</w:t>
            </w:r>
            <w:r>
              <w:rPr>
                <w:rFonts w:hint="eastAsia" w:ascii="宋体" w:hAnsi="宋体" w:eastAsia="宋体" w:cs="宋体"/>
                <w:b w:val="0"/>
                <w:bCs w:val="0"/>
                <w:color w:val="000000" w:themeColor="text1"/>
                <w:sz w:val="21"/>
                <w:szCs w:val="21"/>
                <w:shd w:val="clear"/>
                <w:lang w:eastAsia="zh-CN"/>
                <w14:textFill>
                  <w14:solidFill>
                    <w14:schemeClr w14:val="tx1"/>
                  </w14:solidFill>
                </w14:textFill>
              </w:rPr>
              <w:t>。</w:t>
            </w:r>
            <w:r>
              <w:rPr>
                <w:rFonts w:hint="eastAsia" w:ascii="宋体" w:hAnsi="宋体" w:eastAsia="宋体" w:cs="宋体"/>
                <w:b w:val="0"/>
                <w:bCs w:val="0"/>
                <w:sz w:val="21"/>
                <w:szCs w:val="21"/>
              </w:rPr>
              <w:t>脚架</w:t>
            </w:r>
            <w:r>
              <w:rPr>
                <w:rFonts w:hint="eastAsia" w:ascii="宋体" w:hAnsi="宋体" w:eastAsia="宋体" w:cs="宋体"/>
                <w:b w:val="0"/>
                <w:bCs w:val="0"/>
                <w:sz w:val="21"/>
                <w:szCs w:val="21"/>
                <w:lang w:val="en-US" w:eastAsia="zh-CN"/>
              </w:rPr>
              <w:t>配置</w:t>
            </w:r>
            <w:r>
              <w:rPr>
                <w:rFonts w:hint="eastAsia" w:ascii="宋体" w:hAnsi="宋体" w:eastAsia="宋体" w:cs="宋体"/>
                <w:b w:val="0"/>
                <w:bCs w:val="0"/>
                <w:sz w:val="21"/>
                <w:szCs w:val="21"/>
              </w:rPr>
              <w:t>优质外圈黑色内圈白色万向刹车轮</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表面喷涂</w:t>
            </w:r>
            <w:r>
              <w:rPr>
                <w:rFonts w:hint="eastAsia" w:ascii="宋体" w:hAnsi="宋体" w:eastAsia="宋体" w:cs="宋体"/>
                <w:b w:val="0"/>
                <w:bCs w:val="0"/>
                <w:i w:val="0"/>
                <w:iCs w:val="0"/>
                <w:color w:val="000000"/>
                <w:kern w:val="0"/>
                <w:sz w:val="21"/>
                <w:szCs w:val="21"/>
                <w:highlight w:val="none"/>
                <w:u w:val="none"/>
                <w:lang w:val="en-US" w:eastAsia="zh-CN" w:bidi="ar"/>
              </w:rPr>
              <w:t>塑粉须通过</w:t>
            </w:r>
            <w:r>
              <w:rPr>
                <w:rFonts w:hint="eastAsia" w:ascii="宋体" w:hAnsi="宋体" w:eastAsia="宋体" w:cs="宋体"/>
                <w:b w:val="0"/>
                <w:bCs w:val="0"/>
                <w:i w:val="0"/>
                <w:iCs w:val="0"/>
                <w:color w:val="000000"/>
                <w:kern w:val="0"/>
                <w:sz w:val="21"/>
                <w:szCs w:val="21"/>
                <w:u w:val="none"/>
                <w:lang w:val="en-US" w:eastAsia="zh-CN" w:bidi="ar"/>
              </w:rPr>
              <w:t>HG/T 2006-2022《热围性和热塑性粉末涂料》、GB 18581-2020《木器涂料中有害物质限量》检验外观色泽均匀、无异物、呈松散粉末状，筛余物全部通过；胶化时间30s±20%；粒径分布40μm~60μm；流动性93g±20%；密度2.0g/mL±0.1；涂膜外观正常；附着力</w:t>
            </w:r>
            <w:r>
              <w:rPr>
                <w:rStyle w:val="33"/>
                <w:rFonts w:hint="eastAsia" w:ascii="宋体" w:hAnsi="宋体" w:eastAsia="宋体" w:cs="宋体"/>
                <w:b w:val="0"/>
                <w:bCs w:val="0"/>
                <w:sz w:val="21"/>
                <w:szCs w:val="21"/>
                <w:lang w:val="en-US" w:eastAsia="zh-CN" w:bidi="ar"/>
              </w:rPr>
              <w:t>≦1级</w:t>
            </w:r>
            <w:r>
              <w:rPr>
                <w:rFonts w:hint="eastAsia" w:ascii="宋体" w:hAnsi="宋体" w:eastAsia="宋体" w:cs="宋体"/>
                <w:b w:val="0"/>
                <w:bCs w:val="0"/>
                <w:i w:val="0"/>
                <w:iCs w:val="0"/>
                <w:color w:val="000000"/>
                <w:kern w:val="0"/>
                <w:sz w:val="21"/>
                <w:szCs w:val="21"/>
                <w:u w:val="none"/>
                <w:lang w:val="en-US" w:eastAsia="zh-CN" w:bidi="ar"/>
              </w:rPr>
              <w:t>；铅笔硬度≧H；耐冲击性(正向冲击）：未观察到裂纹、皱纹及剥落现象；杯突试验≧4mm；弯曲试验</w:t>
            </w:r>
            <w:r>
              <w:rPr>
                <w:rStyle w:val="33"/>
                <w:rFonts w:hint="eastAsia" w:ascii="宋体" w:hAnsi="宋体" w:eastAsia="宋体" w:cs="宋体"/>
                <w:b w:val="0"/>
                <w:bCs w:val="0"/>
                <w:sz w:val="21"/>
                <w:szCs w:val="21"/>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4mm；光泽＜60；耐磨性</w:t>
            </w:r>
            <w:r>
              <w:rPr>
                <w:rStyle w:val="33"/>
                <w:rFonts w:hint="eastAsia" w:ascii="宋体" w:hAnsi="宋体" w:eastAsia="宋体" w:cs="宋体"/>
                <w:b w:val="0"/>
                <w:bCs w:val="0"/>
                <w:sz w:val="21"/>
                <w:szCs w:val="21"/>
                <w:lang w:val="en-US" w:eastAsia="zh-CN" w:bidi="ar"/>
              </w:rPr>
              <w:t>≦50mg</w:t>
            </w:r>
            <w:r>
              <w:rPr>
                <w:rFonts w:hint="eastAsia" w:ascii="宋体" w:hAnsi="宋体" w:eastAsia="宋体" w:cs="宋体"/>
                <w:b w:val="0"/>
                <w:bCs w:val="0"/>
                <w:i w:val="0"/>
                <w:iCs w:val="0"/>
                <w:color w:val="000000"/>
                <w:kern w:val="0"/>
                <w:sz w:val="21"/>
                <w:szCs w:val="21"/>
                <w:u w:val="none"/>
                <w:lang w:val="en-US" w:eastAsia="zh-CN" w:bidi="ar"/>
              </w:rPr>
              <w:t>；耐酸性240h无异常；耐碱性240h无异常；耐沸水性无异常；耐盐雾性：500h划痕处单向腐蚀蔓延宽度≤2.0mm，未划痕区无起泡、生锈、开裂剥落等异常现象；耐湿性1000h无异常；耐人工老化性：500h变色</w:t>
            </w:r>
            <w:r>
              <w:rPr>
                <w:rStyle w:val="33"/>
                <w:rFonts w:hint="eastAsia" w:ascii="宋体" w:hAnsi="宋体" w:eastAsia="宋体" w:cs="宋体"/>
                <w:b w:val="0"/>
                <w:bCs w:val="0"/>
                <w:sz w:val="21"/>
                <w:szCs w:val="21"/>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2级，失光</w:t>
            </w:r>
            <w:r>
              <w:rPr>
                <w:rStyle w:val="33"/>
                <w:rFonts w:hint="eastAsia" w:ascii="宋体" w:hAnsi="宋体" w:eastAsia="宋体" w:cs="宋体"/>
                <w:b w:val="0"/>
                <w:bCs w:val="0"/>
                <w:sz w:val="21"/>
                <w:szCs w:val="21"/>
                <w:lang w:val="en-US" w:eastAsia="zh-CN" w:bidi="ar"/>
              </w:rPr>
              <w:t>≦</w:t>
            </w:r>
            <w:r>
              <w:rPr>
                <w:rFonts w:hint="eastAsia" w:ascii="宋体" w:hAnsi="宋体" w:eastAsia="宋体" w:cs="宋体"/>
                <w:b w:val="0"/>
                <w:bCs w:val="0"/>
                <w:i w:val="0"/>
                <w:iCs w:val="0"/>
                <w:color w:val="000000"/>
                <w:kern w:val="0"/>
                <w:sz w:val="21"/>
                <w:szCs w:val="21"/>
                <w:u w:val="none"/>
                <w:lang w:val="en-US" w:eastAsia="zh-CN" w:bidi="ar"/>
              </w:rPr>
              <w:t>2级，无粉化、起泡、开裂、剥落等异常现象；总(Pb) 含量未检出；可溶性重金属</w:t>
            </w:r>
            <w:r>
              <w:rPr>
                <w:rStyle w:val="33"/>
                <w:rFonts w:hint="eastAsia" w:ascii="宋体" w:hAnsi="宋体" w:eastAsia="宋体" w:cs="宋体"/>
                <w:b w:val="0"/>
                <w:bCs w:val="0"/>
                <w:sz w:val="21"/>
                <w:szCs w:val="21"/>
                <w:lang w:val="en-US" w:eastAsia="zh-CN" w:bidi="ar"/>
              </w:rPr>
              <w:t>含量：</w:t>
            </w:r>
            <w:r>
              <w:rPr>
                <w:rFonts w:hint="eastAsia" w:ascii="宋体" w:hAnsi="宋体" w:eastAsia="宋体" w:cs="宋体"/>
                <w:b w:val="0"/>
                <w:bCs w:val="0"/>
                <w:i w:val="0"/>
                <w:iCs w:val="0"/>
                <w:color w:val="000000"/>
                <w:kern w:val="0"/>
                <w:sz w:val="21"/>
                <w:szCs w:val="21"/>
                <w:u w:val="none"/>
                <w:lang w:val="en-US" w:eastAsia="zh-CN" w:bidi="ar"/>
              </w:rPr>
              <w:t>镉（Cd）、铬（Cr）、汞（Hg）未检出的</w:t>
            </w:r>
            <w:r>
              <w:rPr>
                <w:rFonts w:hint="eastAsia" w:ascii="宋体" w:hAnsi="宋体" w:eastAsia="宋体" w:cs="宋体"/>
                <w:b w:val="0"/>
                <w:bCs w:val="0"/>
                <w:color w:val="auto"/>
                <w:kern w:val="0"/>
                <w:sz w:val="21"/>
                <w:szCs w:val="21"/>
                <w:lang w:val="en-US" w:eastAsia="zh-CN"/>
              </w:rPr>
              <w:t>合格检测。</w:t>
            </w:r>
            <w:r>
              <w:rPr>
                <w:rFonts w:hint="eastAsia" w:ascii="宋体" w:hAnsi="宋体" w:eastAsia="宋体" w:cs="宋体"/>
                <w:b w:val="0"/>
                <w:bCs w:val="0"/>
                <w:color w:val="000000" w:themeColor="text1"/>
                <w:sz w:val="21"/>
                <w:szCs w:val="21"/>
                <w:shd w:val="clear"/>
                <w14:textFill>
                  <w14:solidFill>
                    <w14:schemeClr w14:val="tx1"/>
                  </w14:solidFill>
                </w14:textFill>
              </w:rPr>
              <w:t>报价</w:t>
            </w:r>
            <w:r>
              <w:rPr>
                <w:rFonts w:hint="eastAsia" w:ascii="宋体" w:hAnsi="宋体" w:eastAsia="宋体" w:cs="宋体"/>
                <w:b w:val="0"/>
                <w:bCs w:val="0"/>
                <w:color w:val="000000" w:themeColor="text1"/>
                <w:sz w:val="21"/>
                <w:szCs w:val="21"/>
                <w:shd w:val="clear"/>
                <w:lang w:val="en-US" w:eastAsia="zh-CN"/>
                <w14:textFill>
                  <w14:solidFill>
                    <w14:schemeClr w14:val="tx1"/>
                  </w14:solidFill>
                </w14:textFill>
              </w:rPr>
              <w:t>时</w:t>
            </w:r>
            <w:r>
              <w:rPr>
                <w:rFonts w:hint="eastAsia" w:ascii="宋体" w:hAnsi="宋体" w:eastAsia="宋体" w:cs="宋体"/>
                <w:b w:val="0"/>
                <w:bCs w:val="0"/>
                <w:color w:val="000000" w:themeColor="text1"/>
                <w:sz w:val="21"/>
                <w:szCs w:val="21"/>
                <w:shd w:val="clear"/>
                <w14:textFill>
                  <w14:solidFill>
                    <w14:schemeClr w14:val="tx1"/>
                  </w14:solidFill>
                </w14:textFill>
              </w:rPr>
              <w:t>需提供符合</w:t>
            </w:r>
            <w:r>
              <w:rPr>
                <w:rFonts w:hint="eastAsia" w:ascii="宋体" w:hAnsi="宋体" w:eastAsia="宋体" w:cs="宋体"/>
                <w:b w:val="0"/>
                <w:bCs w:val="0"/>
                <w:color w:val="000000" w:themeColor="text1"/>
                <w:sz w:val="21"/>
                <w:szCs w:val="21"/>
                <w:shd w:val="clear"/>
                <w:lang w:val="en-US" w:eastAsia="zh-CN"/>
                <w14:textFill>
                  <w14:solidFill>
                    <w14:schemeClr w14:val="tx1"/>
                  </w14:solidFill>
                </w14:textFill>
              </w:rPr>
              <w:t>的</w:t>
            </w:r>
            <w:r>
              <w:rPr>
                <w:rFonts w:hint="eastAsia" w:ascii="宋体" w:hAnsi="宋体" w:eastAsia="宋体" w:cs="宋体"/>
                <w:b w:val="0"/>
                <w:bCs w:val="0"/>
                <w:color w:val="000000" w:themeColor="text1"/>
                <w:sz w:val="21"/>
                <w:szCs w:val="21"/>
                <w:shd w:val="clear"/>
                <w14:textFill>
                  <w14:solidFill>
                    <w14:schemeClr w14:val="tx1"/>
                  </w14:solidFill>
                </w14:textFill>
              </w:rPr>
              <w:t>检测报告</w:t>
            </w:r>
            <w:r>
              <w:rPr>
                <w:rFonts w:hint="eastAsia" w:ascii="宋体" w:hAnsi="宋体" w:eastAsia="宋体" w:cs="宋体"/>
                <w:b w:val="0"/>
                <w:bCs w:val="0"/>
                <w:color w:val="000000" w:themeColor="text1"/>
                <w:sz w:val="21"/>
                <w:szCs w:val="21"/>
                <w:shd w:val="clear"/>
                <w:lang w:eastAsia="zh-CN"/>
                <w14:textFill>
                  <w14:solidFill>
                    <w14:schemeClr w14:val="tx1"/>
                  </w14:solidFill>
                </w14:textFill>
              </w:rPr>
              <w:t>。</w:t>
            </w:r>
          </w:p>
          <w:p w14:paraId="73A7FF20">
            <w:pPr>
              <w:jc w:val="left"/>
              <w:rPr>
                <w:rFonts w:hint="eastAsia" w:ascii="宋体" w:hAnsi="宋体" w:eastAsia="宋体" w:cs="宋体"/>
                <w:b w:val="0"/>
                <w:bCs w:val="0"/>
                <w:color w:val="000000" w:themeColor="text1"/>
                <w:sz w:val="21"/>
                <w:szCs w:val="21"/>
                <w:shd w:val="clear"/>
                <w:lang w:val="en-US" w:eastAsia="zh-CN"/>
                <w14:textFill>
                  <w14:solidFill>
                    <w14:schemeClr w14:val="tx1"/>
                  </w14:solidFill>
                </w14:textFill>
              </w:rPr>
            </w:pPr>
            <w:r>
              <w:rPr>
                <w:rFonts w:hint="eastAsia" w:ascii="宋体" w:hAnsi="宋体" w:eastAsia="宋体" w:cs="宋体"/>
                <w:b w:val="0"/>
                <w:bCs w:val="0"/>
                <w:color w:val="000000" w:themeColor="text1"/>
                <w:sz w:val="21"/>
                <w:szCs w:val="21"/>
                <w:shd w:val="clear"/>
                <w:lang w:val="en-US" w:eastAsia="zh-CN"/>
                <w14:textFill>
                  <w14:solidFill>
                    <w14:schemeClr w14:val="tx1"/>
                  </w14:solidFill>
                </w14:textFill>
              </w:rPr>
              <w:t>3、</w:t>
            </w:r>
            <w:r>
              <w:rPr>
                <w:rFonts w:hint="eastAsia" w:ascii="宋体" w:hAnsi="宋体" w:eastAsia="宋体" w:cs="宋体"/>
                <w:b w:val="0"/>
                <w:bCs w:val="0"/>
                <w:sz w:val="21"/>
                <w:szCs w:val="21"/>
              </w:rPr>
              <w:t>书架：直径14mm圆管连接两侧月牙式吊码，吊码采用2.0mm厚冷轧钢板折弯成型</w:t>
            </w:r>
            <w:r>
              <w:rPr>
                <w:rFonts w:hint="eastAsia" w:ascii="宋体" w:hAnsi="宋体" w:eastAsia="宋体" w:cs="宋体"/>
                <w:b w:val="0"/>
                <w:bCs w:val="0"/>
                <w:sz w:val="21"/>
                <w:szCs w:val="21"/>
                <w:lang w:eastAsia="zh-CN"/>
              </w:rPr>
              <w:t>。</w:t>
            </w:r>
          </w:p>
          <w:p w14:paraId="58EA42D2">
            <w:pPr>
              <w:jc w:val="left"/>
              <w:rPr>
                <w:rFonts w:hint="eastAsia" w:ascii="宋体" w:hAnsi="宋体" w:eastAsia="宋体" w:cs="宋体"/>
                <w:b w:val="0"/>
                <w:bCs w:val="0"/>
                <w:color w:val="000000" w:themeColor="text1"/>
                <w:sz w:val="21"/>
                <w:szCs w:val="21"/>
                <w:shd w:val="clear"/>
                <w:lang w:eastAsia="zh-CN"/>
                <w14:textFill>
                  <w14:solidFill>
                    <w14:schemeClr w14:val="tx1"/>
                  </w14:solidFill>
                </w14:textFill>
              </w:rPr>
            </w:pPr>
            <w:r>
              <w:rPr>
                <w:rFonts w:hint="eastAsia" w:ascii="宋体" w:hAnsi="宋体" w:eastAsia="宋体" w:cs="宋体"/>
                <w:b w:val="0"/>
                <w:bCs w:val="0"/>
                <w:i w:val="0"/>
                <w:iCs w:val="0"/>
                <w:color w:val="000000"/>
                <w:kern w:val="0"/>
                <w:sz w:val="21"/>
                <w:szCs w:val="21"/>
                <w:u w:val="none"/>
                <w:lang w:val="en-US" w:eastAsia="zh-CN" w:bidi="ar"/>
              </w:rPr>
              <w:t>▲4、折叠翻转桌折叠方式采用两侧铝件旋钮折叠，折叠方向为向挡板方向折起。折叠翻转桌符合</w:t>
            </w:r>
            <w:bookmarkStart w:id="0" w:name="_Hlk101533229"/>
            <w:r>
              <w:rPr>
                <w:rFonts w:hint="eastAsia" w:ascii="宋体" w:hAnsi="宋体" w:eastAsia="宋体" w:cs="宋体"/>
                <w:b w:val="0"/>
                <w:bCs w:val="0"/>
                <w:i w:val="0"/>
                <w:iCs w:val="0"/>
                <w:color w:val="000000"/>
                <w:kern w:val="0"/>
                <w:sz w:val="21"/>
                <w:szCs w:val="21"/>
                <w:u w:val="none"/>
                <w:lang w:val="en-US" w:eastAsia="zh-CN" w:bidi="ar"/>
              </w:rPr>
              <w:t>QB/T3826-1999《轻工产品金属镀层和化学处理层的耐腐蚀试验方法 中性盐雾试验（NSS）法》</w:t>
            </w:r>
            <w:bookmarkEnd w:id="0"/>
            <w:r>
              <w:rPr>
                <w:rFonts w:hint="eastAsia" w:ascii="宋体" w:hAnsi="宋体" w:eastAsia="宋体" w:cs="宋体"/>
                <w:b w:val="0"/>
                <w:bCs w:val="0"/>
                <w:i w:val="0"/>
                <w:iCs w:val="0"/>
                <w:color w:val="000000"/>
                <w:kern w:val="0"/>
                <w:sz w:val="21"/>
                <w:szCs w:val="21"/>
                <w:u w:val="none"/>
                <w:lang w:val="en-US" w:eastAsia="zh-CN" w:bidi="ar"/>
              </w:rPr>
              <w:t>、QB/T3832-1999</w:t>
            </w:r>
            <w:bookmarkStart w:id="1" w:name="_Hlk101533957"/>
            <w:r>
              <w:rPr>
                <w:rFonts w:hint="eastAsia" w:ascii="宋体" w:hAnsi="宋体" w:eastAsia="宋体" w:cs="宋体"/>
                <w:b w:val="0"/>
                <w:bCs w:val="0"/>
                <w:i w:val="0"/>
                <w:iCs w:val="0"/>
                <w:color w:val="000000"/>
                <w:kern w:val="0"/>
                <w:sz w:val="21"/>
                <w:szCs w:val="21"/>
                <w:u w:val="none"/>
                <w:lang w:val="en-US" w:eastAsia="zh-CN" w:bidi="ar"/>
              </w:rPr>
              <w:t>《</w:t>
            </w:r>
            <w:bookmarkEnd w:id="1"/>
            <w:r>
              <w:rPr>
                <w:rFonts w:hint="eastAsia" w:ascii="宋体" w:hAnsi="宋体" w:eastAsia="宋体" w:cs="宋体"/>
                <w:b w:val="0"/>
                <w:bCs w:val="0"/>
                <w:i w:val="0"/>
                <w:iCs w:val="0"/>
                <w:color w:val="000000"/>
                <w:kern w:val="0"/>
                <w:sz w:val="21"/>
                <w:szCs w:val="21"/>
                <w:u w:val="none"/>
                <w:lang w:val="en-US" w:eastAsia="zh-CN" w:bidi="ar"/>
              </w:rPr>
              <w:t>轻工产品金属镀层腐蚀试验结果的评价》中性盐雾连续喷雾120H，耐腐蚀达到10级</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b w:val="0"/>
                <w:bCs w:val="0"/>
                <w:color w:val="000000" w:themeColor="text1"/>
                <w:sz w:val="21"/>
                <w:szCs w:val="21"/>
                <w:shd w:val="clear"/>
                <w14:textFill>
                  <w14:solidFill>
                    <w14:schemeClr w14:val="tx1"/>
                  </w14:solidFill>
                </w14:textFill>
              </w:rPr>
              <w:t>报价</w:t>
            </w:r>
            <w:r>
              <w:rPr>
                <w:rFonts w:hint="eastAsia" w:ascii="宋体" w:hAnsi="宋体" w:eastAsia="宋体" w:cs="宋体"/>
                <w:b w:val="0"/>
                <w:bCs w:val="0"/>
                <w:color w:val="000000" w:themeColor="text1"/>
                <w:sz w:val="21"/>
                <w:szCs w:val="21"/>
                <w:shd w:val="clear"/>
                <w:lang w:val="en-US" w:eastAsia="zh-CN"/>
                <w14:textFill>
                  <w14:solidFill>
                    <w14:schemeClr w14:val="tx1"/>
                  </w14:solidFill>
                </w14:textFill>
              </w:rPr>
              <w:t>时</w:t>
            </w:r>
            <w:r>
              <w:rPr>
                <w:rFonts w:hint="eastAsia" w:ascii="宋体" w:hAnsi="宋体" w:eastAsia="宋体" w:cs="宋体"/>
                <w:b w:val="0"/>
                <w:bCs w:val="0"/>
                <w:color w:val="000000" w:themeColor="text1"/>
                <w:sz w:val="21"/>
                <w:szCs w:val="21"/>
                <w:shd w:val="clear"/>
                <w14:textFill>
                  <w14:solidFill>
                    <w14:schemeClr w14:val="tx1"/>
                  </w14:solidFill>
                </w14:textFill>
              </w:rPr>
              <w:t>需提供符合</w:t>
            </w:r>
            <w:r>
              <w:rPr>
                <w:rFonts w:hint="eastAsia" w:ascii="宋体" w:hAnsi="宋体" w:eastAsia="宋体" w:cs="宋体"/>
                <w:b w:val="0"/>
                <w:bCs w:val="0"/>
                <w:color w:val="000000" w:themeColor="text1"/>
                <w:sz w:val="21"/>
                <w:szCs w:val="21"/>
                <w:shd w:val="clear"/>
                <w:lang w:val="en-US" w:eastAsia="zh-CN"/>
                <w14:textFill>
                  <w14:solidFill>
                    <w14:schemeClr w14:val="tx1"/>
                  </w14:solidFill>
                </w14:textFill>
              </w:rPr>
              <w:t>的</w:t>
            </w:r>
            <w:r>
              <w:rPr>
                <w:rFonts w:hint="eastAsia" w:ascii="宋体" w:hAnsi="宋体" w:eastAsia="宋体" w:cs="宋体"/>
                <w:b w:val="0"/>
                <w:bCs w:val="0"/>
                <w:color w:val="000000" w:themeColor="text1"/>
                <w:sz w:val="21"/>
                <w:szCs w:val="21"/>
                <w:shd w:val="clear"/>
                <w14:textFill>
                  <w14:solidFill>
                    <w14:schemeClr w14:val="tx1"/>
                  </w14:solidFill>
                </w14:textFill>
              </w:rPr>
              <w:t>检测报告</w:t>
            </w:r>
            <w:r>
              <w:rPr>
                <w:rFonts w:hint="eastAsia" w:ascii="宋体" w:hAnsi="宋体" w:eastAsia="宋体" w:cs="宋体"/>
                <w:b w:val="0"/>
                <w:bCs w:val="0"/>
                <w:color w:val="000000" w:themeColor="text1"/>
                <w:sz w:val="21"/>
                <w:szCs w:val="21"/>
                <w:shd w:val="clear"/>
                <w:lang w:eastAsia="zh-CN"/>
                <w14:textFill>
                  <w14:solidFill>
                    <w14:schemeClr w14:val="tx1"/>
                  </w14:solidFill>
                </w14:textFill>
              </w:rPr>
              <w:t>。</w:t>
            </w:r>
          </w:p>
          <w:p w14:paraId="3A56B31C">
            <w:pPr>
              <w:widowControl/>
              <w:numPr>
                <w:ilvl w:val="0"/>
                <w:numId w:val="0"/>
              </w:numPr>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bidi="ar-SA"/>
              </w:rPr>
              <w:t>二、</w:t>
            </w:r>
            <w:r>
              <w:rPr>
                <w:rFonts w:hint="eastAsia" w:ascii="宋体" w:hAnsi="宋体" w:eastAsia="宋体" w:cs="宋体"/>
                <w:b w:val="0"/>
                <w:bCs w:val="0"/>
                <w:color w:val="auto"/>
                <w:kern w:val="0"/>
                <w:sz w:val="21"/>
                <w:szCs w:val="21"/>
                <w:lang w:val="en-US" w:eastAsia="zh-CN"/>
              </w:rPr>
              <w:t>椅子：</w:t>
            </w:r>
          </w:p>
          <w:p w14:paraId="46031A52">
            <w:pPr>
              <w:widowControl/>
              <w:numPr>
                <w:ilvl w:val="0"/>
                <w:numId w:val="0"/>
              </w:numPr>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1、布料：椅面座板采用优质布料，符合</w:t>
            </w:r>
            <w:r>
              <w:rPr>
                <w:rFonts w:hint="eastAsia" w:ascii="宋体" w:hAnsi="宋体" w:eastAsia="宋体" w:cs="宋体"/>
                <w:b w:val="0"/>
                <w:bCs w:val="0"/>
                <w:i w:val="0"/>
                <w:iCs w:val="0"/>
                <w:color w:val="000000"/>
                <w:kern w:val="0"/>
                <w:sz w:val="21"/>
                <w:szCs w:val="21"/>
                <w:u w:val="none"/>
                <w:lang w:val="en-US" w:eastAsia="zh-CN" w:bidi="ar"/>
              </w:rPr>
              <w:t>GB/T 24346-2009《纺织品 防霉性能的评价》、GB 18401-2010《国家纺织产品基本安全技术规范》、HJ 2546-2016《环境标志产品技术要求 纺织产品</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i w:val="0"/>
                <w:iCs w:val="0"/>
                <w:color w:val="000000"/>
                <w:kern w:val="0"/>
                <w:sz w:val="21"/>
                <w:szCs w:val="21"/>
                <w:u w:val="none"/>
                <w:lang w:val="en-US" w:eastAsia="zh-CN" w:bidi="ar"/>
              </w:rPr>
              <w:t>检测，检测内容包含但不限于：防霉等级达到0级；甲醛含量、VOCs含量未检出</w:t>
            </w:r>
            <w:r>
              <w:rPr>
                <w:rFonts w:hint="eastAsia" w:ascii="宋体" w:hAnsi="宋体" w:eastAsia="宋体" w:cs="宋体"/>
                <w:b w:val="0"/>
                <w:bCs w:val="0"/>
                <w:color w:val="auto"/>
                <w:kern w:val="0"/>
                <w:sz w:val="21"/>
                <w:szCs w:val="21"/>
                <w:lang w:val="en-US" w:eastAsia="zh-CN"/>
              </w:rPr>
              <w:t>。</w:t>
            </w:r>
            <w:r>
              <w:rPr>
                <w:rFonts w:hint="eastAsia" w:ascii="宋体" w:hAnsi="宋体" w:eastAsia="宋体" w:cs="宋体"/>
                <w:b w:val="0"/>
                <w:bCs w:val="0"/>
                <w:color w:val="000000" w:themeColor="text1"/>
                <w:sz w:val="21"/>
                <w:szCs w:val="21"/>
                <w:shd w:val="clear"/>
                <w14:textFill>
                  <w14:solidFill>
                    <w14:schemeClr w14:val="tx1"/>
                  </w14:solidFill>
                </w14:textFill>
              </w:rPr>
              <w:t>报价</w:t>
            </w:r>
            <w:r>
              <w:rPr>
                <w:rFonts w:hint="eastAsia" w:ascii="宋体" w:hAnsi="宋体" w:eastAsia="宋体" w:cs="宋体"/>
                <w:b w:val="0"/>
                <w:bCs w:val="0"/>
                <w:color w:val="000000" w:themeColor="text1"/>
                <w:sz w:val="21"/>
                <w:szCs w:val="21"/>
                <w:shd w:val="clear"/>
                <w:lang w:val="en-US" w:eastAsia="zh-CN"/>
                <w14:textFill>
                  <w14:solidFill>
                    <w14:schemeClr w14:val="tx1"/>
                  </w14:solidFill>
                </w14:textFill>
              </w:rPr>
              <w:t>时</w:t>
            </w:r>
            <w:r>
              <w:rPr>
                <w:rFonts w:hint="eastAsia" w:ascii="宋体" w:hAnsi="宋体" w:eastAsia="宋体" w:cs="宋体"/>
                <w:b w:val="0"/>
                <w:bCs w:val="0"/>
                <w:color w:val="000000" w:themeColor="text1"/>
                <w:sz w:val="21"/>
                <w:szCs w:val="21"/>
                <w:shd w:val="clear"/>
                <w14:textFill>
                  <w14:solidFill>
                    <w14:schemeClr w14:val="tx1"/>
                  </w14:solidFill>
                </w14:textFill>
              </w:rPr>
              <w:t>需提供符合</w:t>
            </w:r>
            <w:r>
              <w:rPr>
                <w:rFonts w:hint="eastAsia" w:ascii="宋体" w:hAnsi="宋体" w:eastAsia="宋体" w:cs="宋体"/>
                <w:b w:val="0"/>
                <w:bCs w:val="0"/>
                <w:color w:val="000000" w:themeColor="text1"/>
                <w:sz w:val="21"/>
                <w:szCs w:val="21"/>
                <w:shd w:val="clear"/>
                <w:lang w:val="en-US" w:eastAsia="zh-CN"/>
                <w14:textFill>
                  <w14:solidFill>
                    <w14:schemeClr w14:val="tx1"/>
                  </w14:solidFill>
                </w14:textFill>
              </w:rPr>
              <w:t>的</w:t>
            </w:r>
            <w:r>
              <w:rPr>
                <w:rFonts w:hint="eastAsia" w:ascii="宋体" w:hAnsi="宋体" w:eastAsia="宋体" w:cs="宋体"/>
                <w:b w:val="0"/>
                <w:bCs w:val="0"/>
                <w:color w:val="000000" w:themeColor="text1"/>
                <w:sz w:val="21"/>
                <w:szCs w:val="21"/>
                <w:shd w:val="clear"/>
                <w14:textFill>
                  <w14:solidFill>
                    <w14:schemeClr w14:val="tx1"/>
                  </w14:solidFill>
                </w14:textFill>
              </w:rPr>
              <w:t>检测报告</w:t>
            </w:r>
            <w:r>
              <w:rPr>
                <w:rFonts w:hint="eastAsia" w:ascii="宋体" w:hAnsi="宋体" w:eastAsia="宋体" w:cs="宋体"/>
                <w:b w:val="0"/>
                <w:bCs w:val="0"/>
                <w:color w:val="000000" w:themeColor="text1"/>
                <w:sz w:val="21"/>
                <w:szCs w:val="21"/>
                <w:shd w:val="clear"/>
                <w:lang w:eastAsia="zh-CN"/>
                <w14:textFill>
                  <w14:solidFill>
                    <w14:schemeClr w14:val="tx1"/>
                  </w14:solidFill>
                </w14:textFill>
              </w:rPr>
              <w:t>。</w:t>
            </w:r>
            <w:r>
              <w:rPr>
                <w:rFonts w:hint="eastAsia" w:ascii="宋体" w:hAnsi="宋体" w:eastAsia="宋体" w:cs="宋体"/>
                <w:b w:val="0"/>
                <w:bCs w:val="0"/>
                <w:color w:val="auto"/>
                <w:kern w:val="0"/>
                <w:sz w:val="21"/>
                <w:szCs w:val="21"/>
                <w:lang w:val="en-US" w:eastAsia="zh-CN"/>
              </w:rPr>
              <w:t xml:space="preserve">                            </w:t>
            </w:r>
          </w:p>
          <w:p w14:paraId="436AD5E2">
            <w:pPr>
              <w:keepNext w:val="0"/>
              <w:keepLines w:val="0"/>
              <w:widowControl/>
              <w:suppressLineNumbers w:val="0"/>
              <w:spacing w:line="240" w:lineRule="auto"/>
              <w:jc w:val="left"/>
              <w:textAlignment w:val="cente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auto"/>
                <w:kern w:val="0"/>
                <w:sz w:val="21"/>
                <w:szCs w:val="21"/>
                <w:lang w:val="en-US" w:eastAsia="zh-CN"/>
              </w:rPr>
              <w:t>2、海绵：须符合</w:t>
            </w:r>
            <w:r>
              <w:rPr>
                <w:rFonts w:hint="eastAsia" w:ascii="宋体" w:hAnsi="宋体" w:eastAsia="宋体" w:cs="宋体"/>
                <w:b w:val="0"/>
                <w:bCs w:val="0"/>
                <w:i w:val="0"/>
                <w:iCs w:val="0"/>
                <w:color w:val="000000"/>
                <w:kern w:val="0"/>
                <w:sz w:val="21"/>
                <w:szCs w:val="21"/>
                <w:u w:val="none"/>
                <w:lang w:val="en-US" w:eastAsia="zh-CN" w:bidi="ar"/>
              </w:rPr>
              <w:t>GB/T 10802-2006《通用软质聚醚型聚氨酯泡沫塑料》、GB/T 6343-2009《泡沫塑料及橡胶 表观密度的测定》表面密度≧45kg/m</w:t>
            </w:r>
            <w:r>
              <w:rPr>
                <w:rFonts w:hint="eastAsia" w:ascii="宋体" w:hAnsi="宋体" w:eastAsia="宋体" w:cs="宋体"/>
                <w:b w:val="0"/>
                <w:bCs w:val="0"/>
                <w:i w:val="0"/>
                <w:iCs w:val="0"/>
                <w:color w:val="000000"/>
                <w:kern w:val="0"/>
                <w:sz w:val="21"/>
                <w:szCs w:val="21"/>
                <w:u w:val="none"/>
                <w:vertAlign w:val="superscript"/>
                <w:lang w:val="en-US" w:eastAsia="zh-CN" w:bidi="ar"/>
              </w:rPr>
              <w:t>3</w:t>
            </w:r>
            <w:r>
              <w:rPr>
                <w:rFonts w:hint="eastAsia" w:ascii="宋体" w:hAnsi="宋体" w:eastAsia="宋体" w:cs="宋体"/>
                <w:b w:val="0"/>
                <w:bCs w:val="0"/>
                <w:i w:val="0"/>
                <w:iCs w:val="0"/>
                <w:color w:val="000000"/>
                <w:kern w:val="0"/>
                <w:sz w:val="21"/>
                <w:szCs w:val="21"/>
                <w:u w:val="none"/>
                <w:lang w:val="en-US" w:eastAsia="zh-CN" w:bidi="ar"/>
              </w:rPr>
              <w:t>；回弹率≧35%；干热老化后拉伸强度≧55KPa；湿热老化后拉伸强度≧55KPa检测合格。</w:t>
            </w:r>
            <w:r>
              <w:rPr>
                <w:rFonts w:hint="eastAsia" w:ascii="宋体" w:hAnsi="宋体" w:eastAsia="宋体" w:cs="宋体"/>
                <w:b w:val="0"/>
                <w:bCs w:val="0"/>
                <w:color w:val="000000" w:themeColor="text1"/>
                <w:sz w:val="21"/>
                <w:szCs w:val="21"/>
                <w:shd w:val="clear"/>
                <w14:textFill>
                  <w14:solidFill>
                    <w14:schemeClr w14:val="tx1"/>
                  </w14:solidFill>
                </w14:textFill>
              </w:rPr>
              <w:t>报价</w:t>
            </w:r>
            <w:r>
              <w:rPr>
                <w:rFonts w:hint="eastAsia" w:ascii="宋体" w:hAnsi="宋体" w:eastAsia="宋体" w:cs="宋体"/>
                <w:b w:val="0"/>
                <w:bCs w:val="0"/>
                <w:color w:val="000000" w:themeColor="text1"/>
                <w:sz w:val="21"/>
                <w:szCs w:val="21"/>
                <w:shd w:val="clear"/>
                <w:lang w:val="en-US" w:eastAsia="zh-CN"/>
                <w14:textFill>
                  <w14:solidFill>
                    <w14:schemeClr w14:val="tx1"/>
                  </w14:solidFill>
                </w14:textFill>
              </w:rPr>
              <w:t>时</w:t>
            </w:r>
            <w:r>
              <w:rPr>
                <w:rFonts w:hint="eastAsia" w:ascii="宋体" w:hAnsi="宋体" w:eastAsia="宋体" w:cs="宋体"/>
                <w:b w:val="0"/>
                <w:bCs w:val="0"/>
                <w:color w:val="000000" w:themeColor="text1"/>
                <w:sz w:val="21"/>
                <w:szCs w:val="21"/>
                <w:shd w:val="clear"/>
                <w14:textFill>
                  <w14:solidFill>
                    <w14:schemeClr w14:val="tx1"/>
                  </w14:solidFill>
                </w14:textFill>
              </w:rPr>
              <w:t>需提供符合</w:t>
            </w:r>
            <w:r>
              <w:rPr>
                <w:rFonts w:hint="eastAsia" w:ascii="宋体" w:hAnsi="宋体" w:eastAsia="宋体" w:cs="宋体"/>
                <w:b w:val="0"/>
                <w:bCs w:val="0"/>
                <w:color w:val="000000" w:themeColor="text1"/>
                <w:sz w:val="21"/>
                <w:szCs w:val="21"/>
                <w:shd w:val="clear"/>
                <w:lang w:val="en-US" w:eastAsia="zh-CN"/>
                <w14:textFill>
                  <w14:solidFill>
                    <w14:schemeClr w14:val="tx1"/>
                  </w14:solidFill>
                </w14:textFill>
              </w:rPr>
              <w:t>的</w:t>
            </w:r>
            <w:r>
              <w:rPr>
                <w:rFonts w:hint="eastAsia" w:ascii="宋体" w:hAnsi="宋体" w:eastAsia="宋体" w:cs="宋体"/>
                <w:b w:val="0"/>
                <w:bCs w:val="0"/>
                <w:color w:val="000000" w:themeColor="text1"/>
                <w:sz w:val="21"/>
                <w:szCs w:val="21"/>
                <w:shd w:val="clear"/>
                <w14:textFill>
                  <w14:solidFill>
                    <w14:schemeClr w14:val="tx1"/>
                  </w14:solidFill>
                </w14:textFill>
              </w:rPr>
              <w:t>检测报告</w:t>
            </w:r>
          </w:p>
          <w:p w14:paraId="6D446EF9">
            <w:pPr>
              <w:widowControl/>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3、成型胶合板：四年桉木夹板，高硬度强粘合力，1.2-1.5CM厚度。</w:t>
            </w:r>
          </w:p>
          <w:p w14:paraId="61903B29">
            <w:pPr>
              <w:widowControl/>
              <w:jc w:val="left"/>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auto"/>
                <w:kern w:val="0"/>
                <w:sz w:val="21"/>
                <w:szCs w:val="21"/>
                <w:lang w:val="en-US" w:eastAsia="zh-CN"/>
              </w:rPr>
              <w:t>4、椅架：采用19*32腰鼓管，壁厚≥1.2mm，采用高精密机械手臂自动焊接，经除油除锈静电220度高温喷塑处理。椅子全</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折叠。椅子符合GB/T9286-1998喷涂附着力和GB/T2423.17-2008中性盐雾测试技术规范要求。椅架不带轮，带写字板等配置。</w:t>
            </w:r>
          </w:p>
          <w:p w14:paraId="109733B4">
            <w:pPr>
              <w:widowControl/>
              <w:jc w:val="lef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lang w:val="en-US" w:eastAsia="zh-CN"/>
              </w:rPr>
              <w:t>5、写字板：铝合金旋转机构，一体成型面板，带笔槽与水杯槽</w:t>
            </w:r>
          </w:p>
          <w:p w14:paraId="78E5CB5A">
            <w:pPr>
              <w:keepNext w:val="0"/>
              <w:keepLines w:val="0"/>
              <w:widowControl/>
              <w:suppressLineNumbers w:val="0"/>
              <w:spacing w:line="240" w:lineRule="auto"/>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参考图片：</w:t>
            </w:r>
          </w:p>
          <w:p w14:paraId="4BFA7089">
            <w:pPr>
              <w:keepNext w:val="0"/>
              <w:keepLines w:val="0"/>
              <w:widowControl/>
              <w:suppressLineNumbers w:val="0"/>
              <w:spacing w:line="24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rPr>
              <w:drawing>
                <wp:inline distT="0" distB="0" distL="114300" distR="114300">
                  <wp:extent cx="1613535" cy="967105"/>
                  <wp:effectExtent l="0" t="0" r="571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613535" cy="967105"/>
                          </a:xfrm>
                          <a:prstGeom prst="rect">
                            <a:avLst/>
                          </a:prstGeom>
                          <a:noFill/>
                          <a:ln>
                            <a:noFill/>
                          </a:ln>
                        </pic:spPr>
                      </pic:pic>
                    </a:graphicData>
                  </a:graphic>
                </wp:inline>
              </w:drawing>
            </w:r>
          </w:p>
        </w:tc>
        <w:tc>
          <w:tcPr>
            <w:tcW w:w="846" w:type="dxa"/>
            <w:shd w:val="clear" w:color="auto" w:fill="auto"/>
            <w:vAlign w:val="center"/>
          </w:tcPr>
          <w:p w14:paraId="02CD45F3">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730" w:type="dxa"/>
            <w:shd w:val="clear" w:color="auto" w:fill="auto"/>
            <w:vAlign w:val="center"/>
          </w:tcPr>
          <w:p w14:paraId="04217F8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套</w:t>
            </w:r>
          </w:p>
        </w:tc>
        <w:tc>
          <w:tcPr>
            <w:tcW w:w="1176" w:type="dxa"/>
            <w:vAlign w:val="center"/>
          </w:tcPr>
          <w:p w14:paraId="1344287B">
            <w:pPr>
              <w:jc w:val="center"/>
              <w:rPr>
                <w:rFonts w:hint="eastAsia" w:ascii="宋体" w:hAnsi="宋体" w:eastAsia="宋体" w:cs="宋体"/>
                <w:color w:val="auto"/>
                <w:szCs w:val="21"/>
                <w:highlight w:val="none"/>
              </w:rPr>
            </w:pPr>
            <w:r>
              <w:rPr>
                <w:rFonts w:hint="eastAsia" w:ascii="宋体" w:hAnsi="宋体" w:eastAsia="宋体" w:cs="宋体"/>
                <w:sz w:val="24"/>
              </w:rPr>
              <w:t>24000</w:t>
            </w:r>
          </w:p>
        </w:tc>
        <w:tc>
          <w:tcPr>
            <w:tcW w:w="1496" w:type="dxa"/>
          </w:tcPr>
          <w:p w14:paraId="5E300B09">
            <w:pPr>
              <w:jc w:val="left"/>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lang w:val="en-US" w:eastAsia="zh-CN"/>
              </w:rPr>
              <w:t>骏力</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 卡斯杰</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恒光</w:t>
            </w:r>
          </w:p>
        </w:tc>
      </w:tr>
      <w:tr w14:paraId="7015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08" w:type="dxa"/>
            <w:gridSpan w:val="7"/>
            <w:vAlign w:val="center"/>
          </w:tcPr>
          <w:p w14:paraId="5E3A8820">
            <w:pPr>
              <w:jc w:val="left"/>
              <w:rPr>
                <w:rFonts w:hint="eastAsia" w:ascii="宋体" w:hAnsi="宋体" w:eastAsia="宋体" w:cs="宋体"/>
                <w:color w:val="auto"/>
                <w:sz w:val="20"/>
                <w:szCs w:val="20"/>
                <w:highlight w:val="none"/>
              </w:rPr>
            </w:pPr>
            <w:r>
              <w:rPr>
                <w:rFonts w:hint="eastAsia" w:ascii="宋体" w:hAnsi="宋体" w:eastAsia="宋体" w:cs="宋体"/>
                <w:b/>
                <w:color w:val="auto"/>
                <w:sz w:val="24"/>
                <w:szCs w:val="20"/>
                <w:highlight w:val="none"/>
              </w:rPr>
              <w:t>合计金额：</w:t>
            </w:r>
            <w:r>
              <w:rPr>
                <w:rFonts w:hint="eastAsia" w:ascii="宋体" w:hAnsi="宋体" w:eastAsia="宋体" w:cs="宋体"/>
                <w:color w:val="auto"/>
                <w:sz w:val="24"/>
                <w:szCs w:val="20"/>
                <w:highlight w:val="none"/>
              </w:rPr>
              <w:t>人民币</w:t>
            </w:r>
            <w:r>
              <w:rPr>
                <w:rFonts w:hint="eastAsia" w:ascii="宋体" w:hAnsi="宋体" w:eastAsia="宋体" w:cs="宋体"/>
                <w:color w:val="auto"/>
                <w:sz w:val="24"/>
                <w:szCs w:val="20"/>
                <w:highlight w:val="none"/>
                <w:lang w:val="en-US" w:eastAsia="zh-CN"/>
              </w:rPr>
              <w:t>贰万柒仟零柒</w:t>
            </w:r>
            <w:r>
              <w:rPr>
                <w:rFonts w:hint="eastAsia" w:ascii="宋体" w:hAnsi="宋体" w:eastAsia="宋体" w:cs="宋体"/>
                <w:color w:val="auto"/>
                <w:sz w:val="24"/>
                <w:szCs w:val="20"/>
                <w:highlight w:val="none"/>
              </w:rPr>
              <w:t>元</w:t>
            </w:r>
            <w:r>
              <w:rPr>
                <w:rFonts w:hint="eastAsia" w:ascii="宋体" w:hAnsi="宋体" w:eastAsia="宋体" w:cs="宋体"/>
                <w:color w:val="auto"/>
                <w:sz w:val="24"/>
                <w:szCs w:val="20"/>
                <w:highlight w:val="none"/>
                <w:lang w:val="en-US" w:eastAsia="zh-CN"/>
              </w:rPr>
              <w:t>玖角捌分</w:t>
            </w:r>
            <w:r>
              <w:rPr>
                <w:rFonts w:hint="eastAsia" w:ascii="宋体" w:hAnsi="宋体" w:eastAsia="宋体" w:cs="宋体"/>
                <w:color w:val="auto"/>
                <w:sz w:val="24"/>
                <w:szCs w:val="20"/>
                <w:highlight w:val="none"/>
              </w:rPr>
              <w:t xml:space="preserve"> （¥</w:t>
            </w:r>
            <w:r>
              <w:rPr>
                <w:rFonts w:hint="eastAsia" w:ascii="宋体" w:hAnsi="宋体" w:eastAsia="宋体" w:cs="宋体"/>
                <w:color w:val="000000" w:themeColor="text1"/>
                <w:sz w:val="24"/>
                <w:lang w:val="en-US" w:eastAsia="zh-CN"/>
                <w14:textFill>
                  <w14:solidFill>
                    <w14:schemeClr w14:val="tx1"/>
                  </w14:solidFill>
                </w14:textFill>
              </w:rPr>
              <w:t>27007.98</w:t>
            </w:r>
            <w:r>
              <w:rPr>
                <w:rFonts w:hint="eastAsia" w:ascii="宋体" w:hAnsi="宋体" w:eastAsia="宋体" w:cs="宋体"/>
                <w:color w:val="auto"/>
                <w:sz w:val="24"/>
                <w:szCs w:val="20"/>
                <w:highlight w:val="none"/>
              </w:rPr>
              <w:t>元）</w:t>
            </w:r>
          </w:p>
        </w:tc>
      </w:tr>
    </w:tbl>
    <w:tbl>
      <w:tblPr>
        <w:tblStyle w:val="14"/>
        <w:tblpPr w:leftFromText="180" w:rightFromText="180" w:vertAnchor="text" w:horzAnchor="page" w:tblpXSpec="center" w:tblpY="482"/>
        <w:tblOverlap w:val="never"/>
        <w:tblW w:w="14000" w:type="dxa"/>
        <w:jc w:val="center"/>
        <w:tblLayout w:type="fixed"/>
        <w:tblCellMar>
          <w:top w:w="0" w:type="dxa"/>
          <w:left w:w="0" w:type="dxa"/>
          <w:bottom w:w="0" w:type="dxa"/>
          <w:right w:w="0" w:type="dxa"/>
        </w:tblCellMar>
      </w:tblPr>
      <w:tblGrid>
        <w:gridCol w:w="14000"/>
      </w:tblGrid>
      <w:tr w14:paraId="6D08ED35">
        <w:tblPrEx>
          <w:tblCellMar>
            <w:top w:w="0" w:type="dxa"/>
            <w:left w:w="0" w:type="dxa"/>
            <w:bottom w:w="0" w:type="dxa"/>
            <w:right w:w="0" w:type="dxa"/>
          </w:tblCellMar>
        </w:tblPrEx>
        <w:trPr>
          <w:trHeight w:val="541" w:hRule="atLeast"/>
          <w:jc w:val="center"/>
        </w:trPr>
        <w:tc>
          <w:tcPr>
            <w:tcW w:w="14000"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51BE2C6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二、商务要求</w:t>
            </w:r>
          </w:p>
        </w:tc>
      </w:tr>
      <w:tr w14:paraId="57B208F1">
        <w:tblPrEx>
          <w:tblCellMar>
            <w:top w:w="0" w:type="dxa"/>
            <w:left w:w="0" w:type="dxa"/>
            <w:bottom w:w="0" w:type="dxa"/>
            <w:right w:w="0" w:type="dxa"/>
          </w:tblCellMar>
        </w:tblPrEx>
        <w:trPr>
          <w:trHeight w:val="465" w:hRule="atLeast"/>
          <w:jc w:val="center"/>
        </w:trPr>
        <w:tc>
          <w:tcPr>
            <w:tcW w:w="14000"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4BCACD3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▲一、合同签订期：自中标通知书发出之日起</w:t>
            </w:r>
            <w:r>
              <w:rPr>
                <w:rFonts w:hint="eastAsia" w:ascii="宋体" w:hAnsi="宋体" w:eastAsia="宋体" w:cs="宋体"/>
                <w:sz w:val="24"/>
                <w:szCs w:val="24"/>
                <w:lang w:val="en-US" w:eastAsia="zh-CN"/>
              </w:rPr>
              <w:t>5日</w:t>
            </w:r>
            <w:r>
              <w:rPr>
                <w:rFonts w:hint="eastAsia" w:ascii="宋体" w:hAnsi="宋体" w:eastAsia="宋体" w:cs="宋体"/>
                <w:sz w:val="24"/>
                <w:szCs w:val="24"/>
              </w:rPr>
              <w:t>内。</w:t>
            </w:r>
          </w:p>
          <w:p w14:paraId="13217BA0">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▲二、交货时间：签订合同之日起</w:t>
            </w:r>
            <w:r>
              <w:rPr>
                <w:rFonts w:hint="eastAsia" w:ascii="宋体" w:hAnsi="宋体" w:eastAsia="宋体" w:cs="宋体"/>
                <w:sz w:val="24"/>
                <w:szCs w:val="24"/>
                <w:lang w:val="en-US" w:eastAsia="zh-CN"/>
              </w:rPr>
              <w:t>7个工作日</w:t>
            </w:r>
            <w:r>
              <w:rPr>
                <w:rFonts w:hint="eastAsia" w:ascii="宋体" w:hAnsi="宋体" w:eastAsia="宋体" w:cs="宋体"/>
                <w:sz w:val="24"/>
                <w:szCs w:val="24"/>
              </w:rPr>
              <w:t>内完成项目交付。</w:t>
            </w:r>
          </w:p>
          <w:p w14:paraId="28C8877F">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三、质保期：</w:t>
            </w:r>
            <w:r>
              <w:rPr>
                <w:rFonts w:hint="eastAsia" w:ascii="宋体" w:hAnsi="宋体" w:eastAsia="宋体" w:cs="宋体"/>
                <w:sz w:val="24"/>
                <w:szCs w:val="24"/>
                <w:lang w:val="en-US" w:eastAsia="zh-CN"/>
              </w:rPr>
              <w:t>1</w:t>
            </w:r>
            <w:r>
              <w:rPr>
                <w:rFonts w:hint="eastAsia" w:ascii="宋体" w:hAnsi="宋体" w:eastAsia="宋体" w:cs="宋体"/>
                <w:sz w:val="24"/>
                <w:szCs w:val="24"/>
              </w:rPr>
              <w:t>年（从验收合格之日起计）。</w:t>
            </w:r>
          </w:p>
          <w:p w14:paraId="0CE5EB4B">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四、交货地点：</w:t>
            </w:r>
            <w:r>
              <w:rPr>
                <w:rFonts w:hint="eastAsia" w:ascii="宋体" w:hAnsi="宋体" w:eastAsia="宋体" w:cs="宋体"/>
                <w:sz w:val="24"/>
                <w:szCs w:val="24"/>
                <w:lang w:val="en-US" w:eastAsia="zh-CN"/>
              </w:rPr>
              <w:t>南宁职业技术大学</w:t>
            </w:r>
            <w:r>
              <w:rPr>
                <w:rFonts w:hint="eastAsia" w:ascii="宋体" w:hAnsi="宋体" w:eastAsia="宋体" w:cs="宋体"/>
                <w:sz w:val="24"/>
                <w:szCs w:val="24"/>
              </w:rPr>
              <w:t>。</w:t>
            </w:r>
          </w:p>
          <w:p w14:paraId="35424E19">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szCs w:val="24"/>
                <w:u w:val="single"/>
              </w:rPr>
            </w:pPr>
            <w:r>
              <w:rPr>
                <w:rFonts w:hint="eastAsia" w:ascii="宋体" w:hAnsi="宋体" w:eastAsia="宋体" w:cs="宋体"/>
                <w:sz w:val="24"/>
                <w:szCs w:val="24"/>
              </w:rPr>
              <w:t>五、交货方式：现场交货。</w:t>
            </w:r>
          </w:p>
          <w:p w14:paraId="137EB005">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六、验收标准、规范：</w:t>
            </w:r>
          </w:p>
          <w:p w14:paraId="4F954749">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1.项目验收根据招标文件，国家有强制性规定的，按国家规定执行，验收报告作为申请付款的凭证之一。</w:t>
            </w:r>
          </w:p>
          <w:p w14:paraId="3412C087">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 验收过程中产生纠纷的，由质量技术监督部门认定的检测机构检测，如为中标人原因造成的，由中标人承担检测费用；否则，由采购人承担。</w:t>
            </w:r>
          </w:p>
          <w:p w14:paraId="6DE24EE0">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项目验收不合格，由中标人返工直至合格，有关返工、再行验收，以及给采购人造成的损失等费用由中标人承担。连续两次项目验收不合格的，采购人可终止合同，另行按规定选择其他供应商采购，由此带来的一切损失由中标人承担。</w:t>
            </w:r>
          </w:p>
          <w:p w14:paraId="47105665">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4.验收结果以采购人认可的验收单据为准。</w:t>
            </w:r>
          </w:p>
          <w:p w14:paraId="1A6FDA7A">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七、售后服务要求：</w:t>
            </w:r>
          </w:p>
          <w:p w14:paraId="369B9C81">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1.响应时间：在质保期内，供应商须在接到报修电话后4个小时内响应，8小时内到达现场，到达现场后24小时内维修好。</w:t>
            </w:r>
          </w:p>
          <w:p w14:paraId="4010ADF0">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pacing w:val="-3"/>
                <w:sz w:val="24"/>
                <w:szCs w:val="24"/>
              </w:rPr>
              <w:t>项目验收合格后，需有一年的跟踪服务</w:t>
            </w:r>
            <w:r>
              <w:rPr>
                <w:rFonts w:hint="eastAsia" w:ascii="宋体" w:hAnsi="宋体" w:eastAsia="宋体" w:cs="宋体"/>
                <w:spacing w:val="-4"/>
                <w:sz w:val="24"/>
                <w:szCs w:val="24"/>
              </w:rPr>
              <w:t>。</w:t>
            </w:r>
          </w:p>
          <w:p w14:paraId="77A810D0">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.备品备件要求：无</w:t>
            </w:r>
          </w:p>
          <w:p w14:paraId="032DDA9D">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八、其他要求：</w:t>
            </w:r>
          </w:p>
          <w:p w14:paraId="1470DFCA">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1、投标报价为采购人指定地点的现场交货价，包括：</w:t>
            </w:r>
          </w:p>
          <w:p w14:paraId="1D9DF3BC">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（1）货物的价格；</w:t>
            </w:r>
          </w:p>
          <w:p w14:paraId="42942376">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（2）货物的标准附件、备品备件、专用工具的价格；</w:t>
            </w:r>
          </w:p>
          <w:p w14:paraId="5E9A3CE1">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（3）运输、装卸、调试、培训、技术支持、安装调试、售后服务等费用；</w:t>
            </w:r>
          </w:p>
          <w:p w14:paraId="500D82ED">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（4）必要的保险费用和各项税费；</w:t>
            </w:r>
          </w:p>
          <w:p w14:paraId="617D99BC">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竞</w:t>
            </w:r>
            <w:r>
              <w:rPr>
                <w:rFonts w:hint="eastAsia" w:ascii="宋体" w:hAnsi="宋体" w:eastAsia="宋体" w:cs="宋体"/>
                <w:sz w:val="24"/>
                <w:szCs w:val="24"/>
              </w:rPr>
              <w:t>标供应商的投标总报价≤项目预算价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否则报价无效。</w:t>
            </w:r>
          </w:p>
          <w:p w14:paraId="1DFF62C5">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2、付款方式：</w:t>
            </w:r>
          </w:p>
          <w:p w14:paraId="6F43D3C6">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全部货物到货安装且验收合格后</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个工作日内采购人向中标人一次性支付所有款项。 </w:t>
            </w:r>
          </w:p>
          <w:p w14:paraId="38F1A63B">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采购人付款前，中标人应向采购人开具等额有效的增值税普通发票，采购人未收到发票的，有权不予支付相应款项直至中标人提供合格发票，并不承担延迟付款责任。发票认证通过是付款的必要前提之一。</w:t>
            </w:r>
          </w:p>
          <w:p w14:paraId="43BC6E87">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付款方式： 银行转账。</w:t>
            </w:r>
          </w:p>
          <w:p w14:paraId="1F30F879">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严格按照参数清单配送，商品出现任何问题无条件更换。按采购人要求，按质如期完成该项目。供应商保证其所提供的货物（工程、服务）产品必须符合“项目参数及商务需求一览表”中标▲要求，否则采购人不予确认。</w:t>
            </w:r>
          </w:p>
          <w:p w14:paraId="6DC2B78F">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▲4、报价时需上传</w:t>
            </w:r>
            <w:r>
              <w:rPr>
                <w:rFonts w:hint="eastAsia" w:ascii="宋体" w:hAnsi="宋体" w:eastAsia="宋体" w:cs="宋体"/>
                <w:sz w:val="24"/>
                <w:szCs w:val="24"/>
                <w:highlight w:val="none"/>
                <w:shd w:val="clear"/>
              </w:rPr>
              <w:t>“</w:t>
            </w:r>
            <w:r>
              <w:rPr>
                <w:rFonts w:hint="eastAsia" w:ascii="宋体" w:hAnsi="宋体" w:eastAsia="宋体" w:cs="宋体"/>
                <w:sz w:val="24"/>
                <w:szCs w:val="24"/>
                <w:highlight w:val="none"/>
                <w:shd w:val="clear"/>
                <w:lang w:val="en-US" w:eastAsia="zh-CN"/>
              </w:rPr>
              <w:t>橡胶木、</w:t>
            </w:r>
            <w:r>
              <w:rPr>
                <w:rFonts w:hint="eastAsia" w:ascii="宋体" w:hAnsi="宋体" w:eastAsia="宋体" w:cs="宋体"/>
                <w:sz w:val="24"/>
                <w:szCs w:val="24"/>
                <w:highlight w:val="none"/>
                <w:shd w:val="clear"/>
              </w:rPr>
              <w:t>梅花管</w:t>
            </w:r>
            <w:r>
              <w:rPr>
                <w:rFonts w:hint="eastAsia" w:ascii="宋体" w:hAnsi="宋体" w:eastAsia="宋体" w:cs="宋体"/>
                <w:sz w:val="24"/>
                <w:szCs w:val="24"/>
                <w:highlight w:val="none"/>
                <w:shd w:val="clear"/>
                <w:lang w:eastAsia="zh-CN"/>
              </w:rPr>
              <w:t>、</w:t>
            </w:r>
            <w:r>
              <w:rPr>
                <w:rFonts w:hint="eastAsia" w:ascii="宋体" w:hAnsi="宋体" w:eastAsia="宋体" w:cs="宋体"/>
                <w:sz w:val="24"/>
                <w:szCs w:val="24"/>
                <w:highlight w:val="none"/>
                <w:shd w:val="clear"/>
              </w:rPr>
              <w:t>折叠翻转桌</w:t>
            </w:r>
            <w:r>
              <w:rPr>
                <w:rFonts w:hint="eastAsia" w:ascii="宋体" w:hAnsi="宋体" w:eastAsia="宋体" w:cs="宋体"/>
                <w:sz w:val="24"/>
                <w:szCs w:val="24"/>
                <w:highlight w:val="none"/>
                <w:shd w:val="clear"/>
                <w:lang w:eastAsia="zh-CN"/>
              </w:rPr>
              <w:t>、</w:t>
            </w:r>
            <w:r>
              <w:rPr>
                <w:rFonts w:hint="eastAsia" w:ascii="宋体" w:hAnsi="宋体" w:eastAsia="宋体" w:cs="宋体"/>
                <w:sz w:val="24"/>
                <w:szCs w:val="24"/>
                <w:highlight w:val="none"/>
                <w:shd w:val="clear"/>
                <w:lang w:val="en-US" w:eastAsia="zh-CN"/>
              </w:rPr>
              <w:t>布料、海绵</w:t>
            </w:r>
            <w:r>
              <w:rPr>
                <w:rFonts w:hint="eastAsia" w:ascii="宋体" w:hAnsi="宋体" w:eastAsia="宋体" w:cs="宋体"/>
                <w:sz w:val="24"/>
                <w:szCs w:val="24"/>
                <w:highlight w:val="none"/>
                <w:shd w:val="clear"/>
              </w:rPr>
              <w:t>”</w:t>
            </w:r>
            <w:r>
              <w:rPr>
                <w:rFonts w:hint="eastAsia" w:ascii="宋体" w:hAnsi="宋体" w:eastAsia="宋体" w:cs="宋体"/>
                <w:sz w:val="24"/>
                <w:szCs w:val="24"/>
              </w:rPr>
              <w:t>具有资质的第三方检测机构出具符合招标文件要求的检测项包含但不限于，合格的检测报告复印件，加盖投标人公章（原件备查）。如未提供上述检测报告的，采购人</w:t>
            </w:r>
            <w:r>
              <w:rPr>
                <w:rFonts w:hint="eastAsia" w:ascii="宋体" w:hAnsi="宋体" w:eastAsia="宋体" w:cs="宋体"/>
                <w:sz w:val="24"/>
                <w:szCs w:val="24"/>
                <w:lang w:val="en-US" w:eastAsia="zh-CN"/>
              </w:rPr>
              <w:t>可视为未响应需求文件</w:t>
            </w:r>
            <w:r>
              <w:rPr>
                <w:rFonts w:hint="eastAsia" w:ascii="宋体" w:hAnsi="宋体" w:eastAsia="宋体" w:cs="宋体"/>
                <w:sz w:val="24"/>
                <w:szCs w:val="24"/>
              </w:rPr>
              <w:t>。</w:t>
            </w:r>
          </w:p>
          <w:p w14:paraId="2D876EEB">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FF0000"/>
                <w:sz w:val="24"/>
                <w:szCs w:val="24"/>
                <w:lang w:eastAsia="zh-CN"/>
              </w:rPr>
            </w:pPr>
            <w:r>
              <w:rPr>
                <w:rFonts w:hint="eastAsia" w:ascii="宋体" w:hAnsi="宋体" w:eastAsia="宋体" w:cs="宋体"/>
                <w:sz w:val="24"/>
                <w:szCs w:val="24"/>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产品要求：竞标产品</w:t>
            </w:r>
            <w:r>
              <w:rPr>
                <w:rFonts w:hint="eastAsia" w:ascii="宋体" w:hAnsi="宋体" w:eastAsia="宋体" w:cs="宋体"/>
                <w:color w:val="000000" w:themeColor="text1"/>
                <w:sz w:val="24"/>
                <w:szCs w:val="24"/>
                <w:lang w:val="en-US" w:eastAsia="zh-CN"/>
                <w14:textFill>
                  <w14:solidFill>
                    <w14:schemeClr w14:val="tx1"/>
                  </w14:solidFill>
                </w14:textFill>
              </w:rPr>
              <w:t>参考意向品牌</w:t>
            </w:r>
            <w:r>
              <w:rPr>
                <w:rFonts w:hint="eastAsia" w:ascii="宋体" w:hAnsi="宋体" w:eastAsia="宋体" w:cs="宋体"/>
                <w:color w:val="000000" w:themeColor="text1"/>
                <w:sz w:val="24"/>
                <w:szCs w:val="24"/>
                <w14:textFill>
                  <w14:solidFill>
                    <w14:schemeClr w14:val="tx1"/>
                  </w14:solidFill>
                </w14:textFill>
              </w:rPr>
              <w:t>全新厂商原装产品</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成交供应商所提供的产品、材料等要满足中华人民共和国的相应标准</w:t>
            </w:r>
            <w:r>
              <w:rPr>
                <w:rFonts w:hint="eastAsia" w:ascii="宋体" w:hAnsi="宋体" w:eastAsia="宋体" w:cs="宋体"/>
                <w:color w:val="000000" w:themeColor="text1"/>
                <w:sz w:val="24"/>
                <w:szCs w:val="24"/>
                <w:lang w:eastAsia="zh-CN"/>
                <w14:textFill>
                  <w14:solidFill>
                    <w14:schemeClr w14:val="tx1"/>
                  </w14:solidFill>
                </w14:textFill>
              </w:rPr>
              <w:t>。</w:t>
            </w:r>
          </w:p>
          <w:p w14:paraId="47847313">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验收标准：所有产品为原装全新正品。成交供应商应提供货物的有效检验文件（如授权委托书、售后服务证明、质保函、检测报告）等原件供采购方逐一核查，经采购人认可后，与合同的性能指标一起作为货物验收标准；设备采购包含设备基础及电气安</w:t>
            </w:r>
            <w:r>
              <w:rPr>
                <w:rFonts w:hint="eastAsia" w:ascii="宋体" w:hAnsi="宋体" w:eastAsia="宋体" w:cs="宋体"/>
                <w:sz w:val="24"/>
                <w:szCs w:val="24"/>
              </w:rPr>
              <w:t>装，设备安装、调试运行合格方可验收，项目采购产品的最终验收以采购人验收通过为准，验收合格后，项目采购产品移交采购人。</w:t>
            </w:r>
          </w:p>
          <w:p w14:paraId="19F76415">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、项目验收合格后，需有一年的跟踪服务。</w:t>
            </w:r>
          </w:p>
          <w:p w14:paraId="1B95E7DB">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、应保证所提供的货物或其任何一部分均不会侵犯任何第三方的知识产权。</w:t>
            </w:r>
          </w:p>
          <w:p w14:paraId="2E28BBFD">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、其他未尽事项： 双方协商解决。未尽事宜按国家行业相关标准执行。</w:t>
            </w:r>
          </w:p>
          <w:p w14:paraId="0D27548D">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10、（1）商务要求评审中允许负偏离的条款数为0项。</w:t>
            </w:r>
          </w:p>
          <w:p w14:paraId="202FA9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（2）技术要求评审中允许负偏离的条款数为1项。</w:t>
            </w:r>
          </w:p>
        </w:tc>
      </w:tr>
      <w:tr w14:paraId="1B2FA58C">
        <w:tblPrEx>
          <w:tblCellMar>
            <w:top w:w="0" w:type="dxa"/>
            <w:left w:w="0" w:type="dxa"/>
            <w:bottom w:w="0" w:type="dxa"/>
            <w:right w:w="0" w:type="dxa"/>
          </w:tblCellMar>
        </w:tblPrEx>
        <w:trPr>
          <w:trHeight w:val="2689" w:hRule="atLeast"/>
          <w:jc w:val="center"/>
        </w:trPr>
        <w:tc>
          <w:tcPr>
            <w:tcW w:w="14000" w:type="dxa"/>
            <w:tcBorders>
              <w:top w:val="single" w:color="auto" w:sz="4" w:space="0"/>
              <w:left w:val="single" w:color="auto" w:sz="4" w:space="0"/>
              <w:bottom w:val="single" w:color="auto" w:sz="4" w:space="0"/>
              <w:right w:val="single" w:color="auto" w:sz="4" w:space="0"/>
            </w:tcBorders>
            <w:shd w:val="clear" w:color="auto" w:fill="auto"/>
            <w:tcMar>
              <w:top w:w="13" w:type="dxa"/>
              <w:left w:w="57" w:type="dxa"/>
              <w:bottom w:w="0" w:type="dxa"/>
              <w:right w:w="57" w:type="dxa"/>
            </w:tcMar>
            <w:vAlign w:val="center"/>
          </w:tcPr>
          <w:p w14:paraId="2453260A">
            <w:pPr>
              <w:keepNext w:val="0"/>
              <w:keepLines w:val="0"/>
              <w:pageBreakBefore w:val="0"/>
              <w:widowControl/>
              <w:shd w:val="clear" w:color="auto" w:fill="FFFFFF"/>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rPr>
            </w:pPr>
            <w:r>
              <w:rPr>
                <w:rFonts w:hint="eastAsia" w:ascii="宋体" w:hAnsi="宋体" w:eastAsia="宋体" w:cs="宋体"/>
                <w:sz w:val="24"/>
                <w:szCs w:val="24"/>
              </w:rPr>
              <w:t>一、进口产品说明</w:t>
            </w:r>
          </w:p>
          <w:p w14:paraId="43D7D750">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□本表的第项货物所涉及的货物已按规定办妥进口产品采购审核手续，投标产品可选用进口产品；但如选用进口产品时必须为全套原装进口产品（即通过中国海关报关验</w:t>
            </w:r>
            <w:bookmarkStart w:id="2" w:name="_GoBack"/>
            <w:bookmarkEnd w:id="2"/>
            <w:r>
              <w:rPr>
                <w:rFonts w:hint="eastAsia" w:ascii="宋体" w:hAnsi="宋体" w:eastAsia="宋体" w:cs="宋体"/>
                <w:sz w:val="24"/>
                <w:szCs w:val="24"/>
              </w:rPr>
              <w:t>放进入中国境内且产自关境外的产品），同时投标人必须负责办理进口产品所有相关手续并承担所有费用。</w:t>
            </w:r>
            <w:r>
              <w:rPr>
                <w:rFonts w:hint="eastAsia" w:ascii="宋体" w:hAnsi="宋体" w:eastAsia="宋体" w:cs="宋体"/>
                <w:b/>
                <w:bCs/>
                <w:sz w:val="24"/>
                <w:szCs w:val="24"/>
              </w:rPr>
              <w:t>其他货物不接受进口产品参与投标</w:t>
            </w:r>
            <w:r>
              <w:rPr>
                <w:rFonts w:hint="eastAsia" w:ascii="宋体" w:hAnsi="宋体" w:eastAsia="宋体" w:cs="宋体"/>
                <w:sz w:val="24"/>
                <w:szCs w:val="24"/>
              </w:rPr>
              <w:t>，</w:t>
            </w:r>
            <w:r>
              <w:rPr>
                <w:rFonts w:hint="eastAsia" w:ascii="宋体" w:hAnsi="宋体" w:eastAsia="宋体" w:cs="宋体"/>
                <w:b/>
                <w:sz w:val="24"/>
                <w:szCs w:val="24"/>
              </w:rPr>
              <w:t>否则作无效投标处理。</w:t>
            </w:r>
          </w:p>
          <w:p w14:paraId="773BA95F">
            <w:pPr>
              <w:keepNext w:val="0"/>
              <w:keepLines w:val="0"/>
              <w:pageBreakBefore w:val="0"/>
              <w:tabs>
                <w:tab w:val="left" w:pos="180"/>
                <w:tab w:val="left" w:pos="1620"/>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☑本表货物所涉及的货物不接受进口产品（即通过中国海关报关验放进入中国境内且产自关境外的产品）参与投标，</w:t>
            </w:r>
            <w:r>
              <w:rPr>
                <w:rFonts w:hint="eastAsia" w:ascii="宋体" w:hAnsi="宋体" w:eastAsia="宋体" w:cs="宋体"/>
                <w:b/>
                <w:sz w:val="24"/>
                <w:szCs w:val="24"/>
              </w:rPr>
              <w:t>如有进口产品参与投标的作无效投标处理</w:t>
            </w:r>
            <w:r>
              <w:rPr>
                <w:rFonts w:hint="eastAsia" w:ascii="宋体" w:hAnsi="宋体" w:eastAsia="宋体" w:cs="宋体"/>
                <w:sz w:val="24"/>
                <w:szCs w:val="24"/>
              </w:rPr>
              <w:t>。</w:t>
            </w:r>
          </w:p>
        </w:tc>
      </w:tr>
    </w:tbl>
    <w:p w14:paraId="7781BDB4">
      <w:pPr>
        <w:pStyle w:val="9"/>
        <w:ind w:left="9520" w:hanging="6120" w:hangingChars="3400"/>
        <w:rPr>
          <w:rFonts w:hint="eastAsia"/>
          <w:color w:val="auto"/>
          <w:highlight w:val="none"/>
        </w:rPr>
      </w:pPr>
      <w:r>
        <w:rPr>
          <w:rFonts w:hint="eastAsia"/>
          <w:color w:val="auto"/>
          <w:highlight w:val="none"/>
        </w:rPr>
        <w:t xml:space="preserve">                                                                                               </w:t>
      </w: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8030842"/>
    </w:sdtPr>
    <w:sdtContent>
      <w:sdt>
        <w:sdtPr>
          <w:id w:val="-1669238322"/>
        </w:sdtPr>
        <w:sdtContent>
          <w:p w14:paraId="21DF47DD">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14:paraId="23C2D845">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NTY1YTkxODY3ZTk3YzY5NjBkMzQyODEyNGNlNDkifQ=="/>
  </w:docVars>
  <w:rsids>
    <w:rsidRoot w:val="009F3B1C"/>
    <w:rsid w:val="00011EB7"/>
    <w:rsid w:val="0001393D"/>
    <w:rsid w:val="000168B8"/>
    <w:rsid w:val="00016907"/>
    <w:rsid w:val="00016B1D"/>
    <w:rsid w:val="000176FE"/>
    <w:rsid w:val="00026150"/>
    <w:rsid w:val="000315B2"/>
    <w:rsid w:val="00032397"/>
    <w:rsid w:val="0003720F"/>
    <w:rsid w:val="00061DBF"/>
    <w:rsid w:val="0006276A"/>
    <w:rsid w:val="000718B1"/>
    <w:rsid w:val="00075CB0"/>
    <w:rsid w:val="0007670C"/>
    <w:rsid w:val="0008186C"/>
    <w:rsid w:val="00085153"/>
    <w:rsid w:val="00085B72"/>
    <w:rsid w:val="00086E66"/>
    <w:rsid w:val="00097111"/>
    <w:rsid w:val="000A1494"/>
    <w:rsid w:val="000A5538"/>
    <w:rsid w:val="000B092C"/>
    <w:rsid w:val="000B4417"/>
    <w:rsid w:val="000D147F"/>
    <w:rsid w:val="000D412A"/>
    <w:rsid w:val="000E7A7D"/>
    <w:rsid w:val="00106387"/>
    <w:rsid w:val="00107E3F"/>
    <w:rsid w:val="001103F4"/>
    <w:rsid w:val="00112FB7"/>
    <w:rsid w:val="0011700C"/>
    <w:rsid w:val="00123514"/>
    <w:rsid w:val="00123A28"/>
    <w:rsid w:val="00124753"/>
    <w:rsid w:val="00126117"/>
    <w:rsid w:val="00127DA5"/>
    <w:rsid w:val="00146EAD"/>
    <w:rsid w:val="00146EF6"/>
    <w:rsid w:val="00150579"/>
    <w:rsid w:val="00150D5D"/>
    <w:rsid w:val="00163327"/>
    <w:rsid w:val="00165273"/>
    <w:rsid w:val="0016613E"/>
    <w:rsid w:val="0017448A"/>
    <w:rsid w:val="00180C11"/>
    <w:rsid w:val="0018512F"/>
    <w:rsid w:val="0019273B"/>
    <w:rsid w:val="00194443"/>
    <w:rsid w:val="00197EB0"/>
    <w:rsid w:val="001A0F2D"/>
    <w:rsid w:val="001A3486"/>
    <w:rsid w:val="001A67E5"/>
    <w:rsid w:val="001B08C0"/>
    <w:rsid w:val="001C0428"/>
    <w:rsid w:val="001C2F6E"/>
    <w:rsid w:val="001C72C6"/>
    <w:rsid w:val="001D2165"/>
    <w:rsid w:val="001E2B65"/>
    <w:rsid w:val="001E4BC5"/>
    <w:rsid w:val="001E6B4E"/>
    <w:rsid w:val="001F598C"/>
    <w:rsid w:val="002006E1"/>
    <w:rsid w:val="00200F88"/>
    <w:rsid w:val="0020362F"/>
    <w:rsid w:val="00211140"/>
    <w:rsid w:val="00212A17"/>
    <w:rsid w:val="0021695B"/>
    <w:rsid w:val="00216A65"/>
    <w:rsid w:val="00216F83"/>
    <w:rsid w:val="00222C08"/>
    <w:rsid w:val="00230735"/>
    <w:rsid w:val="00231643"/>
    <w:rsid w:val="00246701"/>
    <w:rsid w:val="00251591"/>
    <w:rsid w:val="002547BA"/>
    <w:rsid w:val="0025584A"/>
    <w:rsid w:val="0025785F"/>
    <w:rsid w:val="00270D5F"/>
    <w:rsid w:val="00275FB6"/>
    <w:rsid w:val="00277C2B"/>
    <w:rsid w:val="002A552D"/>
    <w:rsid w:val="002B4886"/>
    <w:rsid w:val="002C7374"/>
    <w:rsid w:val="002D4EB9"/>
    <w:rsid w:val="002D5C2A"/>
    <w:rsid w:val="002F1849"/>
    <w:rsid w:val="002F2410"/>
    <w:rsid w:val="002F5AC6"/>
    <w:rsid w:val="00316C4B"/>
    <w:rsid w:val="003272BA"/>
    <w:rsid w:val="00332B68"/>
    <w:rsid w:val="0033315D"/>
    <w:rsid w:val="003359C9"/>
    <w:rsid w:val="003369CE"/>
    <w:rsid w:val="003372B2"/>
    <w:rsid w:val="00341D0C"/>
    <w:rsid w:val="00342BA8"/>
    <w:rsid w:val="003452A2"/>
    <w:rsid w:val="003464CA"/>
    <w:rsid w:val="003516DA"/>
    <w:rsid w:val="00385AA5"/>
    <w:rsid w:val="003929A6"/>
    <w:rsid w:val="00393A03"/>
    <w:rsid w:val="003A37C2"/>
    <w:rsid w:val="003B24DA"/>
    <w:rsid w:val="003C08C7"/>
    <w:rsid w:val="003C6939"/>
    <w:rsid w:val="003E4672"/>
    <w:rsid w:val="003E61BA"/>
    <w:rsid w:val="003F11EB"/>
    <w:rsid w:val="003F5682"/>
    <w:rsid w:val="0040048B"/>
    <w:rsid w:val="004004C6"/>
    <w:rsid w:val="00403DAF"/>
    <w:rsid w:val="004062BB"/>
    <w:rsid w:val="00415EDC"/>
    <w:rsid w:val="004178AC"/>
    <w:rsid w:val="00422122"/>
    <w:rsid w:val="00423EA5"/>
    <w:rsid w:val="0043482F"/>
    <w:rsid w:val="00434C3B"/>
    <w:rsid w:val="0044299C"/>
    <w:rsid w:val="00444DDC"/>
    <w:rsid w:val="00445DEA"/>
    <w:rsid w:val="00457304"/>
    <w:rsid w:val="004604FF"/>
    <w:rsid w:val="00466B80"/>
    <w:rsid w:val="00471483"/>
    <w:rsid w:val="004731C6"/>
    <w:rsid w:val="00480008"/>
    <w:rsid w:val="00484204"/>
    <w:rsid w:val="0049408E"/>
    <w:rsid w:val="00495195"/>
    <w:rsid w:val="004A2A96"/>
    <w:rsid w:val="004B42F0"/>
    <w:rsid w:val="004B6F5C"/>
    <w:rsid w:val="004B78C4"/>
    <w:rsid w:val="004C0424"/>
    <w:rsid w:val="004C1903"/>
    <w:rsid w:val="004C649F"/>
    <w:rsid w:val="004D1988"/>
    <w:rsid w:val="004D3683"/>
    <w:rsid w:val="004D7B8B"/>
    <w:rsid w:val="004E323E"/>
    <w:rsid w:val="004E35E7"/>
    <w:rsid w:val="004E7F04"/>
    <w:rsid w:val="004F5780"/>
    <w:rsid w:val="004F5E9D"/>
    <w:rsid w:val="004F62AE"/>
    <w:rsid w:val="005049DE"/>
    <w:rsid w:val="00504A65"/>
    <w:rsid w:val="00507A4D"/>
    <w:rsid w:val="00511169"/>
    <w:rsid w:val="0052429E"/>
    <w:rsid w:val="00526C09"/>
    <w:rsid w:val="00527FAF"/>
    <w:rsid w:val="005365C0"/>
    <w:rsid w:val="00536B3A"/>
    <w:rsid w:val="005419CE"/>
    <w:rsid w:val="00541BAA"/>
    <w:rsid w:val="00543F0C"/>
    <w:rsid w:val="00551724"/>
    <w:rsid w:val="005569D5"/>
    <w:rsid w:val="00557CEA"/>
    <w:rsid w:val="0056115B"/>
    <w:rsid w:val="00562B42"/>
    <w:rsid w:val="005666C6"/>
    <w:rsid w:val="00575078"/>
    <w:rsid w:val="00580D05"/>
    <w:rsid w:val="00583A19"/>
    <w:rsid w:val="00587509"/>
    <w:rsid w:val="00595967"/>
    <w:rsid w:val="005A1CA6"/>
    <w:rsid w:val="005B2946"/>
    <w:rsid w:val="005B6F7D"/>
    <w:rsid w:val="005B7B78"/>
    <w:rsid w:val="005C5515"/>
    <w:rsid w:val="005D37AB"/>
    <w:rsid w:val="005D4A80"/>
    <w:rsid w:val="005E1CE9"/>
    <w:rsid w:val="005E1D6F"/>
    <w:rsid w:val="005E2742"/>
    <w:rsid w:val="005E606E"/>
    <w:rsid w:val="005E6D8B"/>
    <w:rsid w:val="005F22E7"/>
    <w:rsid w:val="005F2984"/>
    <w:rsid w:val="005F4015"/>
    <w:rsid w:val="005F41B3"/>
    <w:rsid w:val="005F44C2"/>
    <w:rsid w:val="005F7548"/>
    <w:rsid w:val="00610076"/>
    <w:rsid w:val="0061208F"/>
    <w:rsid w:val="0061486C"/>
    <w:rsid w:val="00622495"/>
    <w:rsid w:val="00627373"/>
    <w:rsid w:val="00631775"/>
    <w:rsid w:val="00632F81"/>
    <w:rsid w:val="006371D9"/>
    <w:rsid w:val="00637FA3"/>
    <w:rsid w:val="006411FC"/>
    <w:rsid w:val="00652E4A"/>
    <w:rsid w:val="006604B5"/>
    <w:rsid w:val="00660EC0"/>
    <w:rsid w:val="00664A53"/>
    <w:rsid w:val="0067284A"/>
    <w:rsid w:val="00673065"/>
    <w:rsid w:val="00686844"/>
    <w:rsid w:val="00692580"/>
    <w:rsid w:val="006928F9"/>
    <w:rsid w:val="006962A8"/>
    <w:rsid w:val="006A0CCA"/>
    <w:rsid w:val="006A3DC5"/>
    <w:rsid w:val="006B2D9C"/>
    <w:rsid w:val="006B770D"/>
    <w:rsid w:val="006C1A98"/>
    <w:rsid w:val="006C3860"/>
    <w:rsid w:val="006C3A3A"/>
    <w:rsid w:val="006C488B"/>
    <w:rsid w:val="006C5A37"/>
    <w:rsid w:val="006C5E3E"/>
    <w:rsid w:val="006D1033"/>
    <w:rsid w:val="006D5021"/>
    <w:rsid w:val="006E497E"/>
    <w:rsid w:val="006E4B22"/>
    <w:rsid w:val="006E7444"/>
    <w:rsid w:val="006E75F6"/>
    <w:rsid w:val="006F4459"/>
    <w:rsid w:val="006F7AFC"/>
    <w:rsid w:val="007046C4"/>
    <w:rsid w:val="00726C0A"/>
    <w:rsid w:val="007312D9"/>
    <w:rsid w:val="0073275D"/>
    <w:rsid w:val="00744A9F"/>
    <w:rsid w:val="007472FA"/>
    <w:rsid w:val="007608AC"/>
    <w:rsid w:val="00761F99"/>
    <w:rsid w:val="00763BB2"/>
    <w:rsid w:val="00771687"/>
    <w:rsid w:val="007718D0"/>
    <w:rsid w:val="00772752"/>
    <w:rsid w:val="00774788"/>
    <w:rsid w:val="00774DE5"/>
    <w:rsid w:val="00785633"/>
    <w:rsid w:val="0079364E"/>
    <w:rsid w:val="007A0BC5"/>
    <w:rsid w:val="007A55BA"/>
    <w:rsid w:val="007A6C7D"/>
    <w:rsid w:val="007B2418"/>
    <w:rsid w:val="007C0126"/>
    <w:rsid w:val="007C2CDC"/>
    <w:rsid w:val="007C37FB"/>
    <w:rsid w:val="007C4826"/>
    <w:rsid w:val="007D3C2A"/>
    <w:rsid w:val="007D405B"/>
    <w:rsid w:val="007E6032"/>
    <w:rsid w:val="008010DA"/>
    <w:rsid w:val="0080410C"/>
    <w:rsid w:val="00806BA0"/>
    <w:rsid w:val="0081140F"/>
    <w:rsid w:val="00813205"/>
    <w:rsid w:val="00820206"/>
    <w:rsid w:val="00820500"/>
    <w:rsid w:val="00821A51"/>
    <w:rsid w:val="008227DF"/>
    <w:rsid w:val="008310FD"/>
    <w:rsid w:val="0083454D"/>
    <w:rsid w:val="00834E83"/>
    <w:rsid w:val="008353E6"/>
    <w:rsid w:val="008360E5"/>
    <w:rsid w:val="0083749B"/>
    <w:rsid w:val="008428AB"/>
    <w:rsid w:val="00842F6A"/>
    <w:rsid w:val="00844261"/>
    <w:rsid w:val="00851403"/>
    <w:rsid w:val="00852208"/>
    <w:rsid w:val="00861C51"/>
    <w:rsid w:val="00862F19"/>
    <w:rsid w:val="0086632F"/>
    <w:rsid w:val="008675CA"/>
    <w:rsid w:val="008702D9"/>
    <w:rsid w:val="00872662"/>
    <w:rsid w:val="00891D6F"/>
    <w:rsid w:val="00892F22"/>
    <w:rsid w:val="00896FB5"/>
    <w:rsid w:val="00897E0F"/>
    <w:rsid w:val="008A053F"/>
    <w:rsid w:val="008A175B"/>
    <w:rsid w:val="008A19D1"/>
    <w:rsid w:val="008A45BB"/>
    <w:rsid w:val="008A4708"/>
    <w:rsid w:val="008B2ECA"/>
    <w:rsid w:val="008B4E2D"/>
    <w:rsid w:val="008B74F0"/>
    <w:rsid w:val="008C3BCC"/>
    <w:rsid w:val="008D312B"/>
    <w:rsid w:val="008D5688"/>
    <w:rsid w:val="008E51E8"/>
    <w:rsid w:val="008E5474"/>
    <w:rsid w:val="008F75E7"/>
    <w:rsid w:val="008F7F21"/>
    <w:rsid w:val="00904E9A"/>
    <w:rsid w:val="00907345"/>
    <w:rsid w:val="00913242"/>
    <w:rsid w:val="00922FAA"/>
    <w:rsid w:val="009230D9"/>
    <w:rsid w:val="00924B9F"/>
    <w:rsid w:val="0093507E"/>
    <w:rsid w:val="00936139"/>
    <w:rsid w:val="00942545"/>
    <w:rsid w:val="009466FE"/>
    <w:rsid w:val="00947044"/>
    <w:rsid w:val="0095501F"/>
    <w:rsid w:val="00956F32"/>
    <w:rsid w:val="009617E5"/>
    <w:rsid w:val="00964898"/>
    <w:rsid w:val="00971E70"/>
    <w:rsid w:val="009720D9"/>
    <w:rsid w:val="00986D45"/>
    <w:rsid w:val="00990531"/>
    <w:rsid w:val="009A2A15"/>
    <w:rsid w:val="009B622C"/>
    <w:rsid w:val="009C07EB"/>
    <w:rsid w:val="009C19EF"/>
    <w:rsid w:val="009C35CA"/>
    <w:rsid w:val="009E40C9"/>
    <w:rsid w:val="009E652F"/>
    <w:rsid w:val="009F0566"/>
    <w:rsid w:val="009F3B1C"/>
    <w:rsid w:val="00A052FC"/>
    <w:rsid w:val="00A06186"/>
    <w:rsid w:val="00A14A41"/>
    <w:rsid w:val="00A20E7B"/>
    <w:rsid w:val="00A21B4C"/>
    <w:rsid w:val="00A23349"/>
    <w:rsid w:val="00A31842"/>
    <w:rsid w:val="00A45DC6"/>
    <w:rsid w:val="00A5239A"/>
    <w:rsid w:val="00A57F37"/>
    <w:rsid w:val="00A63416"/>
    <w:rsid w:val="00A6458F"/>
    <w:rsid w:val="00A7168B"/>
    <w:rsid w:val="00A753A9"/>
    <w:rsid w:val="00A86060"/>
    <w:rsid w:val="00A92B71"/>
    <w:rsid w:val="00A95EDB"/>
    <w:rsid w:val="00A961FA"/>
    <w:rsid w:val="00A97799"/>
    <w:rsid w:val="00AA2112"/>
    <w:rsid w:val="00AA3553"/>
    <w:rsid w:val="00AB57D1"/>
    <w:rsid w:val="00AD5BC1"/>
    <w:rsid w:val="00AD64CB"/>
    <w:rsid w:val="00AE3EDB"/>
    <w:rsid w:val="00AE456A"/>
    <w:rsid w:val="00AE5A89"/>
    <w:rsid w:val="00AE6D03"/>
    <w:rsid w:val="00AF286E"/>
    <w:rsid w:val="00AF4907"/>
    <w:rsid w:val="00AF7779"/>
    <w:rsid w:val="00B01E56"/>
    <w:rsid w:val="00B046E7"/>
    <w:rsid w:val="00B12FCB"/>
    <w:rsid w:val="00B13FE0"/>
    <w:rsid w:val="00B17A2E"/>
    <w:rsid w:val="00B31AB9"/>
    <w:rsid w:val="00B3504B"/>
    <w:rsid w:val="00B51AA0"/>
    <w:rsid w:val="00B555AA"/>
    <w:rsid w:val="00B57D0E"/>
    <w:rsid w:val="00B62380"/>
    <w:rsid w:val="00B645D6"/>
    <w:rsid w:val="00B66511"/>
    <w:rsid w:val="00B7042F"/>
    <w:rsid w:val="00B75E26"/>
    <w:rsid w:val="00B77AE4"/>
    <w:rsid w:val="00B83618"/>
    <w:rsid w:val="00B86BBB"/>
    <w:rsid w:val="00B908B0"/>
    <w:rsid w:val="00B91FE0"/>
    <w:rsid w:val="00B93A36"/>
    <w:rsid w:val="00BA376F"/>
    <w:rsid w:val="00BA7FBF"/>
    <w:rsid w:val="00BB0164"/>
    <w:rsid w:val="00BB5749"/>
    <w:rsid w:val="00BC5669"/>
    <w:rsid w:val="00BD144A"/>
    <w:rsid w:val="00BD25EE"/>
    <w:rsid w:val="00BD47C6"/>
    <w:rsid w:val="00BD5B35"/>
    <w:rsid w:val="00BD705C"/>
    <w:rsid w:val="00BD747D"/>
    <w:rsid w:val="00BE65B8"/>
    <w:rsid w:val="00BF0304"/>
    <w:rsid w:val="00BF4CDA"/>
    <w:rsid w:val="00BF4F65"/>
    <w:rsid w:val="00BF746D"/>
    <w:rsid w:val="00C0293E"/>
    <w:rsid w:val="00C03592"/>
    <w:rsid w:val="00C0481B"/>
    <w:rsid w:val="00C057A3"/>
    <w:rsid w:val="00C068CC"/>
    <w:rsid w:val="00C10C84"/>
    <w:rsid w:val="00C155FB"/>
    <w:rsid w:val="00C178AC"/>
    <w:rsid w:val="00C2311E"/>
    <w:rsid w:val="00C2342D"/>
    <w:rsid w:val="00C24B79"/>
    <w:rsid w:val="00C263E3"/>
    <w:rsid w:val="00C32C76"/>
    <w:rsid w:val="00C36FA2"/>
    <w:rsid w:val="00C371AE"/>
    <w:rsid w:val="00C54C91"/>
    <w:rsid w:val="00C56984"/>
    <w:rsid w:val="00C637E3"/>
    <w:rsid w:val="00C669EE"/>
    <w:rsid w:val="00C73746"/>
    <w:rsid w:val="00C76A5A"/>
    <w:rsid w:val="00C81212"/>
    <w:rsid w:val="00C81768"/>
    <w:rsid w:val="00C82CCE"/>
    <w:rsid w:val="00C83398"/>
    <w:rsid w:val="00C847BE"/>
    <w:rsid w:val="00C87FEC"/>
    <w:rsid w:val="00C94953"/>
    <w:rsid w:val="00C963AA"/>
    <w:rsid w:val="00C9688C"/>
    <w:rsid w:val="00CA0C7F"/>
    <w:rsid w:val="00CA49CB"/>
    <w:rsid w:val="00CA69E3"/>
    <w:rsid w:val="00CB2D25"/>
    <w:rsid w:val="00CC3E1C"/>
    <w:rsid w:val="00CD220B"/>
    <w:rsid w:val="00CD2F1E"/>
    <w:rsid w:val="00CE325B"/>
    <w:rsid w:val="00CE32ED"/>
    <w:rsid w:val="00CF00E2"/>
    <w:rsid w:val="00CF6278"/>
    <w:rsid w:val="00D020A6"/>
    <w:rsid w:val="00D1040D"/>
    <w:rsid w:val="00D110F0"/>
    <w:rsid w:val="00D116AD"/>
    <w:rsid w:val="00D124FD"/>
    <w:rsid w:val="00D242EA"/>
    <w:rsid w:val="00D2646A"/>
    <w:rsid w:val="00D30F48"/>
    <w:rsid w:val="00D320F9"/>
    <w:rsid w:val="00D333EE"/>
    <w:rsid w:val="00D4784F"/>
    <w:rsid w:val="00D55656"/>
    <w:rsid w:val="00D70A66"/>
    <w:rsid w:val="00D70DDC"/>
    <w:rsid w:val="00D71EEC"/>
    <w:rsid w:val="00D7420A"/>
    <w:rsid w:val="00D75520"/>
    <w:rsid w:val="00D76B17"/>
    <w:rsid w:val="00D8340C"/>
    <w:rsid w:val="00D84B4F"/>
    <w:rsid w:val="00D8523A"/>
    <w:rsid w:val="00D91237"/>
    <w:rsid w:val="00D92758"/>
    <w:rsid w:val="00D95AB3"/>
    <w:rsid w:val="00D96034"/>
    <w:rsid w:val="00D96E65"/>
    <w:rsid w:val="00D97D04"/>
    <w:rsid w:val="00DA2F8E"/>
    <w:rsid w:val="00DA6BEA"/>
    <w:rsid w:val="00DB118B"/>
    <w:rsid w:val="00DC0073"/>
    <w:rsid w:val="00DC0828"/>
    <w:rsid w:val="00DC0FC6"/>
    <w:rsid w:val="00DC2DA0"/>
    <w:rsid w:val="00DC4AF2"/>
    <w:rsid w:val="00DC57F2"/>
    <w:rsid w:val="00DE63EF"/>
    <w:rsid w:val="00DE6432"/>
    <w:rsid w:val="00DF09D1"/>
    <w:rsid w:val="00DF5ED5"/>
    <w:rsid w:val="00DF7123"/>
    <w:rsid w:val="00E01EE5"/>
    <w:rsid w:val="00E021E5"/>
    <w:rsid w:val="00E11E07"/>
    <w:rsid w:val="00E17823"/>
    <w:rsid w:val="00E21E98"/>
    <w:rsid w:val="00E221CE"/>
    <w:rsid w:val="00E36854"/>
    <w:rsid w:val="00E57BBC"/>
    <w:rsid w:val="00E62996"/>
    <w:rsid w:val="00E65C1A"/>
    <w:rsid w:val="00E74579"/>
    <w:rsid w:val="00E76885"/>
    <w:rsid w:val="00E84384"/>
    <w:rsid w:val="00E84B33"/>
    <w:rsid w:val="00E85254"/>
    <w:rsid w:val="00E857DE"/>
    <w:rsid w:val="00E85928"/>
    <w:rsid w:val="00E863C1"/>
    <w:rsid w:val="00E91AE5"/>
    <w:rsid w:val="00E9337D"/>
    <w:rsid w:val="00E93EEE"/>
    <w:rsid w:val="00E964D4"/>
    <w:rsid w:val="00EA4DC1"/>
    <w:rsid w:val="00EB3614"/>
    <w:rsid w:val="00EB36CA"/>
    <w:rsid w:val="00EC12E7"/>
    <w:rsid w:val="00EC4498"/>
    <w:rsid w:val="00EC57C8"/>
    <w:rsid w:val="00EC7F4A"/>
    <w:rsid w:val="00ED5420"/>
    <w:rsid w:val="00EE2269"/>
    <w:rsid w:val="00EE3B6A"/>
    <w:rsid w:val="00EE4198"/>
    <w:rsid w:val="00EE704A"/>
    <w:rsid w:val="00EE76AA"/>
    <w:rsid w:val="00EF442F"/>
    <w:rsid w:val="00EF6C08"/>
    <w:rsid w:val="00F02C03"/>
    <w:rsid w:val="00F046E5"/>
    <w:rsid w:val="00F100D4"/>
    <w:rsid w:val="00F11D4B"/>
    <w:rsid w:val="00F1283D"/>
    <w:rsid w:val="00F1458D"/>
    <w:rsid w:val="00F22129"/>
    <w:rsid w:val="00F236DF"/>
    <w:rsid w:val="00F23A21"/>
    <w:rsid w:val="00F34061"/>
    <w:rsid w:val="00F37669"/>
    <w:rsid w:val="00F5093A"/>
    <w:rsid w:val="00F5217E"/>
    <w:rsid w:val="00F607AA"/>
    <w:rsid w:val="00F70B96"/>
    <w:rsid w:val="00F71949"/>
    <w:rsid w:val="00F735A6"/>
    <w:rsid w:val="00F73946"/>
    <w:rsid w:val="00F745FB"/>
    <w:rsid w:val="00F746BC"/>
    <w:rsid w:val="00F76DE4"/>
    <w:rsid w:val="00F821E6"/>
    <w:rsid w:val="00F92128"/>
    <w:rsid w:val="00FA66C2"/>
    <w:rsid w:val="00FA7E11"/>
    <w:rsid w:val="00FB282B"/>
    <w:rsid w:val="00FC30CB"/>
    <w:rsid w:val="00FD1592"/>
    <w:rsid w:val="00FD318F"/>
    <w:rsid w:val="00FE679F"/>
    <w:rsid w:val="00FF0542"/>
    <w:rsid w:val="00FF2227"/>
    <w:rsid w:val="033E1D9B"/>
    <w:rsid w:val="037B6E56"/>
    <w:rsid w:val="0472574E"/>
    <w:rsid w:val="04743336"/>
    <w:rsid w:val="048823B8"/>
    <w:rsid w:val="050F641A"/>
    <w:rsid w:val="05CE47D7"/>
    <w:rsid w:val="06C646AD"/>
    <w:rsid w:val="0700568F"/>
    <w:rsid w:val="070E0E74"/>
    <w:rsid w:val="07162862"/>
    <w:rsid w:val="07426707"/>
    <w:rsid w:val="077F25A1"/>
    <w:rsid w:val="07CA60C0"/>
    <w:rsid w:val="07F20A31"/>
    <w:rsid w:val="09355D1A"/>
    <w:rsid w:val="0940212C"/>
    <w:rsid w:val="09686808"/>
    <w:rsid w:val="0A04047C"/>
    <w:rsid w:val="0B4F743E"/>
    <w:rsid w:val="0BCE27D3"/>
    <w:rsid w:val="0BD52D87"/>
    <w:rsid w:val="0BE549C3"/>
    <w:rsid w:val="0C623AE7"/>
    <w:rsid w:val="0CE26B88"/>
    <w:rsid w:val="0D224A3B"/>
    <w:rsid w:val="0D5F1F7C"/>
    <w:rsid w:val="0E0145AD"/>
    <w:rsid w:val="0E353520"/>
    <w:rsid w:val="0E7A4D7E"/>
    <w:rsid w:val="0F116CC3"/>
    <w:rsid w:val="0F1802C7"/>
    <w:rsid w:val="0F410360"/>
    <w:rsid w:val="0FB43E0B"/>
    <w:rsid w:val="0FFD043C"/>
    <w:rsid w:val="1066377D"/>
    <w:rsid w:val="108A0991"/>
    <w:rsid w:val="10A66963"/>
    <w:rsid w:val="12864833"/>
    <w:rsid w:val="12E96366"/>
    <w:rsid w:val="138A0A5A"/>
    <w:rsid w:val="13996542"/>
    <w:rsid w:val="140F411D"/>
    <w:rsid w:val="15070C3B"/>
    <w:rsid w:val="150B30B8"/>
    <w:rsid w:val="1531675B"/>
    <w:rsid w:val="15806149"/>
    <w:rsid w:val="15EC4A0C"/>
    <w:rsid w:val="164C4234"/>
    <w:rsid w:val="16ED0198"/>
    <w:rsid w:val="179140ED"/>
    <w:rsid w:val="17973A09"/>
    <w:rsid w:val="181F551F"/>
    <w:rsid w:val="18957298"/>
    <w:rsid w:val="1A347EB0"/>
    <w:rsid w:val="1A3E3FFF"/>
    <w:rsid w:val="1A84566A"/>
    <w:rsid w:val="1AD773E3"/>
    <w:rsid w:val="1B5C6656"/>
    <w:rsid w:val="1B8D2D6A"/>
    <w:rsid w:val="1D01492E"/>
    <w:rsid w:val="1D140B78"/>
    <w:rsid w:val="1D1D6A81"/>
    <w:rsid w:val="1E550DAF"/>
    <w:rsid w:val="1EA34D9F"/>
    <w:rsid w:val="1EA35D38"/>
    <w:rsid w:val="1EE82091"/>
    <w:rsid w:val="202C6AA1"/>
    <w:rsid w:val="20951EAB"/>
    <w:rsid w:val="20DB122E"/>
    <w:rsid w:val="210E23D4"/>
    <w:rsid w:val="21437B44"/>
    <w:rsid w:val="21745C90"/>
    <w:rsid w:val="217E3D77"/>
    <w:rsid w:val="21976D6E"/>
    <w:rsid w:val="219E5142"/>
    <w:rsid w:val="21B347DA"/>
    <w:rsid w:val="226E16CE"/>
    <w:rsid w:val="23062FBC"/>
    <w:rsid w:val="23723D94"/>
    <w:rsid w:val="237874E2"/>
    <w:rsid w:val="23D35D25"/>
    <w:rsid w:val="25AE735E"/>
    <w:rsid w:val="26720869"/>
    <w:rsid w:val="26A110FB"/>
    <w:rsid w:val="27837956"/>
    <w:rsid w:val="27EA0313"/>
    <w:rsid w:val="27ED39A4"/>
    <w:rsid w:val="2AC70583"/>
    <w:rsid w:val="2B1E666D"/>
    <w:rsid w:val="2BD02F57"/>
    <w:rsid w:val="2BF57916"/>
    <w:rsid w:val="2C2A2FAB"/>
    <w:rsid w:val="2C2D4DA9"/>
    <w:rsid w:val="2CED48BB"/>
    <w:rsid w:val="2D2B04C2"/>
    <w:rsid w:val="2D2E20A7"/>
    <w:rsid w:val="2DFB36C3"/>
    <w:rsid w:val="2E6833B6"/>
    <w:rsid w:val="303567C7"/>
    <w:rsid w:val="3091387E"/>
    <w:rsid w:val="30BD00E7"/>
    <w:rsid w:val="3121449D"/>
    <w:rsid w:val="31F36526"/>
    <w:rsid w:val="32132BEF"/>
    <w:rsid w:val="323728CA"/>
    <w:rsid w:val="33021558"/>
    <w:rsid w:val="332C7D94"/>
    <w:rsid w:val="332F3736"/>
    <w:rsid w:val="341026CA"/>
    <w:rsid w:val="345160B9"/>
    <w:rsid w:val="348B0CC3"/>
    <w:rsid w:val="349439D0"/>
    <w:rsid w:val="34A15131"/>
    <w:rsid w:val="34A27104"/>
    <w:rsid w:val="351A50D3"/>
    <w:rsid w:val="354042CC"/>
    <w:rsid w:val="35681FDC"/>
    <w:rsid w:val="35A47F69"/>
    <w:rsid w:val="35B31AFA"/>
    <w:rsid w:val="35DA716E"/>
    <w:rsid w:val="36932551"/>
    <w:rsid w:val="372F2D4E"/>
    <w:rsid w:val="37787C38"/>
    <w:rsid w:val="37862989"/>
    <w:rsid w:val="37A22FC7"/>
    <w:rsid w:val="387062F7"/>
    <w:rsid w:val="393B7EE2"/>
    <w:rsid w:val="395D3832"/>
    <w:rsid w:val="39F143D8"/>
    <w:rsid w:val="3A3741E4"/>
    <w:rsid w:val="3A3E062F"/>
    <w:rsid w:val="3BF14EBF"/>
    <w:rsid w:val="3BF233F5"/>
    <w:rsid w:val="3C464A99"/>
    <w:rsid w:val="3C4C3D0A"/>
    <w:rsid w:val="3CB55DDB"/>
    <w:rsid w:val="3CC92171"/>
    <w:rsid w:val="3D251B4A"/>
    <w:rsid w:val="3D9A7390"/>
    <w:rsid w:val="3DB2578D"/>
    <w:rsid w:val="3DF1139C"/>
    <w:rsid w:val="3E6447BA"/>
    <w:rsid w:val="3E940D80"/>
    <w:rsid w:val="3F265FBC"/>
    <w:rsid w:val="3F652DC7"/>
    <w:rsid w:val="3FD73884"/>
    <w:rsid w:val="3FF102E8"/>
    <w:rsid w:val="406C5358"/>
    <w:rsid w:val="40CD591E"/>
    <w:rsid w:val="40EE1A79"/>
    <w:rsid w:val="41377C8C"/>
    <w:rsid w:val="4149335F"/>
    <w:rsid w:val="414C4C42"/>
    <w:rsid w:val="419B0DFB"/>
    <w:rsid w:val="431335B8"/>
    <w:rsid w:val="43506077"/>
    <w:rsid w:val="435B4DF5"/>
    <w:rsid w:val="4365375A"/>
    <w:rsid w:val="43B4421C"/>
    <w:rsid w:val="443B38CB"/>
    <w:rsid w:val="44D017E5"/>
    <w:rsid w:val="45B0484B"/>
    <w:rsid w:val="45DB19F4"/>
    <w:rsid w:val="461737AB"/>
    <w:rsid w:val="466F547C"/>
    <w:rsid w:val="46DF1529"/>
    <w:rsid w:val="47037E6D"/>
    <w:rsid w:val="47052ACC"/>
    <w:rsid w:val="475241A4"/>
    <w:rsid w:val="475C3CAE"/>
    <w:rsid w:val="4786351D"/>
    <w:rsid w:val="478D3841"/>
    <w:rsid w:val="47A73BB4"/>
    <w:rsid w:val="47EA0B89"/>
    <w:rsid w:val="49B752AC"/>
    <w:rsid w:val="49C435C4"/>
    <w:rsid w:val="49E366D7"/>
    <w:rsid w:val="4A415FF8"/>
    <w:rsid w:val="4B282037"/>
    <w:rsid w:val="4B40653C"/>
    <w:rsid w:val="4B6C0A54"/>
    <w:rsid w:val="4B7943C7"/>
    <w:rsid w:val="4BA60774"/>
    <w:rsid w:val="4BAE684A"/>
    <w:rsid w:val="4C89645C"/>
    <w:rsid w:val="4CC770EA"/>
    <w:rsid w:val="4CE746D1"/>
    <w:rsid w:val="4D702675"/>
    <w:rsid w:val="4D7E55CC"/>
    <w:rsid w:val="4E211AA5"/>
    <w:rsid w:val="4E765EA6"/>
    <w:rsid w:val="4E953EAB"/>
    <w:rsid w:val="4E997C78"/>
    <w:rsid w:val="4EAB2408"/>
    <w:rsid w:val="4EAF12B2"/>
    <w:rsid w:val="4F80503B"/>
    <w:rsid w:val="4FDA67F6"/>
    <w:rsid w:val="500D442F"/>
    <w:rsid w:val="502675D7"/>
    <w:rsid w:val="502B287F"/>
    <w:rsid w:val="50DD72C1"/>
    <w:rsid w:val="5160593A"/>
    <w:rsid w:val="51712FA4"/>
    <w:rsid w:val="521428E5"/>
    <w:rsid w:val="525F4924"/>
    <w:rsid w:val="534513A2"/>
    <w:rsid w:val="53886CE0"/>
    <w:rsid w:val="54C07F20"/>
    <w:rsid w:val="553E4DFF"/>
    <w:rsid w:val="55907A7D"/>
    <w:rsid w:val="55CB02B5"/>
    <w:rsid w:val="562217B3"/>
    <w:rsid w:val="56957A9F"/>
    <w:rsid w:val="56E473C8"/>
    <w:rsid w:val="578B6BCB"/>
    <w:rsid w:val="57A62CF9"/>
    <w:rsid w:val="58BF1AE4"/>
    <w:rsid w:val="59987FA9"/>
    <w:rsid w:val="59AA7A46"/>
    <w:rsid w:val="59EA41D4"/>
    <w:rsid w:val="5A964369"/>
    <w:rsid w:val="5AD841BD"/>
    <w:rsid w:val="5BAF3F4A"/>
    <w:rsid w:val="5BC44B03"/>
    <w:rsid w:val="5BD65822"/>
    <w:rsid w:val="5C546394"/>
    <w:rsid w:val="5C5D1991"/>
    <w:rsid w:val="5C6D62EB"/>
    <w:rsid w:val="5CD54DC2"/>
    <w:rsid w:val="5D750FD6"/>
    <w:rsid w:val="5DA932B2"/>
    <w:rsid w:val="5DAF36EB"/>
    <w:rsid w:val="5DB379CC"/>
    <w:rsid w:val="5DE51582"/>
    <w:rsid w:val="5E5B0F4D"/>
    <w:rsid w:val="5EAF5067"/>
    <w:rsid w:val="5EDE3D7A"/>
    <w:rsid w:val="5EFB284C"/>
    <w:rsid w:val="5F3673C4"/>
    <w:rsid w:val="61266857"/>
    <w:rsid w:val="61381D3F"/>
    <w:rsid w:val="61FF4832"/>
    <w:rsid w:val="6230306E"/>
    <w:rsid w:val="62A366F1"/>
    <w:rsid w:val="62F11800"/>
    <w:rsid w:val="62F53A64"/>
    <w:rsid w:val="63BA28EB"/>
    <w:rsid w:val="64805EB4"/>
    <w:rsid w:val="64E96AA1"/>
    <w:rsid w:val="6505560D"/>
    <w:rsid w:val="65072E81"/>
    <w:rsid w:val="65926B4F"/>
    <w:rsid w:val="65D00302"/>
    <w:rsid w:val="66184FC6"/>
    <w:rsid w:val="667F3774"/>
    <w:rsid w:val="669B179F"/>
    <w:rsid w:val="673F6825"/>
    <w:rsid w:val="676F1DFC"/>
    <w:rsid w:val="677B7575"/>
    <w:rsid w:val="67A45DD7"/>
    <w:rsid w:val="68673EB8"/>
    <w:rsid w:val="687A109C"/>
    <w:rsid w:val="69504B49"/>
    <w:rsid w:val="69667DCC"/>
    <w:rsid w:val="69EA2AC1"/>
    <w:rsid w:val="6A744B7E"/>
    <w:rsid w:val="6AA4064C"/>
    <w:rsid w:val="6BAF4F3B"/>
    <w:rsid w:val="6BCA2E31"/>
    <w:rsid w:val="6BE73DD7"/>
    <w:rsid w:val="6C143FC0"/>
    <w:rsid w:val="6C3E515E"/>
    <w:rsid w:val="6D2454FF"/>
    <w:rsid w:val="6E797D7C"/>
    <w:rsid w:val="6E981082"/>
    <w:rsid w:val="6E995ADE"/>
    <w:rsid w:val="6EB562FE"/>
    <w:rsid w:val="6EC524A8"/>
    <w:rsid w:val="6F7D09E8"/>
    <w:rsid w:val="6FA1019C"/>
    <w:rsid w:val="6FB13AEB"/>
    <w:rsid w:val="703133E5"/>
    <w:rsid w:val="70444E71"/>
    <w:rsid w:val="710D72D1"/>
    <w:rsid w:val="71373C2B"/>
    <w:rsid w:val="71580C1A"/>
    <w:rsid w:val="71A4289E"/>
    <w:rsid w:val="71BC4378"/>
    <w:rsid w:val="71D818AF"/>
    <w:rsid w:val="72400333"/>
    <w:rsid w:val="727B6713"/>
    <w:rsid w:val="73273DCC"/>
    <w:rsid w:val="733750A3"/>
    <w:rsid w:val="73E16AC8"/>
    <w:rsid w:val="74677C8A"/>
    <w:rsid w:val="749F6ACC"/>
    <w:rsid w:val="75043A80"/>
    <w:rsid w:val="7534591D"/>
    <w:rsid w:val="75D3241B"/>
    <w:rsid w:val="75FC10E6"/>
    <w:rsid w:val="77060544"/>
    <w:rsid w:val="773F1DD6"/>
    <w:rsid w:val="77CB35AD"/>
    <w:rsid w:val="786C3B04"/>
    <w:rsid w:val="78701F84"/>
    <w:rsid w:val="787178BB"/>
    <w:rsid w:val="787633B2"/>
    <w:rsid w:val="78AD2FEC"/>
    <w:rsid w:val="7B160229"/>
    <w:rsid w:val="7BCA4236"/>
    <w:rsid w:val="7D430E23"/>
    <w:rsid w:val="7E74458F"/>
    <w:rsid w:val="7E87347A"/>
    <w:rsid w:val="7EA24FE7"/>
    <w:rsid w:val="7F6E48F8"/>
    <w:rsid w:val="7FB7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3">
    <w:name w:val="heading 5"/>
    <w:basedOn w:val="1"/>
    <w:next w:val="1"/>
    <w:unhideWhenUsed/>
    <w:qFormat/>
    <w:uiPriority w:val="9"/>
    <w:pPr>
      <w:keepNext/>
      <w:keepLines/>
      <w:spacing w:before="280" w:after="290" w:line="372" w:lineRule="auto"/>
      <w:outlineLvl w:val="4"/>
    </w:pPr>
    <w:rPr>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semiHidden/>
    <w:unhideWhenUsed/>
    <w:qFormat/>
    <w:uiPriority w:val="99"/>
    <w:pPr>
      <w:jc w:val="left"/>
    </w:pPr>
  </w:style>
  <w:style w:type="paragraph" w:styleId="5">
    <w:name w:val="Body Text"/>
    <w:basedOn w:val="1"/>
    <w:next w:val="1"/>
    <w:autoRedefine/>
    <w:unhideWhenUsed/>
    <w:qFormat/>
    <w:uiPriority w:val="99"/>
    <w:pPr>
      <w:spacing w:after="120"/>
    </w:pPr>
  </w:style>
  <w:style w:type="paragraph" w:styleId="6">
    <w:name w:val="Body Text Indent"/>
    <w:basedOn w:val="1"/>
    <w:autoRedefine/>
    <w:qFormat/>
    <w:uiPriority w:val="0"/>
    <w:pPr>
      <w:ind w:firstLine="830" w:firstLineChars="352"/>
    </w:pPr>
    <w:rPr>
      <w:rFonts w:ascii="仿宋_GB2312" w:eastAsia="仿宋_GB2312"/>
      <w:sz w:val="32"/>
      <w:szCs w:val="20"/>
    </w:rPr>
  </w:style>
  <w:style w:type="paragraph" w:styleId="7">
    <w:name w:val="Plain Text"/>
    <w:basedOn w:val="5"/>
    <w:next w:val="5"/>
    <w:unhideWhenUsed/>
    <w:qFormat/>
    <w:uiPriority w:val="99"/>
    <w:rPr>
      <w:rFonts w:ascii="宋体" w:hAnsi="宋体" w:eastAsia="宋体"/>
      <w:sz w:val="52"/>
    </w:rPr>
  </w:style>
  <w:style w:type="paragraph" w:styleId="8">
    <w:name w:val="Balloon Text"/>
    <w:basedOn w:val="1"/>
    <w:link w:val="20"/>
    <w:semiHidden/>
    <w:unhideWhenUsed/>
    <w:qFormat/>
    <w:uiPriority w:val="99"/>
    <w:rPr>
      <w:sz w:val="18"/>
      <w:szCs w:val="18"/>
    </w:rPr>
  </w:style>
  <w:style w:type="paragraph" w:styleId="9">
    <w:name w:val="footer"/>
    <w:basedOn w:val="1"/>
    <w:link w:val="23"/>
    <w:autoRedefine/>
    <w:unhideWhenUsed/>
    <w:qFormat/>
    <w:uiPriority w:val="99"/>
    <w:pPr>
      <w:tabs>
        <w:tab w:val="center" w:pos="4153"/>
        <w:tab w:val="right" w:pos="8306"/>
      </w:tabs>
      <w:snapToGrid w:val="0"/>
      <w:jc w:val="left"/>
    </w:pPr>
    <w:rPr>
      <w:sz w:val="18"/>
      <w:szCs w:val="18"/>
    </w:rPr>
  </w:style>
  <w:style w:type="paragraph" w:styleId="10">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2">
    <w:name w:val="annotation subject"/>
    <w:basedOn w:val="4"/>
    <w:next w:val="4"/>
    <w:link w:val="19"/>
    <w:semiHidden/>
    <w:unhideWhenUsed/>
    <w:qFormat/>
    <w:uiPriority w:val="99"/>
    <w:rPr>
      <w:b/>
      <w:bCs/>
    </w:rPr>
  </w:style>
  <w:style w:type="paragraph" w:styleId="13">
    <w:name w:val="Body Text First Indent 2"/>
    <w:basedOn w:val="6"/>
    <w:qFormat/>
    <w:uiPriority w:val="0"/>
    <w:pPr>
      <w:spacing w:after="120"/>
      <w:ind w:left="420" w:leftChars="200"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basedOn w:val="16"/>
    <w:semiHidden/>
    <w:unhideWhenUsed/>
    <w:qFormat/>
    <w:uiPriority w:val="99"/>
    <w:rPr>
      <w:sz w:val="21"/>
      <w:szCs w:val="21"/>
    </w:rPr>
  </w:style>
  <w:style w:type="character" w:customStyle="1" w:styleId="18">
    <w:name w:val="批注文字 Char"/>
    <w:basedOn w:val="16"/>
    <w:link w:val="4"/>
    <w:semiHidden/>
    <w:qFormat/>
    <w:uiPriority w:val="99"/>
  </w:style>
  <w:style w:type="character" w:customStyle="1" w:styleId="19">
    <w:name w:val="批注主题 Char"/>
    <w:basedOn w:val="18"/>
    <w:link w:val="12"/>
    <w:semiHidden/>
    <w:qFormat/>
    <w:uiPriority w:val="99"/>
    <w:rPr>
      <w:b/>
      <w:bCs/>
    </w:rPr>
  </w:style>
  <w:style w:type="character" w:customStyle="1" w:styleId="20">
    <w:name w:val="批注框文本 Char"/>
    <w:basedOn w:val="16"/>
    <w:link w:val="8"/>
    <w:autoRedefine/>
    <w:semiHidden/>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页眉 Char"/>
    <w:basedOn w:val="16"/>
    <w:link w:val="10"/>
    <w:qFormat/>
    <w:uiPriority w:val="99"/>
    <w:rPr>
      <w:sz w:val="18"/>
      <w:szCs w:val="18"/>
    </w:rPr>
  </w:style>
  <w:style w:type="character" w:customStyle="1" w:styleId="23">
    <w:name w:val="页脚 Char"/>
    <w:basedOn w:val="16"/>
    <w:link w:val="9"/>
    <w:qFormat/>
    <w:uiPriority w:val="99"/>
    <w:rPr>
      <w:sz w:val="18"/>
      <w:szCs w:val="18"/>
    </w:rPr>
  </w:style>
  <w:style w:type="character" w:customStyle="1" w:styleId="24">
    <w:name w:val="font41"/>
    <w:basedOn w:val="16"/>
    <w:qFormat/>
    <w:uiPriority w:val="0"/>
    <w:rPr>
      <w:rFonts w:hint="eastAsia" w:ascii="宋体" w:hAnsi="宋体" w:eastAsia="宋体" w:cs="宋体"/>
      <w:b/>
      <w:color w:val="000000"/>
      <w:sz w:val="20"/>
      <w:szCs w:val="20"/>
      <w:u w:val="none"/>
    </w:rPr>
  </w:style>
  <w:style w:type="character" w:customStyle="1" w:styleId="25">
    <w:name w:val="font51"/>
    <w:basedOn w:val="16"/>
    <w:qFormat/>
    <w:uiPriority w:val="0"/>
    <w:rPr>
      <w:rFonts w:hint="eastAsia" w:ascii="宋体" w:hAnsi="宋体" w:eastAsia="宋体" w:cs="宋体"/>
      <w:color w:val="000000"/>
      <w:sz w:val="20"/>
      <w:szCs w:val="20"/>
      <w:u w:val="none"/>
    </w:rPr>
  </w:style>
  <w:style w:type="character" w:customStyle="1" w:styleId="26">
    <w:name w:val="font31"/>
    <w:basedOn w:val="16"/>
    <w:qFormat/>
    <w:uiPriority w:val="0"/>
    <w:rPr>
      <w:rFonts w:hint="eastAsia" w:ascii="宋体" w:hAnsi="宋体" w:eastAsia="宋体" w:cs="宋体"/>
      <w:b/>
      <w:color w:val="000000"/>
      <w:sz w:val="20"/>
      <w:szCs w:val="20"/>
      <w:u w:val="none"/>
    </w:rPr>
  </w:style>
  <w:style w:type="character" w:customStyle="1" w:styleId="27">
    <w:name w:val="font61"/>
    <w:basedOn w:val="16"/>
    <w:qFormat/>
    <w:uiPriority w:val="0"/>
    <w:rPr>
      <w:rFonts w:hint="eastAsia" w:ascii="宋体" w:hAnsi="宋体" w:eastAsia="宋体" w:cs="宋体"/>
      <w:color w:val="000000"/>
      <w:sz w:val="20"/>
      <w:szCs w:val="20"/>
      <w:u w:val="none"/>
    </w:rPr>
  </w:style>
  <w:style w:type="character" w:customStyle="1" w:styleId="28">
    <w:name w:val="NormalCharacter"/>
    <w:semiHidden/>
    <w:qFormat/>
    <w:uiPriority w:val="0"/>
  </w:style>
  <w:style w:type="paragraph" w:customStyle="1" w:styleId="2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0">
    <w:name w:val="font101"/>
    <w:basedOn w:val="16"/>
    <w:qFormat/>
    <w:uiPriority w:val="0"/>
    <w:rPr>
      <w:rFonts w:hint="eastAsia" w:ascii="宋体" w:hAnsi="宋体" w:eastAsia="宋体" w:cs="宋体"/>
      <w:b/>
      <w:bCs/>
      <w:color w:val="FF0000"/>
      <w:sz w:val="21"/>
      <w:szCs w:val="21"/>
      <w:u w:val="none"/>
    </w:rPr>
  </w:style>
  <w:style w:type="paragraph" w:customStyle="1" w:styleId="31">
    <w:name w:val="表格文字"/>
    <w:basedOn w:val="1"/>
    <w:qFormat/>
    <w:uiPriority w:val="0"/>
    <w:pPr>
      <w:spacing w:before="25" w:after="25"/>
      <w:jc w:val="left"/>
    </w:pPr>
    <w:rPr>
      <w:bCs/>
      <w:spacing w:val="10"/>
      <w:kern w:val="0"/>
      <w:sz w:val="24"/>
      <w:szCs w:val="20"/>
    </w:rPr>
  </w:style>
  <w:style w:type="paragraph" w:customStyle="1" w:styleId="32">
    <w:name w:val="列出段落2"/>
    <w:basedOn w:val="1"/>
    <w:qFormat/>
    <w:uiPriority w:val="0"/>
    <w:pPr>
      <w:ind w:firstLine="420" w:firstLineChars="200"/>
    </w:pPr>
    <w:rPr>
      <w:sz w:val="24"/>
    </w:rPr>
  </w:style>
  <w:style w:type="character" w:customStyle="1" w:styleId="33">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wqq</Company>
  <Pages>7</Pages>
  <Words>3731</Words>
  <Characters>4223</Characters>
  <Lines>46</Lines>
  <Paragraphs>13</Paragraphs>
  <TotalTime>24</TotalTime>
  <ScaleCrop>false</ScaleCrop>
  <LinksUpToDate>false</LinksUpToDate>
  <CharactersWithSpaces>4379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2024-08-05T09:26:00Z</dcterms:created>
  <dc:creator>Administrator</dc:creator>
  <cp:lastModifiedBy>南宁职业技术大学-南宁职业技术大学</cp:lastModifiedBy>
  <cp:lastPrinted>2020-11-02T06:12:00Z</cp:lastPrinted>
  <dcterms:modified xsi:type="dcterms:W3CDTF">2024-11-20T09:12:58Z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CF1A21F4521540CB97EFAD2BDC6358F4_13</vt:lpwstr>
  </property>
</Properties>
</file>