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0CBA">
      <w:pPr>
        <w:jc w:val="center"/>
        <w:rPr>
          <w:b/>
          <w:bCs/>
          <w:color w:val="auto"/>
          <w:sz w:val="36"/>
          <w:szCs w:val="32"/>
          <w:highlight w:val="none"/>
        </w:rPr>
      </w:pPr>
      <w:r>
        <w:rPr>
          <w:rFonts w:hint="eastAsia"/>
          <w:b/>
          <w:bCs/>
          <w:color w:val="auto"/>
          <w:sz w:val="36"/>
          <w:szCs w:val="32"/>
          <w:highlight w:val="none"/>
        </w:rPr>
        <w:t>南宁儿童康复中心</w:t>
      </w:r>
      <w:r>
        <w:rPr>
          <w:rFonts w:hint="eastAsia"/>
          <w:b/>
          <w:bCs/>
          <w:color w:val="auto"/>
          <w:sz w:val="36"/>
          <w:szCs w:val="32"/>
          <w:highlight w:val="none"/>
          <w:lang w:val="en-US" w:eastAsia="zh-CN"/>
        </w:rPr>
        <w:t>触控一体机</w:t>
      </w:r>
      <w:r>
        <w:rPr>
          <w:rFonts w:hint="eastAsia"/>
          <w:b/>
          <w:bCs/>
          <w:color w:val="auto"/>
          <w:sz w:val="36"/>
          <w:szCs w:val="32"/>
          <w:highlight w:val="none"/>
        </w:rPr>
        <w:t>采购需求文件</w:t>
      </w:r>
    </w:p>
    <w:p w14:paraId="270EFAFF">
      <w:pPr>
        <w:rPr>
          <w:b/>
          <w:bCs/>
          <w:color w:val="auto"/>
          <w:sz w:val="28"/>
          <w:szCs w:val="32"/>
          <w:highlight w:val="none"/>
        </w:rPr>
      </w:pPr>
    </w:p>
    <w:p w14:paraId="7C633211">
      <w:pPr>
        <w:keepNext w:val="0"/>
        <w:keepLines w:val="0"/>
        <w:pageBreakBefore w:val="0"/>
        <w:widowControl/>
        <w:kinsoku/>
        <w:overflowPunct/>
        <w:topLinePunct w:val="0"/>
        <w:autoSpaceDE/>
        <w:autoSpaceDN/>
        <w:bidi w:val="0"/>
        <w:adjustRightInd/>
        <w:snapToGrid/>
        <w:spacing w:line="500" w:lineRule="exact"/>
        <w:textAlignment w:val="auto"/>
        <w:rPr>
          <w:bCs/>
          <w:color w:val="auto"/>
          <w:sz w:val="28"/>
          <w:szCs w:val="32"/>
          <w:highlight w:val="none"/>
        </w:rPr>
      </w:pPr>
      <w:r>
        <w:rPr>
          <w:rFonts w:hint="eastAsia"/>
          <w:b/>
          <w:bCs/>
          <w:color w:val="auto"/>
          <w:sz w:val="28"/>
          <w:szCs w:val="32"/>
          <w:highlight w:val="none"/>
        </w:rPr>
        <w:t>采购单位</w:t>
      </w:r>
      <w:r>
        <w:rPr>
          <w:rFonts w:hint="eastAsia"/>
          <w:bCs/>
          <w:color w:val="auto"/>
          <w:sz w:val="28"/>
          <w:szCs w:val="32"/>
          <w:highlight w:val="none"/>
        </w:rPr>
        <w:t>：南宁儿童康复中心</w:t>
      </w:r>
    </w:p>
    <w:p w14:paraId="1F7B93BA">
      <w:pPr>
        <w:keepNext w:val="0"/>
        <w:keepLines w:val="0"/>
        <w:pageBreakBefore w:val="0"/>
        <w:widowControl/>
        <w:kinsoku/>
        <w:overflowPunct/>
        <w:topLinePunct w:val="0"/>
        <w:autoSpaceDE/>
        <w:autoSpaceDN/>
        <w:bidi w:val="0"/>
        <w:adjustRightInd/>
        <w:snapToGrid/>
        <w:spacing w:line="500" w:lineRule="exact"/>
        <w:textAlignment w:val="auto"/>
        <w:rPr>
          <w:rFonts w:hint="eastAsia" w:eastAsia="宋体"/>
          <w:b/>
          <w:color w:val="auto"/>
          <w:sz w:val="32"/>
          <w:szCs w:val="32"/>
          <w:highlight w:val="none"/>
          <w:lang w:eastAsia="zh-CN"/>
        </w:rPr>
      </w:pPr>
      <w:r>
        <w:rPr>
          <w:rFonts w:hint="eastAsia"/>
          <w:b/>
          <w:bCs/>
          <w:color w:val="auto"/>
          <w:sz w:val="28"/>
          <w:szCs w:val="32"/>
          <w:highlight w:val="none"/>
        </w:rPr>
        <w:t>名称：</w:t>
      </w:r>
      <w:r>
        <w:rPr>
          <w:rFonts w:hint="eastAsia"/>
          <w:b/>
          <w:color w:val="auto"/>
          <w:sz w:val="32"/>
          <w:szCs w:val="32"/>
          <w:highlight w:val="none"/>
        </w:rPr>
        <w:t>南宁儿童康复中心触控一体机采购</w:t>
      </w:r>
    </w:p>
    <w:p w14:paraId="771FB2A0">
      <w:pPr>
        <w:keepNext w:val="0"/>
        <w:keepLines w:val="0"/>
        <w:pageBreakBefore w:val="0"/>
        <w:widowControl/>
        <w:kinsoku/>
        <w:overflowPunct/>
        <w:topLinePunct w:val="0"/>
        <w:autoSpaceDE/>
        <w:autoSpaceDN/>
        <w:bidi w:val="0"/>
        <w:adjustRightInd/>
        <w:snapToGrid/>
        <w:spacing w:line="500" w:lineRule="exact"/>
        <w:textAlignment w:val="auto"/>
        <w:rPr>
          <w:rFonts w:hint="default"/>
          <w:b/>
          <w:bCs/>
          <w:color w:val="auto"/>
          <w:sz w:val="28"/>
          <w:szCs w:val="32"/>
          <w:highlight w:val="none"/>
          <w:lang w:val="en-US"/>
        </w:rPr>
      </w:pPr>
      <w:r>
        <w:rPr>
          <w:rFonts w:hint="eastAsia"/>
          <w:b/>
          <w:bCs/>
          <w:color w:val="auto"/>
          <w:sz w:val="28"/>
          <w:szCs w:val="32"/>
          <w:highlight w:val="none"/>
        </w:rPr>
        <w:t>预算：</w:t>
      </w:r>
      <w:r>
        <w:rPr>
          <w:rFonts w:hint="eastAsia" w:ascii="仿宋_GB2312" w:eastAsia="仿宋_GB2312"/>
          <w:b/>
          <w:bCs/>
          <w:color w:val="auto"/>
          <w:sz w:val="32"/>
          <w:szCs w:val="32"/>
          <w:highlight w:val="none"/>
          <w:lang w:val="en-US" w:eastAsia="zh-CN"/>
        </w:rPr>
        <w:t>187450元</w:t>
      </w:r>
    </w:p>
    <w:p w14:paraId="179D3483">
      <w:pPr>
        <w:keepNext w:val="0"/>
        <w:keepLines w:val="0"/>
        <w:pageBreakBefore w:val="0"/>
        <w:widowControl/>
        <w:kinsoku/>
        <w:wordWrap w:val="0"/>
        <w:overflowPunct/>
        <w:topLinePunct w:val="0"/>
        <w:autoSpaceDE/>
        <w:autoSpaceDN/>
        <w:bidi w:val="0"/>
        <w:adjustRightInd/>
        <w:snapToGrid/>
        <w:spacing w:line="500" w:lineRule="exact"/>
        <w:textAlignment w:val="auto"/>
        <w:rPr>
          <w:bCs/>
          <w:color w:val="auto"/>
          <w:sz w:val="28"/>
          <w:szCs w:val="32"/>
          <w:highlight w:val="none"/>
        </w:rPr>
      </w:pPr>
      <w:r>
        <w:rPr>
          <w:rFonts w:hint="eastAsia"/>
          <w:b/>
          <w:bCs/>
          <w:color w:val="auto"/>
          <w:sz w:val="28"/>
          <w:szCs w:val="32"/>
          <w:highlight w:val="none"/>
        </w:rPr>
        <w:t>采购方式：</w:t>
      </w:r>
      <w:r>
        <w:rPr>
          <w:rFonts w:hint="eastAsia"/>
          <w:bCs/>
          <w:color w:val="auto"/>
          <w:sz w:val="28"/>
          <w:szCs w:val="32"/>
          <w:highlight w:val="none"/>
        </w:rPr>
        <w:t>反向竞价采购</w:t>
      </w:r>
    </w:p>
    <w:p w14:paraId="5BE4A796">
      <w:pPr>
        <w:keepNext w:val="0"/>
        <w:keepLines w:val="0"/>
        <w:pageBreakBefore w:val="0"/>
        <w:widowControl/>
        <w:kinsoku/>
        <w:wordWrap w:val="0"/>
        <w:overflowPunct/>
        <w:topLinePunct w:val="0"/>
        <w:autoSpaceDE/>
        <w:autoSpaceDN/>
        <w:bidi w:val="0"/>
        <w:adjustRightInd/>
        <w:snapToGrid/>
        <w:spacing w:line="500" w:lineRule="exact"/>
        <w:textAlignment w:val="auto"/>
        <w:rPr>
          <w:bCs/>
          <w:color w:val="auto"/>
          <w:sz w:val="28"/>
          <w:szCs w:val="32"/>
          <w:highlight w:val="none"/>
        </w:rPr>
      </w:pPr>
      <w:r>
        <w:rPr>
          <w:rFonts w:hint="eastAsia"/>
          <w:b/>
          <w:bCs/>
          <w:color w:val="auto"/>
          <w:sz w:val="28"/>
          <w:szCs w:val="32"/>
          <w:highlight w:val="none"/>
        </w:rPr>
        <w:t>买家留言：</w:t>
      </w:r>
      <w:r>
        <w:rPr>
          <w:rFonts w:hint="eastAsia"/>
          <w:bCs/>
          <w:color w:val="auto"/>
          <w:sz w:val="28"/>
          <w:szCs w:val="32"/>
          <w:highlight w:val="none"/>
        </w:rPr>
        <w:t>各供应商，特别提醒：请大家参与竞价前务必认真阅读商务条款，确认是否可按照指定品牌及型号供货并保证有货可供、是否能按交货时间供货，若中标后不能按要求的时间供货，影响我方采购进度，我方将向市政府采购监督管理办公室投诉，并建议将虚假应标的供应商列入黑名单。</w:t>
      </w:r>
    </w:p>
    <w:p w14:paraId="23EE289C">
      <w:pPr>
        <w:rPr>
          <w:b/>
          <w:bCs/>
          <w:color w:val="auto"/>
          <w:sz w:val="28"/>
          <w:szCs w:val="32"/>
          <w:highlight w:val="none"/>
        </w:rPr>
      </w:pPr>
      <w:r>
        <w:rPr>
          <w:rFonts w:hint="eastAsia"/>
          <w:b/>
          <w:bCs/>
          <w:color w:val="auto"/>
          <w:sz w:val="28"/>
          <w:szCs w:val="32"/>
          <w:highlight w:val="none"/>
        </w:rPr>
        <w:t>采购说明：</w:t>
      </w:r>
    </w:p>
    <w:p w14:paraId="3C167131">
      <w:pPr>
        <w:rPr>
          <w:bCs/>
          <w:color w:val="auto"/>
          <w:sz w:val="28"/>
          <w:szCs w:val="32"/>
          <w:highlight w:val="none"/>
        </w:rPr>
      </w:pPr>
      <w:r>
        <w:rPr>
          <w:rFonts w:hint="eastAsia"/>
          <w:bCs/>
          <w:color w:val="auto"/>
          <w:sz w:val="28"/>
          <w:szCs w:val="32"/>
          <w:highlight w:val="none"/>
        </w:rPr>
        <w:t>▲1.</w:t>
      </w:r>
      <w:r>
        <w:rPr>
          <w:rFonts w:hint="eastAsia"/>
          <w:color w:val="auto"/>
          <w:highlight w:val="none"/>
        </w:rPr>
        <w:t xml:space="preserve"> </w:t>
      </w:r>
      <w:r>
        <w:rPr>
          <w:rFonts w:hint="eastAsia"/>
          <w:bCs/>
          <w:color w:val="auto"/>
          <w:sz w:val="28"/>
          <w:szCs w:val="32"/>
          <w:highlight w:val="none"/>
        </w:rPr>
        <w:t>本报价仅限推荐品牌及型号，不接受推荐品牌及型号以外的产品，</w:t>
      </w:r>
      <w:r>
        <w:rPr>
          <w:rFonts w:hint="eastAsia" w:ascii="宋体" w:eastAsia="宋体"/>
          <w:bCs/>
          <w:color w:val="auto"/>
          <w:sz w:val="28"/>
          <w:szCs w:val="32"/>
          <w:highlight w:val="none"/>
          <w:lang w:val="en-US" w:eastAsia="zh-CN"/>
        </w:rPr>
        <w:t>成交人</w:t>
      </w:r>
      <w:r>
        <w:rPr>
          <w:rFonts w:hint="eastAsia"/>
          <w:bCs/>
          <w:color w:val="auto"/>
          <w:sz w:val="28"/>
          <w:szCs w:val="32"/>
          <w:highlight w:val="none"/>
        </w:rPr>
        <w:t>不得以任何理由更改设备的品牌、型号及配置，配置必须是原厂出厂标准配置，否则中标结果无效。所有设备除满足采购文件要求的技术参数和配置外，其余均按国家标准及生产厂家出厂标准配置，若产品在运输过程中损坏须无偿调换同样产品</w:t>
      </w:r>
      <w:r>
        <w:rPr>
          <w:rFonts w:hint="eastAsia" w:eastAsia="宋体"/>
          <w:bCs/>
          <w:color w:val="auto"/>
          <w:sz w:val="28"/>
          <w:szCs w:val="32"/>
          <w:highlight w:val="none"/>
          <w:lang w:eastAsia="zh-CN"/>
        </w:rPr>
        <w:t>。</w:t>
      </w:r>
    </w:p>
    <w:p w14:paraId="2DD08F7F">
      <w:pPr>
        <w:rPr>
          <w:bCs/>
          <w:color w:val="auto"/>
          <w:sz w:val="28"/>
          <w:szCs w:val="32"/>
          <w:highlight w:val="none"/>
        </w:rPr>
      </w:pPr>
      <w:r>
        <w:rPr>
          <w:rFonts w:hint="eastAsia"/>
          <w:bCs/>
          <w:color w:val="auto"/>
          <w:sz w:val="28"/>
          <w:szCs w:val="32"/>
          <w:highlight w:val="none"/>
        </w:rPr>
        <w:t>▲2.带</w:t>
      </w:r>
      <w:r>
        <w:rPr>
          <w:rFonts w:hint="eastAsia"/>
          <w:bCs/>
          <w:color w:val="auto"/>
          <w:sz w:val="24"/>
          <w:szCs w:val="24"/>
          <w:highlight w:val="none"/>
        </w:rPr>
        <w:t>▲</w:t>
      </w:r>
      <w:r>
        <w:rPr>
          <w:rFonts w:hint="eastAsia"/>
          <w:bCs/>
          <w:color w:val="auto"/>
          <w:sz w:val="28"/>
          <w:szCs w:val="32"/>
          <w:highlight w:val="none"/>
        </w:rPr>
        <w:t>号条款为实质性内容要求，</w:t>
      </w:r>
      <w:bookmarkStart w:id="0" w:name="_GoBack"/>
      <w:bookmarkEnd w:id="0"/>
      <w:r>
        <w:rPr>
          <w:rFonts w:hint="eastAsia"/>
          <w:bCs/>
          <w:color w:val="auto"/>
          <w:sz w:val="28"/>
          <w:szCs w:val="32"/>
          <w:highlight w:val="none"/>
        </w:rPr>
        <w:t>必须满足，否则采购方有权利追究的相关责任。采购单位在对</w:t>
      </w:r>
      <w:r>
        <w:rPr>
          <w:rFonts w:hint="eastAsia" w:ascii="宋体" w:eastAsia="宋体"/>
          <w:bCs/>
          <w:color w:val="auto"/>
          <w:sz w:val="28"/>
          <w:szCs w:val="32"/>
          <w:highlight w:val="none"/>
          <w:lang w:val="en-US" w:eastAsia="zh-CN"/>
        </w:rPr>
        <w:t>成交人</w:t>
      </w:r>
      <w:r>
        <w:rPr>
          <w:rFonts w:hint="eastAsia"/>
          <w:bCs/>
          <w:color w:val="auto"/>
          <w:sz w:val="28"/>
          <w:szCs w:val="32"/>
          <w:highlight w:val="none"/>
        </w:rPr>
        <w:t>提供的产品进行</w:t>
      </w:r>
      <w:r>
        <w:rPr>
          <w:rFonts w:hint="eastAsia"/>
          <w:bCs/>
          <w:color w:val="auto"/>
          <w:sz w:val="28"/>
          <w:szCs w:val="32"/>
          <w:highlight w:val="none"/>
          <w:lang w:val="en-US" w:eastAsia="zh-CN"/>
        </w:rPr>
        <w:t>验收时</w:t>
      </w:r>
      <w:r>
        <w:rPr>
          <w:rFonts w:hint="eastAsia"/>
          <w:bCs/>
          <w:color w:val="auto"/>
          <w:sz w:val="28"/>
          <w:szCs w:val="32"/>
          <w:highlight w:val="none"/>
        </w:rPr>
        <w:t>，有权要求先行提供本次产品，根据功能要求进行逐一测试验收，以确认竞标产品是否满足采购文件的要求，并且不承担额外费用。验收中发现任何虚假应标的行为，采购方有权单方面取消合同，并向市政府采购监督管理办公室进行举报，由此造成的所有损失由该成交人自行承担。</w:t>
      </w:r>
    </w:p>
    <w:p w14:paraId="7C9C2715">
      <w:pPr>
        <w:rPr>
          <w:bCs/>
          <w:color w:val="auto"/>
          <w:sz w:val="32"/>
          <w:szCs w:val="32"/>
          <w:highlight w:val="none"/>
        </w:rPr>
      </w:pPr>
      <w:r>
        <w:rPr>
          <w:rFonts w:hint="eastAsia"/>
          <w:bCs/>
          <w:color w:val="auto"/>
          <w:sz w:val="32"/>
          <w:szCs w:val="32"/>
          <w:highlight w:val="none"/>
        </w:rPr>
        <w:t>▲3.必须响应全部的商务要求。</w:t>
      </w:r>
    </w:p>
    <w:p w14:paraId="63209751">
      <w:pPr>
        <w:jc w:val="center"/>
        <w:rPr>
          <w:rFonts w:hint="eastAsia"/>
          <w:b/>
          <w:bCs/>
          <w:color w:val="auto"/>
          <w:sz w:val="32"/>
          <w:szCs w:val="32"/>
          <w:highlight w:val="none"/>
        </w:rPr>
      </w:pPr>
    </w:p>
    <w:p w14:paraId="6F86AAA9">
      <w:pPr>
        <w:jc w:val="center"/>
        <w:rPr>
          <w:color w:val="auto"/>
          <w:highlight w:val="none"/>
        </w:rPr>
      </w:pPr>
      <w:r>
        <w:rPr>
          <w:rFonts w:hint="eastAsia"/>
          <w:b/>
          <w:bCs/>
          <w:color w:val="auto"/>
          <w:sz w:val="32"/>
          <w:szCs w:val="32"/>
          <w:highlight w:val="none"/>
        </w:rPr>
        <w:t>一、采购需求一览表</w:t>
      </w:r>
    </w:p>
    <w:tbl>
      <w:tblPr>
        <w:tblStyle w:val="15"/>
        <w:tblpPr w:leftFromText="180" w:rightFromText="180" w:vertAnchor="text" w:horzAnchor="margin" w:tblpX="-459" w:tblpY="255"/>
        <w:tblW w:w="10584" w:type="dxa"/>
        <w:tblInd w:w="0" w:type="dxa"/>
        <w:tblLayout w:type="fixed"/>
        <w:tblCellMar>
          <w:top w:w="0" w:type="dxa"/>
          <w:left w:w="108" w:type="dxa"/>
          <w:bottom w:w="0" w:type="dxa"/>
          <w:right w:w="108" w:type="dxa"/>
        </w:tblCellMar>
      </w:tblPr>
      <w:tblGrid>
        <w:gridCol w:w="534"/>
        <w:gridCol w:w="884"/>
        <w:gridCol w:w="850"/>
        <w:gridCol w:w="6950"/>
        <w:gridCol w:w="650"/>
        <w:gridCol w:w="716"/>
      </w:tblGrid>
      <w:tr w14:paraId="292B09A7">
        <w:tblPrEx>
          <w:tblCellMar>
            <w:top w:w="0" w:type="dxa"/>
            <w:left w:w="108" w:type="dxa"/>
            <w:bottom w:w="0" w:type="dxa"/>
            <w:right w:w="108" w:type="dxa"/>
          </w:tblCellMar>
        </w:tblPrEx>
        <w:trPr>
          <w:trHeight w:val="500" w:hRule="atLeast"/>
        </w:trPr>
        <w:tc>
          <w:tcPr>
            <w:tcW w:w="10584"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5EDADA9E">
            <w:pPr>
              <w:widowControl/>
              <w:jc w:val="left"/>
              <w:rPr>
                <w:rFonts w:hint="default" w:ascii="宋体" w:hAnsi="宋体" w:eastAsia="宋体" w:cs="宋体"/>
                <w:bCs/>
                <w:color w:val="auto"/>
                <w:kern w:val="0"/>
                <w:sz w:val="15"/>
                <w:szCs w:val="15"/>
                <w:highlight w:val="none"/>
                <w:lang w:val="en-US" w:eastAsia="zh-CN"/>
              </w:rPr>
            </w:pPr>
          </w:p>
        </w:tc>
      </w:tr>
      <w:tr w14:paraId="487A89D2">
        <w:tblPrEx>
          <w:tblCellMar>
            <w:top w:w="0" w:type="dxa"/>
            <w:left w:w="108" w:type="dxa"/>
            <w:bottom w:w="0" w:type="dxa"/>
            <w:right w:w="108" w:type="dxa"/>
          </w:tblCellMar>
        </w:tblPrEx>
        <w:trPr>
          <w:trHeight w:val="550"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482C74">
            <w:pPr>
              <w:widowControl/>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序号</w:t>
            </w:r>
          </w:p>
        </w:tc>
        <w:tc>
          <w:tcPr>
            <w:tcW w:w="884" w:type="dxa"/>
            <w:tcBorders>
              <w:top w:val="single" w:color="auto" w:sz="4" w:space="0"/>
              <w:left w:val="nil"/>
              <w:bottom w:val="single" w:color="auto" w:sz="4" w:space="0"/>
              <w:right w:val="single" w:color="auto" w:sz="4" w:space="0"/>
            </w:tcBorders>
            <w:shd w:val="clear" w:color="auto" w:fill="auto"/>
            <w:noWrap w:val="0"/>
            <w:vAlign w:val="center"/>
          </w:tcPr>
          <w:p w14:paraId="5B170547">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货物名称</w:t>
            </w:r>
          </w:p>
        </w:tc>
        <w:tc>
          <w:tcPr>
            <w:tcW w:w="850" w:type="dxa"/>
            <w:tcBorders>
              <w:top w:val="single" w:color="auto" w:sz="4" w:space="0"/>
              <w:left w:val="nil"/>
              <w:bottom w:val="single" w:color="auto" w:sz="4" w:space="0"/>
              <w:right w:val="single" w:color="auto" w:sz="4" w:space="0"/>
            </w:tcBorders>
            <w:shd w:val="clear" w:color="auto" w:fill="auto"/>
            <w:noWrap w:val="0"/>
            <w:vAlign w:val="center"/>
          </w:tcPr>
          <w:p w14:paraId="5AACFF35">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品牌型号</w:t>
            </w:r>
          </w:p>
        </w:tc>
        <w:tc>
          <w:tcPr>
            <w:tcW w:w="6950" w:type="dxa"/>
            <w:tcBorders>
              <w:top w:val="single" w:color="auto" w:sz="4" w:space="0"/>
              <w:left w:val="nil"/>
              <w:bottom w:val="single" w:color="auto" w:sz="4" w:space="0"/>
              <w:right w:val="single" w:color="auto" w:sz="4" w:space="0"/>
            </w:tcBorders>
            <w:shd w:val="clear" w:color="auto" w:fill="auto"/>
            <w:noWrap w:val="0"/>
            <w:vAlign w:val="center"/>
          </w:tcPr>
          <w:p w14:paraId="296D4C24">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技术参数</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07D6E95E">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数量</w:t>
            </w:r>
          </w:p>
        </w:tc>
        <w:tc>
          <w:tcPr>
            <w:tcW w:w="716" w:type="dxa"/>
            <w:tcBorders>
              <w:top w:val="single" w:color="auto" w:sz="4" w:space="0"/>
              <w:left w:val="nil"/>
              <w:bottom w:val="single" w:color="auto" w:sz="4" w:space="0"/>
              <w:right w:val="single" w:color="auto" w:sz="4" w:space="0"/>
            </w:tcBorders>
            <w:noWrap w:val="0"/>
            <w:vAlign w:val="center"/>
          </w:tcPr>
          <w:p w14:paraId="46115B7C">
            <w:pPr>
              <w:widowControl/>
              <w:jc w:val="center"/>
              <w:rPr>
                <w:rFonts w:hint="eastAsia" w:ascii="宋体" w:hAnsi="宋体" w:eastAsia="宋体" w:cs="宋体"/>
                <w:bCs/>
                <w:color w:val="auto"/>
                <w:kern w:val="0"/>
                <w:sz w:val="15"/>
                <w:szCs w:val="15"/>
                <w:highlight w:val="none"/>
                <w:lang w:eastAsia="zh-CN"/>
              </w:rPr>
            </w:pPr>
            <w:r>
              <w:rPr>
                <w:rFonts w:hint="eastAsia" w:ascii="宋体" w:hAnsi="宋体" w:eastAsia="宋体" w:cs="宋体"/>
                <w:bCs/>
                <w:color w:val="auto"/>
                <w:kern w:val="0"/>
                <w:sz w:val="15"/>
                <w:szCs w:val="15"/>
                <w:highlight w:val="none"/>
                <w:lang w:val="en-US" w:eastAsia="zh-CN"/>
              </w:rPr>
              <w:t>单位</w:t>
            </w:r>
          </w:p>
        </w:tc>
      </w:tr>
      <w:tr w14:paraId="0390A24E">
        <w:tblPrEx>
          <w:tblCellMar>
            <w:top w:w="0" w:type="dxa"/>
            <w:left w:w="108" w:type="dxa"/>
            <w:bottom w:w="0" w:type="dxa"/>
            <w:right w:w="108" w:type="dxa"/>
          </w:tblCellMar>
        </w:tblPrEx>
        <w:trPr>
          <w:trHeight w:val="550" w:hRule="atLeast"/>
        </w:trPr>
        <w:tc>
          <w:tcPr>
            <w:tcW w:w="534" w:type="dxa"/>
            <w:vMerge w:val="restart"/>
            <w:tcBorders>
              <w:top w:val="single" w:color="auto" w:sz="4" w:space="0"/>
              <w:left w:val="single" w:color="auto" w:sz="4" w:space="0"/>
              <w:right w:val="single" w:color="auto" w:sz="4" w:space="0"/>
            </w:tcBorders>
            <w:shd w:val="clear" w:color="auto" w:fill="auto"/>
            <w:noWrap w:val="0"/>
            <w:vAlign w:val="center"/>
          </w:tcPr>
          <w:p w14:paraId="2BF275C1">
            <w:pPr>
              <w:widowControl/>
              <w:jc w:val="center"/>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color w:val="auto"/>
                <w:kern w:val="0"/>
                <w:sz w:val="15"/>
                <w:szCs w:val="15"/>
                <w:highlight w:val="none"/>
              </w:rPr>
              <w:t>1</w:t>
            </w:r>
          </w:p>
        </w:tc>
        <w:tc>
          <w:tcPr>
            <w:tcW w:w="884" w:type="dxa"/>
            <w:vMerge w:val="restart"/>
            <w:tcBorders>
              <w:top w:val="single" w:color="auto" w:sz="4" w:space="0"/>
              <w:left w:val="nil"/>
              <w:right w:val="single" w:color="auto" w:sz="4" w:space="0"/>
            </w:tcBorders>
            <w:shd w:val="clear" w:color="auto" w:fill="auto"/>
            <w:noWrap w:val="0"/>
            <w:vAlign w:val="center"/>
          </w:tcPr>
          <w:p w14:paraId="294CDA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触控一体机</w:t>
            </w:r>
          </w:p>
        </w:tc>
        <w:tc>
          <w:tcPr>
            <w:tcW w:w="850" w:type="dxa"/>
            <w:vMerge w:val="restart"/>
            <w:tcBorders>
              <w:top w:val="single" w:color="auto" w:sz="4" w:space="0"/>
              <w:left w:val="nil"/>
              <w:right w:val="single" w:color="auto" w:sz="4" w:space="0"/>
            </w:tcBorders>
            <w:shd w:val="clear" w:color="auto" w:fill="auto"/>
            <w:noWrap w:val="0"/>
            <w:vAlign w:val="center"/>
          </w:tcPr>
          <w:p w14:paraId="4BD448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希沃FG86EA</w:t>
            </w:r>
          </w:p>
        </w:tc>
        <w:tc>
          <w:tcPr>
            <w:tcW w:w="6950" w:type="dxa"/>
            <w:tcBorders>
              <w:top w:val="single" w:color="auto" w:sz="4" w:space="0"/>
              <w:left w:val="nil"/>
              <w:bottom w:val="single" w:color="auto" w:sz="4" w:space="0"/>
              <w:right w:val="single" w:color="auto" w:sz="4" w:space="0"/>
            </w:tcBorders>
            <w:shd w:val="clear" w:color="auto" w:fill="auto"/>
            <w:noWrap w:val="0"/>
            <w:vAlign w:val="center"/>
          </w:tcPr>
          <w:p w14:paraId="219BA0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一、</w:t>
            </w:r>
            <w:r>
              <w:rPr>
                <w:rFonts w:hint="eastAsia" w:cs="宋体"/>
                <w:b w:val="0"/>
                <w:bCs w:val="0"/>
                <w:color w:val="auto"/>
                <w:sz w:val="15"/>
                <w:szCs w:val="15"/>
                <w:highlight w:val="none"/>
                <w:vertAlign w:val="baseline"/>
                <w:lang w:eastAsia="zh-CN"/>
              </w:rPr>
              <w:t>主机模块</w:t>
            </w:r>
          </w:p>
          <w:p w14:paraId="6776472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1、CPU：搭载Intel  酷睿系列≥12代i5 CPU（要求：核心数≥8，线程数≥12，主频≥2.0Ghz）</w:t>
            </w:r>
          </w:p>
          <w:p w14:paraId="10F0D3B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2、内存：</w:t>
            </w:r>
            <w:r>
              <w:rPr>
                <w:rFonts w:hint="eastAsia" w:ascii="宋体" w:hAnsi="宋体" w:eastAsia="宋体" w:cs="宋体"/>
                <w:b w:val="0"/>
                <w:bCs w:val="0"/>
                <w:color w:val="auto"/>
                <w:sz w:val="15"/>
                <w:szCs w:val="15"/>
                <w:highlight w:val="none"/>
                <w:vertAlign w:val="baseline"/>
                <w:lang w:val="en-US" w:eastAsia="zh-CN"/>
              </w:rPr>
              <w:t>16GB DDR4内存</w:t>
            </w:r>
            <w:r>
              <w:rPr>
                <w:rFonts w:hint="eastAsia" w:ascii="宋体" w:hAnsi="宋体" w:eastAsia="宋体" w:cs="宋体"/>
                <w:b w:val="0"/>
                <w:bCs w:val="0"/>
                <w:color w:val="auto"/>
                <w:sz w:val="15"/>
                <w:szCs w:val="15"/>
                <w:highlight w:val="none"/>
                <w:vertAlign w:val="baseline"/>
              </w:rPr>
              <w:t xml:space="preserve"> </w:t>
            </w:r>
          </w:p>
          <w:p w14:paraId="02379B1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3、硬盘：</w:t>
            </w:r>
            <w:r>
              <w:rPr>
                <w:rFonts w:hint="eastAsia" w:ascii="宋体" w:hAnsi="宋体" w:eastAsia="宋体" w:cs="宋体"/>
                <w:b w:val="0"/>
                <w:bCs w:val="0"/>
                <w:color w:val="auto"/>
                <w:sz w:val="15"/>
                <w:szCs w:val="15"/>
                <w:highlight w:val="none"/>
                <w:vertAlign w:val="baseline"/>
                <w:lang w:val="en-US" w:eastAsia="zh-CN"/>
              </w:rPr>
              <w:t>512</w:t>
            </w:r>
            <w:r>
              <w:rPr>
                <w:rFonts w:hint="eastAsia" w:ascii="宋体" w:hAnsi="宋体" w:eastAsia="宋体" w:cs="宋体"/>
                <w:b w:val="0"/>
                <w:bCs w:val="0"/>
                <w:color w:val="auto"/>
                <w:sz w:val="15"/>
                <w:szCs w:val="15"/>
                <w:highlight w:val="none"/>
                <w:vertAlign w:val="baseline"/>
              </w:rPr>
              <w:t>G</w:t>
            </w:r>
            <w:r>
              <w:rPr>
                <w:rFonts w:hint="eastAsia" w:ascii="宋体" w:hAnsi="宋体" w:eastAsia="宋体"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SSD固态硬盘。</w:t>
            </w:r>
          </w:p>
          <w:p w14:paraId="4F4E387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二、教学功能设计</w:t>
            </w:r>
          </w:p>
          <w:p w14:paraId="40C3345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1、三合一电源按键，同一电源物理按键完成Android系统和Windows系统的开机、节能熄屏、关机操作；关机状态下按按键开机；开机状态下按按键实现节能熄屏/唤醒，长按按键实现关机。</w:t>
            </w:r>
          </w:p>
          <w:p w14:paraId="3AF51D1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2、设备支持通过前置面板物理按键一键启动录屏功能，可将屏幕中显示的课件、音频内容与人声同时录制。（</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23DCF06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7F14C6E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、Wi-Fi和AP热点工作距离≥10m。</w:t>
            </w:r>
          </w:p>
          <w:p w14:paraId="5D0E16A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、整机支持蓝牙Bluetooth 5.4标准，固件版本号HCI13.0/LMP13.0。</w:t>
            </w:r>
          </w:p>
          <w:p w14:paraId="796E0A1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、整机支持发出频率为18kHz-22kHz超声波信号，智能手机通过麦克风接收后，智能手机与整机无需在同一局域网内，可实现配对，一键投屏，用户无需手动输入投屏码或扫码获取投屏</w:t>
            </w:r>
            <w:r>
              <w:rPr>
                <w:rFonts w:hint="eastAsia" w:ascii="宋体" w:hAnsi="宋体" w:eastAsia="宋体" w:cs="宋体"/>
                <w:b w:val="0"/>
                <w:bCs w:val="0"/>
                <w:color w:val="auto"/>
                <w:sz w:val="15"/>
                <w:szCs w:val="15"/>
                <w:highlight w:val="none"/>
                <w:shd w:val="clear" w:fill="FFFFFF" w:themeFill="background1"/>
                <w:vertAlign w:val="baseline"/>
              </w:rPr>
              <w:t>码</w:t>
            </w:r>
            <w:r>
              <w:rPr>
                <w:rFonts w:hint="eastAsia" w:cs="宋体"/>
                <w:b w:val="0"/>
                <w:bCs w:val="0"/>
                <w:color w:val="auto"/>
                <w:sz w:val="15"/>
                <w:szCs w:val="15"/>
                <w:highlight w:val="none"/>
                <w:shd w:val="clear" w:fill="FFFFFF" w:themeFill="background1"/>
                <w:vertAlign w:val="baseline"/>
                <w:lang w:eastAsia="zh-CN"/>
              </w:rPr>
              <w:t>。</w:t>
            </w:r>
            <w:r>
              <w:rPr>
                <w:rFonts w:hint="eastAsia" w:ascii="宋体" w:hAnsi="宋体" w:eastAsia="宋体" w:cs="宋体"/>
                <w:b w:val="0"/>
                <w:bCs w:val="0"/>
                <w:color w:val="auto"/>
                <w:sz w:val="15"/>
                <w:szCs w:val="15"/>
                <w:highlight w:val="none"/>
                <w:shd w:val="clear" w:fill="FFFFFF" w:themeFill="background1"/>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06FEEA3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、整机PC端支持主动发现蓝牙外设从而连接（无需整机进入发现模式），支持连接外部蓝牙音箱播放音频。</w:t>
            </w:r>
          </w:p>
          <w:p w14:paraId="5172B21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、整机内置双WiFi6无线网卡，在Android下支持无线设备同时连接数量≥32个，在Windows系统下支持无线设备同时连接≥8个。</w:t>
            </w:r>
          </w:p>
          <w:p w14:paraId="3C2F0E8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、支持标准、听力、观影和AI空间感知音效模式，AI空间感知音效模式可通过内置麦克风采集教室物理环境声音，自动生成符合当前教室物理环境的频段、音量、音效。（</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7EAED0D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10</w:t>
            </w:r>
            <w:r>
              <w:rPr>
                <w:rFonts w:hint="eastAsia" w:ascii="宋体" w:hAnsi="宋体" w:eastAsia="宋体" w:cs="宋体"/>
                <w:b w:val="0"/>
                <w:bCs w:val="0"/>
                <w:color w:val="auto"/>
                <w:sz w:val="15"/>
                <w:szCs w:val="15"/>
                <w:highlight w:val="none"/>
                <w:vertAlign w:val="baseline"/>
              </w:rPr>
              <w:t>、整机可选择高级音效设置，支持在左右声道平衡显示范围中进行更改；中低频段显示调节范围125Hz～1KHz，高频段显示调节范围 2KHz～16KHz，分贝显示-12dB～12dB 调节范围。</w:t>
            </w:r>
          </w:p>
          <w:p w14:paraId="4C69CEF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rPr>
              <w:t>、整机上边框内置非独立式摄像头，采用一体化集成设计，摄像头数量≥4个。</w:t>
            </w:r>
          </w:p>
          <w:p w14:paraId="79720B9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、上边框内置非独立式≥3个智能拼接摄像头，视场角≥141度，水平视场角≥139度，支持输出≥8192×2048分辨率的照片和视频，支持画面畸变矫正功能 。（</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4C5F4F7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13</w:t>
            </w:r>
            <w:r>
              <w:rPr>
                <w:rFonts w:hint="eastAsia" w:ascii="宋体" w:hAnsi="宋体" w:eastAsia="宋体" w:cs="宋体"/>
                <w:b w:val="0"/>
                <w:bCs w:val="0"/>
                <w:color w:val="auto"/>
                <w:sz w:val="15"/>
                <w:szCs w:val="15"/>
                <w:highlight w:val="none"/>
                <w:vertAlign w:val="baseline"/>
              </w:rPr>
              <w:t>、整机内置≥三个摄像头，像素值均大于800 万，同时输出≥ 3 路视频流，同时支持课堂远程巡课、课堂教学数据采集、本地画面预览（拍照或视频录制）。（</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370D857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14</w:t>
            </w:r>
            <w:r>
              <w:rPr>
                <w:rFonts w:hint="eastAsia" w:ascii="宋体" w:hAnsi="宋体" w:eastAsia="宋体" w:cs="宋体"/>
                <w:b w:val="0"/>
                <w:bCs w:val="0"/>
                <w:color w:val="auto"/>
                <w:sz w:val="15"/>
                <w:szCs w:val="15"/>
                <w:highlight w:val="none"/>
                <w:vertAlign w:val="baseline"/>
              </w:rPr>
              <w:t>、整机内置2.2声道扬声器，位于设备上边框，顶置朝前发声，前朝向≥10W高音扬声器≥2个，上朝向≥20W中低音扬声器≥2个，额定总功率≥60W。采用缝隙发声技术，喇叭采用槽式开口设计，不大于5.8mm。（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F79DE2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15</w:t>
            </w:r>
            <w:r>
              <w:rPr>
                <w:rFonts w:hint="eastAsia" w:ascii="宋体" w:hAnsi="宋体" w:eastAsia="宋体" w:cs="宋体"/>
                <w:b w:val="0"/>
                <w:bCs w:val="0"/>
                <w:color w:val="auto"/>
                <w:sz w:val="15"/>
                <w:szCs w:val="15"/>
                <w:highlight w:val="none"/>
                <w:vertAlign w:val="baseline"/>
              </w:rPr>
              <w:t>、整机内置非独立外扩展的8阵列麦克风，拾音角度≥180°，可用于对教室环境音频进行采集，拾音距离≥12m。（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0028527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16</w:t>
            </w:r>
            <w:r>
              <w:rPr>
                <w:rFonts w:hint="eastAsia" w:ascii="宋体" w:hAnsi="宋体" w:eastAsia="宋体" w:cs="宋体"/>
                <w:b w:val="0"/>
                <w:bCs w:val="0"/>
                <w:color w:val="auto"/>
                <w:sz w:val="15"/>
                <w:szCs w:val="15"/>
                <w:highlight w:val="none"/>
                <w:vertAlign w:val="baseline"/>
              </w:rPr>
              <w:t>、整机上边框内置非独立的广角高清摄像头，在距离整机1.7米情况下，且拍摄范围可以覆盖摄像头垂直法线左右距离大于等于4米，可以实现人脸识别。（</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3A1CF51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17</w:t>
            </w:r>
            <w:r>
              <w:rPr>
                <w:rFonts w:hint="eastAsia" w:ascii="宋体" w:hAnsi="宋体" w:eastAsia="宋体" w:cs="宋体"/>
                <w:b w:val="0"/>
                <w:bCs w:val="0"/>
                <w:color w:val="auto"/>
                <w:sz w:val="15"/>
                <w:szCs w:val="15"/>
                <w:highlight w:val="none"/>
                <w:vertAlign w:val="baseline"/>
              </w:rPr>
              <w:t>、整机上边框内置非独式广角摄像头和智能拼接摄像头， 均支持 3D 降噪算法和数字宽动态范围成像WDR 技术，支持输出 MJPG、 H.264 视频格式。</w:t>
            </w:r>
          </w:p>
          <w:p w14:paraId="1BC4700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18</w:t>
            </w:r>
            <w:r>
              <w:rPr>
                <w:rFonts w:hint="eastAsia" w:ascii="宋体" w:hAnsi="宋体" w:eastAsia="宋体" w:cs="宋体"/>
                <w:b w:val="0"/>
                <w:bCs w:val="0"/>
                <w:color w:val="auto"/>
                <w:sz w:val="15"/>
                <w:szCs w:val="15"/>
                <w:highlight w:val="none"/>
                <w:vertAlign w:val="baseline"/>
              </w:rPr>
              <w:t>、整机摄像头支持人脸识别、清点人数、随机抽人；识别所有学生，显示标记，然后随机抽选，同时显示标记≥60人。（</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15D99AE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19</w:t>
            </w:r>
            <w:r>
              <w:rPr>
                <w:rFonts w:hint="eastAsia" w:ascii="宋体" w:hAnsi="宋体" w:eastAsia="宋体" w:cs="宋体"/>
                <w:b w:val="0"/>
                <w:bCs w:val="0"/>
                <w:color w:val="auto"/>
                <w:sz w:val="15"/>
                <w:szCs w:val="15"/>
                <w:highlight w:val="none"/>
                <w:vertAlign w:val="baseline"/>
              </w:rPr>
              <w:t>、整机设备教学桌面支持教学常用的教学白板软件和文件管理软件软件；教学桌面首页支持自定义桌面应用，支持展示8个应用入口。并提供进入本机所有应用的入口。</w:t>
            </w:r>
          </w:p>
          <w:p w14:paraId="2DC5060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三、整体屏幕素质要求</w:t>
            </w:r>
          </w:p>
          <w:p w14:paraId="4939B7F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1、整机屏幕采用≥86英寸液晶显示器，采用UHD超高清LED液晶屏，显示比例16:9，分辨率3840×2160，色域覆盖率（NTSC）≥72%，灰度等级≥256级。</w:t>
            </w:r>
          </w:p>
          <w:p w14:paraId="33E34AD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、整机采用硬件低蓝光背光技术，在源头减少有害蓝光波段能量，蓝光占比（有害蓝光415～455nm能量综合）/（整体蓝光400～500能量综合）≤50%，低蓝光保护显示不偏色、不泛黄。</w:t>
            </w:r>
          </w:p>
          <w:p w14:paraId="18C132E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、整机支持色彩空间可选，包含标准模式和sRGB模式，在sRGB模式下可做到高色准△E≤1.0。（</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389815C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、整机支持支持可自定义图像设置，可对对比度、屏幕色温、图像亮度、亮度范围、色彩空间进行更进一步调节设置。</w:t>
            </w:r>
          </w:p>
          <w:p w14:paraId="447BE13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四、整机接口设计</w:t>
            </w:r>
          </w:p>
          <w:p w14:paraId="007E9F7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1、侧置输入接口具备≥2路HDMI、≥1路RS232、≥1路USB接口。</w:t>
            </w:r>
          </w:p>
          <w:p w14:paraId="37000E0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2、侧置输出接口具备≥1路音频输出、≥1路触控USB输出。</w:t>
            </w:r>
          </w:p>
          <w:p w14:paraId="7943FDB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3、前置输入接口≥3路USB接口（包含≥1路Type-C、≥2路USB），前置USB接口支持Android系统、Windows系统读取外接移动存储设备。</w:t>
            </w:r>
          </w:p>
          <w:p w14:paraId="6097466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0907F80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5、外接电脑设备经双头Type-C线连接至整机，可调用整机内置的摄像头、麦克风、扬声器，在外接电脑即可控制整机拍摄教室画面。</w:t>
            </w:r>
          </w:p>
          <w:p w14:paraId="601C429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6、支持通过Type-C接口U盘进行文件传输，兼容Type-C接口手机充电。</w:t>
            </w:r>
          </w:p>
          <w:p w14:paraId="392842C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五、整机安全设计</w:t>
            </w:r>
          </w:p>
          <w:p w14:paraId="054EF6D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1、整机全通道支持纸质护眼模式，可实现画面纹理的实时调整；支持纸质纹理：牛皮纸、素描纸、宣纸、水彩纸、水纹纸；支持透明度调节；支持色温调节。（</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17DBE99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六、整机便捷功能设计</w:t>
            </w:r>
          </w:p>
          <w:p w14:paraId="3C0F418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3E04747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七、整机触摸和备用系统</w:t>
            </w:r>
          </w:p>
          <w:p w14:paraId="6920C3D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1、采用红外触控技术，支持Windows系统中进行40点或以上触控，支持在Android系统中进行40点或以上触控。（</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598FF2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、整机支持提笔书写，在Windows系统下可实现无需点击任意功能入口，当检测到红外笔笔尖接触屏幕时，自动进入书写模式。（</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CA61F0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、嵌入式系统版本不低于Android 13，内存≥2GB，存储空间≥8GB。（</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D5842B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Cs/>
                <w:color w:val="auto"/>
                <w:kern w:val="0"/>
                <w:sz w:val="15"/>
                <w:szCs w:val="15"/>
                <w:highlight w:val="none"/>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、嵌入式Android操作系统下，白板支持对已经书写的笔迹和形状的颜色进行更换。</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5F27978D">
            <w:pPr>
              <w:widowControl/>
              <w:jc w:val="center"/>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4AFBD8F">
            <w:pPr>
              <w:jc w:val="center"/>
              <w:rPr>
                <w:rFonts w:hint="eastAsia" w:ascii="宋体" w:hAnsi="宋体" w:eastAsia="宋体" w:cs="宋体"/>
                <w:color w:val="auto"/>
                <w:sz w:val="15"/>
                <w:szCs w:val="15"/>
                <w:highlight w:val="none"/>
                <w:lang w:val="en-US" w:eastAsia="zh-CN" w:bidi="ar-SA"/>
              </w:rPr>
            </w:pPr>
            <w:r>
              <w:rPr>
                <w:rFonts w:hint="eastAsia" w:ascii="宋体" w:hAnsi="宋体" w:eastAsia="宋体" w:cs="宋体"/>
                <w:color w:val="auto"/>
                <w:kern w:val="0"/>
                <w:sz w:val="15"/>
                <w:szCs w:val="15"/>
                <w:highlight w:val="none"/>
              </w:rPr>
              <w:t>台</w:t>
            </w:r>
          </w:p>
        </w:tc>
      </w:tr>
      <w:tr w14:paraId="2D184E3A">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1D613CF7">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4182B425">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00D70654">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09263F5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光能黑板</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蓝贝思特（LE65P）</w:t>
            </w:r>
          </w:p>
          <w:p w14:paraId="305B73E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一、硬件要求</w:t>
            </w:r>
          </w:p>
          <w:p w14:paraId="7D9DB8C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1、整体采用ABA样式，左、右光能黑板+中间触控一体机的安装方式。单块光能黑板≥1290（长）*1158（高）mm。下边框具有可调节</w:t>
            </w:r>
            <w:r>
              <w:rPr>
                <w:rFonts w:hint="eastAsia" w:ascii="宋体" w:hAnsi="宋体" w:eastAsia="宋体" w:cs="宋体"/>
                <w:b w:val="0"/>
                <w:bCs w:val="0"/>
                <w:color w:val="auto"/>
                <w:sz w:val="15"/>
                <w:szCs w:val="15"/>
                <w:highlight w:val="none"/>
                <w:vertAlign w:val="baseline"/>
                <w:lang w:val="en-US" w:eastAsia="zh-CN"/>
              </w:rPr>
              <w:t>托盘</w:t>
            </w:r>
            <w:r>
              <w:rPr>
                <w:rFonts w:hint="eastAsia" w:ascii="宋体" w:hAnsi="宋体" w:eastAsia="宋体" w:cs="宋体"/>
                <w:b w:val="0"/>
                <w:bCs w:val="0"/>
                <w:color w:val="auto"/>
                <w:sz w:val="15"/>
                <w:szCs w:val="15"/>
                <w:highlight w:val="none"/>
                <w:vertAlign w:val="baseline"/>
              </w:rPr>
              <w:t>，可根据触控一体机高度进行</w:t>
            </w:r>
            <w:r>
              <w:rPr>
                <w:rFonts w:hint="eastAsia" w:ascii="宋体" w:hAnsi="宋体" w:eastAsia="宋体" w:cs="宋体"/>
                <w:b w:val="0"/>
                <w:bCs w:val="0"/>
                <w:color w:val="auto"/>
                <w:sz w:val="15"/>
                <w:szCs w:val="15"/>
                <w:highlight w:val="none"/>
                <w:vertAlign w:val="baseline"/>
                <w:lang w:val="en-US" w:eastAsia="zh-CN"/>
              </w:rPr>
              <w:t>相应</w:t>
            </w:r>
            <w:r>
              <w:rPr>
                <w:rFonts w:hint="eastAsia" w:ascii="宋体" w:hAnsi="宋体" w:eastAsia="宋体" w:cs="宋体"/>
                <w:b w:val="0"/>
                <w:bCs w:val="0"/>
                <w:color w:val="auto"/>
                <w:sz w:val="15"/>
                <w:szCs w:val="15"/>
                <w:highlight w:val="none"/>
                <w:vertAlign w:val="baseline"/>
              </w:rPr>
              <w:t>调</w:t>
            </w:r>
            <w:r>
              <w:rPr>
                <w:rFonts w:hint="eastAsia" w:ascii="宋体" w:hAnsi="宋体" w:eastAsia="宋体" w:cs="宋体"/>
                <w:b w:val="0"/>
                <w:bCs w:val="0"/>
                <w:color w:val="auto"/>
                <w:sz w:val="15"/>
                <w:szCs w:val="15"/>
                <w:highlight w:val="none"/>
                <w:vertAlign w:val="baseline"/>
                <w:lang w:val="en-US" w:eastAsia="zh-CN"/>
              </w:rPr>
              <w:t>节并</w:t>
            </w:r>
            <w:r>
              <w:rPr>
                <w:rFonts w:hint="eastAsia" w:ascii="宋体" w:hAnsi="宋体" w:eastAsia="宋体" w:cs="宋体"/>
                <w:b w:val="0"/>
                <w:bCs w:val="0"/>
                <w:color w:val="auto"/>
                <w:sz w:val="15"/>
                <w:szCs w:val="15"/>
                <w:highlight w:val="none"/>
                <w:vertAlign w:val="baseline"/>
              </w:rPr>
              <w:t>兼具置物功能。</w:t>
            </w:r>
            <w:r>
              <w:rPr>
                <w:rFonts w:hint="eastAsia" w:ascii="宋体" w:hAnsi="宋体" w:eastAsia="宋体" w:cs="宋体"/>
                <w:b w:val="0"/>
                <w:bCs w:val="0"/>
                <w:color w:val="auto"/>
                <w:sz w:val="15"/>
                <w:szCs w:val="15"/>
                <w:highlight w:val="none"/>
                <w:vertAlign w:val="baseline"/>
                <w:lang w:val="en-US" w:eastAsia="zh-CN"/>
              </w:rPr>
              <w:t>整体</w:t>
            </w:r>
            <w:r>
              <w:rPr>
                <w:rFonts w:hint="eastAsia" w:ascii="宋体" w:hAnsi="宋体" w:eastAsia="宋体" w:cs="宋体"/>
                <w:b w:val="0"/>
                <w:bCs w:val="0"/>
                <w:color w:val="auto"/>
                <w:sz w:val="15"/>
                <w:szCs w:val="15"/>
                <w:highlight w:val="none"/>
                <w:vertAlign w:val="baseline"/>
              </w:rPr>
              <w:t>边框采用</w:t>
            </w:r>
            <w:r>
              <w:rPr>
                <w:rFonts w:hint="eastAsia" w:ascii="宋体" w:hAnsi="宋体" w:eastAsia="宋体" w:cs="宋体"/>
                <w:b w:val="0"/>
                <w:bCs w:val="0"/>
                <w:color w:val="auto"/>
                <w:sz w:val="15"/>
                <w:szCs w:val="15"/>
                <w:highlight w:val="none"/>
                <w:vertAlign w:val="baseline"/>
                <w:lang w:val="en-US" w:eastAsia="zh-CN"/>
              </w:rPr>
              <w:t>高强度</w:t>
            </w:r>
            <w:r>
              <w:rPr>
                <w:rFonts w:hint="eastAsia" w:ascii="宋体" w:hAnsi="宋体" w:eastAsia="宋体" w:cs="宋体"/>
                <w:b w:val="0"/>
                <w:bCs w:val="0"/>
                <w:color w:val="auto"/>
                <w:sz w:val="15"/>
                <w:szCs w:val="15"/>
                <w:highlight w:val="none"/>
                <w:vertAlign w:val="baseline"/>
              </w:rPr>
              <w:t>铝合金材质，具有</w:t>
            </w:r>
            <w:r>
              <w:rPr>
                <w:rFonts w:hint="eastAsia" w:ascii="宋体" w:hAnsi="宋体" w:eastAsia="宋体" w:cs="宋体"/>
                <w:b w:val="0"/>
                <w:bCs w:val="0"/>
                <w:color w:val="auto"/>
                <w:sz w:val="15"/>
                <w:szCs w:val="15"/>
                <w:highlight w:val="none"/>
                <w:vertAlign w:val="baseline"/>
                <w:lang w:val="en-US" w:eastAsia="zh-CN"/>
              </w:rPr>
              <w:t>良</w:t>
            </w:r>
            <w:r>
              <w:rPr>
                <w:rFonts w:hint="eastAsia" w:ascii="宋体" w:hAnsi="宋体" w:eastAsia="宋体" w:cs="宋体"/>
                <w:b w:val="0"/>
                <w:bCs w:val="0"/>
                <w:color w:val="auto"/>
                <w:sz w:val="15"/>
                <w:szCs w:val="15"/>
                <w:highlight w:val="none"/>
                <w:vertAlign w:val="baseline"/>
              </w:rPr>
              <w:t>好的耐</w:t>
            </w:r>
            <w:r>
              <w:rPr>
                <w:rFonts w:hint="eastAsia" w:ascii="宋体" w:hAnsi="宋体" w:eastAsia="宋体" w:cs="宋体"/>
                <w:b w:val="0"/>
                <w:bCs w:val="0"/>
                <w:color w:val="auto"/>
                <w:sz w:val="15"/>
                <w:szCs w:val="15"/>
                <w:highlight w:val="none"/>
                <w:vertAlign w:val="baseline"/>
                <w:lang w:val="en-US" w:eastAsia="zh-CN"/>
              </w:rPr>
              <w:t>冲击、耐</w:t>
            </w:r>
            <w:r>
              <w:rPr>
                <w:rFonts w:hint="eastAsia" w:ascii="宋体" w:hAnsi="宋体" w:eastAsia="宋体" w:cs="宋体"/>
                <w:b w:val="0"/>
                <w:bCs w:val="0"/>
                <w:color w:val="auto"/>
                <w:sz w:val="15"/>
                <w:szCs w:val="15"/>
                <w:highlight w:val="none"/>
                <w:vertAlign w:val="baseline"/>
              </w:rPr>
              <w:t>腐蚀性。</w:t>
            </w:r>
          </w:p>
          <w:p w14:paraId="1DC91F5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2、无需耗材，消除粉笔粉尘对师生</w:t>
            </w:r>
            <w:r>
              <w:rPr>
                <w:rFonts w:hint="eastAsia" w:ascii="宋体" w:hAnsi="宋体" w:eastAsia="宋体" w:cs="宋体"/>
                <w:b w:val="0"/>
                <w:bCs w:val="0"/>
                <w:color w:val="auto"/>
                <w:sz w:val="15"/>
                <w:szCs w:val="15"/>
                <w:highlight w:val="none"/>
                <w:vertAlign w:val="baseline"/>
                <w:lang w:val="en-US" w:eastAsia="zh-CN"/>
              </w:rPr>
              <w:t>的健康危害、减少粉尘对教室内其他电子设备的不良影响</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延长其他电子设备使用寿命。使用各种</w:t>
            </w:r>
            <w:r>
              <w:rPr>
                <w:rFonts w:hint="eastAsia" w:ascii="宋体" w:hAnsi="宋体" w:eastAsia="宋体" w:cs="宋体"/>
                <w:b w:val="0"/>
                <w:bCs w:val="0"/>
                <w:color w:val="auto"/>
                <w:sz w:val="15"/>
                <w:szCs w:val="15"/>
                <w:highlight w:val="none"/>
                <w:vertAlign w:val="baseline"/>
              </w:rPr>
              <w:t>硬度适中的工具均可书写，</w:t>
            </w:r>
            <w:r>
              <w:rPr>
                <w:rFonts w:hint="eastAsia" w:ascii="宋体" w:hAnsi="宋体" w:eastAsia="宋体" w:cs="宋体"/>
                <w:b w:val="0"/>
                <w:bCs w:val="0"/>
                <w:color w:val="auto"/>
                <w:sz w:val="15"/>
                <w:szCs w:val="15"/>
                <w:highlight w:val="none"/>
                <w:vertAlign w:val="baseline"/>
                <w:lang w:val="en-US" w:eastAsia="zh-CN"/>
              </w:rPr>
              <w:t>配备塑料笔。板面</w:t>
            </w:r>
            <w:r>
              <w:rPr>
                <w:rFonts w:hint="eastAsia" w:ascii="宋体" w:hAnsi="宋体" w:eastAsia="宋体" w:cs="宋体"/>
                <w:b w:val="0"/>
                <w:bCs w:val="0"/>
                <w:color w:val="auto"/>
                <w:sz w:val="15"/>
                <w:szCs w:val="15"/>
                <w:highlight w:val="none"/>
                <w:vertAlign w:val="baseline"/>
              </w:rPr>
              <w:t>单点书写、可擦次数达10万次</w:t>
            </w:r>
            <w:r>
              <w:rPr>
                <w:rFonts w:hint="eastAsia" w:ascii="宋体" w:hAnsi="宋体" w:eastAsia="宋体" w:cs="宋体"/>
                <w:b w:val="0"/>
                <w:bCs w:val="0"/>
                <w:color w:val="auto"/>
                <w:sz w:val="15"/>
                <w:szCs w:val="15"/>
                <w:highlight w:val="none"/>
                <w:vertAlign w:val="baseline"/>
                <w:lang w:val="en-US" w:eastAsia="zh-CN"/>
              </w:rPr>
              <w:t>以上</w:t>
            </w:r>
            <w:r>
              <w:rPr>
                <w:rFonts w:hint="eastAsia" w:ascii="宋体" w:hAnsi="宋体" w:eastAsia="宋体" w:cs="宋体"/>
                <w:b w:val="0"/>
                <w:bCs w:val="0"/>
                <w:color w:val="auto"/>
                <w:sz w:val="15"/>
                <w:szCs w:val="15"/>
                <w:highlight w:val="none"/>
                <w:vertAlign w:val="baseline"/>
              </w:rPr>
              <w:t>。</w:t>
            </w:r>
          </w:p>
          <w:p w14:paraId="37A5701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3、依靠反射自然光线，显示</w:t>
            </w:r>
            <w:r>
              <w:rPr>
                <w:rFonts w:hint="eastAsia" w:ascii="宋体" w:hAnsi="宋体" w:eastAsia="宋体" w:cs="宋体"/>
                <w:b w:val="0"/>
                <w:bCs w:val="0"/>
                <w:color w:val="auto"/>
                <w:sz w:val="15"/>
                <w:szCs w:val="15"/>
                <w:highlight w:val="none"/>
                <w:vertAlign w:val="baseline"/>
                <w:lang w:val="en-US" w:eastAsia="zh-CN"/>
              </w:rPr>
              <w:t>清晰</w:t>
            </w:r>
            <w:r>
              <w:rPr>
                <w:rFonts w:hint="eastAsia" w:ascii="宋体" w:hAnsi="宋体" w:eastAsia="宋体" w:cs="宋体"/>
                <w:b w:val="0"/>
                <w:bCs w:val="0"/>
                <w:color w:val="auto"/>
                <w:sz w:val="15"/>
                <w:szCs w:val="15"/>
                <w:highlight w:val="none"/>
                <w:vertAlign w:val="baseline"/>
              </w:rPr>
              <w:t>绿色字迹</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长时间观看不易疲劳，</w:t>
            </w:r>
            <w:r>
              <w:rPr>
                <w:rFonts w:hint="eastAsia" w:ascii="宋体" w:hAnsi="宋体" w:eastAsia="宋体" w:cs="宋体"/>
                <w:b w:val="0"/>
                <w:bCs w:val="0"/>
                <w:color w:val="auto"/>
                <w:sz w:val="15"/>
                <w:szCs w:val="15"/>
                <w:highlight w:val="none"/>
                <w:vertAlign w:val="baseline"/>
                <w:lang w:val="en-US" w:eastAsia="zh-CN"/>
              </w:rPr>
              <w:t>保</w:t>
            </w:r>
            <w:r>
              <w:rPr>
                <w:rFonts w:hint="eastAsia" w:ascii="宋体" w:hAnsi="宋体" w:eastAsia="宋体" w:cs="宋体"/>
                <w:b w:val="0"/>
                <w:bCs w:val="0"/>
                <w:color w:val="auto"/>
                <w:sz w:val="15"/>
                <w:szCs w:val="15"/>
                <w:highlight w:val="none"/>
                <w:vertAlign w:val="baseline"/>
              </w:rPr>
              <w:t>护视力。光能黑板应无频闪、无背光，上膜不应产生眩光。板书笔迹可视距离40米，可视角度≥150°，对比度≥150:1。光泽度不高于30光泽单位。（</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5A429E4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、书写膜的透光率不低于87%，雾度不高于40%。（</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2D66FBF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w:t>
            </w:r>
            <w:r>
              <w:rPr>
                <w:rFonts w:hint="eastAsia" w:ascii="宋体" w:hAnsi="宋体" w:eastAsia="宋体" w:cs="宋体"/>
                <w:b w:val="0"/>
                <w:bCs w:val="0"/>
                <w:color w:val="auto"/>
                <w:sz w:val="15"/>
                <w:szCs w:val="15"/>
                <w:highlight w:val="none"/>
                <w:vertAlign w:val="baseline"/>
                <w:lang w:val="en-US" w:eastAsia="zh-CN"/>
              </w:rPr>
              <w:t>擦除方式分为</w:t>
            </w:r>
            <w:r>
              <w:rPr>
                <w:rFonts w:hint="eastAsia" w:ascii="宋体" w:hAnsi="宋体" w:eastAsia="宋体" w:cs="宋体"/>
                <w:b w:val="0"/>
                <w:bCs w:val="0"/>
                <w:color w:val="auto"/>
                <w:sz w:val="15"/>
                <w:szCs w:val="15"/>
                <w:highlight w:val="none"/>
                <w:vertAlign w:val="baseline"/>
              </w:rPr>
              <w:t>一键擦除</w:t>
            </w:r>
            <w:r>
              <w:rPr>
                <w:rFonts w:hint="eastAsia" w:ascii="宋体" w:hAnsi="宋体" w:eastAsia="宋体" w:cs="宋体"/>
                <w:b w:val="0"/>
                <w:bCs w:val="0"/>
                <w:color w:val="auto"/>
                <w:sz w:val="15"/>
                <w:szCs w:val="15"/>
                <w:highlight w:val="none"/>
                <w:vertAlign w:val="baseline"/>
                <w:lang w:val="en-US" w:eastAsia="zh-CN"/>
              </w:rPr>
              <w:t>和局部擦除。</w:t>
            </w:r>
            <w:r>
              <w:rPr>
                <w:rFonts w:hint="eastAsia" w:ascii="宋体" w:hAnsi="宋体" w:eastAsia="宋体" w:cs="宋体"/>
                <w:b w:val="0"/>
                <w:bCs w:val="0"/>
                <w:color w:val="auto"/>
                <w:sz w:val="15"/>
                <w:szCs w:val="15"/>
                <w:highlight w:val="none"/>
                <w:vertAlign w:val="baseline"/>
              </w:rPr>
              <w:t>按下一键擦除按键，可实现板</w:t>
            </w:r>
            <w:r>
              <w:rPr>
                <w:rFonts w:hint="eastAsia" w:ascii="宋体" w:hAnsi="宋体" w:eastAsia="宋体" w:cs="宋体"/>
                <w:b w:val="0"/>
                <w:bCs w:val="0"/>
                <w:color w:val="auto"/>
                <w:sz w:val="15"/>
                <w:szCs w:val="15"/>
                <w:highlight w:val="none"/>
                <w:vertAlign w:val="baseline"/>
                <w:lang w:val="en-US" w:eastAsia="zh-CN"/>
              </w:rPr>
              <w:t>面整体</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使用板擦</w:t>
            </w:r>
            <w:r>
              <w:rPr>
                <w:rFonts w:hint="eastAsia" w:ascii="宋体" w:hAnsi="宋体" w:eastAsia="宋体" w:cs="宋体"/>
                <w:b w:val="0"/>
                <w:bCs w:val="0"/>
                <w:color w:val="auto"/>
                <w:sz w:val="15"/>
                <w:szCs w:val="15"/>
                <w:highlight w:val="none"/>
                <w:vertAlign w:val="baseline"/>
                <w:lang w:val="en-US" w:eastAsia="zh-CN"/>
              </w:rPr>
              <w:t>及</w:t>
            </w:r>
            <w:r>
              <w:rPr>
                <w:rFonts w:hint="eastAsia" w:ascii="宋体" w:hAnsi="宋体" w:eastAsia="宋体" w:cs="宋体"/>
                <w:b w:val="0"/>
                <w:bCs w:val="0"/>
                <w:color w:val="auto"/>
                <w:sz w:val="15"/>
                <w:szCs w:val="15"/>
                <w:highlight w:val="none"/>
                <w:vertAlign w:val="baseline"/>
              </w:rPr>
              <w:t>手势</w:t>
            </w:r>
            <w:r>
              <w:rPr>
                <w:rFonts w:hint="eastAsia" w:ascii="宋体" w:hAnsi="宋体" w:eastAsia="宋体" w:cs="宋体"/>
                <w:b w:val="0"/>
                <w:bCs w:val="0"/>
                <w:color w:val="auto"/>
                <w:sz w:val="15"/>
                <w:szCs w:val="15"/>
                <w:highlight w:val="none"/>
                <w:vertAlign w:val="baseline"/>
                <w:lang w:val="en-US" w:eastAsia="zh-CN"/>
              </w:rPr>
              <w:t>可</w:t>
            </w:r>
            <w:r>
              <w:rPr>
                <w:rFonts w:hint="eastAsia" w:ascii="宋体" w:hAnsi="宋体" w:eastAsia="宋体" w:cs="宋体"/>
                <w:b w:val="0"/>
                <w:bCs w:val="0"/>
                <w:color w:val="auto"/>
                <w:sz w:val="15"/>
                <w:szCs w:val="15"/>
                <w:highlight w:val="none"/>
                <w:vertAlign w:val="baseline"/>
              </w:rPr>
              <w:t>对板书进行局部</w:t>
            </w:r>
            <w:r>
              <w:rPr>
                <w:rFonts w:hint="eastAsia" w:ascii="宋体" w:hAnsi="宋体" w:eastAsia="宋体" w:cs="宋体"/>
                <w:b w:val="0"/>
                <w:bCs w:val="0"/>
                <w:color w:val="auto"/>
                <w:sz w:val="15"/>
                <w:szCs w:val="15"/>
                <w:highlight w:val="none"/>
                <w:vertAlign w:val="baseline"/>
                <w:lang w:val="en-US" w:eastAsia="zh-CN"/>
              </w:rPr>
              <w:t>精准</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擦除精度小于10mm*10mm，擦除延时＜60ms。书写及显示过程无需耗电，仅擦除时消耗微弱电量。</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具有独立供电装置，</w:t>
            </w:r>
            <w:r>
              <w:rPr>
                <w:rFonts w:hint="eastAsia" w:ascii="宋体" w:hAnsi="宋体" w:eastAsia="宋体" w:cs="宋体"/>
                <w:b w:val="0"/>
                <w:bCs w:val="0"/>
                <w:color w:val="auto"/>
                <w:sz w:val="15"/>
                <w:szCs w:val="15"/>
                <w:highlight w:val="none"/>
                <w:vertAlign w:val="baseline"/>
                <w:lang w:val="en-US" w:eastAsia="zh-CN"/>
              </w:rPr>
              <w:t>在教室停电状态下不影响书写及擦除。</w:t>
            </w:r>
            <w:r>
              <w:rPr>
                <w:rFonts w:hint="eastAsia" w:ascii="宋体" w:hAnsi="宋体" w:eastAsia="宋体" w:cs="宋体"/>
                <w:b w:val="0"/>
                <w:bCs w:val="0"/>
                <w:color w:val="auto"/>
                <w:sz w:val="15"/>
                <w:szCs w:val="15"/>
                <w:highlight w:val="none"/>
                <w:vertAlign w:val="baseline"/>
              </w:rPr>
              <w:t>设有电</w:t>
            </w:r>
            <w:r>
              <w:rPr>
                <w:rFonts w:hint="eastAsia" w:ascii="宋体" w:hAnsi="宋体" w:eastAsia="宋体" w:cs="宋体"/>
                <w:b w:val="0"/>
                <w:bCs w:val="0"/>
                <w:color w:val="auto"/>
                <w:sz w:val="15"/>
                <w:szCs w:val="15"/>
                <w:highlight w:val="none"/>
                <w:vertAlign w:val="baseline"/>
                <w:lang w:val="en-US" w:eastAsia="zh-CN"/>
              </w:rPr>
              <w:t>能</w:t>
            </w:r>
            <w:r>
              <w:rPr>
                <w:rFonts w:hint="eastAsia" w:ascii="宋体" w:hAnsi="宋体" w:eastAsia="宋体" w:cs="宋体"/>
                <w:b w:val="0"/>
                <w:bCs w:val="0"/>
                <w:color w:val="auto"/>
                <w:sz w:val="15"/>
                <w:szCs w:val="15"/>
                <w:highlight w:val="none"/>
                <w:vertAlign w:val="baseline"/>
              </w:rPr>
              <w:t>补偿机制，可通过手</w:t>
            </w:r>
            <w:r>
              <w:rPr>
                <w:rFonts w:hint="eastAsia" w:ascii="宋体" w:hAnsi="宋体" w:eastAsia="宋体" w:cs="宋体"/>
                <w:b w:val="0"/>
                <w:bCs w:val="0"/>
                <w:color w:val="auto"/>
                <w:sz w:val="15"/>
                <w:szCs w:val="15"/>
                <w:highlight w:val="none"/>
                <w:vertAlign w:val="baseline"/>
                <w:lang w:val="en-US" w:eastAsia="zh-CN"/>
              </w:rPr>
              <w:t>动按压</w:t>
            </w:r>
            <w:r>
              <w:rPr>
                <w:rFonts w:hint="eastAsia" w:ascii="宋体" w:hAnsi="宋体" w:eastAsia="宋体" w:cs="宋体"/>
                <w:b w:val="0"/>
                <w:bCs w:val="0"/>
                <w:color w:val="auto"/>
                <w:sz w:val="15"/>
                <w:szCs w:val="15"/>
                <w:highlight w:val="none"/>
                <w:vertAlign w:val="baseline"/>
              </w:rPr>
              <w:t>板面特定位置，调节</w:t>
            </w:r>
            <w:r>
              <w:rPr>
                <w:rFonts w:hint="eastAsia" w:ascii="宋体" w:hAnsi="宋体" w:eastAsia="宋体" w:cs="宋体"/>
                <w:b w:val="0"/>
                <w:bCs w:val="0"/>
                <w:color w:val="auto"/>
                <w:sz w:val="15"/>
                <w:szCs w:val="15"/>
                <w:highlight w:val="none"/>
                <w:vertAlign w:val="baseline"/>
                <w:lang w:val="en-US" w:eastAsia="zh-CN"/>
              </w:rPr>
              <w:t>局部</w:t>
            </w:r>
            <w:r>
              <w:rPr>
                <w:rFonts w:hint="eastAsia" w:ascii="宋体" w:hAnsi="宋体" w:eastAsia="宋体" w:cs="宋体"/>
                <w:b w:val="0"/>
                <w:bCs w:val="0"/>
                <w:color w:val="auto"/>
                <w:sz w:val="15"/>
                <w:szCs w:val="15"/>
                <w:highlight w:val="none"/>
                <w:vertAlign w:val="baseline"/>
              </w:rPr>
              <w:t>擦除灵敏度。</w:t>
            </w:r>
          </w:p>
          <w:p w14:paraId="0600EFE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、设备内提供的电池组保护电路，符合标准要求，并通过带二次锂电池设备的充电安全防护。黑板通过恒定力和冲击试验，机械强度符合标准要求。（</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w:t>
            </w:r>
            <w:r>
              <w:rPr>
                <w:rFonts w:hint="eastAsia" w:cs="宋体"/>
                <w:b w:val="0"/>
                <w:bCs w:val="0"/>
                <w:color w:val="auto"/>
                <w:sz w:val="15"/>
                <w:szCs w:val="15"/>
                <w:highlight w:val="none"/>
                <w:vertAlign w:val="baseline"/>
                <w:lang w:eastAsia="zh-CN"/>
              </w:rPr>
              <w:t>的</w:t>
            </w:r>
            <w:r>
              <w:rPr>
                <w:rFonts w:hint="eastAsia" w:ascii="宋体" w:hAnsi="宋体" w:eastAsia="宋体" w:cs="宋体"/>
                <w:b w:val="0"/>
                <w:bCs w:val="0"/>
                <w:color w:val="auto"/>
                <w:sz w:val="15"/>
                <w:szCs w:val="15"/>
                <w:highlight w:val="none"/>
                <w:vertAlign w:val="baseline"/>
              </w:rPr>
              <w:t>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BACAF0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、黑板表面具有</w:t>
            </w:r>
            <w:r>
              <w:rPr>
                <w:rFonts w:hint="eastAsia" w:ascii="宋体" w:hAnsi="宋体" w:eastAsia="宋体" w:cs="宋体"/>
                <w:b w:val="0"/>
                <w:bCs w:val="0"/>
                <w:color w:val="auto"/>
                <w:sz w:val="15"/>
                <w:szCs w:val="15"/>
                <w:highlight w:val="none"/>
                <w:vertAlign w:val="baseline"/>
                <w:lang w:val="en-US" w:eastAsia="zh-CN"/>
              </w:rPr>
              <w:t>经纬</w:t>
            </w:r>
            <w:r>
              <w:rPr>
                <w:rFonts w:hint="eastAsia" w:ascii="宋体" w:hAnsi="宋体" w:eastAsia="宋体" w:cs="宋体"/>
                <w:b w:val="0"/>
                <w:bCs w:val="0"/>
                <w:color w:val="auto"/>
                <w:sz w:val="15"/>
                <w:szCs w:val="15"/>
                <w:highlight w:val="none"/>
                <w:vertAlign w:val="baseline"/>
              </w:rPr>
              <w:t>暗格</w:t>
            </w:r>
            <w:r>
              <w:rPr>
                <w:rFonts w:hint="eastAsia" w:ascii="宋体" w:hAnsi="宋体" w:eastAsia="宋体" w:cs="宋体"/>
                <w:b w:val="0"/>
                <w:bCs w:val="0"/>
                <w:color w:val="auto"/>
                <w:sz w:val="15"/>
                <w:szCs w:val="15"/>
                <w:highlight w:val="none"/>
                <w:vertAlign w:val="baseline"/>
                <w:lang w:val="en-US" w:eastAsia="zh-CN"/>
              </w:rPr>
              <w:t>直线</w:t>
            </w:r>
            <w:r>
              <w:rPr>
                <w:rFonts w:hint="eastAsia" w:ascii="宋体" w:hAnsi="宋体" w:eastAsia="宋体" w:cs="宋体"/>
                <w:b w:val="0"/>
                <w:bCs w:val="0"/>
                <w:color w:val="auto"/>
                <w:sz w:val="15"/>
                <w:szCs w:val="15"/>
                <w:highlight w:val="none"/>
                <w:vertAlign w:val="baseline"/>
              </w:rPr>
              <w:t>，板书时</w:t>
            </w:r>
            <w:r>
              <w:rPr>
                <w:rFonts w:hint="eastAsia" w:ascii="宋体" w:hAnsi="宋体" w:eastAsia="宋体" w:cs="宋体"/>
                <w:b w:val="0"/>
                <w:bCs w:val="0"/>
                <w:color w:val="auto"/>
                <w:sz w:val="15"/>
                <w:szCs w:val="15"/>
                <w:highlight w:val="none"/>
                <w:vertAlign w:val="baseline"/>
                <w:lang w:val="en-US" w:eastAsia="zh-CN"/>
              </w:rPr>
              <w:t>可作为</w:t>
            </w:r>
            <w:r>
              <w:rPr>
                <w:rFonts w:hint="eastAsia" w:ascii="宋体" w:hAnsi="宋体" w:eastAsia="宋体" w:cs="宋体"/>
                <w:b w:val="0"/>
                <w:bCs w:val="0"/>
                <w:color w:val="auto"/>
                <w:sz w:val="15"/>
                <w:szCs w:val="15"/>
                <w:highlight w:val="none"/>
                <w:vertAlign w:val="baseline"/>
              </w:rPr>
              <w:t>直线参照，避免板书歪斜。表面可吸附磁贴、磁扣等教学工具，便于老师教学使用。</w:t>
            </w:r>
          </w:p>
          <w:p w14:paraId="41D9F41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、光能黑板通过低温-30℃，高温80℃，恒定湿热40℃、95%RH测试，产品外观无变形、损坏等现象，通电运行正常。（</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第三方检测机构所出具的检测机构所出具的检测报告复印件，并提供全国认证认可信息公共服务平台对应检测报告查询记录截图）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F2B7F5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、采用一体式按键指示灯，可通过不同颜色、闪烁等方式表示擦除、电量不足等工作状态。每块光能黑板具备DC接口*2和USB接口*2，方便使用。</w:t>
            </w:r>
          </w:p>
          <w:p w14:paraId="3B13AD5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val="en-US" w:eastAsia="zh-CN"/>
              </w:rPr>
              <w:t>0</w:t>
            </w:r>
            <w:r>
              <w:rPr>
                <w:rFonts w:hint="eastAsia" w:ascii="宋体" w:hAnsi="宋体" w:eastAsia="宋体" w:cs="宋体"/>
                <w:b w:val="0"/>
                <w:bCs w:val="0"/>
                <w:color w:val="auto"/>
                <w:sz w:val="15"/>
                <w:szCs w:val="15"/>
                <w:highlight w:val="none"/>
                <w:vertAlign w:val="baseline"/>
              </w:rPr>
              <w:t>、光能黑板通过抗电强度1500V试验，无击穿现象，符合</w:t>
            </w:r>
            <w:r>
              <w:rPr>
                <w:rFonts w:hint="eastAsia" w:ascii="宋体" w:hAnsi="宋体" w:eastAsia="宋体" w:cs="宋体"/>
                <w:b w:val="0"/>
                <w:bCs w:val="0"/>
                <w:color w:val="auto"/>
                <w:sz w:val="15"/>
                <w:szCs w:val="15"/>
                <w:highlight w:val="none"/>
                <w:vertAlign w:val="baseline"/>
                <w:lang w:val="en-US" w:eastAsia="zh-CN"/>
              </w:rPr>
              <w:t>国标</w:t>
            </w:r>
            <w:r>
              <w:rPr>
                <w:rFonts w:hint="eastAsia" w:ascii="宋体" w:hAnsi="宋体" w:eastAsia="宋体" w:cs="宋体"/>
                <w:b w:val="0"/>
                <w:bCs w:val="0"/>
                <w:color w:val="auto"/>
                <w:sz w:val="15"/>
                <w:szCs w:val="15"/>
                <w:highlight w:val="none"/>
                <w:vertAlign w:val="baseline"/>
              </w:rPr>
              <w:t>GB4943的安全要求。（</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第三方检测机构所出具的检测报告复印件，并提供全国认证认可信息公共服务平台对应检测报告查询记录截图）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4DD13C9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支持挂墙安装，</w:t>
            </w:r>
            <w:r>
              <w:rPr>
                <w:rFonts w:hint="eastAsia" w:ascii="宋体" w:hAnsi="宋体" w:eastAsia="宋体" w:cs="宋体"/>
                <w:b w:val="0"/>
                <w:bCs w:val="0"/>
                <w:color w:val="auto"/>
                <w:sz w:val="15"/>
                <w:szCs w:val="15"/>
                <w:highlight w:val="none"/>
                <w:vertAlign w:val="baseline"/>
                <w:lang w:val="en-US" w:eastAsia="zh-CN"/>
              </w:rPr>
              <w:t>贴墙</w:t>
            </w:r>
            <w:r>
              <w:rPr>
                <w:rFonts w:hint="eastAsia" w:ascii="宋体" w:hAnsi="宋体" w:eastAsia="宋体" w:cs="宋体"/>
                <w:b w:val="0"/>
                <w:bCs w:val="0"/>
                <w:color w:val="auto"/>
                <w:sz w:val="15"/>
                <w:szCs w:val="15"/>
                <w:highlight w:val="none"/>
                <w:vertAlign w:val="baseline"/>
              </w:rPr>
              <w:t>安装支架可前后调节黑板表面与墙面距离</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与所搭配触控一体机等保持同一平面</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可支持移动支架</w:t>
            </w:r>
            <w:r>
              <w:rPr>
                <w:rFonts w:hint="eastAsia" w:ascii="宋体" w:hAnsi="宋体" w:eastAsia="宋体" w:cs="宋体"/>
                <w:b w:val="0"/>
                <w:bCs w:val="0"/>
                <w:color w:val="auto"/>
                <w:sz w:val="15"/>
                <w:szCs w:val="15"/>
                <w:highlight w:val="none"/>
                <w:vertAlign w:val="baseline"/>
                <w:lang w:val="en-US" w:eastAsia="zh-CN"/>
              </w:rPr>
              <w:t>式</w:t>
            </w:r>
            <w:r>
              <w:rPr>
                <w:rFonts w:hint="eastAsia" w:ascii="宋体" w:hAnsi="宋体" w:eastAsia="宋体" w:cs="宋体"/>
                <w:b w:val="0"/>
                <w:bCs w:val="0"/>
                <w:color w:val="auto"/>
                <w:sz w:val="15"/>
                <w:szCs w:val="15"/>
                <w:highlight w:val="none"/>
                <w:vertAlign w:val="baseline"/>
              </w:rPr>
              <w:t>安装。</w:t>
            </w:r>
          </w:p>
          <w:p w14:paraId="428158C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二、软件要求</w:t>
            </w:r>
          </w:p>
          <w:p w14:paraId="51374A2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同步互联：光能黑板可与一体机及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和投影幕布进行同步传输，</w:t>
            </w:r>
            <w:r>
              <w:rPr>
                <w:rFonts w:hint="eastAsia" w:ascii="宋体" w:hAnsi="宋体" w:eastAsia="宋体" w:cs="宋体"/>
                <w:b w:val="0"/>
                <w:bCs w:val="0"/>
                <w:color w:val="auto"/>
                <w:sz w:val="15"/>
                <w:szCs w:val="15"/>
                <w:highlight w:val="none"/>
                <w:vertAlign w:val="baseline"/>
                <w:lang w:val="en-US" w:eastAsia="zh-CN"/>
              </w:rPr>
              <w:t>板面</w:t>
            </w:r>
            <w:r>
              <w:rPr>
                <w:rFonts w:hint="eastAsia" w:ascii="宋体" w:hAnsi="宋体" w:eastAsia="宋体" w:cs="宋体"/>
                <w:b w:val="0"/>
                <w:bCs w:val="0"/>
                <w:color w:val="auto"/>
                <w:sz w:val="15"/>
                <w:szCs w:val="15"/>
                <w:highlight w:val="none"/>
                <w:vertAlign w:val="baseline"/>
              </w:rPr>
              <w:t>书写内容可即时同步显示在一体机及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和投影幕布上。 板面上进行一键清除和局部擦除操作时，软件端同步反应。</w:t>
            </w:r>
          </w:p>
          <w:p w14:paraId="53F7B7D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颜色切换：传输到软件端可设置</w:t>
            </w:r>
            <w:r>
              <w:rPr>
                <w:rFonts w:hint="eastAsia" w:ascii="宋体" w:hAnsi="宋体" w:eastAsia="宋体"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种不同的笔迹颜色，方便老师对教学重点的标识及批注。与投影幕布同步传输时，投影幕布背景色可设置为黑白两色。</w:t>
            </w:r>
          </w:p>
          <w:p w14:paraId="76A9757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点击软件端“前一页”时可找回清除掉的板书内容。</w:t>
            </w:r>
          </w:p>
          <w:p w14:paraId="14DFF99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单双页切换：两种光能黑板的书写记录模式，支持单板书写记录内容为一个单页面，也可以支持双板同时书写时记录在一个页面上。</w:t>
            </w:r>
          </w:p>
          <w:p w14:paraId="7BCE8FD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桌面切换：黑板书写内容和教学PPT显示内容可一键自由切换，并且板书内容和教学PPT内容可同时显示在教学一体机、</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及投影幕布上，方便老师授课及板书。</w:t>
            </w:r>
          </w:p>
          <w:p w14:paraId="70C864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6</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一键保存：可将板书内容以PDF文档格式保存在教学一体机及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端，便于教学板书的管理和传递。</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6B406B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403112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76A680EA">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2851EFEA">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32576D20">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03794E70">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7362CBF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推拉板（米黄板）蓝贝思特ZY 100-29</w:t>
            </w:r>
          </w:p>
          <w:p w14:paraId="3575F4CC">
            <w:pPr>
              <w:keepNext w:val="0"/>
              <w:keepLines w:val="0"/>
              <w:pageBreakBefore w:val="0"/>
              <w:widowControl/>
              <w:kinsoku/>
              <w:wordWrap/>
              <w:overflowPunct/>
              <w:topLinePunct w:val="0"/>
              <w:autoSpaceDE/>
              <w:autoSpaceDN/>
              <w:bidi w:val="0"/>
              <w:adjustRightInd/>
              <w:snapToGrid/>
              <w:spacing w:line="200" w:lineRule="exact"/>
              <w:ind w:firstLine="300" w:firstLineChars="200"/>
              <w:textAlignment w:val="auto"/>
              <w:rPr>
                <w:rFonts w:hint="eastAsia" w:ascii="宋体" w:hAnsi="宋体" w:eastAsia="宋体" w:cs="宋体"/>
                <w:b w:val="0"/>
                <w:bCs w:val="0"/>
                <w:color w:val="auto"/>
                <w:sz w:val="15"/>
                <w:szCs w:val="15"/>
                <w:highlight w:val="none"/>
                <w:vertAlign w:val="baseline"/>
                <w:lang w:val="zh-CN" w:eastAsia="zh-CN"/>
              </w:rPr>
            </w:pPr>
            <w:r>
              <w:rPr>
                <w:rFonts w:hint="eastAsia" w:ascii="宋体" w:hAnsi="宋体" w:eastAsia="宋体" w:cs="宋体"/>
                <w:b w:val="0"/>
                <w:bCs w:val="0"/>
                <w:color w:val="auto"/>
                <w:sz w:val="15"/>
                <w:szCs w:val="15"/>
                <w:highlight w:val="none"/>
                <w:vertAlign w:val="baseline"/>
                <w:lang w:val="en-US" w:eastAsia="zh-CN"/>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2、基本尺寸：≥4000mm×1305mm，可根据所配电子产品适当调整，确保与一体机的有效配套。3、书写板面：环保教学专用彩色涂层钢板，浅米黄色，厚度≥0.3mm，硬度≥4H，板面可吸附磁针、磁片，书写面光滑、平整，颜色均匀，坚固耐用、哑光，投影可视效果佳，有效地保护了师生的视力健康。4、内芯材料：高强度、吸音、聚苯乙烯泡沫板，采用国际适用工艺，书写无吱咔声，改善书写手感。5、背板：采用优质防锈热镀锌钢板，厚度≥0.25mm，流水线一次成型，间隔80mm压有20mm凹槽加强筋,确保均布承压不低于635N，凹槽造型美观、增加强度，更加耐用。6、覆板：采用环保型双组份聚氨酯胶水，自动化流水线覆板作业，牵引、滴胶、刷胶、压固、切割下料一次完成，确保粘接牢固板面平整，甲醛释放量≤0.3mg/L，符合GB/T 28231-2011《书写板安全卫生要求》。7、边框：采用工业用高强度铝合金型材，电泳香槟色，模具挤压一次成型，上框规格57mm×78mm，左右框规格29mm×100mm。轨道上置隐藏式平滑轮滑道，结构性解决滑轮受灰尘影响的情况，配有宽度≥30mm的板托，板托与滑动系统分离，与边框一次模具成形，可放置书写笔，方便实用。8、包角材料：采用抗老化高强度ABS工程塑料注塑成型。规格：100mm×29mm×29mm，采用双壁成腔流线型设计，≥R25mm的圆角，正面带黑板品牌LOGO标识，无尖角毛刺，符合JY0001-2003《教学仪器设备产品一般质量要求》。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10、限位档：黑板边框内部两侧安装滑动板限位档，防止活动黑板开启时撞击立框</w:t>
            </w:r>
            <w:r>
              <w:rPr>
                <w:rFonts w:hint="eastAsia" w:ascii="宋体" w:hAnsi="宋体" w:eastAsia="宋体" w:cs="宋体"/>
                <w:b w:val="0"/>
                <w:bCs w:val="0"/>
                <w:color w:val="auto"/>
                <w:sz w:val="15"/>
                <w:szCs w:val="15"/>
                <w:highlight w:val="none"/>
                <w:vertAlign w:val="baseline"/>
                <w:lang w:val="zh-CN" w:eastAsia="zh-CN"/>
              </w:rPr>
              <w:t>。</w:t>
            </w:r>
          </w:p>
          <w:p w14:paraId="13618DE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11、易维护性：一体机上下配同色同质书写板，上下可根据一体机尺寸进行微调，两侧用H型边框与固定板配合，可自由拆装。使一体机不用拆整个黑板即可直接拆装维护，减少麻烦，延长使用寿命。12、</w:t>
            </w:r>
            <w:r>
              <w:rPr>
                <w:rFonts w:hint="eastAsia" w:ascii="宋体" w:hAnsi="宋体" w:eastAsia="宋体" w:cs="宋体"/>
                <w:b w:val="0"/>
                <w:bCs w:val="0"/>
                <w:color w:val="auto"/>
                <w:sz w:val="15"/>
                <w:szCs w:val="15"/>
                <w:highlight w:val="none"/>
                <w:vertAlign w:val="baseline"/>
                <w:lang w:val="zh-CN" w:eastAsia="zh-CN"/>
              </w:rPr>
              <w:t>安全性：一把锁实现对滑动黑板的锁定，钥匙通用，方便实用。</w:t>
            </w:r>
            <w:r>
              <w:rPr>
                <w:rFonts w:hint="eastAsia" w:ascii="宋体" w:hAnsi="宋体" w:eastAsia="宋体" w:cs="宋体"/>
                <w:b w:val="0"/>
                <w:bCs w:val="0"/>
                <w:color w:val="auto"/>
                <w:sz w:val="15"/>
                <w:szCs w:val="15"/>
                <w:highlight w:val="none"/>
                <w:vertAlign w:val="baseline"/>
                <w:lang w:val="en-US" w:eastAsia="zh-CN"/>
              </w:rPr>
              <w:t>13、安装：配装自制钢制安装件，规格95*50*60mm，隐形安装、没有外露的挂接件，符合GB 21027-2007《学生用品的安全通用要求》。14、包装：采用环保型材料，符合国家产品包装要求，单套或双套纸箱独立包装，箱体印有制造商名称、LOGO标识、地址、服务热线等信息。配套环保耗材：耗材如下：新型成膜墨水笔： 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环保墨水： 3瓶（红色蓝色黑色各1瓶），环保醇溶、纳米颜料墨水，所用原料均无毒无害，保证师生健康。长期放置无沉淀和分层现象，书写流畅。旋盖滴液嘴设计，可以有效控制加墨量，加墨方便。</w:t>
            </w:r>
          </w:p>
          <w:p w14:paraId="798CEF4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墨水容量每瓶100ml。</w:t>
            </w:r>
          </w:p>
          <w:p w14:paraId="3DAE270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板擦：1个，直径95mm*厚30mm，特质EVA板擦，擦除性好，干擦无需用水、不伤板面；</w:t>
            </w:r>
          </w:p>
          <w:p w14:paraId="077F8BE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黑板专用清洁毛巾 1条，尺寸：35cm*35cm，优质材料定做，使用方便，清洗效果好，保护书写板面，脏后清水清洗，拧干即可；</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70A8ED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cs="宋体"/>
                <w:b w:val="0"/>
                <w:bCs w:val="0"/>
                <w:color w:val="auto"/>
                <w:sz w:val="15"/>
                <w:szCs w:val="15"/>
                <w:highlight w:val="none"/>
                <w:vertAlign w:val="baseline"/>
                <w:lang w:val="en-US" w:eastAsia="zh-CN"/>
              </w:rPr>
              <w:t>3</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6AA8E2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bidi="ar-SA"/>
              </w:rPr>
              <w:t>套</w:t>
            </w:r>
          </w:p>
        </w:tc>
      </w:tr>
      <w:tr w14:paraId="12FFB763">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20619372">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6AF6AF25">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2455A0D6">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3063DD9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壁挂视频展台：希沃SC06</w:t>
            </w:r>
          </w:p>
          <w:p w14:paraId="366E95B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1、采用≥800万像素摄像头；采用 USB五伏电源直接供电，无需额外配置电源适配器，环保无辐射；箱内USB连线采用隐藏式设计，箱内无可见连线且USB口下出，有效防止积尘，且方便布线和返修。</w:t>
            </w:r>
          </w:p>
          <w:p w14:paraId="638825F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2、A4大小拍摄幅面，1080P动态视频预览达到30帧/秒；托板及挂墙部分采用金属加强，托板可承重3kg，整机壁挂式安装。</w:t>
            </w:r>
          </w:p>
          <w:p w14:paraId="71CCD3F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3、支持展台成像画面实时批注，预设多种笔划粗细及颜色供选择，且支持对展台成像画面联同批注内容进行同步缩放、移动。</w:t>
            </w:r>
          </w:p>
          <w:p w14:paraId="243BDDB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4、展示托板正上方具备LED补光灯，保证展示区域的亮度及展示效果，补光灯开关采用触摸按键设计，同时可通过交互智能平板中的软件直接控制开关；带自动对焦摄像头。</w:t>
            </w:r>
          </w:p>
          <w:p w14:paraId="08DE690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5、具有故障自动检测功能：在调用展台却无法出现镜头采集画面信号时，可自动出现检测链接，并给出导致性原因（如硬件连接、摄像头占用、配套软件版本等问题）。</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50FA4B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50FC45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台</w:t>
            </w:r>
          </w:p>
        </w:tc>
      </w:tr>
      <w:tr w14:paraId="23013BF6">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0A264562">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556879AA">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2F0CAD85">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12B14C8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有源音箱</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希沃SS33B</w:t>
            </w:r>
          </w:p>
          <w:p w14:paraId="05A4353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1.采用功放与有源音箱一体化设计，内置麦克风无线接收模块，帮助教师实现多媒体扩音以及本地扩声功能。</w:t>
            </w:r>
          </w:p>
          <w:p w14:paraId="19C6720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2.输出额定功率≥ 2x15W。</w:t>
            </w:r>
          </w:p>
          <w:p w14:paraId="0D00449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3.音箱灵敏度≥85dB，1W/1M。</w:t>
            </w:r>
          </w:p>
          <w:p w14:paraId="2B3FC21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4.信噪比≥80dB@额定功率、A计权。</w:t>
            </w:r>
          </w:p>
          <w:p w14:paraId="4F421F9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5.全频喇叭单元尺寸≥5英寸。</w:t>
            </w:r>
          </w:p>
          <w:p w14:paraId="2941A1D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6.THD+N≤1%。</w:t>
            </w:r>
          </w:p>
          <w:p w14:paraId="7809E0B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7.声频响110Hz-16kHz。</w:t>
            </w:r>
          </w:p>
          <w:p w14:paraId="7C43D08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8.距离音箱10米处声压级≥75dB。</w:t>
            </w:r>
          </w:p>
          <w:p w14:paraId="12A5D55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9.具备≥1路电源开关、1路LINE IN、1路USB 接口。USB接口可外接U盘设备对音箱固件进行升级。</w:t>
            </w:r>
          </w:p>
          <w:p w14:paraId="59BCD04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10.支持无线麦克风扩音接收，采用Wi-Fi射频2.4GHz与 5GHz双频段传输，有效避免环境中运营商U段（700MHz）的信号干扰。</w:t>
            </w:r>
          </w:p>
          <w:p w14:paraId="6F87D9E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11.采用红外对码方式，避免连接到其他教室音箱。可快速完成与教学扩声麦克风对码，无需繁琐操作。</w:t>
            </w:r>
          </w:p>
          <w:p w14:paraId="3092C90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12.配置独立音频数字信号处理芯片，支持啸叫抑制功能。</w:t>
            </w:r>
          </w:p>
          <w:p w14:paraId="5E010D5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13.支持蓝牙无线接收，可分享移动设备上的音频。支持密码模式，防止学生连接。</w:t>
            </w:r>
          </w:p>
          <w:p w14:paraId="1FC1C3F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14.支持安卓手机通过蓝牙无线连接音箱，实现控制有源音箱的音量、设置蓝牙名称、设置蓝牙密码等功能，方便教师对音箱的管控。</w:t>
            </w:r>
          </w:p>
          <w:p w14:paraId="6451A62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15.支持交互智能平板显示设备通过蓝牙无线连接音箱，实现控制有源音箱的音量的功能。</w:t>
            </w:r>
          </w:p>
          <w:p w14:paraId="212DEC0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16.主音箱与副音箱采用有线连接，音箱采用木质材质，保证声音还原度。</w:t>
            </w:r>
          </w:p>
        </w:tc>
        <w:tc>
          <w:tcPr>
            <w:tcW w:w="650" w:type="dxa"/>
            <w:tcBorders>
              <w:top w:val="single" w:color="auto" w:sz="4" w:space="0"/>
              <w:left w:val="nil"/>
              <w:bottom w:val="single" w:color="auto" w:sz="4" w:space="0"/>
              <w:right w:val="single" w:color="auto" w:sz="4" w:space="0"/>
            </w:tcBorders>
            <w:shd w:val="clear" w:color="auto" w:fill="auto"/>
            <w:noWrap w:val="0"/>
            <w:vAlign w:val="top"/>
          </w:tcPr>
          <w:p w14:paraId="393DCB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1A4BB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409C68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0B900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4790C8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36551B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50B673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7A93E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AF07C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7F19FE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5877E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2D039B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top"/>
          </w:tcPr>
          <w:p w14:paraId="21B89A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6B5A39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337E2A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7D880E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59B0E3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24CCDA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071CD6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167BA6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00023E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5E64E2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1C89A7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3729D8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303DAB97">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293E5601">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08727FAB">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2DE4736A">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07EAED5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rPr>
              <w:t>无线麦克风</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希沃MC33</w:t>
            </w:r>
          </w:p>
          <w:p w14:paraId="004ADA5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1.无线麦克风集音频发射处理器、天线、电池、拾音麦克风于一体，配合一体化有源音箱，无需任何外接辅助设备即可实现本地扩声功能。</w:t>
            </w:r>
          </w:p>
          <w:p w14:paraId="3454AA3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2.采样率≥48KHz，16bit；扩音增益≥15dB；声频响150Hz-16kHz，声信噪比≥60dB；配合一体化有源音箱，扩音延时≤35ms。</w:t>
            </w:r>
          </w:p>
          <w:p w14:paraId="619DB94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3.用Wi-Fi射频频段传输，有效避免环境中运营商U段（700MHz）信号干扰。</w:t>
            </w:r>
          </w:p>
          <w:p w14:paraId="2A9807C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4.支持2.4GHz与5GHz双频段工作，信道数量≥26个。</w:t>
            </w:r>
          </w:p>
          <w:p w14:paraId="2A0A7DD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5.电续航时间≥7小时，满电状态可满足一天内10节课（45分钟/一节课）的高频授课，充电10分钟满足一节课（45分钟/一节课）授课时间。</w:t>
            </w:r>
          </w:p>
          <w:p w14:paraId="247E96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6.采用红外对码方式连接，避免连接到其他教室音箱。可在5S内快速完成与教学扩声音箱对码，无需繁琐操作。</w:t>
            </w:r>
          </w:p>
          <w:p w14:paraId="0339896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7.支持两个无线麦克风同时配对一套一体化有源音箱使用，实现两个麦克风混音输出进行扩音。具备3.5mm外置麦克风接口，可搭配其他麦克风进行使用，比如头戴式、挂耳式的外置麦克风。</w:t>
            </w:r>
          </w:p>
          <w:p w14:paraId="1002FC9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8.空旷无干扰的环境，无线传输有效距离≥15 米。</w:t>
            </w:r>
          </w:p>
          <w:p w14:paraId="23ECD0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9.外壳防火等级≥V1。9.为保证兼容性及稳定性，无线麦克风需与一体化有源音箱为同一品牌厂家。</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7D777F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3AEA57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7E871A6D">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0A6388B6">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65FDF042">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0EB96C44">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0A8506F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智能笔：希沃SP30</w:t>
            </w:r>
          </w:p>
          <w:p w14:paraId="2C825D2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1、采用笔型设计，具有三个遥控按键（上下翻页和功能键），既可用于触摸书写，也可用于远程操控。</w:t>
            </w:r>
          </w:p>
          <w:p w14:paraId="22C32EE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2、采用2.4G无线连接技术，无线接收距离最大可达15米。</w:t>
            </w:r>
          </w:p>
          <w:p w14:paraId="696C375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3、无线接收器采用微型nano设计，并能收纳在笔上，整洁美观。</w:t>
            </w:r>
          </w:p>
          <w:p w14:paraId="3F385D1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4、使用单节7号电池驱动，并带自动休眠节电设计。</w:t>
            </w:r>
          </w:p>
          <w:p w14:paraId="7FE6AEC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5、单接收器设计，android、windows双系统同时响应。只需安装一个接收器，双系统都能响应智能笔的操作指令。</w:t>
            </w:r>
          </w:p>
          <w:p w14:paraId="74BD03E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6、支持白板课件、PPT、PDF等多种格式的课件进行远程无线翻页。</w:t>
            </w:r>
          </w:p>
          <w:p w14:paraId="45732C3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7、功能按键可通过长按/短按实现两种快捷功能，方便教师操作。</w:t>
            </w:r>
          </w:p>
          <w:p w14:paraId="14AF236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8、支持自定义按键功能，可选功能包括：一键启动任意通道批注、一键启动/退出PPT播放、一键启动PPT批注、一键启动任意通道冻结与放大屏幕内容。</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5DA17C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9F69C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081BD6C1">
        <w:tblPrEx>
          <w:tblCellMar>
            <w:top w:w="0" w:type="dxa"/>
            <w:left w:w="108" w:type="dxa"/>
            <w:bottom w:w="0" w:type="dxa"/>
            <w:right w:w="108" w:type="dxa"/>
          </w:tblCellMar>
        </w:tblPrEx>
        <w:trPr>
          <w:trHeight w:val="4049" w:hRule="atLeast"/>
        </w:trPr>
        <w:tc>
          <w:tcPr>
            <w:tcW w:w="534" w:type="dxa"/>
            <w:vMerge w:val="restart"/>
            <w:tcBorders>
              <w:top w:val="single" w:color="auto" w:sz="4" w:space="0"/>
              <w:left w:val="single" w:color="auto" w:sz="4" w:space="0"/>
              <w:right w:val="single" w:color="auto" w:sz="4" w:space="0"/>
            </w:tcBorders>
            <w:shd w:val="clear" w:color="auto" w:fill="auto"/>
            <w:noWrap/>
            <w:vAlign w:val="center"/>
          </w:tcPr>
          <w:p w14:paraId="35BCEA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2</w:t>
            </w:r>
          </w:p>
        </w:tc>
        <w:tc>
          <w:tcPr>
            <w:tcW w:w="884" w:type="dxa"/>
            <w:vMerge w:val="restart"/>
            <w:tcBorders>
              <w:top w:val="single" w:color="auto" w:sz="4" w:space="0"/>
              <w:left w:val="nil"/>
              <w:right w:val="single" w:color="auto" w:sz="4" w:space="0"/>
            </w:tcBorders>
            <w:shd w:val="clear" w:color="auto" w:fill="auto"/>
            <w:noWrap/>
            <w:vAlign w:val="center"/>
          </w:tcPr>
          <w:p w14:paraId="5392A7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color w:val="auto"/>
                <w:kern w:val="0"/>
                <w:sz w:val="15"/>
                <w:szCs w:val="15"/>
                <w:highlight w:val="none"/>
                <w:lang w:val="en-US" w:eastAsia="zh-CN"/>
              </w:rPr>
              <w:t>智慧黑板（触控一体机）</w:t>
            </w:r>
          </w:p>
        </w:tc>
        <w:tc>
          <w:tcPr>
            <w:tcW w:w="850" w:type="dxa"/>
            <w:vMerge w:val="restart"/>
            <w:tcBorders>
              <w:top w:val="single" w:color="auto" w:sz="4" w:space="0"/>
              <w:left w:val="nil"/>
              <w:right w:val="single" w:color="auto" w:sz="4" w:space="0"/>
            </w:tcBorders>
            <w:shd w:val="clear" w:color="auto" w:fill="auto"/>
            <w:noWrap w:val="0"/>
            <w:vAlign w:val="center"/>
          </w:tcPr>
          <w:p w14:paraId="1CAB8F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希沃FG86EA</w:t>
            </w:r>
          </w:p>
        </w:tc>
        <w:tc>
          <w:tcPr>
            <w:tcW w:w="6950" w:type="dxa"/>
            <w:tcBorders>
              <w:top w:val="single" w:color="auto" w:sz="4" w:space="0"/>
              <w:left w:val="nil"/>
              <w:bottom w:val="single" w:color="auto" w:sz="4" w:space="0"/>
              <w:right w:val="single" w:color="auto" w:sz="4" w:space="0"/>
            </w:tcBorders>
            <w:shd w:val="clear" w:color="auto" w:fill="auto"/>
            <w:noWrap/>
            <w:vAlign w:val="top"/>
          </w:tcPr>
          <w:p w14:paraId="5CCE1A5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一、</w:t>
            </w:r>
            <w:r>
              <w:rPr>
                <w:rFonts w:hint="eastAsia" w:cs="宋体"/>
                <w:b w:val="0"/>
                <w:bCs w:val="0"/>
                <w:color w:val="auto"/>
                <w:sz w:val="15"/>
                <w:szCs w:val="15"/>
                <w:highlight w:val="none"/>
                <w:vertAlign w:val="baseline"/>
                <w:lang w:eastAsia="zh-CN"/>
              </w:rPr>
              <w:t>主机模块</w:t>
            </w:r>
          </w:p>
          <w:p w14:paraId="20493D6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1、CPU：搭载Intel  酷睿系列≥12代i5 CPU（要求：核心数≥8，线程数≥12，主频≥2.0Ghz）</w:t>
            </w:r>
          </w:p>
          <w:p w14:paraId="72C15EB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2、内存：</w:t>
            </w:r>
            <w:r>
              <w:rPr>
                <w:rFonts w:hint="eastAsia" w:ascii="宋体" w:hAnsi="宋体" w:eastAsia="宋体" w:cs="宋体"/>
                <w:b w:val="0"/>
                <w:bCs w:val="0"/>
                <w:color w:val="auto"/>
                <w:sz w:val="15"/>
                <w:szCs w:val="15"/>
                <w:highlight w:val="none"/>
                <w:vertAlign w:val="baseline"/>
                <w:lang w:val="en-US" w:eastAsia="zh-CN"/>
              </w:rPr>
              <w:t>16GB DDR4内存</w:t>
            </w:r>
            <w:r>
              <w:rPr>
                <w:rFonts w:hint="eastAsia" w:ascii="宋体" w:hAnsi="宋体" w:eastAsia="宋体" w:cs="宋体"/>
                <w:b w:val="0"/>
                <w:bCs w:val="0"/>
                <w:color w:val="auto"/>
                <w:sz w:val="15"/>
                <w:szCs w:val="15"/>
                <w:highlight w:val="none"/>
                <w:vertAlign w:val="baseline"/>
              </w:rPr>
              <w:t xml:space="preserve"> </w:t>
            </w:r>
          </w:p>
          <w:p w14:paraId="1D8B18C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3、硬盘：</w:t>
            </w:r>
            <w:r>
              <w:rPr>
                <w:rFonts w:hint="eastAsia" w:ascii="宋体" w:hAnsi="宋体" w:eastAsia="宋体" w:cs="宋体"/>
                <w:b w:val="0"/>
                <w:bCs w:val="0"/>
                <w:color w:val="auto"/>
                <w:sz w:val="15"/>
                <w:szCs w:val="15"/>
                <w:highlight w:val="none"/>
                <w:vertAlign w:val="baseline"/>
                <w:lang w:val="en-US" w:eastAsia="zh-CN"/>
              </w:rPr>
              <w:t>512</w:t>
            </w:r>
            <w:r>
              <w:rPr>
                <w:rFonts w:hint="eastAsia" w:ascii="宋体" w:hAnsi="宋体" w:eastAsia="宋体" w:cs="宋体"/>
                <w:b w:val="0"/>
                <w:bCs w:val="0"/>
                <w:color w:val="auto"/>
                <w:sz w:val="15"/>
                <w:szCs w:val="15"/>
                <w:highlight w:val="none"/>
                <w:vertAlign w:val="baseline"/>
              </w:rPr>
              <w:t>G</w:t>
            </w:r>
            <w:r>
              <w:rPr>
                <w:rFonts w:hint="eastAsia" w:ascii="宋体" w:hAnsi="宋体" w:eastAsia="宋体"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SSD固态硬盘。</w:t>
            </w:r>
          </w:p>
          <w:p w14:paraId="348106E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二、教学功能设计</w:t>
            </w:r>
          </w:p>
          <w:p w14:paraId="72C701D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1、三合一电源按键，同一电源物理按键完成Android系统和Windows系统的开机、节能熄屏、关机操作；关机状态下按按键开机；开机状态下按按键实现节能熄屏/唤醒，长按按键实现关机。</w:t>
            </w:r>
          </w:p>
          <w:p w14:paraId="3F47F12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2、设备支持通过前置面板物理按键一键启动录屏功能，可将屏幕中显示的课件、音频内容与人声同时录制。（</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DB7CEC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033C9A3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、Wi-Fi和AP热点工作距离≥10m。</w:t>
            </w:r>
          </w:p>
          <w:p w14:paraId="130A084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、整机支持蓝牙Bluetooth 5.4标准，固件版本号HCI13.0/LMP13.0。</w:t>
            </w:r>
          </w:p>
          <w:p w14:paraId="33335DA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、整机支持发出频率为18kHz-22kHz超声波信号，智能手机通过麦克风接收后，智能手机与整机无需在同一局域网内，可实现配对，一键投屏，用户无需手动输入投屏码或扫码获取投屏</w:t>
            </w:r>
            <w:r>
              <w:rPr>
                <w:rFonts w:hint="eastAsia" w:ascii="宋体" w:hAnsi="宋体" w:eastAsia="宋体" w:cs="宋体"/>
                <w:b w:val="0"/>
                <w:bCs w:val="0"/>
                <w:color w:val="auto"/>
                <w:sz w:val="15"/>
                <w:szCs w:val="15"/>
                <w:highlight w:val="none"/>
                <w:shd w:val="clear" w:fill="FFFFFF" w:themeFill="background1"/>
                <w:vertAlign w:val="baseline"/>
              </w:rPr>
              <w:t>码</w:t>
            </w:r>
            <w:r>
              <w:rPr>
                <w:rFonts w:hint="eastAsia" w:cs="宋体"/>
                <w:b w:val="0"/>
                <w:bCs w:val="0"/>
                <w:color w:val="auto"/>
                <w:sz w:val="15"/>
                <w:szCs w:val="15"/>
                <w:highlight w:val="none"/>
                <w:shd w:val="clear" w:fill="FFFFFF" w:themeFill="background1"/>
                <w:vertAlign w:val="baseline"/>
                <w:lang w:eastAsia="zh-CN"/>
              </w:rPr>
              <w:t>。</w:t>
            </w:r>
            <w:r>
              <w:rPr>
                <w:rFonts w:hint="eastAsia" w:ascii="宋体" w:hAnsi="宋体" w:eastAsia="宋体" w:cs="宋体"/>
                <w:b w:val="0"/>
                <w:bCs w:val="0"/>
                <w:color w:val="auto"/>
                <w:sz w:val="15"/>
                <w:szCs w:val="15"/>
                <w:highlight w:val="none"/>
                <w:shd w:val="clear" w:fill="FFFFFF" w:themeFill="background1"/>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525667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、整机PC端支持主动发现蓝牙外设从而连接（无需整机进入发现模式），支持连接外部蓝牙音箱播放音频。</w:t>
            </w:r>
          </w:p>
          <w:p w14:paraId="3CE0019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、整机内置双WiFi6无线网卡，在Android下支持无线设备同时连接数量≥32个，在Windows系统下支持无线设备同时连接≥8个。</w:t>
            </w:r>
          </w:p>
          <w:p w14:paraId="6121993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、支持标准、听力、观影和AI空间感知音效模式，AI空间感知音效模式可通过内置麦克风采集教室物理环境声音，自动生成符合当前教室物理环境的频段、音量、音效。（</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0EC0A0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10</w:t>
            </w:r>
            <w:r>
              <w:rPr>
                <w:rFonts w:hint="eastAsia" w:ascii="宋体" w:hAnsi="宋体" w:eastAsia="宋体" w:cs="宋体"/>
                <w:b w:val="0"/>
                <w:bCs w:val="0"/>
                <w:color w:val="auto"/>
                <w:sz w:val="15"/>
                <w:szCs w:val="15"/>
                <w:highlight w:val="none"/>
                <w:vertAlign w:val="baseline"/>
              </w:rPr>
              <w:t>、整机可选择高级音效设置，支持在左右声道平衡显示范围中进行更改；中低频段显示调节范围125Hz～1KHz，高频段显示调节范围 2KHz～16KHz，分贝显示-12dB～12dB 调节范围。</w:t>
            </w:r>
          </w:p>
          <w:p w14:paraId="08E557E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rPr>
              <w:t>、整机上边框内置非独立式摄像头，采用一体化集成设计，摄像头数量≥4个。</w:t>
            </w:r>
          </w:p>
          <w:p w14:paraId="2A455B2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、上边框内置非独立式≥3个智能拼接摄像头，视场角≥141度，水平视场角≥139度，支持输出≥8192×2048分辨率的照片和视频，支持画面畸变矫正功能 。（</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481C60F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13</w:t>
            </w:r>
            <w:r>
              <w:rPr>
                <w:rFonts w:hint="eastAsia" w:ascii="宋体" w:hAnsi="宋体" w:eastAsia="宋体" w:cs="宋体"/>
                <w:b w:val="0"/>
                <w:bCs w:val="0"/>
                <w:color w:val="auto"/>
                <w:sz w:val="15"/>
                <w:szCs w:val="15"/>
                <w:highlight w:val="none"/>
                <w:vertAlign w:val="baseline"/>
              </w:rPr>
              <w:t>、整机内置≥三个摄像头，像素值均大于800 万，同时输出≥ 3 路视频流，同时支持课堂远程巡课、课堂教学数据采集、本地画面预览（拍照或视频录制）。（</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AE9363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14</w:t>
            </w:r>
            <w:r>
              <w:rPr>
                <w:rFonts w:hint="eastAsia" w:ascii="宋体" w:hAnsi="宋体" w:eastAsia="宋体" w:cs="宋体"/>
                <w:b w:val="0"/>
                <w:bCs w:val="0"/>
                <w:color w:val="auto"/>
                <w:sz w:val="15"/>
                <w:szCs w:val="15"/>
                <w:highlight w:val="none"/>
                <w:vertAlign w:val="baseline"/>
              </w:rPr>
              <w:t>、整机内置2.2声道扬声器，位于设备上边框，顶置朝前发声，前朝向≥10W高音扬声器≥2个，上朝向≥20W中低音扬声器≥2个，额定总功率≥60W。采用缝隙发声技术，喇叭采用槽式开口设计，不大于5.8mm。（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04F656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15</w:t>
            </w:r>
            <w:r>
              <w:rPr>
                <w:rFonts w:hint="eastAsia" w:ascii="宋体" w:hAnsi="宋体" w:eastAsia="宋体" w:cs="宋体"/>
                <w:b w:val="0"/>
                <w:bCs w:val="0"/>
                <w:color w:val="auto"/>
                <w:sz w:val="15"/>
                <w:szCs w:val="15"/>
                <w:highlight w:val="none"/>
                <w:vertAlign w:val="baseline"/>
              </w:rPr>
              <w:t>、整机内置非独立外扩展的8阵列麦克风，拾音角度≥180°，可用于对教室环境音频进行采集，拾音距离≥12m。（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05AE57E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16</w:t>
            </w:r>
            <w:r>
              <w:rPr>
                <w:rFonts w:hint="eastAsia" w:ascii="宋体" w:hAnsi="宋体" w:eastAsia="宋体" w:cs="宋体"/>
                <w:b w:val="0"/>
                <w:bCs w:val="0"/>
                <w:color w:val="auto"/>
                <w:sz w:val="15"/>
                <w:szCs w:val="15"/>
                <w:highlight w:val="none"/>
                <w:vertAlign w:val="baseline"/>
              </w:rPr>
              <w:t>、整机上边框内置非独立的广角高清摄像头，在距离整机1.7米情况下，且拍摄范围可以覆盖摄像头垂直法线左右距离大于等于4米，可以实现人脸识别。（</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25F0FE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17</w:t>
            </w:r>
            <w:r>
              <w:rPr>
                <w:rFonts w:hint="eastAsia" w:ascii="宋体" w:hAnsi="宋体" w:eastAsia="宋体" w:cs="宋体"/>
                <w:b w:val="0"/>
                <w:bCs w:val="0"/>
                <w:color w:val="auto"/>
                <w:sz w:val="15"/>
                <w:szCs w:val="15"/>
                <w:highlight w:val="none"/>
                <w:vertAlign w:val="baseline"/>
              </w:rPr>
              <w:t>、整机上边框内置非独式广角摄像头和智能拼接摄像头， 均支持 3D 降噪算法和数字宽动态范围成像WDR 技术，支持输出 MJPG、 H.264 视频格式。</w:t>
            </w:r>
          </w:p>
          <w:p w14:paraId="6CBB27B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18</w:t>
            </w:r>
            <w:r>
              <w:rPr>
                <w:rFonts w:hint="eastAsia" w:ascii="宋体" w:hAnsi="宋体" w:eastAsia="宋体" w:cs="宋体"/>
                <w:b w:val="0"/>
                <w:bCs w:val="0"/>
                <w:color w:val="auto"/>
                <w:sz w:val="15"/>
                <w:szCs w:val="15"/>
                <w:highlight w:val="none"/>
                <w:vertAlign w:val="baseline"/>
              </w:rPr>
              <w:t>、整机摄像头支持人脸识别、清点人数、随机抽人；识别所有学生，显示标记，然后随机抽选，同时显示标记≥60人。（</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9FE98F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19</w:t>
            </w:r>
            <w:r>
              <w:rPr>
                <w:rFonts w:hint="eastAsia" w:ascii="宋体" w:hAnsi="宋体" w:eastAsia="宋体" w:cs="宋体"/>
                <w:b w:val="0"/>
                <w:bCs w:val="0"/>
                <w:color w:val="auto"/>
                <w:sz w:val="15"/>
                <w:szCs w:val="15"/>
                <w:highlight w:val="none"/>
                <w:vertAlign w:val="baseline"/>
              </w:rPr>
              <w:t>、整机设备教学桌面支持教学常用的教学白板软件和文件管理软件软件；教学桌面首页支持自定义桌面应用，支持展示8个应用入口。并提供进入本机所有应用的入口。</w:t>
            </w:r>
          </w:p>
          <w:p w14:paraId="0EF241F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三、整体屏幕素质要求</w:t>
            </w:r>
          </w:p>
          <w:p w14:paraId="06500D9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1、整机屏幕采用≥86英寸液晶显示器，采用UHD超高清LED液晶屏，显示比例16:9，分辨率3840×2160，色域覆盖率（NTSC）≥72%，灰度等级≥256级。</w:t>
            </w:r>
          </w:p>
          <w:p w14:paraId="0F6E6E2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、整机采用硬件低蓝光背光技术，在源头减少有害蓝光波段能量，蓝光占比（有害蓝光415～455nm能量综合）/（整体蓝光400～500能量综合）≤50%，低蓝光保护显示不偏色、不泛黄。</w:t>
            </w:r>
          </w:p>
          <w:p w14:paraId="61680A2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、整机支持色彩空间可选，包含标准模式和sRGB模式，在sRGB模式下可做到高色准△E≤1.0。（</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24A243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、整机支持支持可自定义图像设置，可对对比度、屏幕色温、图像亮度、亮度范围、色彩空间进行更进一步调节设置。</w:t>
            </w:r>
          </w:p>
          <w:p w14:paraId="0A7B0B3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四、整机接口设计</w:t>
            </w:r>
          </w:p>
          <w:p w14:paraId="183EF62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1、侧置输入接口具备≥2路HDMI、≥1路RS232、≥1路USB接口。</w:t>
            </w:r>
          </w:p>
          <w:p w14:paraId="7BA3223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2、侧置输出接口具备≥1路音频输出、≥1路触控USB输出。</w:t>
            </w:r>
          </w:p>
          <w:p w14:paraId="0CE8698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3、前置输入接口≥3路USB接口（包含≥1路Type-C、≥2路USB），前置USB接口支持Android系统、Windows系统读取外接移动存储设备。</w:t>
            </w:r>
          </w:p>
          <w:p w14:paraId="02AC433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27DD6F2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5、外接电脑设备经双头Type-C线连接至整机，可调用整机内置的摄像头、麦克风、扬声器，在外接电脑即可控制整机拍摄教室画面。</w:t>
            </w:r>
          </w:p>
          <w:p w14:paraId="6881701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6、支持通过Type-C接口U盘进行文件传输，兼容Type-C接口手机充电。</w:t>
            </w:r>
          </w:p>
          <w:p w14:paraId="62A6DE8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五、整机安全设计</w:t>
            </w:r>
          </w:p>
          <w:p w14:paraId="2DB07DE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1、整机全通道支持纸质护眼模式，可实现画面纹理的实时调整；支持纸质纹理：牛皮纸、素描纸、宣纸、水彩纸、水纹纸；支持透明度调节；支持色温调节。（</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3A69719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六、整机便捷功能设计</w:t>
            </w:r>
          </w:p>
          <w:p w14:paraId="4905839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4CF787B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七、整机触摸和备用系统</w:t>
            </w:r>
          </w:p>
          <w:p w14:paraId="1886668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1、采用红外触控技术，支持Windows系统中进行40点或以上触控，支持在Android系统中进行40点或以上触控。（</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23240CC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、整机支持提笔书写，在Windows系统下可实现无需点击任意功能入口，当检测到红外笔笔尖接触屏幕时，自动进入书写模式。（</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5BB6C2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、嵌入式系统版本不低于Android 13，内存≥2GB，存储空间≥8GB。（</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1823ECC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、嵌入式Android操作系统下，白板支持对已经书写的笔迹和形状的颜色进行更换。</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7F77C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3FBD3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台</w:t>
            </w:r>
          </w:p>
        </w:tc>
      </w:tr>
      <w:tr w14:paraId="45901538">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5C4BF31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18C992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57653E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5F158CA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壁挂视频展台：希沃SC06</w:t>
            </w:r>
          </w:p>
          <w:p w14:paraId="49803D8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1、采用≥800万像素摄像头；采用 USB五伏电源直接供电，无需额外配置电源适配器，环保无辐射；箱内USB连线采用隐藏式设计，箱内无可见连线且USB口下出，有效防止积尘，且方便布线和返修。</w:t>
            </w:r>
          </w:p>
          <w:p w14:paraId="3F3D028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2、A4大小拍摄幅面，1080P动态视频预览达到30帧/秒；托板及挂墙部分采用金属加强，托板可承重3kg，整机壁挂式安装。</w:t>
            </w:r>
          </w:p>
          <w:p w14:paraId="3FAFBD5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3、支持展台成像画面实时批注，预设多种笔划粗细及颜色供选择，且支持对展台成像画面联同批注内容进行同步缩放、移动。</w:t>
            </w:r>
          </w:p>
          <w:p w14:paraId="2BC1881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4、展示托板正上方具备LED补光灯，保证展示区域的亮度及展示效果，补光灯开关采用触摸按键设计，同时可通过交互智能平板中的软件直接控制开关；带自动对焦摄像头。</w:t>
            </w:r>
          </w:p>
          <w:p w14:paraId="255D184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5、具有故障自动检测功能：在调用展台却无法出现镜头采集画面信号时，可自动出现检测链接，并给出导致性原因（如硬件连接、摄像头占用、配套软件版本等问题）。</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50FFD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75D521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bidi="ar-SA"/>
              </w:rPr>
              <w:t>台</w:t>
            </w:r>
          </w:p>
        </w:tc>
      </w:tr>
      <w:tr w14:paraId="489C41B6">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7C2AEBF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2823C9C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619D16D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0BFA2A2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有源音箱</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希沃SS33B</w:t>
            </w:r>
          </w:p>
          <w:p w14:paraId="1D14B2D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1.采用功放与有源音箱一体化设计，内置麦克风无线接收模块，帮助教师实现多媒体扩音以及本地扩声功能。</w:t>
            </w:r>
          </w:p>
          <w:p w14:paraId="39F1995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2.输出额定功率≥ 2x15W。</w:t>
            </w:r>
          </w:p>
          <w:p w14:paraId="20CB0E2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3.音箱灵敏度≥85dB，1W/1M。</w:t>
            </w:r>
          </w:p>
          <w:p w14:paraId="02A5F83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4.信噪比≥80dB@额定功率、A计权。</w:t>
            </w:r>
          </w:p>
          <w:p w14:paraId="54E9BAF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5.全频喇叭单元尺寸≥5英寸。</w:t>
            </w:r>
          </w:p>
          <w:p w14:paraId="2EA9B28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6.THD+N≤1%。</w:t>
            </w:r>
          </w:p>
          <w:p w14:paraId="7071F96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7.声频响110Hz-16kHz。</w:t>
            </w:r>
          </w:p>
          <w:p w14:paraId="6B9B504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8.距离音箱10米处声压级≥75dB。</w:t>
            </w:r>
          </w:p>
          <w:p w14:paraId="31F3C27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9.具备≥1路电源开关、1路LINE IN、1路USB 接口。USB接口可外接U盘设备对音箱固件进行升级。</w:t>
            </w:r>
          </w:p>
          <w:p w14:paraId="30D4FD1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10.支持无线麦克风扩音接收，采用Wi-Fi射频2.4GHz与 5GHz双频段传输，有效避免环境中运营商U段（700MHz）的信号干扰。</w:t>
            </w:r>
          </w:p>
          <w:p w14:paraId="743FC73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11.采用红外对码方式，避免连接到其他教室音箱。可快速完成与教学扩声麦克风对码，无需繁琐操作。</w:t>
            </w:r>
          </w:p>
          <w:p w14:paraId="2BFDC37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12.配置独立音频数字信号处理芯片，支持啸叫抑制功能。</w:t>
            </w:r>
          </w:p>
          <w:p w14:paraId="1EB56A7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13.支持蓝牙无线接收，可分享移动设备上的音频。支持密码模式，防止学生连接。</w:t>
            </w:r>
          </w:p>
          <w:p w14:paraId="3F811ED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14.支持安卓手机通过蓝牙无线连接音箱，实现控制有源音箱的音量、设置蓝牙名称、设置蓝牙密码等功能，方便教师对音箱的管控。</w:t>
            </w:r>
          </w:p>
          <w:p w14:paraId="1E27B1C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15.支持交互智能平板显示设备通过蓝牙无线连接音箱，实现控制有源音箱的音量的功能。</w:t>
            </w:r>
          </w:p>
          <w:p w14:paraId="2E4D1E2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16.主音箱与副音箱采用有线连接，音箱采用木质材质，保证声音还原度。</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17259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78406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6DAA5BD1">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388A5EF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0AD6010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5B1156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252EB9D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无线麦克风</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希沃MC33</w:t>
            </w:r>
          </w:p>
          <w:p w14:paraId="218F94D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1.无线麦克风集音频发射处理器、天线、电池、拾音麦克风于一体，配合一体化有源音箱，无需任何外接辅助设备即可实现本地扩声功能。</w:t>
            </w:r>
          </w:p>
          <w:p w14:paraId="1B46AA5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2.采样率≥48KHz，16bit；扩音增益≥15dB；声频响150Hz-16kHz，声信噪比≥60dB；配合一体化有源音箱，扩音延时≤35ms。</w:t>
            </w:r>
          </w:p>
          <w:p w14:paraId="7D95FA4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3.用Wi-Fi射频频段传输，有效避免环境中运营商U段（700MHz）信号干扰。</w:t>
            </w:r>
          </w:p>
          <w:p w14:paraId="5896C6A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4.支持2.4GHz与5GHz双频段工作，信道数量≥26个。</w:t>
            </w:r>
          </w:p>
          <w:p w14:paraId="4EEEC0E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5.电续航时间≥7小时，满电状态可满足一天内10节课（45分钟/一节课）的高频授课，充电10分钟满足一节课（45分钟/一节课）授课时间。</w:t>
            </w:r>
          </w:p>
          <w:p w14:paraId="7B34688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6.采用红外对码方式连接，避免连接到其他教室音箱。可在5S内快速完成与教学扩声音箱对码，无需繁琐操作。</w:t>
            </w:r>
          </w:p>
          <w:p w14:paraId="13DE479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7.支持两个无线麦克风同时配对一套一体化有源音箱使用，实现两个麦克风混音输出进行扩音。具备3.5mm外置麦克风接口，可搭配其他麦克风进行使用，比如头戴式、挂耳式的外置麦克风。</w:t>
            </w:r>
          </w:p>
          <w:p w14:paraId="639722B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8.空旷无干扰的环境，无线传输有效距离≥15 米。</w:t>
            </w:r>
          </w:p>
          <w:p w14:paraId="1F67D4F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9.外壳防火等级≥V1。9.为保证兼容性及稳定性，无线麦克风需与一体化有源音箱为同一品牌厂家。</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8312A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7A6C44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337C90DD">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4F2B895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3FC7C9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2505B8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5EEB398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智能笔：希沃SP30</w:t>
            </w:r>
          </w:p>
          <w:p w14:paraId="3858E6B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1、采用笔型设计，具有三个遥控按键（上下翻页和功能键），既可用于触摸书写，也可用于远程操控。</w:t>
            </w:r>
          </w:p>
          <w:p w14:paraId="15056ED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2、采用2.4G无线连接技术，无线接收距离最大可达15米。</w:t>
            </w:r>
          </w:p>
          <w:p w14:paraId="5EC135E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3、无线接收器采用微型nano设计，并能收纳在笔上，整洁美观。</w:t>
            </w:r>
          </w:p>
          <w:p w14:paraId="5C1DDC1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4、使用单节7号电池驱动，并带自动休眠节电设计。</w:t>
            </w:r>
          </w:p>
          <w:p w14:paraId="2303A81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5、单接收器设计，android、windows双系统同时响应。只需安装一个接收器，双系统都能响应智能笔的操作指令。</w:t>
            </w:r>
          </w:p>
          <w:p w14:paraId="0234EA7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6、支持白板课件、PPT、PDF等多种格式的课件进行远程无线翻页。</w:t>
            </w:r>
          </w:p>
          <w:p w14:paraId="211DF13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7、功能按键可通过长按/短按实现两种快捷功能，方便教师操作。</w:t>
            </w:r>
          </w:p>
          <w:p w14:paraId="6E07AF0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8、支持自定义按键功能，可选功能包括：一键启动任意通道批注、一键启动/退出PPT播放、一键启动PPT批注、一键启动任意通道冻结与放大屏幕内容。</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F8836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7F027D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2DF0D051">
        <w:tblPrEx>
          <w:tblCellMar>
            <w:top w:w="0" w:type="dxa"/>
            <w:left w:w="108" w:type="dxa"/>
            <w:bottom w:w="0" w:type="dxa"/>
            <w:right w:w="108" w:type="dxa"/>
          </w:tblCellMar>
        </w:tblPrEx>
        <w:trPr>
          <w:trHeight w:val="2313" w:hRule="atLeast"/>
        </w:trPr>
        <w:tc>
          <w:tcPr>
            <w:tcW w:w="534" w:type="dxa"/>
            <w:vMerge w:val="continue"/>
            <w:tcBorders>
              <w:left w:val="single" w:color="auto" w:sz="4" w:space="0"/>
              <w:bottom w:val="single" w:color="auto" w:sz="4" w:space="0"/>
              <w:right w:val="single" w:color="auto" w:sz="4" w:space="0"/>
            </w:tcBorders>
            <w:shd w:val="clear" w:color="auto" w:fill="auto"/>
            <w:noWrap/>
            <w:vAlign w:val="center"/>
          </w:tcPr>
          <w:p w14:paraId="410330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bottom w:val="single" w:color="auto" w:sz="4" w:space="0"/>
              <w:right w:val="single" w:color="auto" w:sz="4" w:space="0"/>
            </w:tcBorders>
            <w:shd w:val="clear" w:color="auto" w:fill="auto"/>
            <w:noWrap/>
            <w:vAlign w:val="center"/>
          </w:tcPr>
          <w:p w14:paraId="75D6375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bottom w:val="single" w:color="auto" w:sz="4" w:space="0"/>
              <w:right w:val="single" w:color="auto" w:sz="4" w:space="0"/>
            </w:tcBorders>
            <w:shd w:val="clear" w:color="auto" w:fill="auto"/>
            <w:noWrap w:val="0"/>
            <w:vAlign w:val="center"/>
          </w:tcPr>
          <w:p w14:paraId="351B5DF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6E7B9F5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光能黑板</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蓝贝思特（LE65P）</w:t>
            </w:r>
          </w:p>
          <w:p w14:paraId="6165688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一、硬件要求</w:t>
            </w:r>
          </w:p>
          <w:p w14:paraId="2E2143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1、整体采用ABA样式，左、右光能黑板+中间触控一体机的安装方式。单块光能黑板≥1290（长）*1158（高）mm。下边框具有可调节</w:t>
            </w:r>
            <w:r>
              <w:rPr>
                <w:rFonts w:hint="eastAsia" w:ascii="宋体" w:hAnsi="宋体" w:eastAsia="宋体" w:cs="宋体"/>
                <w:b w:val="0"/>
                <w:bCs w:val="0"/>
                <w:color w:val="auto"/>
                <w:sz w:val="15"/>
                <w:szCs w:val="15"/>
                <w:highlight w:val="none"/>
                <w:vertAlign w:val="baseline"/>
                <w:lang w:val="en-US" w:eastAsia="zh-CN"/>
              </w:rPr>
              <w:t>托盘</w:t>
            </w:r>
            <w:r>
              <w:rPr>
                <w:rFonts w:hint="eastAsia" w:ascii="宋体" w:hAnsi="宋体" w:eastAsia="宋体" w:cs="宋体"/>
                <w:b w:val="0"/>
                <w:bCs w:val="0"/>
                <w:color w:val="auto"/>
                <w:sz w:val="15"/>
                <w:szCs w:val="15"/>
                <w:highlight w:val="none"/>
                <w:vertAlign w:val="baseline"/>
              </w:rPr>
              <w:t>，可根据触控一体机高度进行</w:t>
            </w:r>
            <w:r>
              <w:rPr>
                <w:rFonts w:hint="eastAsia" w:ascii="宋体" w:hAnsi="宋体" w:eastAsia="宋体" w:cs="宋体"/>
                <w:b w:val="0"/>
                <w:bCs w:val="0"/>
                <w:color w:val="auto"/>
                <w:sz w:val="15"/>
                <w:szCs w:val="15"/>
                <w:highlight w:val="none"/>
                <w:vertAlign w:val="baseline"/>
                <w:lang w:val="en-US" w:eastAsia="zh-CN"/>
              </w:rPr>
              <w:t>相应</w:t>
            </w:r>
            <w:r>
              <w:rPr>
                <w:rFonts w:hint="eastAsia" w:ascii="宋体" w:hAnsi="宋体" w:eastAsia="宋体" w:cs="宋体"/>
                <w:b w:val="0"/>
                <w:bCs w:val="0"/>
                <w:color w:val="auto"/>
                <w:sz w:val="15"/>
                <w:szCs w:val="15"/>
                <w:highlight w:val="none"/>
                <w:vertAlign w:val="baseline"/>
              </w:rPr>
              <w:t>调</w:t>
            </w:r>
            <w:r>
              <w:rPr>
                <w:rFonts w:hint="eastAsia" w:ascii="宋体" w:hAnsi="宋体" w:eastAsia="宋体" w:cs="宋体"/>
                <w:b w:val="0"/>
                <w:bCs w:val="0"/>
                <w:color w:val="auto"/>
                <w:sz w:val="15"/>
                <w:szCs w:val="15"/>
                <w:highlight w:val="none"/>
                <w:vertAlign w:val="baseline"/>
                <w:lang w:val="en-US" w:eastAsia="zh-CN"/>
              </w:rPr>
              <w:t>节并</w:t>
            </w:r>
            <w:r>
              <w:rPr>
                <w:rFonts w:hint="eastAsia" w:ascii="宋体" w:hAnsi="宋体" w:eastAsia="宋体" w:cs="宋体"/>
                <w:b w:val="0"/>
                <w:bCs w:val="0"/>
                <w:color w:val="auto"/>
                <w:sz w:val="15"/>
                <w:szCs w:val="15"/>
                <w:highlight w:val="none"/>
                <w:vertAlign w:val="baseline"/>
              </w:rPr>
              <w:t>兼具置物功能。</w:t>
            </w:r>
            <w:r>
              <w:rPr>
                <w:rFonts w:hint="eastAsia" w:ascii="宋体" w:hAnsi="宋体" w:eastAsia="宋体" w:cs="宋体"/>
                <w:b w:val="0"/>
                <w:bCs w:val="0"/>
                <w:color w:val="auto"/>
                <w:sz w:val="15"/>
                <w:szCs w:val="15"/>
                <w:highlight w:val="none"/>
                <w:vertAlign w:val="baseline"/>
                <w:lang w:val="en-US" w:eastAsia="zh-CN"/>
              </w:rPr>
              <w:t>整体</w:t>
            </w:r>
            <w:r>
              <w:rPr>
                <w:rFonts w:hint="eastAsia" w:ascii="宋体" w:hAnsi="宋体" w:eastAsia="宋体" w:cs="宋体"/>
                <w:b w:val="0"/>
                <w:bCs w:val="0"/>
                <w:color w:val="auto"/>
                <w:sz w:val="15"/>
                <w:szCs w:val="15"/>
                <w:highlight w:val="none"/>
                <w:vertAlign w:val="baseline"/>
              </w:rPr>
              <w:t>边框采用</w:t>
            </w:r>
            <w:r>
              <w:rPr>
                <w:rFonts w:hint="eastAsia" w:ascii="宋体" w:hAnsi="宋体" w:eastAsia="宋体" w:cs="宋体"/>
                <w:b w:val="0"/>
                <w:bCs w:val="0"/>
                <w:color w:val="auto"/>
                <w:sz w:val="15"/>
                <w:szCs w:val="15"/>
                <w:highlight w:val="none"/>
                <w:vertAlign w:val="baseline"/>
                <w:lang w:val="en-US" w:eastAsia="zh-CN"/>
              </w:rPr>
              <w:t>高强度</w:t>
            </w:r>
            <w:r>
              <w:rPr>
                <w:rFonts w:hint="eastAsia" w:ascii="宋体" w:hAnsi="宋体" w:eastAsia="宋体" w:cs="宋体"/>
                <w:b w:val="0"/>
                <w:bCs w:val="0"/>
                <w:color w:val="auto"/>
                <w:sz w:val="15"/>
                <w:szCs w:val="15"/>
                <w:highlight w:val="none"/>
                <w:vertAlign w:val="baseline"/>
              </w:rPr>
              <w:t>铝合金材质，具有</w:t>
            </w:r>
            <w:r>
              <w:rPr>
                <w:rFonts w:hint="eastAsia" w:ascii="宋体" w:hAnsi="宋体" w:eastAsia="宋体" w:cs="宋体"/>
                <w:b w:val="0"/>
                <w:bCs w:val="0"/>
                <w:color w:val="auto"/>
                <w:sz w:val="15"/>
                <w:szCs w:val="15"/>
                <w:highlight w:val="none"/>
                <w:vertAlign w:val="baseline"/>
                <w:lang w:val="en-US" w:eastAsia="zh-CN"/>
              </w:rPr>
              <w:t>良</w:t>
            </w:r>
            <w:r>
              <w:rPr>
                <w:rFonts w:hint="eastAsia" w:ascii="宋体" w:hAnsi="宋体" w:eastAsia="宋体" w:cs="宋体"/>
                <w:b w:val="0"/>
                <w:bCs w:val="0"/>
                <w:color w:val="auto"/>
                <w:sz w:val="15"/>
                <w:szCs w:val="15"/>
                <w:highlight w:val="none"/>
                <w:vertAlign w:val="baseline"/>
              </w:rPr>
              <w:t>好的耐</w:t>
            </w:r>
            <w:r>
              <w:rPr>
                <w:rFonts w:hint="eastAsia" w:ascii="宋体" w:hAnsi="宋体" w:eastAsia="宋体" w:cs="宋体"/>
                <w:b w:val="0"/>
                <w:bCs w:val="0"/>
                <w:color w:val="auto"/>
                <w:sz w:val="15"/>
                <w:szCs w:val="15"/>
                <w:highlight w:val="none"/>
                <w:vertAlign w:val="baseline"/>
                <w:lang w:val="en-US" w:eastAsia="zh-CN"/>
              </w:rPr>
              <w:t>冲击、耐</w:t>
            </w:r>
            <w:r>
              <w:rPr>
                <w:rFonts w:hint="eastAsia" w:ascii="宋体" w:hAnsi="宋体" w:eastAsia="宋体" w:cs="宋体"/>
                <w:b w:val="0"/>
                <w:bCs w:val="0"/>
                <w:color w:val="auto"/>
                <w:sz w:val="15"/>
                <w:szCs w:val="15"/>
                <w:highlight w:val="none"/>
                <w:vertAlign w:val="baseline"/>
              </w:rPr>
              <w:t>腐蚀性。</w:t>
            </w:r>
          </w:p>
          <w:p w14:paraId="6FD9794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2、无需耗材，消除粉笔粉尘对师生</w:t>
            </w:r>
            <w:r>
              <w:rPr>
                <w:rFonts w:hint="eastAsia" w:ascii="宋体" w:hAnsi="宋体" w:eastAsia="宋体" w:cs="宋体"/>
                <w:b w:val="0"/>
                <w:bCs w:val="0"/>
                <w:color w:val="auto"/>
                <w:sz w:val="15"/>
                <w:szCs w:val="15"/>
                <w:highlight w:val="none"/>
                <w:vertAlign w:val="baseline"/>
                <w:lang w:val="en-US" w:eastAsia="zh-CN"/>
              </w:rPr>
              <w:t>的健康危害、减少粉尘对教室内其他电子设备的不良影响</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延长其他电子设备使用寿命。使用各种</w:t>
            </w:r>
            <w:r>
              <w:rPr>
                <w:rFonts w:hint="eastAsia" w:ascii="宋体" w:hAnsi="宋体" w:eastAsia="宋体" w:cs="宋体"/>
                <w:b w:val="0"/>
                <w:bCs w:val="0"/>
                <w:color w:val="auto"/>
                <w:sz w:val="15"/>
                <w:szCs w:val="15"/>
                <w:highlight w:val="none"/>
                <w:vertAlign w:val="baseline"/>
              </w:rPr>
              <w:t>硬度适中的工具均可书写，</w:t>
            </w:r>
            <w:r>
              <w:rPr>
                <w:rFonts w:hint="eastAsia" w:ascii="宋体" w:hAnsi="宋体" w:eastAsia="宋体" w:cs="宋体"/>
                <w:b w:val="0"/>
                <w:bCs w:val="0"/>
                <w:color w:val="auto"/>
                <w:sz w:val="15"/>
                <w:szCs w:val="15"/>
                <w:highlight w:val="none"/>
                <w:vertAlign w:val="baseline"/>
                <w:lang w:val="en-US" w:eastAsia="zh-CN"/>
              </w:rPr>
              <w:t>配备塑料笔。板面</w:t>
            </w:r>
            <w:r>
              <w:rPr>
                <w:rFonts w:hint="eastAsia" w:ascii="宋体" w:hAnsi="宋体" w:eastAsia="宋体" w:cs="宋体"/>
                <w:b w:val="0"/>
                <w:bCs w:val="0"/>
                <w:color w:val="auto"/>
                <w:sz w:val="15"/>
                <w:szCs w:val="15"/>
                <w:highlight w:val="none"/>
                <w:vertAlign w:val="baseline"/>
              </w:rPr>
              <w:t>单点书写、可擦次数达10万次</w:t>
            </w:r>
            <w:r>
              <w:rPr>
                <w:rFonts w:hint="eastAsia" w:ascii="宋体" w:hAnsi="宋体" w:eastAsia="宋体" w:cs="宋体"/>
                <w:b w:val="0"/>
                <w:bCs w:val="0"/>
                <w:color w:val="auto"/>
                <w:sz w:val="15"/>
                <w:szCs w:val="15"/>
                <w:highlight w:val="none"/>
                <w:vertAlign w:val="baseline"/>
                <w:lang w:val="en-US" w:eastAsia="zh-CN"/>
              </w:rPr>
              <w:t>以上</w:t>
            </w:r>
            <w:r>
              <w:rPr>
                <w:rFonts w:hint="eastAsia" w:ascii="宋体" w:hAnsi="宋体" w:eastAsia="宋体" w:cs="宋体"/>
                <w:b w:val="0"/>
                <w:bCs w:val="0"/>
                <w:color w:val="auto"/>
                <w:sz w:val="15"/>
                <w:szCs w:val="15"/>
                <w:highlight w:val="none"/>
                <w:vertAlign w:val="baseline"/>
              </w:rPr>
              <w:t>。</w:t>
            </w:r>
          </w:p>
          <w:p w14:paraId="3E8746A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3、依靠反射自然光线，显示</w:t>
            </w:r>
            <w:r>
              <w:rPr>
                <w:rFonts w:hint="eastAsia" w:ascii="宋体" w:hAnsi="宋体" w:eastAsia="宋体" w:cs="宋体"/>
                <w:b w:val="0"/>
                <w:bCs w:val="0"/>
                <w:color w:val="auto"/>
                <w:sz w:val="15"/>
                <w:szCs w:val="15"/>
                <w:highlight w:val="none"/>
                <w:vertAlign w:val="baseline"/>
                <w:lang w:val="en-US" w:eastAsia="zh-CN"/>
              </w:rPr>
              <w:t>清晰</w:t>
            </w:r>
            <w:r>
              <w:rPr>
                <w:rFonts w:hint="eastAsia" w:ascii="宋体" w:hAnsi="宋体" w:eastAsia="宋体" w:cs="宋体"/>
                <w:b w:val="0"/>
                <w:bCs w:val="0"/>
                <w:color w:val="auto"/>
                <w:sz w:val="15"/>
                <w:szCs w:val="15"/>
                <w:highlight w:val="none"/>
                <w:vertAlign w:val="baseline"/>
              </w:rPr>
              <w:t>绿色字迹</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长时间观看不易疲劳，</w:t>
            </w:r>
            <w:r>
              <w:rPr>
                <w:rFonts w:hint="eastAsia" w:ascii="宋体" w:hAnsi="宋体" w:eastAsia="宋体" w:cs="宋体"/>
                <w:b w:val="0"/>
                <w:bCs w:val="0"/>
                <w:color w:val="auto"/>
                <w:sz w:val="15"/>
                <w:szCs w:val="15"/>
                <w:highlight w:val="none"/>
                <w:vertAlign w:val="baseline"/>
                <w:lang w:val="en-US" w:eastAsia="zh-CN"/>
              </w:rPr>
              <w:t>保</w:t>
            </w:r>
            <w:r>
              <w:rPr>
                <w:rFonts w:hint="eastAsia" w:ascii="宋体" w:hAnsi="宋体" w:eastAsia="宋体" w:cs="宋体"/>
                <w:b w:val="0"/>
                <w:bCs w:val="0"/>
                <w:color w:val="auto"/>
                <w:sz w:val="15"/>
                <w:szCs w:val="15"/>
                <w:highlight w:val="none"/>
                <w:vertAlign w:val="baseline"/>
              </w:rPr>
              <w:t>护视力。光能黑板应无频闪、无背光，上膜不应产生眩光。板书笔迹可视距离40米，可视角度≥150°，对比度≥150:1。光泽度不高于30光泽单位。（</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78D2873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、书写膜的透光率不低于87%，雾度不高于40%。（</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第三方检测机构所出具检测报告复印件</w:t>
            </w:r>
            <w:r>
              <w:rPr>
                <w:rFonts w:hint="eastAsia"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54F43BC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w:t>
            </w:r>
            <w:r>
              <w:rPr>
                <w:rFonts w:hint="eastAsia" w:ascii="宋体" w:hAnsi="宋体" w:eastAsia="宋体" w:cs="宋体"/>
                <w:b w:val="0"/>
                <w:bCs w:val="0"/>
                <w:color w:val="auto"/>
                <w:sz w:val="15"/>
                <w:szCs w:val="15"/>
                <w:highlight w:val="none"/>
                <w:vertAlign w:val="baseline"/>
                <w:lang w:val="en-US" w:eastAsia="zh-CN"/>
              </w:rPr>
              <w:t>擦除方式分为</w:t>
            </w:r>
            <w:r>
              <w:rPr>
                <w:rFonts w:hint="eastAsia" w:ascii="宋体" w:hAnsi="宋体" w:eastAsia="宋体" w:cs="宋体"/>
                <w:b w:val="0"/>
                <w:bCs w:val="0"/>
                <w:color w:val="auto"/>
                <w:sz w:val="15"/>
                <w:szCs w:val="15"/>
                <w:highlight w:val="none"/>
                <w:vertAlign w:val="baseline"/>
              </w:rPr>
              <w:t>一键擦除</w:t>
            </w:r>
            <w:r>
              <w:rPr>
                <w:rFonts w:hint="eastAsia" w:ascii="宋体" w:hAnsi="宋体" w:eastAsia="宋体" w:cs="宋体"/>
                <w:b w:val="0"/>
                <w:bCs w:val="0"/>
                <w:color w:val="auto"/>
                <w:sz w:val="15"/>
                <w:szCs w:val="15"/>
                <w:highlight w:val="none"/>
                <w:vertAlign w:val="baseline"/>
                <w:lang w:val="en-US" w:eastAsia="zh-CN"/>
              </w:rPr>
              <w:t>和局部擦除。</w:t>
            </w:r>
            <w:r>
              <w:rPr>
                <w:rFonts w:hint="eastAsia" w:ascii="宋体" w:hAnsi="宋体" w:eastAsia="宋体" w:cs="宋体"/>
                <w:b w:val="0"/>
                <w:bCs w:val="0"/>
                <w:color w:val="auto"/>
                <w:sz w:val="15"/>
                <w:szCs w:val="15"/>
                <w:highlight w:val="none"/>
                <w:vertAlign w:val="baseline"/>
              </w:rPr>
              <w:t>按下一键擦除按键，可实现板</w:t>
            </w:r>
            <w:r>
              <w:rPr>
                <w:rFonts w:hint="eastAsia" w:ascii="宋体" w:hAnsi="宋体" w:eastAsia="宋体" w:cs="宋体"/>
                <w:b w:val="0"/>
                <w:bCs w:val="0"/>
                <w:color w:val="auto"/>
                <w:sz w:val="15"/>
                <w:szCs w:val="15"/>
                <w:highlight w:val="none"/>
                <w:vertAlign w:val="baseline"/>
                <w:lang w:val="en-US" w:eastAsia="zh-CN"/>
              </w:rPr>
              <w:t>面整体</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使用板擦</w:t>
            </w:r>
            <w:r>
              <w:rPr>
                <w:rFonts w:hint="eastAsia" w:ascii="宋体" w:hAnsi="宋体" w:eastAsia="宋体" w:cs="宋体"/>
                <w:b w:val="0"/>
                <w:bCs w:val="0"/>
                <w:color w:val="auto"/>
                <w:sz w:val="15"/>
                <w:szCs w:val="15"/>
                <w:highlight w:val="none"/>
                <w:vertAlign w:val="baseline"/>
                <w:lang w:val="en-US" w:eastAsia="zh-CN"/>
              </w:rPr>
              <w:t>及</w:t>
            </w:r>
            <w:r>
              <w:rPr>
                <w:rFonts w:hint="eastAsia" w:ascii="宋体" w:hAnsi="宋体" w:eastAsia="宋体" w:cs="宋体"/>
                <w:b w:val="0"/>
                <w:bCs w:val="0"/>
                <w:color w:val="auto"/>
                <w:sz w:val="15"/>
                <w:szCs w:val="15"/>
                <w:highlight w:val="none"/>
                <w:vertAlign w:val="baseline"/>
              </w:rPr>
              <w:t>手势</w:t>
            </w:r>
            <w:r>
              <w:rPr>
                <w:rFonts w:hint="eastAsia" w:ascii="宋体" w:hAnsi="宋体" w:eastAsia="宋体" w:cs="宋体"/>
                <w:b w:val="0"/>
                <w:bCs w:val="0"/>
                <w:color w:val="auto"/>
                <w:sz w:val="15"/>
                <w:szCs w:val="15"/>
                <w:highlight w:val="none"/>
                <w:vertAlign w:val="baseline"/>
                <w:lang w:val="en-US" w:eastAsia="zh-CN"/>
              </w:rPr>
              <w:t>可</w:t>
            </w:r>
            <w:r>
              <w:rPr>
                <w:rFonts w:hint="eastAsia" w:ascii="宋体" w:hAnsi="宋体" w:eastAsia="宋体" w:cs="宋体"/>
                <w:b w:val="0"/>
                <w:bCs w:val="0"/>
                <w:color w:val="auto"/>
                <w:sz w:val="15"/>
                <w:szCs w:val="15"/>
                <w:highlight w:val="none"/>
                <w:vertAlign w:val="baseline"/>
              </w:rPr>
              <w:t>对板书进行局部</w:t>
            </w:r>
            <w:r>
              <w:rPr>
                <w:rFonts w:hint="eastAsia" w:ascii="宋体" w:hAnsi="宋体" w:eastAsia="宋体" w:cs="宋体"/>
                <w:b w:val="0"/>
                <w:bCs w:val="0"/>
                <w:color w:val="auto"/>
                <w:sz w:val="15"/>
                <w:szCs w:val="15"/>
                <w:highlight w:val="none"/>
                <w:vertAlign w:val="baseline"/>
                <w:lang w:val="en-US" w:eastAsia="zh-CN"/>
              </w:rPr>
              <w:t>精准</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擦除精度小于10mm*10mm，擦除延时＜60ms。书写及显示过程无需耗电，仅擦除时消耗微弱电量。</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具有独立供电装置，</w:t>
            </w:r>
            <w:r>
              <w:rPr>
                <w:rFonts w:hint="eastAsia" w:ascii="宋体" w:hAnsi="宋体" w:eastAsia="宋体" w:cs="宋体"/>
                <w:b w:val="0"/>
                <w:bCs w:val="0"/>
                <w:color w:val="auto"/>
                <w:sz w:val="15"/>
                <w:szCs w:val="15"/>
                <w:highlight w:val="none"/>
                <w:vertAlign w:val="baseline"/>
                <w:lang w:val="en-US" w:eastAsia="zh-CN"/>
              </w:rPr>
              <w:t>在教室停电状态下不影响书写及擦除。</w:t>
            </w:r>
            <w:r>
              <w:rPr>
                <w:rFonts w:hint="eastAsia" w:ascii="宋体" w:hAnsi="宋体" w:eastAsia="宋体" w:cs="宋体"/>
                <w:b w:val="0"/>
                <w:bCs w:val="0"/>
                <w:color w:val="auto"/>
                <w:sz w:val="15"/>
                <w:szCs w:val="15"/>
                <w:highlight w:val="none"/>
                <w:vertAlign w:val="baseline"/>
              </w:rPr>
              <w:t>设有电</w:t>
            </w:r>
            <w:r>
              <w:rPr>
                <w:rFonts w:hint="eastAsia" w:ascii="宋体" w:hAnsi="宋体" w:eastAsia="宋体" w:cs="宋体"/>
                <w:b w:val="0"/>
                <w:bCs w:val="0"/>
                <w:color w:val="auto"/>
                <w:sz w:val="15"/>
                <w:szCs w:val="15"/>
                <w:highlight w:val="none"/>
                <w:vertAlign w:val="baseline"/>
                <w:lang w:val="en-US" w:eastAsia="zh-CN"/>
              </w:rPr>
              <w:t>能</w:t>
            </w:r>
            <w:r>
              <w:rPr>
                <w:rFonts w:hint="eastAsia" w:ascii="宋体" w:hAnsi="宋体" w:eastAsia="宋体" w:cs="宋体"/>
                <w:b w:val="0"/>
                <w:bCs w:val="0"/>
                <w:color w:val="auto"/>
                <w:sz w:val="15"/>
                <w:szCs w:val="15"/>
                <w:highlight w:val="none"/>
                <w:vertAlign w:val="baseline"/>
              </w:rPr>
              <w:t>补偿机制，可通过手</w:t>
            </w:r>
            <w:r>
              <w:rPr>
                <w:rFonts w:hint="eastAsia" w:ascii="宋体" w:hAnsi="宋体" w:eastAsia="宋体" w:cs="宋体"/>
                <w:b w:val="0"/>
                <w:bCs w:val="0"/>
                <w:color w:val="auto"/>
                <w:sz w:val="15"/>
                <w:szCs w:val="15"/>
                <w:highlight w:val="none"/>
                <w:vertAlign w:val="baseline"/>
                <w:lang w:val="en-US" w:eastAsia="zh-CN"/>
              </w:rPr>
              <w:t>动按压</w:t>
            </w:r>
            <w:r>
              <w:rPr>
                <w:rFonts w:hint="eastAsia" w:ascii="宋体" w:hAnsi="宋体" w:eastAsia="宋体" w:cs="宋体"/>
                <w:b w:val="0"/>
                <w:bCs w:val="0"/>
                <w:color w:val="auto"/>
                <w:sz w:val="15"/>
                <w:szCs w:val="15"/>
                <w:highlight w:val="none"/>
                <w:vertAlign w:val="baseline"/>
              </w:rPr>
              <w:t>板面特定位置，调节</w:t>
            </w:r>
            <w:r>
              <w:rPr>
                <w:rFonts w:hint="eastAsia" w:ascii="宋体" w:hAnsi="宋体" w:eastAsia="宋体" w:cs="宋体"/>
                <w:b w:val="0"/>
                <w:bCs w:val="0"/>
                <w:color w:val="auto"/>
                <w:sz w:val="15"/>
                <w:szCs w:val="15"/>
                <w:highlight w:val="none"/>
                <w:vertAlign w:val="baseline"/>
                <w:lang w:val="en-US" w:eastAsia="zh-CN"/>
              </w:rPr>
              <w:t>局部</w:t>
            </w:r>
            <w:r>
              <w:rPr>
                <w:rFonts w:hint="eastAsia" w:ascii="宋体" w:hAnsi="宋体" w:eastAsia="宋体" w:cs="宋体"/>
                <w:b w:val="0"/>
                <w:bCs w:val="0"/>
                <w:color w:val="auto"/>
                <w:sz w:val="15"/>
                <w:szCs w:val="15"/>
                <w:highlight w:val="none"/>
                <w:vertAlign w:val="baseline"/>
              </w:rPr>
              <w:t>擦除灵敏度。</w:t>
            </w:r>
          </w:p>
          <w:p w14:paraId="7EE5956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、设备内提供的电池组保护电路，符合标准要求，并通过带二次锂电池设备的充电安全防护。黑板通过恒定力和冲击试验，机械强度符合标准要求。（</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1FC13A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、黑板表面具有</w:t>
            </w:r>
            <w:r>
              <w:rPr>
                <w:rFonts w:hint="eastAsia" w:ascii="宋体" w:hAnsi="宋体" w:eastAsia="宋体" w:cs="宋体"/>
                <w:b w:val="0"/>
                <w:bCs w:val="0"/>
                <w:color w:val="auto"/>
                <w:sz w:val="15"/>
                <w:szCs w:val="15"/>
                <w:highlight w:val="none"/>
                <w:vertAlign w:val="baseline"/>
                <w:lang w:val="en-US" w:eastAsia="zh-CN"/>
              </w:rPr>
              <w:t>经纬</w:t>
            </w:r>
            <w:r>
              <w:rPr>
                <w:rFonts w:hint="eastAsia" w:ascii="宋体" w:hAnsi="宋体" w:eastAsia="宋体" w:cs="宋体"/>
                <w:b w:val="0"/>
                <w:bCs w:val="0"/>
                <w:color w:val="auto"/>
                <w:sz w:val="15"/>
                <w:szCs w:val="15"/>
                <w:highlight w:val="none"/>
                <w:vertAlign w:val="baseline"/>
              </w:rPr>
              <w:t>暗格</w:t>
            </w:r>
            <w:r>
              <w:rPr>
                <w:rFonts w:hint="eastAsia" w:ascii="宋体" w:hAnsi="宋体" w:eastAsia="宋体" w:cs="宋体"/>
                <w:b w:val="0"/>
                <w:bCs w:val="0"/>
                <w:color w:val="auto"/>
                <w:sz w:val="15"/>
                <w:szCs w:val="15"/>
                <w:highlight w:val="none"/>
                <w:vertAlign w:val="baseline"/>
                <w:lang w:val="en-US" w:eastAsia="zh-CN"/>
              </w:rPr>
              <w:t>直线</w:t>
            </w:r>
            <w:r>
              <w:rPr>
                <w:rFonts w:hint="eastAsia" w:ascii="宋体" w:hAnsi="宋体" w:eastAsia="宋体" w:cs="宋体"/>
                <w:b w:val="0"/>
                <w:bCs w:val="0"/>
                <w:color w:val="auto"/>
                <w:sz w:val="15"/>
                <w:szCs w:val="15"/>
                <w:highlight w:val="none"/>
                <w:vertAlign w:val="baseline"/>
              </w:rPr>
              <w:t>，板书时</w:t>
            </w:r>
            <w:r>
              <w:rPr>
                <w:rFonts w:hint="eastAsia" w:ascii="宋体" w:hAnsi="宋体" w:eastAsia="宋体" w:cs="宋体"/>
                <w:b w:val="0"/>
                <w:bCs w:val="0"/>
                <w:color w:val="auto"/>
                <w:sz w:val="15"/>
                <w:szCs w:val="15"/>
                <w:highlight w:val="none"/>
                <w:vertAlign w:val="baseline"/>
                <w:lang w:val="en-US" w:eastAsia="zh-CN"/>
              </w:rPr>
              <w:t>可作为</w:t>
            </w:r>
            <w:r>
              <w:rPr>
                <w:rFonts w:hint="eastAsia" w:ascii="宋体" w:hAnsi="宋体" w:eastAsia="宋体" w:cs="宋体"/>
                <w:b w:val="0"/>
                <w:bCs w:val="0"/>
                <w:color w:val="auto"/>
                <w:sz w:val="15"/>
                <w:szCs w:val="15"/>
                <w:highlight w:val="none"/>
                <w:vertAlign w:val="baseline"/>
              </w:rPr>
              <w:t>直线参照，避免板书歪斜。表面可吸附磁贴、磁扣等教学工具，便于老师教学使用。</w:t>
            </w:r>
          </w:p>
          <w:p w14:paraId="22109D1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、光能黑板通过低温-30℃，高温80℃，恒定湿热40℃、95%RH测试，产品外观无变形、损坏等现象，通电运行正常。（</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第三方检测机构所出具的检测报告复印件，并提供全国认证认可信息公共服务平台对应检测报告查询记录截图）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D6C02A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、采用一体式按键指示灯，可通过不同颜色、闪烁等方式表示擦除、电量不足等工作状态。每块光能黑板具备DC接口*2和USB接口*2，方便使用。</w:t>
            </w:r>
          </w:p>
          <w:p w14:paraId="1047E5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val="en-US" w:eastAsia="zh-CN"/>
              </w:rPr>
              <w:t>0</w:t>
            </w:r>
            <w:r>
              <w:rPr>
                <w:rFonts w:hint="eastAsia" w:ascii="宋体" w:hAnsi="宋体" w:eastAsia="宋体" w:cs="宋体"/>
                <w:b w:val="0"/>
                <w:bCs w:val="0"/>
                <w:color w:val="auto"/>
                <w:sz w:val="15"/>
                <w:szCs w:val="15"/>
                <w:highlight w:val="none"/>
                <w:vertAlign w:val="baseline"/>
              </w:rPr>
              <w:t>、光能黑板通过抗电强度1500V试验，无击穿现象，符合</w:t>
            </w:r>
            <w:r>
              <w:rPr>
                <w:rFonts w:hint="eastAsia" w:ascii="宋体" w:hAnsi="宋体" w:eastAsia="宋体" w:cs="宋体"/>
                <w:b w:val="0"/>
                <w:bCs w:val="0"/>
                <w:color w:val="auto"/>
                <w:sz w:val="15"/>
                <w:szCs w:val="15"/>
                <w:highlight w:val="none"/>
                <w:vertAlign w:val="baseline"/>
                <w:lang w:val="en-US" w:eastAsia="zh-CN"/>
              </w:rPr>
              <w:t>国标</w:t>
            </w:r>
            <w:r>
              <w:rPr>
                <w:rFonts w:hint="eastAsia" w:ascii="宋体" w:hAnsi="宋体" w:eastAsia="宋体" w:cs="宋体"/>
                <w:b w:val="0"/>
                <w:bCs w:val="0"/>
                <w:color w:val="auto"/>
                <w:sz w:val="15"/>
                <w:szCs w:val="15"/>
                <w:highlight w:val="none"/>
                <w:vertAlign w:val="baseline"/>
              </w:rPr>
              <w:t>GB4943的安全要求。（</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w:t>
            </w:r>
            <w:r>
              <w:rPr>
                <w:rFonts w:hint="eastAsia" w:cs="宋体"/>
                <w:b w:val="0"/>
                <w:bCs w:val="0"/>
                <w:color w:val="auto"/>
                <w:sz w:val="15"/>
                <w:szCs w:val="15"/>
                <w:highlight w:val="none"/>
                <w:vertAlign w:val="baseline"/>
                <w:lang w:eastAsia="zh-CN"/>
              </w:rPr>
              <w:t>的</w:t>
            </w:r>
            <w:r>
              <w:rPr>
                <w:rFonts w:hint="eastAsia" w:ascii="宋体" w:hAnsi="宋体" w:eastAsia="宋体" w:cs="宋体"/>
                <w:b w:val="0"/>
                <w:bCs w:val="0"/>
                <w:color w:val="auto"/>
                <w:sz w:val="15"/>
                <w:szCs w:val="15"/>
                <w:highlight w:val="none"/>
                <w:vertAlign w:val="baseline"/>
              </w:rPr>
              <w:t>检测报告复印件</w:t>
            </w:r>
            <w:r>
              <w:rPr>
                <w:rFonts w:hint="eastAsia"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CA4F9A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支持挂墙安装，</w:t>
            </w:r>
            <w:r>
              <w:rPr>
                <w:rFonts w:hint="eastAsia" w:ascii="宋体" w:hAnsi="宋体" w:eastAsia="宋体" w:cs="宋体"/>
                <w:b w:val="0"/>
                <w:bCs w:val="0"/>
                <w:color w:val="auto"/>
                <w:sz w:val="15"/>
                <w:szCs w:val="15"/>
                <w:highlight w:val="none"/>
                <w:vertAlign w:val="baseline"/>
                <w:lang w:val="en-US" w:eastAsia="zh-CN"/>
              </w:rPr>
              <w:t>贴墙</w:t>
            </w:r>
            <w:r>
              <w:rPr>
                <w:rFonts w:hint="eastAsia" w:ascii="宋体" w:hAnsi="宋体" w:eastAsia="宋体" w:cs="宋体"/>
                <w:b w:val="0"/>
                <w:bCs w:val="0"/>
                <w:color w:val="auto"/>
                <w:sz w:val="15"/>
                <w:szCs w:val="15"/>
                <w:highlight w:val="none"/>
                <w:vertAlign w:val="baseline"/>
              </w:rPr>
              <w:t>安装支架可前后调节黑板表面与墙面距离</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与所搭配触控一体机等保持同一平面</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可支持移动支架</w:t>
            </w:r>
            <w:r>
              <w:rPr>
                <w:rFonts w:hint="eastAsia" w:ascii="宋体" w:hAnsi="宋体" w:eastAsia="宋体" w:cs="宋体"/>
                <w:b w:val="0"/>
                <w:bCs w:val="0"/>
                <w:color w:val="auto"/>
                <w:sz w:val="15"/>
                <w:szCs w:val="15"/>
                <w:highlight w:val="none"/>
                <w:vertAlign w:val="baseline"/>
                <w:lang w:val="en-US" w:eastAsia="zh-CN"/>
              </w:rPr>
              <w:t>式</w:t>
            </w:r>
            <w:r>
              <w:rPr>
                <w:rFonts w:hint="eastAsia" w:ascii="宋体" w:hAnsi="宋体" w:eastAsia="宋体" w:cs="宋体"/>
                <w:b w:val="0"/>
                <w:bCs w:val="0"/>
                <w:color w:val="auto"/>
                <w:sz w:val="15"/>
                <w:szCs w:val="15"/>
                <w:highlight w:val="none"/>
                <w:vertAlign w:val="baseline"/>
              </w:rPr>
              <w:t>安装。</w:t>
            </w:r>
          </w:p>
          <w:p w14:paraId="39A4CAD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二、软件要求</w:t>
            </w:r>
          </w:p>
          <w:p w14:paraId="415581F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同步互联：光能黑板可与一体机及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和投影幕布进行同步传输，</w:t>
            </w:r>
            <w:r>
              <w:rPr>
                <w:rFonts w:hint="eastAsia" w:ascii="宋体" w:hAnsi="宋体" w:eastAsia="宋体" w:cs="宋体"/>
                <w:b w:val="0"/>
                <w:bCs w:val="0"/>
                <w:color w:val="auto"/>
                <w:sz w:val="15"/>
                <w:szCs w:val="15"/>
                <w:highlight w:val="none"/>
                <w:vertAlign w:val="baseline"/>
                <w:lang w:val="en-US" w:eastAsia="zh-CN"/>
              </w:rPr>
              <w:t>板面</w:t>
            </w:r>
            <w:r>
              <w:rPr>
                <w:rFonts w:hint="eastAsia" w:ascii="宋体" w:hAnsi="宋体" w:eastAsia="宋体" w:cs="宋体"/>
                <w:b w:val="0"/>
                <w:bCs w:val="0"/>
                <w:color w:val="auto"/>
                <w:sz w:val="15"/>
                <w:szCs w:val="15"/>
                <w:highlight w:val="none"/>
                <w:vertAlign w:val="baseline"/>
              </w:rPr>
              <w:t>书写内容可即时同步显示在一体机及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和投影幕布上。 板面上进行一键清除和局部擦除操作时，软件端同步反应。</w:t>
            </w:r>
          </w:p>
          <w:p w14:paraId="7086736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颜色切换：传输到软件端可设置</w:t>
            </w:r>
            <w:r>
              <w:rPr>
                <w:rFonts w:hint="eastAsia" w:ascii="宋体" w:hAnsi="宋体" w:eastAsia="宋体"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种不同的笔迹颜色，方便老师对教学重点的标识及批注。与投影幕布同步传输时，投影幕布背景色可设置为黑白两色。</w:t>
            </w:r>
          </w:p>
          <w:p w14:paraId="5296758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点击软件端“前一页”时可找回清除掉的板书内容。</w:t>
            </w:r>
          </w:p>
          <w:p w14:paraId="7D2479F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单双页切换：两种光能黑板的书写记录模式，支持单板书写记录内容为一个单页面，也可以支持双板同时书写时记录在一个页面上。</w:t>
            </w:r>
          </w:p>
          <w:p w14:paraId="7AC0855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桌面切换：黑板书写内容和教学PPT显示内容可一键自由切换，并且板书内容和教学PPT内容可同时显示在教学一体机、</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及投影幕布上，方便老师授课及板书。</w:t>
            </w:r>
          </w:p>
          <w:p w14:paraId="031289C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6</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一键保存：可将板书内容以PDF文档格式保存在教学一体机及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端，便于教学板书的管理和传递。</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56CB0B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66DE45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5226418F">
        <w:tblPrEx>
          <w:tblCellMar>
            <w:top w:w="0" w:type="dxa"/>
            <w:left w:w="108" w:type="dxa"/>
            <w:bottom w:w="0" w:type="dxa"/>
            <w:right w:w="108" w:type="dxa"/>
          </w:tblCellMar>
        </w:tblPrEx>
        <w:trPr>
          <w:trHeight w:val="63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0A4335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w:t>
            </w:r>
          </w:p>
        </w:tc>
        <w:tc>
          <w:tcPr>
            <w:tcW w:w="884" w:type="dxa"/>
            <w:tcBorders>
              <w:top w:val="nil"/>
              <w:left w:val="nil"/>
              <w:bottom w:val="single" w:color="auto" w:sz="4" w:space="0"/>
              <w:right w:val="single" w:color="auto" w:sz="4" w:space="0"/>
            </w:tcBorders>
            <w:shd w:val="clear" w:color="auto" w:fill="auto"/>
            <w:noWrap/>
            <w:vAlign w:val="center"/>
          </w:tcPr>
          <w:p w14:paraId="4DAE18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65英寸交互智能平板（含移动支架）</w:t>
            </w:r>
          </w:p>
        </w:tc>
        <w:tc>
          <w:tcPr>
            <w:tcW w:w="850" w:type="dxa"/>
            <w:tcBorders>
              <w:top w:val="nil"/>
              <w:left w:val="nil"/>
              <w:bottom w:val="single" w:color="auto" w:sz="4" w:space="0"/>
              <w:right w:val="single" w:color="auto" w:sz="4" w:space="0"/>
            </w:tcBorders>
            <w:shd w:val="clear" w:color="auto" w:fill="auto"/>
            <w:noWrap w:val="0"/>
            <w:vAlign w:val="center"/>
          </w:tcPr>
          <w:p w14:paraId="7A15F0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希沃FA65EP</w:t>
            </w:r>
          </w:p>
        </w:tc>
        <w:tc>
          <w:tcPr>
            <w:tcW w:w="6950" w:type="dxa"/>
            <w:tcBorders>
              <w:top w:val="nil"/>
              <w:left w:val="nil"/>
              <w:bottom w:val="single" w:color="auto" w:sz="4" w:space="0"/>
              <w:right w:val="single" w:color="auto" w:sz="4" w:space="0"/>
            </w:tcBorders>
            <w:shd w:val="clear" w:color="auto" w:fill="auto"/>
            <w:noWrap/>
            <w:vAlign w:val="top"/>
          </w:tcPr>
          <w:p w14:paraId="64FCB00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PC：I5-16G-512安卓备份系统4个摄像头拾音器</w:t>
            </w:r>
          </w:p>
          <w:p w14:paraId="687E361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一、整机接口设计</w:t>
            </w:r>
          </w:p>
          <w:p w14:paraId="168688D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1、侧置输入接口具备≥2路HDMI、≥1路RS232、≥1路USB接口。</w:t>
            </w:r>
          </w:p>
          <w:p w14:paraId="4F7238F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2、侧置输出接口具备≥1路音频输出、≥1路触控USB输出。</w:t>
            </w:r>
          </w:p>
          <w:p w14:paraId="2FD28D3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3、前置输入接口≥3路USB接口（包含≥1路Type-C、≥2路USB），前置USB接口支持Android系统、Windows系统读取外接移动存储设备。</w:t>
            </w:r>
          </w:p>
          <w:p w14:paraId="74823D2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4、整机具备前置Type-C接口，type-C 支持最大充电功率15W，通过Type-C接口实现音视频输入，外接</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设备经双头Type-C线连接至整机，即可把外接</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设备画面投到整机上，同时在整机上操作画面，可实现触摸操作，无需再连接触控USB线。（</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67ACB32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5、外接电脑设备经双头Type-C线连接至整机，可调用整机内置的摄像头、麦克风、扬声器，在外接电脑即可控制整机拍摄场地画面。</w:t>
            </w:r>
          </w:p>
          <w:p w14:paraId="32EC32A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6、支持通过Type-C接口U盘进行文件传输，兼容Type-C接口手机充电。</w:t>
            </w:r>
          </w:p>
          <w:p w14:paraId="74C6225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二、整机安全设计</w:t>
            </w:r>
          </w:p>
          <w:p w14:paraId="79E2731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1、整机全通道支持纸质护眼模式，可实现画面纹理的实时调整；支持纸质纹理：牛皮纸、素描纸、宣纸、水彩纸、水纹纸；支持透明度调节；支持色温调节。（</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70C883D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2、纸质护眼模式下，显示画面各像素点灰度不规则，减少背景干扰。</w:t>
            </w:r>
          </w:p>
          <w:p w14:paraId="40694DC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3、支持经典护眼模式，可通过前置面板物理功能按键一键启用经典护眼模式。</w:t>
            </w:r>
          </w:p>
          <w:p w14:paraId="74D9D4A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4、机身具备防盐雾锈蚀特性，且满足GB4943.1-2011标准中的防火要求。</w:t>
            </w:r>
          </w:p>
          <w:p w14:paraId="7E526DB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5、整机具备抗振动、防跌落特性，保证整机运输或使用过程中不易受损。</w:t>
            </w:r>
          </w:p>
          <w:p w14:paraId="2A6E84C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6、整机书写面板采用防眩光全钢化防爆玻璃面板，面板的碎片状态、抗冲击性、霰弹袋冲击性能、耐热冲击性能均通过国家强制玻璃标准，表面应力≥100Mpa,适应学校复杂环境，保障使用安全。</w:t>
            </w:r>
          </w:p>
          <w:p w14:paraId="7391960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7、整机在0℃- 40℃环境下可正常工作，在-20℃—60℃的环境下可正常贮存且贮存后功能无损。</w:t>
            </w:r>
          </w:p>
          <w:p w14:paraId="0FFFAC4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三、整机屏幕设计</w:t>
            </w:r>
          </w:p>
          <w:p w14:paraId="495F8FA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1、整机采用一体设计，外部无任何可见内部功能模块连接线。整机采用全金属外壳设计，边角采用弧形设计，表面无尖锐边缘或凸起。</w:t>
            </w:r>
          </w:p>
          <w:p w14:paraId="30AFB68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2、整机屏幕边缘采用金属圆角包边防护，整机背板采用金属材质，有效屏蔽内部电路器件辐射；防潮耐盐雾蚀锈，适应多种使用环境。</w:t>
            </w:r>
          </w:p>
          <w:p w14:paraId="7D010C6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3、整机屏幕采用≥65英寸液晶显示器，采用UHD超高清LED液晶屏，显示比例16:9，分辨率3840×2160，色域覆盖率（NTSC）≥72%，灰度等级≥256级。</w:t>
            </w:r>
          </w:p>
          <w:p w14:paraId="6F6D3E7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4、整机采用全物理钢化玻璃，有效保护屏幕显示画面，采用防眩光玻璃，屏幕支持防眩光功能，钢化玻璃表面硬度≥9H。</w:t>
            </w:r>
          </w:p>
          <w:p w14:paraId="4671988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5、整机背光系统支持DC调光方式，多级亮度调节，支持白颜色背景下最暗亮度≤100nit，用于提升显示对比度</w:t>
            </w:r>
          </w:p>
          <w:p w14:paraId="411B37A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6、整机采用硬件低蓝光背光技术，在源头减少有害蓝光波段能量，蓝光占比（有害蓝光415～455nm能量综合）/（整体蓝光400～500能量综合）≤50%，低蓝光保护显示不偏色、不泛黄。</w:t>
            </w:r>
          </w:p>
          <w:p w14:paraId="3ACA779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7、整机支持支持可自定义图像设置，可对对比度、屏幕色温、图像亮度、亮度范围、色彩空间进行更进一步调节设置。</w:t>
            </w:r>
          </w:p>
          <w:p w14:paraId="2AC0178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8、整机支持色彩空间可选，包含标准模式和sRGB模式，在sRGB模式下可做到高色准△E≤1.0。（</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288994B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四、多媒体便捷设计</w:t>
            </w:r>
          </w:p>
          <w:p w14:paraId="7AEFB99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1、整机全通道侧边栏快捷菜单包含如下小工具：批注、降半屏、截屏、放大镜、倒计时、日历、聚光灯、秒表、冻屏、倒数日、答题、节拍器。</w:t>
            </w:r>
          </w:p>
          <w:p w14:paraId="01C916B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2、整机全通道侧边栏支持使用批注小工具进行批注讲解，可切换书写笔颜色、截屏保存批注内容、清屏，可根据手与屏幕的接触面积自动调整板擦工具的大小。</w:t>
            </w:r>
          </w:p>
          <w:p w14:paraId="74890D3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3、整机全通道侧边栏快捷菜单支持快捷调节音量、亮度，支持自动亮度模式，支持点击静音按钮静音。</w:t>
            </w:r>
          </w:p>
          <w:p w14:paraId="66C2AEB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4、使用中可以实时查看物联设备的连接情况，点击任意一台设备图标即可调出中控菜单进行管控。</w:t>
            </w:r>
          </w:p>
          <w:p w14:paraId="0327961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5、整机安卓和全部外接通道（HDMI、Type-c）下侧边栏支持节拍器，支持设置节拍、轻重、节拍播放速度。全通道下可支持通过自定义按键调出该功能。</w:t>
            </w:r>
          </w:p>
          <w:p w14:paraId="01A7795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6、整机安卓和全部外接通道（HDMI、Type-C）下侧边栏支持设置倒数日。</w:t>
            </w:r>
          </w:p>
          <w:p w14:paraId="392E609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7、整机全通道侧边栏支持倒计时、正计时功能；倒计时，输入某特定时间值，可精确到秒，点击开始进入倒计时；正计时，点击开始计时便自动开始，并实时显示时间。</w:t>
            </w:r>
          </w:p>
          <w:p w14:paraId="3EBD0B4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8、使用支持放大任意区域内容；并可支持对未选中区域关灯处理，实现聚光灯效果。</w:t>
            </w:r>
          </w:p>
          <w:p w14:paraId="3FD7F84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9、整机安卓和全部外接通道（HDMI、Type-c）下侧边栏支持通过扫描二维码加入班级，老师设置题型，用户回答后提交，可以查看正确率比例及详细讲解；支持随机抽选、实时弹幕；支持管理当前班级成员；支持导出用户报告。全通道下可支持通过自定义按键调出该功能。（</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614FCB3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五、整机系统设计</w:t>
            </w:r>
          </w:p>
          <w:p w14:paraId="40EE02B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（一）</w:t>
            </w:r>
            <w:r>
              <w:rPr>
                <w:rFonts w:hint="eastAsia" w:cs="宋体"/>
                <w:b w:val="0"/>
                <w:bCs w:val="0"/>
                <w:color w:val="auto"/>
                <w:sz w:val="15"/>
                <w:szCs w:val="15"/>
                <w:highlight w:val="none"/>
                <w:vertAlign w:val="baseline"/>
                <w:lang w:eastAsia="zh-CN"/>
              </w:rPr>
              <w:t>主机模块</w:t>
            </w:r>
          </w:p>
          <w:p w14:paraId="5CB2913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1、CPU：搭载Intel  酷睿系列≥ i5 CPU。</w:t>
            </w:r>
          </w:p>
          <w:p w14:paraId="5E77DE8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2、内存：16GB DDR4内存</w:t>
            </w:r>
            <w:r>
              <w:rPr>
                <w:rFonts w:hint="eastAsia" w:cs="宋体"/>
                <w:b w:val="0"/>
                <w:bCs w:val="0"/>
                <w:color w:val="auto"/>
                <w:sz w:val="15"/>
                <w:szCs w:val="15"/>
                <w:highlight w:val="none"/>
                <w:vertAlign w:val="baseline"/>
                <w:lang w:val="en-US" w:eastAsia="zh-CN"/>
              </w:rPr>
              <w:t>。</w:t>
            </w:r>
          </w:p>
          <w:p w14:paraId="79C806E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3、硬盘：512GB或以上SSD固态硬盘。</w:t>
            </w:r>
          </w:p>
          <w:p w14:paraId="2E0926E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4、PC模块可抽拉式插入整机，可实现无单独接线的插拔，和整机的连接采用万兆级接口，传输速率≥10Gbps。</w:t>
            </w:r>
          </w:p>
          <w:p w14:paraId="1F34E8F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5、采用按压式卡扣，无需工具就可快速拆卸</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模块。</w:t>
            </w:r>
          </w:p>
          <w:p w14:paraId="5C40C2D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6、PC模块的USB接口须为冗余备份接口，在正常使用整机的内置摄像头、内置麦克风功能时，USB接口不被占用，确保用户有足够的接口外接存储设备及显示设备。</w:t>
            </w:r>
          </w:p>
          <w:p w14:paraId="3FF6031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7、具有独立非外扩展的视频输出接口：≥1路HDMI 。</w:t>
            </w:r>
          </w:p>
          <w:p w14:paraId="089701D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8、具有独立非外拓展的USB 接口：至少具备 3个USB3.0 接口。</w:t>
            </w:r>
          </w:p>
          <w:p w14:paraId="2BCDE1D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9、整机具备供电保护模块，能够检测内置</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是否插好在位，在内置</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未在位的情况下，内置</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无法上电工作。</w:t>
            </w:r>
          </w:p>
          <w:p w14:paraId="706D750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（二）触摸系统</w:t>
            </w:r>
          </w:p>
          <w:p w14:paraId="667F235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shd w:val="clear" w:fill="FFFFFF" w:themeFill="background1"/>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1、采用红外触控技术，支持Windows系统中进行40点或以上触控，支持在Android系统中进行40点或以上触控。</w:t>
            </w:r>
            <w:r>
              <w:rPr>
                <w:rFonts w:hint="eastAsia" w:ascii="宋体" w:hAnsi="宋体" w:eastAsia="宋体" w:cs="宋体"/>
                <w:b w:val="0"/>
                <w:bCs w:val="0"/>
                <w:color w:val="auto"/>
                <w:sz w:val="15"/>
                <w:szCs w:val="15"/>
                <w:highlight w:val="none"/>
                <w:shd w:val="clear" w:fill="FFFFFF" w:themeFill="background1"/>
                <w:vertAlign w:val="baseline"/>
                <w:lang w:val="en-US" w:eastAsia="zh-CN"/>
              </w:rPr>
              <w:t>（</w:t>
            </w:r>
            <w:r>
              <w:rPr>
                <w:rFonts w:hint="eastAsia" w:cs="宋体"/>
                <w:b w:val="0"/>
                <w:bCs w:val="0"/>
                <w:color w:val="auto"/>
                <w:sz w:val="15"/>
                <w:szCs w:val="15"/>
                <w:highlight w:val="none"/>
                <w:shd w:val="clear" w:fill="FFFFFF" w:themeFill="background1"/>
                <w:vertAlign w:val="baseline"/>
                <w:lang w:val="en-US" w:eastAsia="zh-CN"/>
              </w:rPr>
              <w:t>收到成交通知书后</w:t>
            </w:r>
            <w:r>
              <w:rPr>
                <w:rFonts w:hint="eastAsia" w:ascii="宋体" w:hAnsi="宋体" w:eastAsia="宋体" w:cs="宋体"/>
                <w:b w:val="0"/>
                <w:bCs w:val="0"/>
                <w:color w:val="auto"/>
                <w:sz w:val="15"/>
                <w:szCs w:val="15"/>
                <w:highlight w:val="none"/>
                <w:shd w:val="clear" w:fill="FFFFFF" w:themeFill="background1"/>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shd w:val="clear" w:fill="FFFFFF" w:themeFill="background1"/>
                <w:vertAlign w:val="baseline"/>
                <w:lang w:val="en-US" w:eastAsia="zh-CN"/>
              </w:rPr>
              <w:t>的关于该功能检测报告复印件）</w:t>
            </w:r>
          </w:p>
          <w:p w14:paraId="476AFF6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2、整机屏幕触摸有效识别高度不超过1.5mm，即触摸物体距离玻璃外表面高度不超过1.5mm时，触摸屏识别为点击操作。</w:t>
            </w:r>
          </w:p>
          <w:p w14:paraId="16434F2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3、整机触控书写功能集成预测算法，在书写速度≥50cm/s，支持笔迹距离笔的距离小于20mm。</w:t>
            </w:r>
          </w:p>
          <w:p w14:paraId="3BAB67E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4、整机系统支持书写触控延迟≤25ms</w:t>
            </w:r>
          </w:p>
          <w:p w14:paraId="49BAE57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5、整机支持提笔书写，在Windows系统下可实现无需点击任意功能入口，当检测到红外笔笔尖接触屏幕时，自动进入书写模式。（</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0C38B8C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6、支持智能板擦功能，系统可根据触控物体的形状自动识别出实物板擦，可擦除电子白板中的内容，无需依赖外部电子设备。</w:t>
            </w:r>
          </w:p>
          <w:p w14:paraId="5FD543C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7、整机触摸支持动态压力感应，支持无任何电子功能的普通书写笔在整机上书写或点压时，整机能感应压力变化，书写或点压过程笔迹呈现不同粗细。</w:t>
            </w:r>
          </w:p>
          <w:p w14:paraId="1C7C203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（三）嵌入式系统</w:t>
            </w:r>
          </w:p>
          <w:p w14:paraId="3FE0645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1、嵌入式系统版本不低于Android 13，内存≥2GB，存储空间≥8GB。（</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793DA6E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2、嵌入式Android操作系统下，白板支持对已经书写的笔迹和形状的颜色进行更换。</w:t>
            </w:r>
          </w:p>
          <w:p w14:paraId="2C4DA2F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3、在嵌入式系统下使用白板软件时，整机可自行调节屏幕亮度</w:t>
            </w:r>
          </w:p>
          <w:p w14:paraId="1778B35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4、嵌入式Android操作系统下，互动白板支持不同背景颜色，同时提供学科背景，如：五线谱、信纸、田字格、英文格、篮球和足球场地平面图。</w:t>
            </w:r>
          </w:p>
          <w:p w14:paraId="7DD5E69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5、无PC状态下，嵌入式系统内置互动白板支持全局漫游，并能在工具栏中对全局内容进行预览和移动。</w:t>
            </w:r>
          </w:p>
          <w:p w14:paraId="48A86AC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6、无PC状态下，嵌入式Android操作系统下可使用白板书写、WPS软件和网页浏览。</w:t>
            </w:r>
          </w:p>
          <w:p w14:paraId="25FA065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六、使用功能设计</w:t>
            </w:r>
          </w:p>
          <w:p w14:paraId="67E4DA6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1、三合一电源按键，同一电源物理按键完成Android系统和Windows系统的开机、节能熄屏、关机操作；关机状态下按按键开机；开机状态下按按键实现节能熄屏/唤醒，长按按键实现关机。</w:t>
            </w:r>
          </w:p>
          <w:p w14:paraId="51442E4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2、设备支持通过前置面板物理按键一键启动录屏功能，可将屏幕中显示的课件、音频内容与人声同时录制。</w:t>
            </w:r>
          </w:p>
          <w:p w14:paraId="4D0494A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419A667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4、整机支持自定义图像设置，可对对比度、屏幕色温、图像亮度、亮度范围、色彩空间调节设置。</w:t>
            </w:r>
          </w:p>
          <w:p w14:paraId="08B44A9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5、整机关机状态下，通过长按电源键进入设置界面后，可点击屏幕选择故障检测、系统还原功能，系统还原可单独还原PC系统，单独还原整机系统。</w:t>
            </w:r>
          </w:p>
          <w:p w14:paraId="30B0716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6、整机无需外接无线网卡，在Android和Windows系统下可实现Wi-Fi无线上网连接、AP无线热点发射和BT蓝牙连接功能。</w:t>
            </w:r>
          </w:p>
          <w:p w14:paraId="56C7B22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7、Wi-Fi和AP热点工作距离≥12m。</w:t>
            </w:r>
          </w:p>
          <w:p w14:paraId="26EC6D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8、整机支持蓝牙Bluetooth 5.4标准，固件版本号HCI13.0/LMP13.0。</w:t>
            </w:r>
          </w:p>
          <w:p w14:paraId="2BB8370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9、整机支持发出频率为18kHz-22kHz超声波信号，智能手机通过麦克风接收后，智能手机与整机无需在同一局域网内，可实现配对，一键投屏，用户无需手动输入投屏码或扫码获取投屏码。（</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10E0DDD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10、整机PC端支持主动发现蓝牙外设从而连接（无需整机进入发现模式），支持连接外部蓝牙音箱播放音频。</w:t>
            </w:r>
          </w:p>
          <w:p w14:paraId="346B277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11、整机内置双WiFi6无线网卡，在Android下支持无线设备同时连接数量≥32个，在Windows系统下支持无线设备同时连接≥8个。</w:t>
            </w:r>
          </w:p>
          <w:p w14:paraId="1EEE207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12、支持标准、听力、观影和AI空间感知音效模式，AI空间感知音效模式可通过内置麦克风采集场地物理环境声音，自动生成符合当前场地物理环境的频段、音量、音效。（</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56B5283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13、整机可选择高级音效设置，支持在左右声道平衡显示范围中进行更改；中低频段显示调节范围125Hz～1KHz，高频段显示调节范围 2KHz～16KHz，分贝显示-12dB～12dB 调节范围。</w:t>
            </w:r>
          </w:p>
          <w:p w14:paraId="53542FA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14、整机上边框内置非独立式摄像头，采用一体化集成设计，摄像头数量≥4个。</w:t>
            </w:r>
          </w:p>
          <w:p w14:paraId="460443F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15、上边框内置非独立式≥3个智能拼接摄像头，视场角≥141度，水平视场角≥139度，支持输出≥8192×2048分辨率的照片和视频，支持画面畸变矫正功能 。（</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13AD1A9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16、整机内置至少三个摄像头，像素值均大于800 万，同时输出至少 3 路视频流，同时支持课堂远程巡课、课堂使用数据采集、本地画面预览（拍照或视频录制）。（</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6B7A04D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17、具备摄像头工作指示灯，摄像头运行时，有指示灯提示。</w:t>
            </w:r>
          </w:p>
          <w:p w14:paraId="481A933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18、整机扬声器在100%音量下，可做到1米处声压级≥88db，10米处声压级≥79dB。</w:t>
            </w:r>
          </w:p>
          <w:p w14:paraId="7AB0DF3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19、整机设备自带地震预警软件。支持在地震预警页面中获取位置，可以手动进行位置校准。支持在地震预警页面中选择提醒阈值。支持在地震预警界面中开启和关闭地震预警服务。</w:t>
            </w:r>
          </w:p>
          <w:p w14:paraId="2150688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20、整机内置2.2声道扬声器，位于设备上边框，顶置朝前发声，前朝向≥10W高音扬声器≥2个，上朝向≥20W中低音扬声器≥2个，额定总功率≥60W。采用缝隙发声技术，喇叭采用槽式开口设计，不大于5.8mm。（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2F30286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21、整机内置非独立外扩展的8阵列麦克风，拾音角度≥180°，可用于对场地环境音频进行采集，拾音距离≥12m。（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3D58458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22、整机上边框内置非独立的广角高清摄像头，在距离整机1.7米情况下，且拍摄范围可以覆盖摄像头垂直法线左右距离大于等于4米，可以实现人脸识别。（</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036B21F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23、整机上边框内置非独式广角摄像头和智能拼接摄像头， 均支持 3D 降噪算法和数字宽动态范围成像WDR 技术，支持输出 MJPG、 H.264 视频格式。</w:t>
            </w:r>
          </w:p>
          <w:p w14:paraId="429C3C4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24、整机摄像头支持人脸识别、清点人数、随机抽人；识别所有用户，显示标记，然后随机抽选，同时显示标记不少于60人。（</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560E6E1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25、整机设备使用桌面支持使用常用的使用白板软件和文件管理软件软件；使用桌面首页支持自定义桌面应用，支持展示8个应用入口。并提供进入本机所有应用的入口。</w:t>
            </w:r>
          </w:p>
          <w:p w14:paraId="48C411C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26、整机设备使用桌面支持查看设备盘符，支持本地磁盘和外接 U 盘、移动硬盘，点击即可打开该磁盘查看磁盘文件。使用桌面支持显示存储空间状态，当存储空间即将满载时候进行红色标记明显提示。</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4602B7C">
            <w:pPr>
              <w:jc w:val="center"/>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2</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3E24C7AE">
            <w:pPr>
              <w:jc w:val="center"/>
              <w:rPr>
                <w:rFonts w:hint="default"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bidi="ar-SA"/>
              </w:rPr>
              <w:t>套</w:t>
            </w:r>
          </w:p>
        </w:tc>
      </w:tr>
      <w:tr w14:paraId="6258D29B">
        <w:tblPrEx>
          <w:tblCellMar>
            <w:top w:w="0" w:type="dxa"/>
            <w:left w:w="108" w:type="dxa"/>
            <w:bottom w:w="0" w:type="dxa"/>
            <w:right w:w="108" w:type="dxa"/>
          </w:tblCellMar>
        </w:tblPrEx>
        <w:trPr>
          <w:trHeight w:val="63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079A07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w:t>
            </w:r>
          </w:p>
        </w:tc>
        <w:tc>
          <w:tcPr>
            <w:tcW w:w="884" w:type="dxa"/>
            <w:tcBorders>
              <w:top w:val="nil"/>
              <w:left w:val="nil"/>
              <w:bottom w:val="single" w:color="auto" w:sz="4" w:space="0"/>
              <w:right w:val="single" w:color="auto" w:sz="4" w:space="0"/>
            </w:tcBorders>
            <w:shd w:val="clear" w:color="auto" w:fill="auto"/>
            <w:noWrap/>
            <w:vAlign w:val="center"/>
          </w:tcPr>
          <w:p w14:paraId="487C7B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多媒体讲桌（智能讲台）</w:t>
            </w:r>
          </w:p>
        </w:tc>
        <w:tc>
          <w:tcPr>
            <w:tcW w:w="850" w:type="dxa"/>
            <w:tcBorders>
              <w:top w:val="nil"/>
              <w:left w:val="nil"/>
              <w:bottom w:val="single" w:color="auto" w:sz="4" w:space="0"/>
              <w:right w:val="single" w:color="auto" w:sz="4" w:space="0"/>
            </w:tcBorders>
            <w:shd w:val="clear" w:color="auto" w:fill="auto"/>
            <w:noWrap w:val="0"/>
            <w:vAlign w:val="center"/>
          </w:tcPr>
          <w:p w14:paraId="597031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希沃TSP02</w:t>
            </w:r>
          </w:p>
        </w:tc>
        <w:tc>
          <w:tcPr>
            <w:tcW w:w="6950" w:type="dxa"/>
            <w:tcBorders>
              <w:top w:val="nil"/>
              <w:left w:val="nil"/>
              <w:bottom w:val="single" w:color="auto" w:sz="4" w:space="0"/>
              <w:right w:val="single" w:color="auto" w:sz="4" w:space="0"/>
            </w:tcBorders>
            <w:shd w:val="clear" w:color="auto" w:fill="auto"/>
            <w:noWrap/>
            <w:vAlign w:val="top"/>
          </w:tcPr>
          <w:p w14:paraId="439F768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1.智能讲台结构：木结构部分均采用E0级木质板材结构，甲醛释放量≤0.05mg/m³，桌面防静电。</w:t>
            </w:r>
          </w:p>
          <w:p w14:paraId="69811EF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2.智能讲台底座尺寸及外观：（长×宽×高）≥ 1100×550×1030 ±5mm，讲台三面环抱式设计，根据人体力学设计，讲台桌面高度合适老师放置教学用品，讲台产品外观桌面平整，悬浮式设计，边缘光滑，无棱角处理，保护师生安全。</w:t>
            </w:r>
          </w:p>
          <w:p w14:paraId="2C930CF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3.智能讲台底座提供大容量收纳空间，可供老师放置无线麦克风、粉笔、键盘、鼠标、作业试卷等，时刻保持讲台桌面干净整洁。</w:t>
            </w:r>
          </w:p>
          <w:p w14:paraId="765F813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4.智能讲台底座自带4只脚杯，脚杯支持地钉锁定，可确保讲台安装更稳固、牢靠，避免师生椅靠、挪动等行为造成人身伤害。</w:t>
            </w:r>
          </w:p>
          <w:p w14:paraId="6A1C9C7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lang w:val="en-US" w:eastAsia="zh-CN"/>
              </w:rPr>
              <w:t>.屏体的屏幕采用≥23.8英寸电容触摸屏（简称：屏幕）且采用防眩光钢化玻璃面板，厚度≥2mm；支持≥10点触控；支持屏幕手动角度调节，可实现与桌面形成20°至80°角度调节；</w:t>
            </w:r>
          </w:p>
          <w:p w14:paraId="28B8BB7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lang w:val="en-US" w:eastAsia="zh-CN"/>
              </w:rPr>
              <w:t>.屏体侧面具有物理实体快捷按键≥6个，按键功能包括对屏幕一键开/关屏幕、对匹配的大屏（如智慧黑板，简称：大屏）进行一键熄屏以及一键音量加、一键音量减。</w:t>
            </w:r>
          </w:p>
          <w:p w14:paraId="4120465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lang w:val="en-US" w:eastAsia="zh-CN"/>
              </w:rPr>
              <w:t>.屏体侧边具有≥2路USB数据口，可接入U盘等设备，且可被匹配的大屏识别和通讯；≥1路Type-C和HDMI IN接口，均可单路将连接外界笔记本画面显示在屏幕及匹配的大屏上，其中Type-C还可连接外接移动桌面系统终端（如PAD、笔记本、手机等）即可将移动桌面系统终端画面显示在主屏幕及匹配的大屏上并可用于充电；具有≥1个220V国标五插电源接口，支持对外供电。</w:t>
            </w:r>
          </w:p>
          <w:p w14:paraId="4E2F62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lang w:val="en-US" w:eastAsia="zh-CN"/>
              </w:rPr>
              <w:t>.屏体底座内置接口：HDMI IN≥2个；HDMI OUT≥1个;USB≥4个；RJ45≥1个；AUDIO OUT≥1个；RS232≥1个。</w:t>
            </w:r>
          </w:p>
          <w:p w14:paraId="5CA05C0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lang w:val="en-US" w:eastAsia="zh-CN"/>
              </w:rPr>
              <w:t>.屏体侧边内置NFC模块；讲台屏至少支持NFC刷卡、二维码2种方式实现设备使用前的用户身份认证。</w:t>
            </w:r>
          </w:p>
          <w:p w14:paraId="48F43E6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10</w:t>
            </w:r>
            <w:r>
              <w:rPr>
                <w:rFonts w:hint="eastAsia" w:ascii="宋体" w:hAnsi="宋体" w:eastAsia="宋体" w:cs="宋体"/>
                <w:b w:val="0"/>
                <w:bCs w:val="0"/>
                <w:color w:val="auto"/>
                <w:sz w:val="15"/>
                <w:szCs w:val="15"/>
                <w:highlight w:val="none"/>
                <w:vertAlign w:val="baseline"/>
                <w:lang w:val="en-US" w:eastAsia="zh-CN"/>
              </w:rPr>
              <w:t>.讲台屏自带定制化独立操作系统，基于Android 11及以上版本，可在任意通道下唤出多功能中控菜单并实现相关操作。</w:t>
            </w:r>
          </w:p>
          <w:p w14:paraId="52FBEA8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lang w:val="en-US" w:eastAsia="zh-CN"/>
              </w:rPr>
              <w:t>.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9B642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6B2CD7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台</w:t>
            </w:r>
          </w:p>
        </w:tc>
      </w:tr>
      <w:tr w14:paraId="326CE5C9">
        <w:tblPrEx>
          <w:tblCellMar>
            <w:top w:w="0" w:type="dxa"/>
            <w:left w:w="108" w:type="dxa"/>
            <w:bottom w:w="0" w:type="dxa"/>
            <w:right w:w="108" w:type="dxa"/>
          </w:tblCellMar>
        </w:tblPrEx>
        <w:trPr>
          <w:trHeight w:val="630" w:hRule="atLeast"/>
        </w:trPr>
        <w:tc>
          <w:tcPr>
            <w:tcW w:w="1058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3424B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tc>
      </w:tr>
    </w:tbl>
    <w:p w14:paraId="4AE4E2A1">
      <w:pPr>
        <w:rPr>
          <w:color w:val="auto"/>
          <w:highlight w:val="none"/>
        </w:rPr>
      </w:pPr>
    </w:p>
    <w:p w14:paraId="5C644725">
      <w:pPr>
        <w:jc w:val="center"/>
        <w:rPr>
          <w:b/>
          <w:bCs/>
          <w:color w:val="auto"/>
          <w:sz w:val="32"/>
          <w:szCs w:val="32"/>
          <w:highlight w:val="none"/>
        </w:rPr>
      </w:pPr>
      <w:r>
        <w:rPr>
          <w:rFonts w:hint="eastAsia"/>
          <w:b/>
          <w:bCs/>
          <w:color w:val="auto"/>
          <w:sz w:val="32"/>
          <w:szCs w:val="32"/>
          <w:highlight w:val="none"/>
        </w:rPr>
        <w:t>二、商务要求</w:t>
      </w:r>
    </w:p>
    <w:tbl>
      <w:tblPr>
        <w:tblStyle w:val="15"/>
        <w:tblpPr w:leftFromText="180" w:rightFromText="180" w:vertAnchor="text" w:horzAnchor="page" w:tblpX="1805" w:tblpY="35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13"/>
        <w:gridCol w:w="1560"/>
        <w:gridCol w:w="7256"/>
      </w:tblGrid>
      <w:tr w14:paraId="4639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7" w:hRule="atLeast"/>
        </w:trPr>
        <w:tc>
          <w:tcPr>
            <w:tcW w:w="325" w:type="pct"/>
            <w:shd w:val="clear" w:color="auto" w:fill="FFFFFF"/>
            <w:vAlign w:val="center"/>
          </w:tcPr>
          <w:p w14:paraId="10F1A72A">
            <w:pPr>
              <w:jc w:val="center"/>
              <w:rPr>
                <w:color w:val="auto"/>
                <w:sz w:val="21"/>
                <w:szCs w:val="21"/>
                <w:highlight w:val="none"/>
              </w:rPr>
            </w:pPr>
            <w:r>
              <w:rPr>
                <w:rFonts w:hint="eastAsia"/>
                <w:color w:val="auto"/>
                <w:sz w:val="21"/>
                <w:szCs w:val="21"/>
                <w:highlight w:val="none"/>
              </w:rPr>
              <w:t>序号</w:t>
            </w:r>
          </w:p>
        </w:tc>
        <w:tc>
          <w:tcPr>
            <w:tcW w:w="827" w:type="pct"/>
            <w:shd w:val="clear" w:color="auto" w:fill="FFFFFF"/>
            <w:vAlign w:val="center"/>
          </w:tcPr>
          <w:p w14:paraId="76CB3022">
            <w:pPr>
              <w:jc w:val="center"/>
              <w:rPr>
                <w:color w:val="auto"/>
                <w:sz w:val="21"/>
                <w:szCs w:val="21"/>
                <w:highlight w:val="none"/>
              </w:rPr>
            </w:pPr>
            <w:r>
              <w:rPr>
                <w:rFonts w:hint="eastAsia"/>
                <w:color w:val="auto"/>
                <w:sz w:val="21"/>
                <w:szCs w:val="21"/>
                <w:highlight w:val="none"/>
              </w:rPr>
              <w:t>条款</w:t>
            </w:r>
          </w:p>
        </w:tc>
        <w:tc>
          <w:tcPr>
            <w:tcW w:w="3847" w:type="pct"/>
            <w:shd w:val="clear" w:color="auto" w:fill="FFFFFF"/>
            <w:vAlign w:val="center"/>
          </w:tcPr>
          <w:p w14:paraId="13948C13">
            <w:pPr>
              <w:spacing w:line="300" w:lineRule="exact"/>
              <w:jc w:val="center"/>
              <w:rPr>
                <w:color w:val="auto"/>
                <w:sz w:val="21"/>
                <w:szCs w:val="21"/>
                <w:highlight w:val="none"/>
              </w:rPr>
            </w:pPr>
            <w:r>
              <w:rPr>
                <w:rFonts w:hint="eastAsia"/>
                <w:color w:val="auto"/>
                <w:sz w:val="21"/>
                <w:szCs w:val="21"/>
                <w:highlight w:val="none"/>
              </w:rPr>
              <w:t>要求</w:t>
            </w:r>
          </w:p>
        </w:tc>
      </w:tr>
      <w:tr w14:paraId="2F23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613" w:type="dxa"/>
            <w:shd w:val="clear" w:color="auto" w:fill="FFFDFA"/>
            <w:vAlign w:val="center"/>
          </w:tcPr>
          <w:p w14:paraId="759B84DE">
            <w:pPr>
              <w:jc w:val="center"/>
              <w:rPr>
                <w:color w:val="auto"/>
                <w:sz w:val="21"/>
                <w:szCs w:val="21"/>
                <w:highlight w:val="none"/>
                <w:shd w:val="clear" w:color="auto" w:fill="auto"/>
              </w:rPr>
            </w:pPr>
            <w:r>
              <w:rPr>
                <w:rFonts w:hint="eastAsia"/>
                <w:color w:val="auto"/>
                <w:sz w:val="21"/>
                <w:szCs w:val="21"/>
                <w:highlight w:val="none"/>
                <w:shd w:val="clear" w:color="auto" w:fill="auto"/>
              </w:rPr>
              <w:t>1</w:t>
            </w:r>
          </w:p>
        </w:tc>
        <w:tc>
          <w:tcPr>
            <w:tcW w:w="1560" w:type="dxa"/>
            <w:shd w:val="clear" w:color="auto" w:fill="FFFDFA"/>
            <w:vAlign w:val="center"/>
          </w:tcPr>
          <w:p w14:paraId="6EE3FD48">
            <w:pPr>
              <w:spacing w:line="360" w:lineRule="exact"/>
              <w:jc w:val="center"/>
              <w:rPr>
                <w:color w:val="auto"/>
                <w:sz w:val="21"/>
                <w:szCs w:val="21"/>
                <w:highlight w:val="none"/>
                <w:shd w:val="clear" w:color="auto" w:fill="auto"/>
              </w:rPr>
            </w:pPr>
            <w:r>
              <w:rPr>
                <w:rFonts w:hint="eastAsia"/>
                <w:bCs/>
                <w:color w:val="auto"/>
                <w:sz w:val="21"/>
                <w:szCs w:val="21"/>
                <w:highlight w:val="none"/>
              </w:rPr>
              <w:t>▲</w:t>
            </w:r>
            <w:r>
              <w:rPr>
                <w:rFonts w:hint="eastAsia"/>
                <w:color w:val="auto"/>
                <w:sz w:val="21"/>
                <w:szCs w:val="21"/>
                <w:highlight w:val="none"/>
                <w:shd w:val="clear" w:color="auto" w:fill="auto"/>
              </w:rPr>
              <w:t>报价要求</w:t>
            </w:r>
          </w:p>
        </w:tc>
        <w:tc>
          <w:tcPr>
            <w:tcW w:w="7256" w:type="dxa"/>
            <w:shd w:val="clear" w:color="auto" w:fill="FFFDFA"/>
            <w:vAlign w:val="center"/>
          </w:tcPr>
          <w:p w14:paraId="73502D1D">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本次报价须为人民币报价，报价金额实行总承包报价，包括但不限于：</w:t>
            </w:r>
          </w:p>
          <w:p w14:paraId="22781330">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1.货物采购包括货款、标准附件、备品备件、专用工具、包装、运输、装卸、保险、税金、货到就位以及安装、调试、培训、保修等一切税金和费用；</w:t>
            </w:r>
          </w:p>
          <w:p w14:paraId="6FA4674C">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2.服务采购包括整体服务价格以及安装调试、培训、维护等一切税金和费用；</w:t>
            </w:r>
          </w:p>
          <w:p w14:paraId="76F07298">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3.验收、人员服务等费用；</w:t>
            </w:r>
          </w:p>
          <w:p w14:paraId="7602AB10">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4.根据合同规定，履行合同可能产生的其他费用；</w:t>
            </w:r>
          </w:p>
          <w:p w14:paraId="72910BC2">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5.包含但不限于安装后可正常使用的相应设施、设备、软件、调试等，采购人不再另行支付费用。</w:t>
            </w:r>
          </w:p>
          <w:p w14:paraId="59353315">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6.如质量上发生争议，可由第三方检测机构进行检测，费用由成交人承担。</w:t>
            </w:r>
          </w:p>
          <w:p w14:paraId="1EE112A8">
            <w:pPr>
              <w:spacing w:line="360" w:lineRule="exact"/>
              <w:rPr>
                <w:color w:val="auto"/>
                <w:sz w:val="21"/>
                <w:szCs w:val="21"/>
                <w:highlight w:val="none"/>
                <w:shd w:val="clear" w:color="auto" w:fill="auto"/>
              </w:rPr>
            </w:pPr>
            <w:r>
              <w:rPr>
                <w:rFonts w:hint="eastAsia"/>
                <w:bCs/>
                <w:color w:val="auto"/>
                <w:sz w:val="21"/>
                <w:szCs w:val="21"/>
                <w:highlight w:val="none"/>
                <w:shd w:val="clear" w:color="auto" w:fill="auto"/>
              </w:rPr>
              <w:t>7.对于本文件中未列明，而</w:t>
            </w:r>
            <w:r>
              <w:rPr>
                <w:rFonts w:hint="eastAsia"/>
                <w:bCs/>
                <w:color w:val="auto"/>
                <w:sz w:val="21"/>
                <w:szCs w:val="21"/>
                <w:highlight w:val="none"/>
                <w:shd w:val="clear" w:color="auto" w:fill="auto"/>
                <w:lang w:val="en-US" w:eastAsia="zh-CN"/>
              </w:rPr>
              <w:t>成交人</w:t>
            </w:r>
            <w:r>
              <w:rPr>
                <w:rFonts w:hint="eastAsia"/>
                <w:bCs/>
                <w:color w:val="auto"/>
                <w:sz w:val="21"/>
                <w:szCs w:val="21"/>
                <w:highlight w:val="none"/>
                <w:shd w:val="clear" w:color="auto" w:fill="auto"/>
              </w:rPr>
              <w:t>认为必需的费用也需列入总报价。在合同实施时，采购人将不予支付成交</w:t>
            </w:r>
            <w:r>
              <w:rPr>
                <w:rFonts w:hint="eastAsia"/>
                <w:bCs/>
                <w:color w:val="auto"/>
                <w:sz w:val="21"/>
                <w:szCs w:val="21"/>
                <w:highlight w:val="none"/>
                <w:shd w:val="clear" w:color="auto" w:fill="auto"/>
                <w:lang w:val="en-US" w:eastAsia="zh-CN"/>
              </w:rPr>
              <w:t>人</w:t>
            </w:r>
            <w:r>
              <w:rPr>
                <w:rFonts w:hint="eastAsia"/>
                <w:bCs/>
                <w:color w:val="auto"/>
                <w:sz w:val="21"/>
                <w:szCs w:val="21"/>
                <w:highlight w:val="none"/>
                <w:shd w:val="clear" w:color="auto" w:fill="auto"/>
              </w:rPr>
              <w:t>没有列入的费用，并认为此的费用已包括在响应总报价中。</w:t>
            </w:r>
          </w:p>
        </w:tc>
      </w:tr>
      <w:tr w14:paraId="0F0A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613" w:type="dxa"/>
            <w:shd w:val="clear" w:color="auto" w:fill="FFFFFF"/>
            <w:vAlign w:val="center"/>
          </w:tcPr>
          <w:p w14:paraId="2EBF1CB3">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2</w:t>
            </w:r>
          </w:p>
        </w:tc>
        <w:tc>
          <w:tcPr>
            <w:tcW w:w="1560" w:type="dxa"/>
            <w:shd w:val="clear" w:color="auto" w:fill="FFFFFF"/>
            <w:vAlign w:val="center"/>
          </w:tcPr>
          <w:p w14:paraId="6A182E50">
            <w:pPr>
              <w:jc w:val="center"/>
              <w:rPr>
                <w:bCs/>
                <w:color w:val="auto"/>
                <w:sz w:val="21"/>
                <w:szCs w:val="21"/>
                <w:highlight w:val="none"/>
              </w:rPr>
            </w:pPr>
            <w:r>
              <w:rPr>
                <w:rFonts w:hint="eastAsia"/>
                <w:bCs/>
                <w:color w:val="auto"/>
                <w:sz w:val="21"/>
                <w:szCs w:val="21"/>
                <w:highlight w:val="none"/>
              </w:rPr>
              <w:t>▲</w:t>
            </w:r>
            <w:r>
              <w:rPr>
                <w:rFonts w:hint="eastAsia"/>
                <w:color w:val="auto"/>
                <w:sz w:val="21"/>
                <w:szCs w:val="21"/>
                <w:highlight w:val="none"/>
              </w:rPr>
              <w:t>知识产权</w:t>
            </w:r>
          </w:p>
        </w:tc>
        <w:tc>
          <w:tcPr>
            <w:tcW w:w="7256" w:type="dxa"/>
            <w:shd w:val="clear" w:color="auto" w:fill="FFFFFF"/>
            <w:vAlign w:val="center"/>
          </w:tcPr>
          <w:p w14:paraId="2BB125D7">
            <w:pPr>
              <w:spacing w:line="360" w:lineRule="exact"/>
              <w:rPr>
                <w:color w:val="auto"/>
                <w:sz w:val="21"/>
                <w:szCs w:val="21"/>
                <w:highlight w:val="none"/>
              </w:rPr>
            </w:pPr>
            <w:r>
              <w:rPr>
                <w:rFonts w:hint="eastAsia"/>
                <w:color w:val="auto"/>
                <w:sz w:val="21"/>
                <w:szCs w:val="21"/>
                <w:highlight w:val="none"/>
              </w:rPr>
              <w:t>采购人在中国境内使用</w:t>
            </w:r>
            <w:r>
              <w:rPr>
                <w:rFonts w:hint="eastAsia"/>
                <w:color w:val="auto"/>
                <w:sz w:val="21"/>
                <w:szCs w:val="21"/>
                <w:highlight w:val="none"/>
                <w:lang w:val="en-US" w:eastAsia="zh-CN"/>
              </w:rPr>
              <w:t>成交人</w:t>
            </w:r>
            <w:r>
              <w:rPr>
                <w:rFonts w:hint="eastAsia"/>
                <w:color w:val="auto"/>
                <w:sz w:val="21"/>
                <w:szCs w:val="21"/>
                <w:highlight w:val="none"/>
              </w:rPr>
              <w:t>提供的产品及服务时免受第三方提出的侵犯其专利权或其它知识产权的起诉。如果第三方提出侵权指控，成交</w:t>
            </w:r>
            <w:r>
              <w:rPr>
                <w:rFonts w:hint="eastAsia"/>
                <w:color w:val="auto"/>
                <w:sz w:val="21"/>
                <w:szCs w:val="21"/>
                <w:highlight w:val="none"/>
                <w:lang w:val="en-US" w:eastAsia="zh-CN"/>
              </w:rPr>
              <w:t>人</w:t>
            </w:r>
            <w:r>
              <w:rPr>
                <w:rFonts w:hint="eastAsia"/>
                <w:color w:val="auto"/>
                <w:sz w:val="21"/>
                <w:szCs w:val="21"/>
                <w:highlight w:val="none"/>
              </w:rPr>
              <w:t>应承担由此而引起的一切法律责任和费用。</w:t>
            </w:r>
          </w:p>
        </w:tc>
      </w:tr>
      <w:tr w14:paraId="34DD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9" w:hRule="atLeast"/>
        </w:trPr>
        <w:tc>
          <w:tcPr>
            <w:tcW w:w="613" w:type="dxa"/>
            <w:shd w:val="clear" w:color="auto" w:fill="FFFFFF"/>
            <w:vAlign w:val="center"/>
          </w:tcPr>
          <w:p w14:paraId="451EFFE9">
            <w:pPr>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1560" w:type="dxa"/>
            <w:shd w:val="clear" w:color="auto" w:fill="FFFFFF"/>
            <w:vAlign w:val="center"/>
          </w:tcPr>
          <w:p w14:paraId="1322419A">
            <w:pPr>
              <w:jc w:val="center"/>
              <w:rPr>
                <w:rFonts w:hint="default" w:eastAsia="宋体"/>
                <w:color w:val="auto"/>
                <w:sz w:val="21"/>
                <w:szCs w:val="21"/>
                <w:highlight w:val="none"/>
                <w:lang w:val="en-US" w:eastAsia="zh-CN"/>
              </w:rPr>
            </w:pPr>
            <w:r>
              <w:rPr>
                <w:rFonts w:hint="eastAsia"/>
                <w:bCs/>
                <w:color w:val="auto"/>
                <w:sz w:val="21"/>
                <w:szCs w:val="21"/>
                <w:highlight w:val="none"/>
              </w:rPr>
              <w:t>▲</w:t>
            </w:r>
            <w:r>
              <w:rPr>
                <w:rFonts w:hint="eastAsia"/>
                <w:color w:val="auto"/>
                <w:sz w:val="21"/>
                <w:szCs w:val="21"/>
                <w:highlight w:val="none"/>
                <w:lang w:val="en-US" w:eastAsia="zh-CN"/>
              </w:rPr>
              <w:t>提交相关证件</w:t>
            </w:r>
          </w:p>
        </w:tc>
        <w:tc>
          <w:tcPr>
            <w:tcW w:w="7256" w:type="dxa"/>
            <w:shd w:val="clear" w:color="auto" w:fill="FFFFFF"/>
            <w:vAlign w:val="center"/>
          </w:tcPr>
          <w:p w14:paraId="6200BA98">
            <w:pPr>
              <w:spacing w:line="360" w:lineRule="exact"/>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竞价结束之日起两个工作日内，成交人需提供企业营业执照或法人登记证等 </w:t>
            </w:r>
          </w:p>
        </w:tc>
      </w:tr>
      <w:tr w14:paraId="31C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613" w:type="dxa"/>
            <w:shd w:val="clear" w:color="auto" w:fill="FFFFFF"/>
            <w:vAlign w:val="center"/>
          </w:tcPr>
          <w:p w14:paraId="5DC27DC6">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w:t>
            </w:r>
          </w:p>
        </w:tc>
        <w:tc>
          <w:tcPr>
            <w:tcW w:w="1560" w:type="dxa"/>
            <w:shd w:val="clear" w:color="auto" w:fill="FFFFFF"/>
            <w:vAlign w:val="center"/>
          </w:tcPr>
          <w:p w14:paraId="69F89E71">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供货要求</w:t>
            </w:r>
          </w:p>
        </w:tc>
        <w:tc>
          <w:tcPr>
            <w:tcW w:w="7256" w:type="dxa"/>
            <w:shd w:val="clear" w:color="auto" w:fill="FFFFFF"/>
            <w:vAlign w:val="center"/>
          </w:tcPr>
          <w:p w14:paraId="1633C560">
            <w:pPr>
              <w:numPr>
                <w:ilvl w:val="0"/>
                <w:numId w:val="1"/>
              </w:numPr>
              <w:spacing w:line="360" w:lineRule="exact"/>
              <w:rPr>
                <w:color w:val="auto"/>
                <w:sz w:val="21"/>
                <w:szCs w:val="21"/>
                <w:highlight w:val="none"/>
              </w:rPr>
            </w:pPr>
            <w:r>
              <w:rPr>
                <w:rFonts w:hint="eastAsia"/>
                <w:color w:val="auto"/>
                <w:sz w:val="21"/>
                <w:szCs w:val="21"/>
                <w:highlight w:val="none"/>
              </w:rPr>
              <w:t>签订合同后</w:t>
            </w:r>
            <w:r>
              <w:rPr>
                <w:rFonts w:hint="eastAsia"/>
                <w:color w:val="auto"/>
                <w:sz w:val="21"/>
                <w:szCs w:val="21"/>
                <w:highlight w:val="none"/>
                <w:lang w:val="en-US" w:eastAsia="zh-CN"/>
              </w:rPr>
              <w:t>10</w:t>
            </w:r>
            <w:r>
              <w:rPr>
                <w:color w:val="auto"/>
                <w:sz w:val="21"/>
                <w:szCs w:val="21"/>
                <w:highlight w:val="none"/>
              </w:rPr>
              <w:t>个工作日内必须全部供</w:t>
            </w:r>
            <w:r>
              <w:rPr>
                <w:rFonts w:hint="eastAsia"/>
                <w:color w:val="auto"/>
                <w:sz w:val="21"/>
                <w:szCs w:val="21"/>
                <w:highlight w:val="none"/>
              </w:rPr>
              <w:t>完货物并安装完毕</w:t>
            </w:r>
            <w:r>
              <w:rPr>
                <w:rFonts w:hint="eastAsia"/>
                <w:color w:val="auto"/>
                <w:sz w:val="21"/>
                <w:szCs w:val="21"/>
                <w:highlight w:val="none"/>
                <w:lang w:eastAsia="zh-CN"/>
              </w:rPr>
              <w:t>，</w:t>
            </w:r>
            <w:r>
              <w:rPr>
                <w:rFonts w:hint="eastAsia"/>
                <w:color w:val="auto"/>
                <w:sz w:val="21"/>
                <w:szCs w:val="21"/>
                <w:highlight w:val="none"/>
                <w:lang w:val="en-US" w:eastAsia="zh-CN"/>
              </w:rPr>
              <w:t>成交人必须按时供应。</w:t>
            </w:r>
          </w:p>
          <w:p w14:paraId="77AED431">
            <w:pPr>
              <w:widowControl w:val="0"/>
              <w:numPr>
                <w:ilvl w:val="0"/>
                <w:numId w:val="0"/>
              </w:numPr>
              <w:jc w:val="both"/>
              <w:rPr>
                <w:rFonts w:hint="eastAsia" w:ascii="宋体" w:hAnsi="宋体" w:eastAsia="宋体" w:cs="宋体"/>
                <w:color w:val="auto"/>
                <w:sz w:val="21"/>
                <w:szCs w:val="21"/>
                <w:highlight w:val="none"/>
                <w:vertAlign w:val="baseline"/>
                <w:lang w:val="en-US" w:eastAsia="zh-CN"/>
              </w:rPr>
            </w:pPr>
            <w:r>
              <w:rPr>
                <w:rFonts w:hint="eastAsia"/>
                <w:color w:val="auto"/>
                <w:sz w:val="21"/>
                <w:szCs w:val="21"/>
                <w:highlight w:val="none"/>
                <w:lang w:val="en-US" w:eastAsia="zh-CN"/>
              </w:rPr>
              <w:t>2.</w:t>
            </w:r>
            <w:r>
              <w:rPr>
                <w:rFonts w:hint="eastAsia"/>
                <w:color w:val="auto"/>
                <w:sz w:val="21"/>
                <w:szCs w:val="21"/>
                <w:highlight w:val="none"/>
              </w:rPr>
              <w:t>本次采购的货物，须是原厂参数配置，原装未拆封，不接受二次加装改配。</w:t>
            </w:r>
            <w:r>
              <w:rPr>
                <w:rFonts w:hint="eastAsia"/>
                <w:color w:val="auto"/>
                <w:sz w:val="21"/>
                <w:szCs w:val="21"/>
                <w:highlight w:val="none"/>
                <w:lang w:val="en-US" w:eastAsia="zh-CN"/>
              </w:rPr>
              <w:t>3.</w:t>
            </w:r>
            <w:r>
              <w:rPr>
                <w:rFonts w:hint="eastAsia" w:ascii="宋体" w:hAnsi="宋体" w:eastAsia="宋体" w:cs="宋体"/>
                <w:color w:val="auto"/>
                <w:sz w:val="21"/>
                <w:szCs w:val="21"/>
                <w:highlight w:val="none"/>
                <w:vertAlign w:val="baseline"/>
              </w:rPr>
              <w:t>所提供的货物</w:t>
            </w:r>
            <w:r>
              <w:rPr>
                <w:rFonts w:hint="eastAsia" w:cs="宋体"/>
                <w:color w:val="auto"/>
                <w:sz w:val="21"/>
                <w:szCs w:val="21"/>
                <w:highlight w:val="none"/>
                <w:vertAlign w:val="baseline"/>
                <w:lang w:val="en-US" w:eastAsia="zh-CN"/>
              </w:rPr>
              <w:t>品牌、型号、</w:t>
            </w:r>
            <w:r>
              <w:rPr>
                <w:rFonts w:hint="eastAsia" w:ascii="宋体" w:hAnsi="宋体" w:eastAsia="宋体" w:cs="宋体"/>
                <w:color w:val="auto"/>
                <w:sz w:val="21"/>
                <w:szCs w:val="21"/>
                <w:highlight w:val="none"/>
                <w:vertAlign w:val="baseline"/>
              </w:rPr>
              <w:t>规格、</w:t>
            </w:r>
            <w:r>
              <w:rPr>
                <w:rFonts w:hint="eastAsia" w:cs="宋体"/>
                <w:color w:val="auto"/>
                <w:sz w:val="21"/>
                <w:szCs w:val="21"/>
                <w:highlight w:val="none"/>
                <w:vertAlign w:val="baseline"/>
                <w:lang w:val="en-US" w:eastAsia="zh-CN"/>
              </w:rPr>
              <w:t>性能、</w:t>
            </w:r>
            <w:r>
              <w:rPr>
                <w:rFonts w:hint="eastAsia" w:ascii="宋体" w:hAnsi="宋体" w:eastAsia="宋体" w:cs="宋体"/>
                <w:color w:val="auto"/>
                <w:sz w:val="21"/>
                <w:szCs w:val="21"/>
                <w:highlight w:val="none"/>
                <w:vertAlign w:val="baseline"/>
              </w:rPr>
              <w:t>技术标准</w:t>
            </w:r>
            <w:r>
              <w:rPr>
                <w:rFonts w:hint="eastAsia" w:cs="宋体"/>
                <w:color w:val="auto"/>
                <w:sz w:val="21"/>
                <w:szCs w:val="21"/>
                <w:highlight w:val="none"/>
                <w:vertAlign w:val="baseline"/>
                <w:lang w:eastAsia="zh-CN"/>
              </w:rPr>
              <w:t>、</w:t>
            </w:r>
            <w:r>
              <w:rPr>
                <w:rFonts w:hint="eastAsia" w:cs="宋体"/>
                <w:color w:val="auto"/>
                <w:sz w:val="21"/>
                <w:szCs w:val="21"/>
                <w:highlight w:val="none"/>
                <w:vertAlign w:val="baseline"/>
                <w:lang w:val="en-US" w:eastAsia="zh-CN"/>
              </w:rPr>
              <w:t>质量标准</w:t>
            </w:r>
            <w:r>
              <w:rPr>
                <w:rFonts w:hint="eastAsia" w:ascii="宋体" w:hAnsi="宋体" w:eastAsia="宋体" w:cs="宋体"/>
                <w:color w:val="auto"/>
                <w:sz w:val="21"/>
                <w:szCs w:val="21"/>
                <w:highlight w:val="none"/>
                <w:vertAlign w:val="baseline"/>
              </w:rPr>
              <w:t>等质量不合格的，应及时更换</w:t>
            </w:r>
            <w:r>
              <w:rPr>
                <w:rFonts w:hint="eastAsia" w:cs="宋体"/>
                <w:color w:val="auto"/>
                <w:sz w:val="21"/>
                <w:szCs w:val="21"/>
                <w:highlight w:val="none"/>
                <w:vertAlign w:val="baseline"/>
                <w:lang w:val="en-US" w:eastAsia="zh-CN"/>
              </w:rPr>
              <w:t>并由成交人承担</w:t>
            </w:r>
            <w:r>
              <w:rPr>
                <w:rFonts w:hint="eastAsia" w:ascii="宋体" w:hAnsi="宋体" w:eastAsia="宋体" w:cs="宋体"/>
                <w:color w:val="auto"/>
                <w:sz w:val="21"/>
                <w:szCs w:val="21"/>
                <w:highlight w:val="none"/>
                <w:vertAlign w:val="baseline"/>
              </w:rPr>
              <w:t>所发生的费用</w:t>
            </w:r>
            <w:r>
              <w:rPr>
                <w:rFonts w:hint="eastAsia"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更换不及时的按</w:t>
            </w:r>
            <w:r>
              <w:rPr>
                <w:rFonts w:hint="eastAsia" w:cs="宋体"/>
                <w:color w:val="auto"/>
                <w:sz w:val="21"/>
                <w:szCs w:val="21"/>
                <w:highlight w:val="none"/>
                <w:vertAlign w:val="baseline"/>
                <w:lang w:eastAsia="zh-CN"/>
              </w:rPr>
              <w:t>逾期</w:t>
            </w:r>
            <w:r>
              <w:rPr>
                <w:rFonts w:hint="eastAsia" w:ascii="宋体" w:hAnsi="宋体" w:eastAsia="宋体" w:cs="宋体"/>
                <w:color w:val="auto"/>
                <w:sz w:val="21"/>
                <w:szCs w:val="21"/>
                <w:highlight w:val="none"/>
                <w:vertAlign w:val="baseline"/>
              </w:rPr>
              <w:t>交货处理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因包装、运输引起的货物损坏，按质量不合格处理。</w:t>
            </w:r>
          </w:p>
          <w:p w14:paraId="403932DB">
            <w:pPr>
              <w:numPr>
                <w:ilvl w:val="0"/>
                <w:numId w:val="0"/>
              </w:numPr>
              <w:spacing w:line="360" w:lineRule="exact"/>
              <w:rPr>
                <w:rFonts w:hint="eastAsia"/>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成交人</w:t>
            </w:r>
            <w:r>
              <w:rPr>
                <w:rFonts w:hint="eastAsia"/>
                <w:color w:val="auto"/>
                <w:sz w:val="21"/>
                <w:szCs w:val="21"/>
                <w:highlight w:val="none"/>
              </w:rPr>
              <w:t>提供的货物质保期内，因设计、工艺或材料的缺陷和其他质量原因造成的问题，由</w:t>
            </w:r>
            <w:r>
              <w:rPr>
                <w:rFonts w:hint="eastAsia"/>
                <w:color w:val="auto"/>
                <w:sz w:val="21"/>
                <w:szCs w:val="21"/>
                <w:highlight w:val="none"/>
                <w:lang w:val="en-US" w:eastAsia="zh-CN"/>
              </w:rPr>
              <w:t>成交人</w:t>
            </w:r>
            <w:r>
              <w:rPr>
                <w:rFonts w:hint="eastAsia"/>
                <w:color w:val="auto"/>
                <w:sz w:val="21"/>
                <w:szCs w:val="21"/>
                <w:highlight w:val="none"/>
              </w:rPr>
              <w:t>负责处理至达到本采购人要求，费用由</w:t>
            </w:r>
            <w:r>
              <w:rPr>
                <w:rFonts w:hint="eastAsia"/>
                <w:color w:val="auto"/>
                <w:sz w:val="21"/>
                <w:szCs w:val="21"/>
                <w:highlight w:val="none"/>
                <w:lang w:val="en-US" w:eastAsia="zh-CN"/>
              </w:rPr>
              <w:t>成交人</w:t>
            </w:r>
            <w:r>
              <w:rPr>
                <w:rFonts w:hint="eastAsia"/>
                <w:color w:val="auto"/>
                <w:sz w:val="21"/>
                <w:szCs w:val="21"/>
                <w:highlight w:val="none"/>
              </w:rPr>
              <w:t>承担。</w:t>
            </w:r>
          </w:p>
          <w:p w14:paraId="3857AA03">
            <w:pPr>
              <w:numPr>
                <w:ilvl w:val="0"/>
                <w:numId w:val="0"/>
              </w:numPr>
              <w:spacing w:line="360" w:lineRule="exact"/>
              <w:rPr>
                <w:rFonts w:hint="eastAsia"/>
                <w:color w:val="auto"/>
                <w:sz w:val="21"/>
                <w:szCs w:val="21"/>
                <w:highlight w:val="none"/>
              </w:rPr>
            </w:pPr>
            <w:r>
              <w:rPr>
                <w:rFonts w:hint="eastAsia"/>
                <w:color w:val="auto"/>
                <w:sz w:val="21"/>
                <w:szCs w:val="21"/>
                <w:highlight w:val="none"/>
                <w:lang w:val="en-US" w:eastAsia="zh-CN"/>
              </w:rPr>
              <w:t>5.成交人</w:t>
            </w:r>
            <w:r>
              <w:rPr>
                <w:rFonts w:hint="eastAsia"/>
                <w:color w:val="auto"/>
                <w:sz w:val="21"/>
                <w:szCs w:val="21"/>
                <w:highlight w:val="none"/>
              </w:rPr>
              <w:t>应当保证其所提供的产品为符合国家知识产权法律法规要求的正规产品，杜绝恶意窜货、翻新等行为，若所提供的产品为不符合国家知识产权法律法规要求的非正规产品或属于假冒伪劣商品的，其合同无效。</w:t>
            </w:r>
          </w:p>
          <w:p w14:paraId="16222F74">
            <w:pPr>
              <w:numPr>
                <w:ilvl w:val="0"/>
                <w:numId w:val="0"/>
              </w:numPr>
              <w:spacing w:line="360" w:lineRule="exact"/>
              <w:ind w:left="0" w:leftChars="0" w:firstLine="0" w:firstLineChars="0"/>
              <w:rPr>
                <w:rFonts w:hint="default" w:eastAsia="宋体"/>
                <w:color w:val="auto"/>
                <w:sz w:val="21"/>
                <w:szCs w:val="21"/>
                <w:highlight w:val="none"/>
                <w:lang w:val="en-US" w:eastAsia="zh-CN"/>
              </w:rPr>
            </w:pPr>
            <w:r>
              <w:rPr>
                <w:rFonts w:hint="eastAsia"/>
                <w:color w:val="auto"/>
                <w:sz w:val="21"/>
                <w:szCs w:val="21"/>
                <w:highlight w:val="none"/>
                <w:lang w:val="en-US" w:eastAsia="zh-CN"/>
              </w:rPr>
              <w:t>6.成交人须</w:t>
            </w:r>
            <w:r>
              <w:rPr>
                <w:rFonts w:hint="eastAsia"/>
                <w:color w:val="auto"/>
                <w:sz w:val="21"/>
                <w:szCs w:val="21"/>
                <w:highlight w:val="none"/>
              </w:rPr>
              <w:t>免费送货</w:t>
            </w:r>
            <w:r>
              <w:rPr>
                <w:rFonts w:hint="eastAsia"/>
                <w:color w:val="auto"/>
                <w:sz w:val="21"/>
                <w:szCs w:val="21"/>
                <w:highlight w:val="none"/>
                <w:lang w:val="en-US" w:eastAsia="zh-CN"/>
              </w:rPr>
              <w:t>上门、免费拆卸、安装。</w:t>
            </w:r>
          </w:p>
        </w:tc>
      </w:tr>
      <w:tr w14:paraId="697C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atLeast"/>
        </w:trPr>
        <w:tc>
          <w:tcPr>
            <w:tcW w:w="325" w:type="pct"/>
            <w:shd w:val="clear" w:color="auto" w:fill="FFFDFA"/>
            <w:vAlign w:val="center"/>
          </w:tcPr>
          <w:p w14:paraId="72DECB1B">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c>
          <w:tcPr>
            <w:tcW w:w="827" w:type="pct"/>
            <w:shd w:val="clear" w:color="auto" w:fill="FFFDFA"/>
            <w:vAlign w:val="center"/>
          </w:tcPr>
          <w:p w14:paraId="3816C00D">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售后服务要求</w:t>
            </w:r>
          </w:p>
        </w:tc>
        <w:tc>
          <w:tcPr>
            <w:tcW w:w="3847" w:type="pct"/>
            <w:shd w:val="clear" w:color="auto" w:fill="FFFDFA"/>
            <w:vAlign w:val="center"/>
          </w:tcPr>
          <w:p w14:paraId="378C73AA">
            <w:pPr>
              <w:spacing w:line="360" w:lineRule="exact"/>
              <w:rPr>
                <w:color w:val="auto"/>
                <w:sz w:val="21"/>
                <w:szCs w:val="21"/>
                <w:highlight w:val="none"/>
              </w:rPr>
            </w:pPr>
            <w:r>
              <w:rPr>
                <w:rFonts w:hint="eastAsia"/>
                <w:color w:val="auto"/>
                <w:sz w:val="21"/>
                <w:szCs w:val="21"/>
                <w:highlight w:val="none"/>
              </w:rPr>
              <w:t>1.免费送货上门，免费安装调试和培训。</w:t>
            </w:r>
          </w:p>
          <w:p w14:paraId="0A1673A8">
            <w:pPr>
              <w:spacing w:line="360" w:lineRule="exact"/>
              <w:rPr>
                <w:color w:val="auto"/>
                <w:sz w:val="21"/>
                <w:szCs w:val="21"/>
                <w:highlight w:val="none"/>
              </w:rPr>
            </w:pPr>
            <w:r>
              <w:rPr>
                <w:rFonts w:hint="eastAsia"/>
                <w:color w:val="auto"/>
                <w:sz w:val="21"/>
                <w:szCs w:val="21"/>
                <w:highlight w:val="none"/>
              </w:rPr>
              <w:t>2.按厂家承诺实行“三包”承诺，质保期1年，免费上门服务（自交货安装完毕，验收合格之日起计）。</w:t>
            </w:r>
          </w:p>
          <w:p w14:paraId="0B7D9431">
            <w:pPr>
              <w:spacing w:line="360" w:lineRule="exact"/>
              <w:rPr>
                <w:color w:val="auto"/>
                <w:sz w:val="21"/>
                <w:szCs w:val="21"/>
                <w:highlight w:val="none"/>
              </w:rPr>
            </w:pPr>
            <w:r>
              <w:rPr>
                <w:rFonts w:hint="eastAsia"/>
                <w:color w:val="auto"/>
                <w:sz w:val="21"/>
                <w:szCs w:val="21"/>
                <w:highlight w:val="none"/>
              </w:rPr>
              <w:t>3.其他售后服务要求：</w:t>
            </w:r>
          </w:p>
          <w:p w14:paraId="7A939B9F">
            <w:pPr>
              <w:spacing w:line="360" w:lineRule="exact"/>
              <w:rPr>
                <w:color w:val="auto"/>
                <w:sz w:val="21"/>
                <w:szCs w:val="21"/>
                <w:highlight w:val="none"/>
              </w:rPr>
            </w:pPr>
            <w:r>
              <w:rPr>
                <w:rFonts w:hint="eastAsia"/>
                <w:color w:val="auto"/>
                <w:sz w:val="21"/>
                <w:szCs w:val="21"/>
                <w:highlight w:val="none"/>
              </w:rPr>
              <w:t>提供1年技术及运维服务，质量保证期内免费维修、免费更换零部件，服务内容如下：</w:t>
            </w:r>
          </w:p>
          <w:p w14:paraId="1EC10B35">
            <w:pPr>
              <w:spacing w:line="360" w:lineRule="exact"/>
              <w:rPr>
                <w:color w:val="auto"/>
                <w:sz w:val="21"/>
                <w:szCs w:val="21"/>
                <w:highlight w:val="none"/>
              </w:rPr>
            </w:pPr>
            <w:r>
              <w:rPr>
                <w:rFonts w:hint="eastAsia"/>
                <w:color w:val="auto"/>
                <w:sz w:val="21"/>
                <w:szCs w:val="21"/>
                <w:highlight w:val="none"/>
              </w:rPr>
              <w:t>质保期内，成交人应当提供7×24小时电话支持服务。成交人接到采购人保修通知后2个小时内响应，24个小时内排除故障。如不能及时解决故障，</w:t>
            </w:r>
            <w:r>
              <w:rPr>
                <w:rFonts w:hint="eastAsia"/>
                <w:color w:val="auto"/>
                <w:sz w:val="21"/>
                <w:szCs w:val="21"/>
                <w:highlight w:val="none"/>
                <w:lang w:val="en-US" w:eastAsia="zh-CN"/>
              </w:rPr>
              <w:t>成交人</w:t>
            </w:r>
            <w:r>
              <w:rPr>
                <w:rFonts w:hint="eastAsia"/>
                <w:color w:val="auto"/>
                <w:sz w:val="21"/>
                <w:szCs w:val="21"/>
                <w:highlight w:val="none"/>
              </w:rPr>
              <w:t>应提供备用机确保采购方正常使用。对于质保期内不能修复的产品／部件，成交人应在48个小时内免费更换备品备件，维修使用的备品备件及易损件应为原厂配件，未经采购方同意不得使用非原厂配件。</w:t>
            </w:r>
          </w:p>
          <w:p w14:paraId="7F182BB1">
            <w:pPr>
              <w:spacing w:line="360" w:lineRule="exact"/>
              <w:rPr>
                <w:color w:val="auto"/>
                <w:sz w:val="21"/>
                <w:szCs w:val="21"/>
                <w:highlight w:val="none"/>
              </w:rPr>
            </w:pPr>
            <w:r>
              <w:rPr>
                <w:rFonts w:hint="eastAsia"/>
                <w:color w:val="auto"/>
                <w:sz w:val="21"/>
                <w:szCs w:val="21"/>
                <w:highlight w:val="none"/>
              </w:rPr>
              <w:t>4.维保：自货物通过最终验收合格之日起免费维保一年。</w:t>
            </w:r>
          </w:p>
          <w:p w14:paraId="3136D5EA">
            <w:pPr>
              <w:spacing w:line="360" w:lineRule="exact"/>
              <w:rPr>
                <w:color w:val="auto"/>
                <w:sz w:val="21"/>
                <w:szCs w:val="21"/>
                <w:highlight w:val="none"/>
              </w:rPr>
            </w:pPr>
            <w:r>
              <w:rPr>
                <w:rFonts w:hint="eastAsia"/>
                <w:color w:val="auto"/>
                <w:sz w:val="21"/>
                <w:szCs w:val="21"/>
                <w:highlight w:val="none"/>
              </w:rPr>
              <w:t>5.提供设备必须是全新、未使用的原装产品，且在正常安装、使用和保养条件下，其使用寿命期内各项指标均达到质量要求。</w:t>
            </w:r>
          </w:p>
        </w:tc>
      </w:tr>
      <w:tr w14:paraId="0A40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trPr>
        <w:tc>
          <w:tcPr>
            <w:tcW w:w="325" w:type="pct"/>
            <w:shd w:val="clear" w:color="auto" w:fill="FFFFFF"/>
            <w:vAlign w:val="center"/>
          </w:tcPr>
          <w:p w14:paraId="25CDA931">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6</w:t>
            </w:r>
          </w:p>
        </w:tc>
        <w:tc>
          <w:tcPr>
            <w:tcW w:w="827" w:type="pct"/>
            <w:shd w:val="clear" w:color="auto" w:fill="FFFFFF"/>
            <w:vAlign w:val="center"/>
          </w:tcPr>
          <w:p w14:paraId="4E41E56D">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验收方式</w:t>
            </w:r>
          </w:p>
        </w:tc>
        <w:tc>
          <w:tcPr>
            <w:tcW w:w="3847" w:type="pct"/>
            <w:shd w:val="clear" w:color="auto" w:fill="FFFFFF"/>
            <w:vAlign w:val="center"/>
          </w:tcPr>
          <w:p w14:paraId="6D5E312C">
            <w:pPr>
              <w:spacing w:line="460" w:lineRule="exact"/>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出厂检验：交货时，成交人应随同货物提供</w:t>
            </w:r>
            <w:r>
              <w:rPr>
                <w:rFonts w:hint="eastAsia"/>
                <w:color w:val="auto"/>
                <w:sz w:val="21"/>
                <w:szCs w:val="21"/>
                <w:highlight w:val="none"/>
                <w:lang w:val="en-US" w:eastAsia="zh-CN"/>
              </w:rPr>
              <w:t>主要产品的</w:t>
            </w:r>
            <w:r>
              <w:rPr>
                <w:rFonts w:hint="eastAsia"/>
                <w:color w:val="auto"/>
                <w:sz w:val="21"/>
                <w:szCs w:val="21"/>
                <w:highlight w:val="none"/>
              </w:rPr>
              <w:t>出厂检验报告，产品合格证</w:t>
            </w:r>
            <w:r>
              <w:rPr>
                <w:rFonts w:hint="eastAsia"/>
                <w:color w:val="auto"/>
                <w:sz w:val="21"/>
                <w:szCs w:val="21"/>
                <w:highlight w:val="none"/>
                <w:lang w:eastAsia="zh-CN"/>
              </w:rPr>
              <w:t>、</w:t>
            </w:r>
            <w:r>
              <w:rPr>
                <w:color w:val="auto"/>
                <w:sz w:val="21"/>
                <w:szCs w:val="21"/>
                <w:highlight w:val="none"/>
              </w:rPr>
              <w:t>售后服务承诺函原件</w:t>
            </w:r>
            <w:r>
              <w:rPr>
                <w:rFonts w:hint="eastAsia"/>
                <w:color w:val="auto"/>
                <w:sz w:val="21"/>
                <w:szCs w:val="21"/>
                <w:highlight w:val="none"/>
                <w:lang w:eastAsia="zh-CN"/>
              </w:rPr>
              <w:t>（</w:t>
            </w:r>
            <w:r>
              <w:rPr>
                <w:rFonts w:hint="eastAsia"/>
                <w:color w:val="auto"/>
                <w:sz w:val="21"/>
                <w:szCs w:val="21"/>
                <w:highlight w:val="none"/>
                <w:lang w:val="en-US" w:eastAsia="zh-CN"/>
              </w:rPr>
              <w:t>加盖公章</w:t>
            </w:r>
            <w:r>
              <w:rPr>
                <w:rFonts w:hint="eastAsia"/>
                <w:color w:val="auto"/>
                <w:sz w:val="21"/>
                <w:szCs w:val="21"/>
                <w:highlight w:val="none"/>
                <w:lang w:eastAsia="zh-CN"/>
              </w:rPr>
              <w:t>）</w:t>
            </w:r>
            <w:r>
              <w:rPr>
                <w:rFonts w:hint="eastAsia"/>
                <w:color w:val="auto"/>
                <w:sz w:val="21"/>
                <w:szCs w:val="21"/>
                <w:highlight w:val="none"/>
              </w:rPr>
              <w:t>。</w:t>
            </w:r>
          </w:p>
          <w:p w14:paraId="3E31D3CE">
            <w:pPr>
              <w:spacing w:line="460" w:lineRule="exact"/>
              <w:rPr>
                <w:rFonts w:hint="eastAsia" w:eastAsia="宋体"/>
                <w:color w:val="auto"/>
                <w:sz w:val="21"/>
                <w:szCs w:val="21"/>
                <w:highlight w:val="none"/>
                <w:lang w:eastAsia="zh-CN"/>
              </w:rPr>
            </w:pPr>
            <w:r>
              <w:rPr>
                <w:rFonts w:hint="eastAsia"/>
                <w:color w:val="auto"/>
                <w:sz w:val="21"/>
                <w:szCs w:val="21"/>
                <w:highlight w:val="none"/>
              </w:rPr>
              <w:t>2.安装调试检验：货物到达后，由采购人进行基本质量和数量的</w:t>
            </w:r>
            <w:r>
              <w:rPr>
                <w:rFonts w:hint="eastAsia"/>
                <w:color w:val="auto"/>
                <w:sz w:val="21"/>
                <w:szCs w:val="21"/>
                <w:highlight w:val="none"/>
                <w:lang w:val="en-US" w:eastAsia="zh-CN"/>
              </w:rPr>
              <w:t>清点</w:t>
            </w:r>
            <w:r>
              <w:rPr>
                <w:rFonts w:hint="eastAsia"/>
                <w:color w:val="auto"/>
                <w:sz w:val="21"/>
                <w:szCs w:val="21"/>
                <w:highlight w:val="none"/>
                <w:lang w:eastAsia="zh-CN"/>
              </w:rPr>
              <w:t>，</w:t>
            </w:r>
            <w:r>
              <w:rPr>
                <w:rFonts w:hint="eastAsia"/>
                <w:color w:val="auto"/>
                <w:sz w:val="21"/>
                <w:szCs w:val="21"/>
                <w:highlight w:val="none"/>
                <w:lang w:val="en-US" w:eastAsia="zh-CN"/>
              </w:rPr>
              <w:t>清点</w:t>
            </w:r>
            <w:r>
              <w:rPr>
                <w:rFonts w:hint="eastAsia"/>
                <w:color w:val="auto"/>
                <w:sz w:val="21"/>
                <w:szCs w:val="21"/>
                <w:highlight w:val="none"/>
              </w:rPr>
              <w:t>不作为最终合格的保证人安装调试（包括整机性能测试）过程</w:t>
            </w:r>
            <w:r>
              <w:rPr>
                <w:rFonts w:hint="eastAsia"/>
                <w:color w:val="auto"/>
                <w:sz w:val="21"/>
                <w:szCs w:val="21"/>
                <w:highlight w:val="none"/>
                <w:lang w:eastAsia="zh-CN"/>
              </w:rPr>
              <w:t>）</w:t>
            </w:r>
            <w:r>
              <w:rPr>
                <w:rFonts w:hint="eastAsia"/>
                <w:color w:val="auto"/>
                <w:sz w:val="21"/>
                <w:szCs w:val="21"/>
                <w:highlight w:val="none"/>
              </w:rPr>
              <w:t>，成交人应作详细</w:t>
            </w:r>
            <w:r>
              <w:rPr>
                <w:rFonts w:hint="eastAsia"/>
                <w:color w:val="auto"/>
                <w:sz w:val="21"/>
                <w:szCs w:val="21"/>
                <w:highlight w:val="none"/>
                <w:lang w:val="en-US" w:eastAsia="zh-CN"/>
              </w:rPr>
              <w:t>清点</w:t>
            </w:r>
            <w:r>
              <w:rPr>
                <w:rFonts w:hint="eastAsia"/>
                <w:color w:val="auto"/>
                <w:sz w:val="21"/>
                <w:szCs w:val="21"/>
                <w:highlight w:val="none"/>
              </w:rPr>
              <w:t>记录。安装调试检验结果应符合制造厂产品标准和采购文件规定的技术要求</w:t>
            </w:r>
            <w:r>
              <w:rPr>
                <w:rFonts w:hint="eastAsia"/>
                <w:color w:val="auto"/>
                <w:sz w:val="21"/>
                <w:szCs w:val="21"/>
                <w:highlight w:val="none"/>
                <w:lang w:eastAsia="zh-CN"/>
              </w:rPr>
              <w:t>。</w:t>
            </w:r>
          </w:p>
          <w:p w14:paraId="704372E2">
            <w:pPr>
              <w:spacing w:line="460" w:lineRule="exact"/>
              <w:rPr>
                <w:color w:val="auto"/>
                <w:sz w:val="21"/>
                <w:szCs w:val="21"/>
                <w:highlight w:val="none"/>
              </w:rPr>
            </w:pPr>
            <w:r>
              <w:rPr>
                <w:rFonts w:hint="eastAsia"/>
                <w:color w:val="auto"/>
                <w:sz w:val="21"/>
                <w:szCs w:val="21"/>
                <w:highlight w:val="none"/>
              </w:rPr>
              <w:t>3.验收：安装调试结束后，由成交人组织相关人员按采购文件规定的技术要求进行验收。</w:t>
            </w:r>
            <w:r>
              <w:rPr>
                <w:rFonts w:hint="eastAsia"/>
                <w:color w:val="auto"/>
                <w:sz w:val="21"/>
                <w:szCs w:val="21"/>
                <w:highlight w:val="none"/>
                <w:lang w:eastAsia="zh-CN"/>
              </w:rPr>
              <w:t>收到成交通知书后</w:t>
            </w:r>
            <w:r>
              <w:rPr>
                <w:rFonts w:hint="eastAsia"/>
                <w:color w:val="auto"/>
                <w:sz w:val="21"/>
                <w:szCs w:val="21"/>
                <w:highlight w:val="none"/>
              </w:rPr>
              <w:t>，采购方将严格按照采购文件要求现场验收。验收不合格的，按虚假应标处理，</w:t>
            </w:r>
            <w:r>
              <w:rPr>
                <w:rFonts w:hint="eastAsia"/>
                <w:color w:val="auto"/>
                <w:sz w:val="21"/>
                <w:szCs w:val="21"/>
                <w:highlight w:val="none"/>
                <w:lang w:val="en-US" w:eastAsia="zh-CN"/>
              </w:rPr>
              <w:t>成交人</w:t>
            </w:r>
            <w:r>
              <w:rPr>
                <w:rFonts w:hint="eastAsia"/>
                <w:color w:val="auto"/>
                <w:sz w:val="21"/>
                <w:szCs w:val="21"/>
                <w:highlight w:val="none"/>
              </w:rPr>
              <w:t>需承担被采购方终止合同的一切风险和费用。</w:t>
            </w:r>
          </w:p>
          <w:p w14:paraId="2B6C785D">
            <w:pPr>
              <w:spacing w:line="460" w:lineRule="exact"/>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本要求提供的</w:t>
            </w:r>
            <w:r>
              <w:rPr>
                <w:color w:val="auto"/>
                <w:sz w:val="21"/>
                <w:szCs w:val="21"/>
                <w:highlight w:val="none"/>
              </w:rPr>
              <w:t>材料为实质性要求，如不能提供以上材料或提供以上材料与要求不符，或以上材料不齐全，则视为虚假应标，虚假应标的</w:t>
            </w:r>
            <w:r>
              <w:rPr>
                <w:rFonts w:hint="eastAsia"/>
                <w:color w:val="auto"/>
                <w:sz w:val="21"/>
                <w:szCs w:val="21"/>
                <w:highlight w:val="none"/>
                <w:lang w:eastAsia="zh-CN"/>
              </w:rPr>
              <w:t>验收</w:t>
            </w:r>
            <w:r>
              <w:rPr>
                <w:color w:val="auto"/>
                <w:sz w:val="21"/>
                <w:szCs w:val="21"/>
                <w:highlight w:val="none"/>
              </w:rPr>
              <w:t>人</w:t>
            </w:r>
            <w:r>
              <w:rPr>
                <w:rFonts w:hint="eastAsia"/>
                <w:color w:val="auto"/>
                <w:sz w:val="21"/>
                <w:szCs w:val="21"/>
                <w:highlight w:val="none"/>
                <w:lang w:eastAsia="zh-CN"/>
              </w:rPr>
              <w:t>验收</w:t>
            </w:r>
            <w:r>
              <w:rPr>
                <w:color w:val="auto"/>
                <w:sz w:val="21"/>
                <w:szCs w:val="21"/>
                <w:highlight w:val="none"/>
              </w:rPr>
              <w:t>无效，如该</w:t>
            </w:r>
            <w:r>
              <w:rPr>
                <w:rFonts w:hint="eastAsia"/>
                <w:color w:val="auto"/>
                <w:sz w:val="21"/>
                <w:szCs w:val="21"/>
                <w:highlight w:val="none"/>
                <w:lang w:eastAsia="zh-CN"/>
              </w:rPr>
              <w:t>验收</w:t>
            </w:r>
            <w:r>
              <w:rPr>
                <w:color w:val="auto"/>
                <w:sz w:val="21"/>
                <w:szCs w:val="21"/>
                <w:highlight w:val="none"/>
              </w:rPr>
              <w:t>人中标的，中标结果无效，采购人将取消采购结果并追究责任；如明知不满足竞价文件对于品牌、型号、资质等要求而进行恶意竞争的，或因竞标人虚假竞标导致竞标无效造成的工期延误及损失，将根据《政采云平台电子卖场权益维护及纠纷处理规则》的规定报</w:t>
            </w:r>
            <w:r>
              <w:rPr>
                <w:rFonts w:hint="eastAsia"/>
                <w:bCs/>
                <w:color w:val="auto"/>
                <w:sz w:val="21"/>
                <w:szCs w:val="21"/>
                <w:highlight w:val="none"/>
              </w:rPr>
              <w:t>市政府采购监督管理办公室</w:t>
            </w:r>
            <w:r>
              <w:rPr>
                <w:color w:val="auto"/>
                <w:sz w:val="21"/>
                <w:szCs w:val="21"/>
                <w:highlight w:val="none"/>
              </w:rPr>
              <w:t>处理，给采购人造成损失的应予以赔偿。</w:t>
            </w:r>
          </w:p>
        </w:tc>
      </w:tr>
      <w:tr w14:paraId="77FC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8" w:hRule="atLeast"/>
        </w:trPr>
        <w:tc>
          <w:tcPr>
            <w:tcW w:w="325" w:type="pct"/>
            <w:shd w:val="clear" w:color="auto" w:fill="FFFDFA"/>
            <w:vAlign w:val="center"/>
          </w:tcPr>
          <w:p w14:paraId="21A5C207">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7</w:t>
            </w:r>
          </w:p>
        </w:tc>
        <w:tc>
          <w:tcPr>
            <w:tcW w:w="827" w:type="pct"/>
            <w:shd w:val="clear" w:color="auto" w:fill="FFFDFA"/>
            <w:vAlign w:val="center"/>
          </w:tcPr>
          <w:p w14:paraId="7D982CA8">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交货时间及地点</w:t>
            </w:r>
          </w:p>
        </w:tc>
        <w:tc>
          <w:tcPr>
            <w:tcW w:w="3847" w:type="pct"/>
            <w:shd w:val="clear" w:color="auto" w:fill="FFFDFA"/>
            <w:vAlign w:val="center"/>
          </w:tcPr>
          <w:p w14:paraId="26E06BB0">
            <w:pPr>
              <w:spacing w:line="360" w:lineRule="exact"/>
              <w:rPr>
                <w:color w:val="auto"/>
                <w:sz w:val="21"/>
                <w:szCs w:val="21"/>
                <w:highlight w:val="none"/>
              </w:rPr>
            </w:pPr>
            <w:r>
              <w:rPr>
                <w:rFonts w:hint="eastAsia"/>
                <w:color w:val="auto"/>
                <w:sz w:val="21"/>
                <w:szCs w:val="21"/>
                <w:highlight w:val="none"/>
              </w:rPr>
              <w:t>1.交货地点：南宁儿童康复中心。</w:t>
            </w:r>
          </w:p>
          <w:p w14:paraId="0430A437">
            <w:pPr>
              <w:spacing w:line="360" w:lineRule="exact"/>
              <w:rPr>
                <w:color w:val="auto"/>
                <w:sz w:val="21"/>
                <w:szCs w:val="21"/>
                <w:highlight w:val="none"/>
              </w:rPr>
            </w:pPr>
            <w:r>
              <w:rPr>
                <w:rFonts w:hint="eastAsia"/>
                <w:color w:val="auto"/>
                <w:sz w:val="21"/>
                <w:szCs w:val="21"/>
                <w:highlight w:val="none"/>
              </w:rPr>
              <w:t>2.现场交货</w:t>
            </w:r>
            <w:r>
              <w:rPr>
                <w:rFonts w:hint="eastAsia"/>
                <w:color w:val="auto"/>
                <w:sz w:val="21"/>
                <w:szCs w:val="21"/>
                <w:highlight w:val="none"/>
                <w:lang w:val="en-US" w:eastAsia="zh-CN"/>
              </w:rPr>
              <w:t>及安装</w:t>
            </w:r>
            <w:r>
              <w:rPr>
                <w:rFonts w:hint="eastAsia"/>
                <w:color w:val="auto"/>
                <w:sz w:val="21"/>
                <w:szCs w:val="21"/>
                <w:highlight w:val="none"/>
              </w:rPr>
              <w:t>。</w:t>
            </w:r>
          </w:p>
        </w:tc>
      </w:tr>
      <w:tr w14:paraId="02C6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trPr>
        <w:tc>
          <w:tcPr>
            <w:tcW w:w="325" w:type="pct"/>
            <w:shd w:val="clear" w:color="auto" w:fill="FFFFFF"/>
            <w:vAlign w:val="center"/>
          </w:tcPr>
          <w:p w14:paraId="3DE33A2E">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8</w:t>
            </w:r>
          </w:p>
        </w:tc>
        <w:tc>
          <w:tcPr>
            <w:tcW w:w="827" w:type="pct"/>
            <w:shd w:val="clear" w:color="auto" w:fill="FFFFFF"/>
            <w:vAlign w:val="center"/>
          </w:tcPr>
          <w:p w14:paraId="31882668">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付款条件</w:t>
            </w:r>
          </w:p>
        </w:tc>
        <w:tc>
          <w:tcPr>
            <w:tcW w:w="3847" w:type="pct"/>
            <w:shd w:val="clear" w:color="auto" w:fill="FFFFFF"/>
            <w:vAlign w:val="center"/>
          </w:tcPr>
          <w:p w14:paraId="0D74C1C8">
            <w:pPr>
              <w:spacing w:line="360" w:lineRule="exact"/>
              <w:rPr>
                <w:color w:val="auto"/>
                <w:sz w:val="21"/>
                <w:szCs w:val="21"/>
                <w:highlight w:val="none"/>
              </w:rPr>
            </w:pPr>
            <w:r>
              <w:rPr>
                <w:rFonts w:hint="eastAsia"/>
                <w:color w:val="auto"/>
                <w:sz w:val="21"/>
                <w:szCs w:val="21"/>
                <w:highlight w:val="none"/>
              </w:rPr>
              <w:t>本次无预付款，设备安装调试并通过采购人验收合格后，成交人开具全额发票给采购人，采购人</w:t>
            </w:r>
            <w:r>
              <w:rPr>
                <w:rFonts w:hint="eastAsia"/>
                <w:color w:val="auto"/>
                <w:sz w:val="21"/>
                <w:szCs w:val="21"/>
                <w:highlight w:val="none"/>
                <w:lang w:val="en-US" w:eastAsia="zh-CN"/>
              </w:rPr>
              <w:t>在获资金审批后10个工作</w:t>
            </w:r>
            <w:r>
              <w:rPr>
                <w:rFonts w:hint="eastAsia"/>
                <w:color w:val="auto"/>
                <w:sz w:val="21"/>
                <w:szCs w:val="21"/>
                <w:highlight w:val="none"/>
              </w:rPr>
              <w:t>日内支付合同总价的100%给成交人。</w:t>
            </w:r>
          </w:p>
        </w:tc>
      </w:tr>
    </w:tbl>
    <w:p w14:paraId="3DA9D93D">
      <w:pPr>
        <w:rPr>
          <w:color w:val="auto"/>
          <w:highlight w:val="none"/>
        </w:rPr>
      </w:pPr>
    </w:p>
    <w:sectPr>
      <w:footerReference r:id="rId3" w:type="default"/>
      <w:pgSz w:w="11906" w:h="16838"/>
      <w:pgMar w:top="1134" w:right="1230"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70C6">
    <w:pPr>
      <w:pStyle w:val="11"/>
    </w:pPr>
    <w:r>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P8wR7RAAAAAgEAAA8AAAAAAAAAAQAgAAAAIgAAAGRycy9kb3ducmV2LnhtbFBLAQIUABQA&#10;AAAIAIdO4kCcey5VMAIAAFIEAAAOAAAAAAAAAAEAIAAAACABAABkcnMvZTJvRG9jLnhtbFBLBQYA&#10;AAAABgAGAFkBAADCBQAAAAA=&#10;">
          <v:path/>
          <v:fill on="f" focussize="0,0"/>
          <v:stroke on="f" weight="0.5pt" joinstyle="miter"/>
          <v:imagedata o:title=""/>
          <o:lock v:ext="edit"/>
          <v:textbox inset="0mm,0mm,0mm,0mm" style="mso-fit-shape-to-text:t;">
            <w:txbxContent>
              <w:p w14:paraId="0DB70C47">
                <w:pPr>
                  <w:pStyle w:val="11"/>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7D048"/>
    <w:multiLevelType w:val="singleLevel"/>
    <w:tmpl w:val="41D7D0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5ZGVjYWQ5YjA0OWIzYzE1NDkwODRkNDIxZjgxYTAifQ=="/>
  </w:docVars>
  <w:rsids>
    <w:rsidRoot w:val="001F1011"/>
    <w:rsid w:val="0000553E"/>
    <w:rsid w:val="00007689"/>
    <w:rsid w:val="00021A30"/>
    <w:rsid w:val="00033BC3"/>
    <w:rsid w:val="0003518D"/>
    <w:rsid w:val="00043EBD"/>
    <w:rsid w:val="00044924"/>
    <w:rsid w:val="00044B80"/>
    <w:rsid w:val="000513D4"/>
    <w:rsid w:val="00055232"/>
    <w:rsid w:val="0005753A"/>
    <w:rsid w:val="000746F1"/>
    <w:rsid w:val="00074704"/>
    <w:rsid w:val="00077A1C"/>
    <w:rsid w:val="00084A7D"/>
    <w:rsid w:val="00086188"/>
    <w:rsid w:val="00090C0A"/>
    <w:rsid w:val="000B6E3A"/>
    <w:rsid w:val="000B78C3"/>
    <w:rsid w:val="000C315D"/>
    <w:rsid w:val="000D1B55"/>
    <w:rsid w:val="000D6D6C"/>
    <w:rsid w:val="000F3C53"/>
    <w:rsid w:val="000F581C"/>
    <w:rsid w:val="000F5BE1"/>
    <w:rsid w:val="00122122"/>
    <w:rsid w:val="00122276"/>
    <w:rsid w:val="001305DD"/>
    <w:rsid w:val="0015244B"/>
    <w:rsid w:val="001544A3"/>
    <w:rsid w:val="0017330E"/>
    <w:rsid w:val="0019637F"/>
    <w:rsid w:val="001A4250"/>
    <w:rsid w:val="001C3534"/>
    <w:rsid w:val="001C581B"/>
    <w:rsid w:val="001D2665"/>
    <w:rsid w:val="001D69BF"/>
    <w:rsid w:val="001F1011"/>
    <w:rsid w:val="001F3663"/>
    <w:rsid w:val="00202FA0"/>
    <w:rsid w:val="00242636"/>
    <w:rsid w:val="002612FD"/>
    <w:rsid w:val="002614EB"/>
    <w:rsid w:val="0026452C"/>
    <w:rsid w:val="00277526"/>
    <w:rsid w:val="00280AA5"/>
    <w:rsid w:val="002957AF"/>
    <w:rsid w:val="002B183B"/>
    <w:rsid w:val="002B2A73"/>
    <w:rsid w:val="002B2D72"/>
    <w:rsid w:val="002B3A69"/>
    <w:rsid w:val="002D22EE"/>
    <w:rsid w:val="002D64AD"/>
    <w:rsid w:val="002E2FF8"/>
    <w:rsid w:val="002F5071"/>
    <w:rsid w:val="00315DEB"/>
    <w:rsid w:val="003207B4"/>
    <w:rsid w:val="0032508E"/>
    <w:rsid w:val="00342306"/>
    <w:rsid w:val="0035385F"/>
    <w:rsid w:val="003562CA"/>
    <w:rsid w:val="003564A4"/>
    <w:rsid w:val="00375180"/>
    <w:rsid w:val="00385046"/>
    <w:rsid w:val="00386635"/>
    <w:rsid w:val="00394616"/>
    <w:rsid w:val="003A1EC0"/>
    <w:rsid w:val="003A3DE7"/>
    <w:rsid w:val="003B62BE"/>
    <w:rsid w:val="003C5996"/>
    <w:rsid w:val="0041233E"/>
    <w:rsid w:val="00413D01"/>
    <w:rsid w:val="00420F43"/>
    <w:rsid w:val="00426E9E"/>
    <w:rsid w:val="00441B14"/>
    <w:rsid w:val="00447B07"/>
    <w:rsid w:val="00450B08"/>
    <w:rsid w:val="00464C27"/>
    <w:rsid w:val="00465B83"/>
    <w:rsid w:val="004730DD"/>
    <w:rsid w:val="004807B9"/>
    <w:rsid w:val="0048388A"/>
    <w:rsid w:val="004920DA"/>
    <w:rsid w:val="004A108C"/>
    <w:rsid w:val="004A66EA"/>
    <w:rsid w:val="004B2C9B"/>
    <w:rsid w:val="004B4F99"/>
    <w:rsid w:val="004C0D8A"/>
    <w:rsid w:val="004D3346"/>
    <w:rsid w:val="004F4834"/>
    <w:rsid w:val="005011B5"/>
    <w:rsid w:val="00553106"/>
    <w:rsid w:val="00574310"/>
    <w:rsid w:val="00575DB2"/>
    <w:rsid w:val="00577DB5"/>
    <w:rsid w:val="00592382"/>
    <w:rsid w:val="005A51EE"/>
    <w:rsid w:val="005B2E03"/>
    <w:rsid w:val="005B4D05"/>
    <w:rsid w:val="005B4FF7"/>
    <w:rsid w:val="005C04CE"/>
    <w:rsid w:val="005C5618"/>
    <w:rsid w:val="005D4320"/>
    <w:rsid w:val="005F0DD2"/>
    <w:rsid w:val="00614A4B"/>
    <w:rsid w:val="00616234"/>
    <w:rsid w:val="006167B7"/>
    <w:rsid w:val="0063772B"/>
    <w:rsid w:val="006561FC"/>
    <w:rsid w:val="006811AE"/>
    <w:rsid w:val="00681AD0"/>
    <w:rsid w:val="00686D2A"/>
    <w:rsid w:val="0069142B"/>
    <w:rsid w:val="00697BF3"/>
    <w:rsid w:val="006B65F4"/>
    <w:rsid w:val="006C6BE3"/>
    <w:rsid w:val="006E3BE5"/>
    <w:rsid w:val="006E5560"/>
    <w:rsid w:val="006F7CB6"/>
    <w:rsid w:val="0070364B"/>
    <w:rsid w:val="007252FE"/>
    <w:rsid w:val="007314D8"/>
    <w:rsid w:val="00744A30"/>
    <w:rsid w:val="00753425"/>
    <w:rsid w:val="007538B6"/>
    <w:rsid w:val="00782FCF"/>
    <w:rsid w:val="00787857"/>
    <w:rsid w:val="007A1658"/>
    <w:rsid w:val="007C1A89"/>
    <w:rsid w:val="007D2EB9"/>
    <w:rsid w:val="007D4E1B"/>
    <w:rsid w:val="007E281A"/>
    <w:rsid w:val="007E57F1"/>
    <w:rsid w:val="0082474E"/>
    <w:rsid w:val="0082630B"/>
    <w:rsid w:val="00837847"/>
    <w:rsid w:val="00870AFB"/>
    <w:rsid w:val="00873694"/>
    <w:rsid w:val="008751AD"/>
    <w:rsid w:val="00875616"/>
    <w:rsid w:val="008B2EA4"/>
    <w:rsid w:val="008B5738"/>
    <w:rsid w:val="008D7426"/>
    <w:rsid w:val="009126FB"/>
    <w:rsid w:val="00936686"/>
    <w:rsid w:val="00965F64"/>
    <w:rsid w:val="00976F5E"/>
    <w:rsid w:val="009A6977"/>
    <w:rsid w:val="009B405B"/>
    <w:rsid w:val="009D615C"/>
    <w:rsid w:val="009F08F8"/>
    <w:rsid w:val="00A0444F"/>
    <w:rsid w:val="00A125F0"/>
    <w:rsid w:val="00A2187F"/>
    <w:rsid w:val="00A4595D"/>
    <w:rsid w:val="00A461AC"/>
    <w:rsid w:val="00A57527"/>
    <w:rsid w:val="00A6006F"/>
    <w:rsid w:val="00A612A5"/>
    <w:rsid w:val="00A808C0"/>
    <w:rsid w:val="00A936A4"/>
    <w:rsid w:val="00AB5F8B"/>
    <w:rsid w:val="00AC4219"/>
    <w:rsid w:val="00AD08EB"/>
    <w:rsid w:val="00AD20C1"/>
    <w:rsid w:val="00AD6A8B"/>
    <w:rsid w:val="00AF76B9"/>
    <w:rsid w:val="00B01B77"/>
    <w:rsid w:val="00B10928"/>
    <w:rsid w:val="00B115EC"/>
    <w:rsid w:val="00B40801"/>
    <w:rsid w:val="00B504B2"/>
    <w:rsid w:val="00B61C31"/>
    <w:rsid w:val="00B6516E"/>
    <w:rsid w:val="00B71358"/>
    <w:rsid w:val="00B72347"/>
    <w:rsid w:val="00B76450"/>
    <w:rsid w:val="00B8043B"/>
    <w:rsid w:val="00B80B1B"/>
    <w:rsid w:val="00B85859"/>
    <w:rsid w:val="00B96570"/>
    <w:rsid w:val="00BC101F"/>
    <w:rsid w:val="00C03BCB"/>
    <w:rsid w:val="00C36364"/>
    <w:rsid w:val="00C41B9D"/>
    <w:rsid w:val="00C54348"/>
    <w:rsid w:val="00C73680"/>
    <w:rsid w:val="00C83272"/>
    <w:rsid w:val="00C83F93"/>
    <w:rsid w:val="00C85898"/>
    <w:rsid w:val="00C8610F"/>
    <w:rsid w:val="00C94047"/>
    <w:rsid w:val="00CB1F80"/>
    <w:rsid w:val="00CF646C"/>
    <w:rsid w:val="00CF7BB9"/>
    <w:rsid w:val="00D26C64"/>
    <w:rsid w:val="00D47D5A"/>
    <w:rsid w:val="00D5695A"/>
    <w:rsid w:val="00D87E69"/>
    <w:rsid w:val="00D97EFF"/>
    <w:rsid w:val="00DA2553"/>
    <w:rsid w:val="00DA7C94"/>
    <w:rsid w:val="00DC036E"/>
    <w:rsid w:val="00DC085F"/>
    <w:rsid w:val="00DD0195"/>
    <w:rsid w:val="00DE6671"/>
    <w:rsid w:val="00E07BFA"/>
    <w:rsid w:val="00E15F71"/>
    <w:rsid w:val="00E22003"/>
    <w:rsid w:val="00E25D29"/>
    <w:rsid w:val="00E349CC"/>
    <w:rsid w:val="00E352C6"/>
    <w:rsid w:val="00E369D2"/>
    <w:rsid w:val="00E37ADD"/>
    <w:rsid w:val="00E72197"/>
    <w:rsid w:val="00E830DF"/>
    <w:rsid w:val="00E90E56"/>
    <w:rsid w:val="00E92DF5"/>
    <w:rsid w:val="00E94C49"/>
    <w:rsid w:val="00EA5569"/>
    <w:rsid w:val="00EA55EF"/>
    <w:rsid w:val="00EB4DC1"/>
    <w:rsid w:val="00F109A8"/>
    <w:rsid w:val="00F144A6"/>
    <w:rsid w:val="00F6512C"/>
    <w:rsid w:val="00F66C02"/>
    <w:rsid w:val="00F85883"/>
    <w:rsid w:val="00F8632B"/>
    <w:rsid w:val="00FB29A3"/>
    <w:rsid w:val="00FD2659"/>
    <w:rsid w:val="00FE0E76"/>
    <w:rsid w:val="011D12F1"/>
    <w:rsid w:val="01544BBF"/>
    <w:rsid w:val="01557885"/>
    <w:rsid w:val="02685E37"/>
    <w:rsid w:val="02EF39F5"/>
    <w:rsid w:val="030B7CD5"/>
    <w:rsid w:val="03686C68"/>
    <w:rsid w:val="0394180E"/>
    <w:rsid w:val="04BB1B38"/>
    <w:rsid w:val="05F94CBD"/>
    <w:rsid w:val="0733371A"/>
    <w:rsid w:val="07E76EF1"/>
    <w:rsid w:val="084628F2"/>
    <w:rsid w:val="08BA0844"/>
    <w:rsid w:val="09153E4C"/>
    <w:rsid w:val="098565D2"/>
    <w:rsid w:val="09C15C02"/>
    <w:rsid w:val="09DA460A"/>
    <w:rsid w:val="0A5F7231"/>
    <w:rsid w:val="0C175FAD"/>
    <w:rsid w:val="0C1E10EA"/>
    <w:rsid w:val="0EA23819"/>
    <w:rsid w:val="0EC07EDD"/>
    <w:rsid w:val="0ECB3364"/>
    <w:rsid w:val="0F115C50"/>
    <w:rsid w:val="0F847DFE"/>
    <w:rsid w:val="10260F59"/>
    <w:rsid w:val="106654C9"/>
    <w:rsid w:val="11600CD6"/>
    <w:rsid w:val="11986BEC"/>
    <w:rsid w:val="124D7AEF"/>
    <w:rsid w:val="12541E50"/>
    <w:rsid w:val="12CB228E"/>
    <w:rsid w:val="12F11306"/>
    <w:rsid w:val="12FE2C52"/>
    <w:rsid w:val="13225800"/>
    <w:rsid w:val="13A448D1"/>
    <w:rsid w:val="140E67CF"/>
    <w:rsid w:val="14496F20"/>
    <w:rsid w:val="148230FD"/>
    <w:rsid w:val="14E360FC"/>
    <w:rsid w:val="15190006"/>
    <w:rsid w:val="15982039"/>
    <w:rsid w:val="15FA2B4B"/>
    <w:rsid w:val="165A598A"/>
    <w:rsid w:val="16E178E4"/>
    <w:rsid w:val="17384384"/>
    <w:rsid w:val="178C2C54"/>
    <w:rsid w:val="188624F1"/>
    <w:rsid w:val="18BA03EC"/>
    <w:rsid w:val="19A3205B"/>
    <w:rsid w:val="19D9003D"/>
    <w:rsid w:val="19F416DC"/>
    <w:rsid w:val="1A522939"/>
    <w:rsid w:val="1B4F0E81"/>
    <w:rsid w:val="1B6819AF"/>
    <w:rsid w:val="1BCD0437"/>
    <w:rsid w:val="1BF93576"/>
    <w:rsid w:val="1C774562"/>
    <w:rsid w:val="1D21405D"/>
    <w:rsid w:val="1D523B45"/>
    <w:rsid w:val="1D803F2F"/>
    <w:rsid w:val="1DF47EFC"/>
    <w:rsid w:val="1E025426"/>
    <w:rsid w:val="1EDB2E6A"/>
    <w:rsid w:val="1F770DE5"/>
    <w:rsid w:val="2043510B"/>
    <w:rsid w:val="2139763B"/>
    <w:rsid w:val="224D09C3"/>
    <w:rsid w:val="231142A3"/>
    <w:rsid w:val="235C0A1E"/>
    <w:rsid w:val="23703462"/>
    <w:rsid w:val="23AC3027"/>
    <w:rsid w:val="23DD25C1"/>
    <w:rsid w:val="24611C1C"/>
    <w:rsid w:val="24974D7D"/>
    <w:rsid w:val="25527B1E"/>
    <w:rsid w:val="25812575"/>
    <w:rsid w:val="25F0301C"/>
    <w:rsid w:val="263952BC"/>
    <w:rsid w:val="263C68E5"/>
    <w:rsid w:val="271629FB"/>
    <w:rsid w:val="27624935"/>
    <w:rsid w:val="27CB0983"/>
    <w:rsid w:val="285A4982"/>
    <w:rsid w:val="288F460B"/>
    <w:rsid w:val="28C22A00"/>
    <w:rsid w:val="293F0D41"/>
    <w:rsid w:val="29C06E51"/>
    <w:rsid w:val="2ACA385F"/>
    <w:rsid w:val="2BB22260"/>
    <w:rsid w:val="2BC66D82"/>
    <w:rsid w:val="2C7A4D6A"/>
    <w:rsid w:val="2C882884"/>
    <w:rsid w:val="2CB25CD8"/>
    <w:rsid w:val="2D673B6A"/>
    <w:rsid w:val="3147217E"/>
    <w:rsid w:val="31880C30"/>
    <w:rsid w:val="335A674B"/>
    <w:rsid w:val="341A7FF1"/>
    <w:rsid w:val="341D5431"/>
    <w:rsid w:val="342712DB"/>
    <w:rsid w:val="34653CA5"/>
    <w:rsid w:val="34A46DF0"/>
    <w:rsid w:val="34C957E7"/>
    <w:rsid w:val="354A0D64"/>
    <w:rsid w:val="356D6ABA"/>
    <w:rsid w:val="35A62223"/>
    <w:rsid w:val="369776E4"/>
    <w:rsid w:val="370B4A9C"/>
    <w:rsid w:val="378B409C"/>
    <w:rsid w:val="39AB4C98"/>
    <w:rsid w:val="3A224785"/>
    <w:rsid w:val="3ADD7E34"/>
    <w:rsid w:val="3AE51303"/>
    <w:rsid w:val="3B221CDB"/>
    <w:rsid w:val="3BD72DBB"/>
    <w:rsid w:val="3D2139CC"/>
    <w:rsid w:val="3E2717D1"/>
    <w:rsid w:val="3EEA04B3"/>
    <w:rsid w:val="3FFE3D07"/>
    <w:rsid w:val="407A2BA2"/>
    <w:rsid w:val="41301A23"/>
    <w:rsid w:val="41580872"/>
    <w:rsid w:val="41832A67"/>
    <w:rsid w:val="4282466B"/>
    <w:rsid w:val="42C378F3"/>
    <w:rsid w:val="448862EB"/>
    <w:rsid w:val="44AE0556"/>
    <w:rsid w:val="44C81EA9"/>
    <w:rsid w:val="44DB0E82"/>
    <w:rsid w:val="45284162"/>
    <w:rsid w:val="45535547"/>
    <w:rsid w:val="463E6C8B"/>
    <w:rsid w:val="46405B25"/>
    <w:rsid w:val="46780020"/>
    <w:rsid w:val="46C8288B"/>
    <w:rsid w:val="472F5159"/>
    <w:rsid w:val="47506E88"/>
    <w:rsid w:val="476D64A6"/>
    <w:rsid w:val="47723ABC"/>
    <w:rsid w:val="47B5320C"/>
    <w:rsid w:val="47D5010B"/>
    <w:rsid w:val="47E86111"/>
    <w:rsid w:val="480D41E4"/>
    <w:rsid w:val="491D5CAA"/>
    <w:rsid w:val="495B4F02"/>
    <w:rsid w:val="4A723928"/>
    <w:rsid w:val="4A7B6C66"/>
    <w:rsid w:val="4B2F0C07"/>
    <w:rsid w:val="4B6425A8"/>
    <w:rsid w:val="4B7D06FF"/>
    <w:rsid w:val="4BB5510E"/>
    <w:rsid w:val="4C2118B3"/>
    <w:rsid w:val="4C7C18D7"/>
    <w:rsid w:val="4DBB5113"/>
    <w:rsid w:val="4DD22E83"/>
    <w:rsid w:val="4E1D2330"/>
    <w:rsid w:val="4E2D248E"/>
    <w:rsid w:val="4E546956"/>
    <w:rsid w:val="4E7A1EA6"/>
    <w:rsid w:val="4EFF6A57"/>
    <w:rsid w:val="4F147B4F"/>
    <w:rsid w:val="4F166C4D"/>
    <w:rsid w:val="50DD58C5"/>
    <w:rsid w:val="51136310"/>
    <w:rsid w:val="5161270B"/>
    <w:rsid w:val="51A864DF"/>
    <w:rsid w:val="51E37A59"/>
    <w:rsid w:val="53565585"/>
    <w:rsid w:val="53A7451A"/>
    <w:rsid w:val="56066468"/>
    <w:rsid w:val="565D2223"/>
    <w:rsid w:val="56760CC4"/>
    <w:rsid w:val="5698723E"/>
    <w:rsid w:val="57AA621C"/>
    <w:rsid w:val="57EA53CE"/>
    <w:rsid w:val="583F79EB"/>
    <w:rsid w:val="59260671"/>
    <w:rsid w:val="593D71D2"/>
    <w:rsid w:val="59B20569"/>
    <w:rsid w:val="59BD4E33"/>
    <w:rsid w:val="59E22D24"/>
    <w:rsid w:val="59F01359"/>
    <w:rsid w:val="5B2A78B3"/>
    <w:rsid w:val="5B445318"/>
    <w:rsid w:val="5B4D6831"/>
    <w:rsid w:val="5B61290C"/>
    <w:rsid w:val="5D140CE7"/>
    <w:rsid w:val="5D446CA9"/>
    <w:rsid w:val="5D691B4C"/>
    <w:rsid w:val="5DD40262"/>
    <w:rsid w:val="5E785B24"/>
    <w:rsid w:val="5E9A04F7"/>
    <w:rsid w:val="5EDA221B"/>
    <w:rsid w:val="5F182D44"/>
    <w:rsid w:val="5F186E9A"/>
    <w:rsid w:val="60242901"/>
    <w:rsid w:val="6064040F"/>
    <w:rsid w:val="60924BE4"/>
    <w:rsid w:val="62A6083D"/>
    <w:rsid w:val="631057CC"/>
    <w:rsid w:val="632641AF"/>
    <w:rsid w:val="637D586B"/>
    <w:rsid w:val="63AF5FDC"/>
    <w:rsid w:val="64AE3654"/>
    <w:rsid w:val="66200076"/>
    <w:rsid w:val="665135D2"/>
    <w:rsid w:val="6666121D"/>
    <w:rsid w:val="666E2ACC"/>
    <w:rsid w:val="667029CC"/>
    <w:rsid w:val="68155815"/>
    <w:rsid w:val="69B03242"/>
    <w:rsid w:val="6A645B73"/>
    <w:rsid w:val="6B516B5C"/>
    <w:rsid w:val="6B8F47B7"/>
    <w:rsid w:val="6C3F20A2"/>
    <w:rsid w:val="6C7526BD"/>
    <w:rsid w:val="6D02447F"/>
    <w:rsid w:val="6DE670D0"/>
    <w:rsid w:val="6DFC4F92"/>
    <w:rsid w:val="6E335B93"/>
    <w:rsid w:val="6EA55897"/>
    <w:rsid w:val="6ECD53E2"/>
    <w:rsid w:val="6F265B08"/>
    <w:rsid w:val="7090045B"/>
    <w:rsid w:val="72254828"/>
    <w:rsid w:val="72C840F4"/>
    <w:rsid w:val="73410663"/>
    <w:rsid w:val="743B53B8"/>
    <w:rsid w:val="74450E79"/>
    <w:rsid w:val="74FF0DCD"/>
    <w:rsid w:val="76A17EFF"/>
    <w:rsid w:val="76A50F09"/>
    <w:rsid w:val="77753323"/>
    <w:rsid w:val="77B038F5"/>
    <w:rsid w:val="77F71820"/>
    <w:rsid w:val="780F2FC1"/>
    <w:rsid w:val="78A02AD5"/>
    <w:rsid w:val="794A62BA"/>
    <w:rsid w:val="797579F0"/>
    <w:rsid w:val="7A7B50B2"/>
    <w:rsid w:val="7AB636E5"/>
    <w:rsid w:val="7AE929D2"/>
    <w:rsid w:val="7BC43454"/>
    <w:rsid w:val="7C29587F"/>
    <w:rsid w:val="7C2D63D6"/>
    <w:rsid w:val="7C7E6484"/>
    <w:rsid w:val="7CB265E0"/>
    <w:rsid w:val="7DCB4039"/>
    <w:rsid w:val="7E2D1F10"/>
    <w:rsid w:val="7E645D4D"/>
    <w:rsid w:val="7F513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hAnsi="宋体"/>
      <w:b/>
      <w:bCs/>
      <w:sz w:val="24"/>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szCs w:val="20"/>
    </w:rPr>
  </w:style>
  <w:style w:type="paragraph" w:styleId="5">
    <w:name w:val="annotation text"/>
    <w:basedOn w:val="1"/>
    <w:qFormat/>
    <w:uiPriority w:val="0"/>
  </w:style>
  <w:style w:type="paragraph" w:styleId="6">
    <w:name w:val="Body Text"/>
    <w:basedOn w:val="1"/>
    <w:unhideWhenUsed/>
    <w:qFormat/>
    <w:uiPriority w:val="0"/>
    <w:pPr>
      <w:spacing w:after="120"/>
    </w:pPr>
    <w:rPr>
      <w:rFonts w:eastAsia="仿宋_GB2312" w:cs="Times New Roman"/>
      <w:b/>
      <w:sz w:val="24"/>
      <w:szCs w:val="21"/>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hAnsi="Courier New"/>
      <w:sz w:val="20"/>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22"/>
    <w:semiHidden/>
    <w:unhideWhenUsed/>
    <w:qFormat/>
    <w:uiPriority w:val="99"/>
    <w:rPr>
      <w:sz w:val="18"/>
      <w:szCs w:val="18"/>
    </w:rPr>
  </w:style>
  <w:style w:type="paragraph" w:styleId="11">
    <w:name w:val="footer"/>
    <w:basedOn w:val="1"/>
    <w:link w:val="21"/>
    <w:semiHidden/>
    <w:unhideWhenUsed/>
    <w:qFormat/>
    <w:uiPriority w:val="99"/>
    <w:pPr>
      <w:tabs>
        <w:tab w:val="center" w:pos="4153"/>
        <w:tab w:val="right" w:pos="8306"/>
      </w:tabs>
      <w:snapToGrid w:val="0"/>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HTML Preformatted"/>
    <w:basedOn w:val="1"/>
    <w:link w:val="23"/>
    <w:semiHidden/>
    <w:unhideWhenUsed/>
    <w:qFormat/>
    <w:uiPriority w:val="99"/>
    <w:rPr>
      <w:rFonts w:ascii="Courier New" w:hAnsi="Courier New" w:cs="Courier New"/>
      <w:sz w:val="20"/>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12"/>
    <w:semiHidden/>
    <w:qFormat/>
    <w:uiPriority w:val="99"/>
    <w:rPr>
      <w:rFonts w:ascii="宋体" w:hAnsi="宋体" w:eastAsia="宋体" w:cs="宋体"/>
      <w:kern w:val="0"/>
      <w:sz w:val="18"/>
      <w:szCs w:val="18"/>
    </w:rPr>
  </w:style>
  <w:style w:type="character" w:customStyle="1" w:styleId="21">
    <w:name w:val="页脚 Char"/>
    <w:basedOn w:val="17"/>
    <w:link w:val="11"/>
    <w:semiHidden/>
    <w:qFormat/>
    <w:uiPriority w:val="99"/>
    <w:rPr>
      <w:rFonts w:ascii="宋体" w:hAnsi="宋体" w:eastAsia="宋体" w:cs="宋体"/>
      <w:kern w:val="0"/>
      <w:sz w:val="18"/>
      <w:szCs w:val="18"/>
    </w:rPr>
  </w:style>
  <w:style w:type="character" w:customStyle="1" w:styleId="22">
    <w:name w:val="批注框文本 Char"/>
    <w:basedOn w:val="17"/>
    <w:link w:val="10"/>
    <w:semiHidden/>
    <w:qFormat/>
    <w:uiPriority w:val="99"/>
    <w:rPr>
      <w:rFonts w:ascii="宋体" w:hAnsi="宋体" w:eastAsia="宋体" w:cs="宋体"/>
      <w:kern w:val="0"/>
      <w:sz w:val="18"/>
      <w:szCs w:val="18"/>
    </w:rPr>
  </w:style>
  <w:style w:type="character" w:customStyle="1" w:styleId="23">
    <w:name w:val="HTML 预设格式 Char"/>
    <w:basedOn w:val="17"/>
    <w:link w:val="14"/>
    <w:semiHidden/>
    <w:qFormat/>
    <w:uiPriority w:val="99"/>
    <w:rPr>
      <w:rFonts w:ascii="Courier New" w:hAnsi="Courier New" w:eastAsia="宋体" w:cs="Courier New"/>
      <w:kern w:val="0"/>
      <w:sz w:val="20"/>
      <w:szCs w:val="20"/>
    </w:rPr>
  </w:style>
  <w:style w:type="character" w:customStyle="1" w:styleId="24">
    <w:name w:val="标题 1 Char"/>
    <w:basedOn w:val="17"/>
    <w:link w:val="2"/>
    <w:qFormat/>
    <w:uiPriority w:val="9"/>
    <w:rPr>
      <w:rFonts w:ascii="宋体" w:hAnsi="宋体" w:eastAsia="宋体" w:cs="宋体"/>
      <w:b/>
      <w:bCs/>
      <w:kern w:val="44"/>
      <w:sz w:val="44"/>
      <w:szCs w:val="44"/>
    </w:rPr>
  </w:style>
  <w:style w:type="paragraph" w:customStyle="1" w:styleId="25">
    <w:name w:val="Default"/>
    <w:basedOn w:val="1"/>
    <w:qFormat/>
    <w:uiPriority w:val="0"/>
    <w:pPr>
      <w:widowControl w:val="0"/>
      <w:autoSpaceDE w:val="0"/>
      <w:autoSpaceDN w:val="0"/>
      <w:adjustRightInd w:val="0"/>
    </w:pPr>
    <w:rPr>
      <w:rFonts w:ascii="Times New Roman" w:hAnsi="Times New Roman" w:cs="Times New Roman"/>
      <w:color w:val="000000"/>
    </w:rPr>
  </w:style>
  <w:style w:type="paragraph" w:customStyle="1" w:styleId="26">
    <w:name w:val="Table Paragraph"/>
    <w:basedOn w:val="1"/>
    <w:qFormat/>
    <w:uiPriority w:val="1"/>
    <w:pPr>
      <w:spacing w:before="30" w:line="278" w:lineRule="exact"/>
      <w:ind w:left="45"/>
    </w:pPr>
    <w:rPr>
      <w:lang w:val="zh-CN" w:bidi="zh-CN"/>
    </w:rPr>
  </w:style>
  <w:style w:type="paragraph" w:customStyle="1" w:styleId="2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8">
    <w:name w:val="font61"/>
    <w:basedOn w:val="17"/>
    <w:qFormat/>
    <w:uiPriority w:val="0"/>
    <w:rPr>
      <w:rFonts w:hint="eastAsia" w:ascii="宋体" w:hAnsi="宋体" w:eastAsia="宋体" w:cs="宋体"/>
      <w:b/>
      <w:bCs/>
      <w:color w:val="000000"/>
      <w:sz w:val="18"/>
      <w:szCs w:val="18"/>
      <w:u w:val="none"/>
    </w:rPr>
  </w:style>
  <w:style w:type="character" w:customStyle="1" w:styleId="29">
    <w:name w:val="font31"/>
    <w:basedOn w:val="17"/>
    <w:qFormat/>
    <w:uiPriority w:val="0"/>
    <w:rPr>
      <w:rFonts w:hint="eastAsia" w:ascii="宋体" w:hAnsi="宋体" w:eastAsia="宋体" w:cs="宋体"/>
      <w:color w:val="000000"/>
      <w:sz w:val="18"/>
      <w:szCs w:val="18"/>
      <w:u w:val="none"/>
    </w:rPr>
  </w:style>
  <w:style w:type="character" w:customStyle="1" w:styleId="30">
    <w:name w:val="font41"/>
    <w:basedOn w:val="17"/>
    <w:qFormat/>
    <w:uiPriority w:val="0"/>
    <w:rPr>
      <w:rFonts w:hint="eastAsia" w:ascii="宋体" w:hAnsi="宋体" w:eastAsia="宋体" w:cs="宋体"/>
      <w:b/>
      <w:bCs/>
      <w:color w:val="000000"/>
      <w:sz w:val="18"/>
      <w:szCs w:val="18"/>
      <w:u w:val="none"/>
    </w:rPr>
  </w:style>
  <w:style w:type="character" w:customStyle="1" w:styleId="31">
    <w:name w:val="font71"/>
    <w:basedOn w:val="17"/>
    <w:qFormat/>
    <w:uiPriority w:val="0"/>
    <w:rPr>
      <w:rFonts w:hint="eastAsia" w:ascii="宋体" w:hAnsi="宋体" w:eastAsia="宋体" w:cs="宋体"/>
      <w:color w:val="000000"/>
      <w:sz w:val="18"/>
      <w:szCs w:val="18"/>
      <w:u w:val="none"/>
    </w:rPr>
  </w:style>
  <w:style w:type="character" w:customStyle="1" w:styleId="32">
    <w:name w:val="font81"/>
    <w:basedOn w:val="17"/>
    <w:qFormat/>
    <w:uiPriority w:val="0"/>
    <w:rPr>
      <w:rFonts w:hint="eastAsia" w:ascii="宋体" w:hAnsi="宋体" w:eastAsia="宋体" w:cs="宋体"/>
      <w:color w:val="000000"/>
      <w:sz w:val="18"/>
      <w:szCs w:val="18"/>
      <w:u w:val="none"/>
      <w:vertAlign w:val="superscript"/>
    </w:rPr>
  </w:style>
  <w:style w:type="character" w:customStyle="1" w:styleId="33">
    <w:name w:val="font21"/>
    <w:basedOn w:val="17"/>
    <w:qFormat/>
    <w:uiPriority w:val="0"/>
    <w:rPr>
      <w:rFonts w:hint="eastAsia" w:ascii="宋体" w:hAnsi="宋体" w:eastAsia="宋体" w:cs="宋体"/>
      <w:color w:val="000000"/>
      <w:sz w:val="18"/>
      <w:szCs w:val="18"/>
      <w:u w:val="none"/>
    </w:rPr>
  </w:style>
  <w:style w:type="character" w:customStyle="1" w:styleId="34">
    <w:name w:val="font51"/>
    <w:basedOn w:val="17"/>
    <w:qFormat/>
    <w:uiPriority w:val="0"/>
    <w:rPr>
      <w:rFonts w:hint="eastAsia" w:ascii="宋体" w:hAnsi="宋体" w:eastAsia="宋体" w:cs="宋体"/>
      <w:b/>
      <w:bCs/>
      <w:color w:val="000000"/>
      <w:sz w:val="18"/>
      <w:szCs w:val="18"/>
      <w:u w:val="none"/>
    </w:rPr>
  </w:style>
  <w:style w:type="character" w:customStyle="1" w:styleId="35">
    <w:name w:val="正文 + 宋体 Char"/>
    <w:link w:val="36"/>
    <w:qFormat/>
    <w:uiPriority w:val="0"/>
    <w:rPr>
      <w:rFonts w:ascii="宋体" w:hAnsi="宋体"/>
      <w:b/>
      <w:sz w:val="24"/>
    </w:rPr>
  </w:style>
  <w:style w:type="paragraph" w:customStyle="1" w:styleId="36">
    <w:name w:val="正文 + 宋体"/>
    <w:basedOn w:val="9"/>
    <w:link w:val="35"/>
    <w:qFormat/>
    <w:uiPriority w:val="0"/>
    <w:pPr>
      <w:spacing w:line="480" w:lineRule="exact"/>
      <w:ind w:left="0" w:leftChars="0"/>
    </w:pPr>
    <w:rPr>
      <w:rFonts w:ascii="宋体" w:hAnsi="宋体"/>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12</Pages>
  <Words>19972</Words>
  <Characters>22112</Characters>
  <Lines>29</Lines>
  <Paragraphs>8</Paragraphs>
  <TotalTime>4</TotalTime>
  <ScaleCrop>false</ScaleCrop>
  <LinksUpToDate>false</LinksUpToDate>
  <CharactersWithSpaces>22215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2023-05-07T07:21:00Z</dcterms:created>
  <dc:creator>Administrator</dc:creator>
  <cp:lastModifiedBy>潇子</cp:lastModifiedBy>
  <cp:lastPrinted>2025-06-04T07:44:00Z</cp:lastPrinted>
  <dcterms:modified xsi:type="dcterms:W3CDTF">2025-06-17T08:46:42Z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7DACDC9A71E0461FBCFBFA501E0781E3_13</vt:lpwstr>
  </property>
  <property fmtid="{D5CDD505-2E9C-101B-9397-08002B2CF9AE}" pid="4" name="KSOTemplateDocerSaveRecord">
    <vt:lpwstr>eyJoZGlkIjoiN2ZmYzFiZWYyNzY5YWQ4NDY0NzBmMTY1YWYzNDZjZDIiLCJ1c2VySWQiOiI4MTY2MTEzMTUifQ==</vt:lpwstr>
  </property>
</Properties>
</file>