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宋体" w:hAnsi="宋体" w:eastAsia="宋体" w:cs="宋体"/>
          <w:b/>
          <w:bCs/>
          <w:color w:val="000000"/>
          <w:kern w:val="0"/>
          <w:sz w:val="28"/>
          <w:szCs w:val="28"/>
        </w:rPr>
      </w:pPr>
    </w:p>
    <w:p>
      <w:pPr>
        <w:pStyle w:val="5"/>
        <w:jc w:val="left"/>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en-US" w:eastAsia="zh-CN"/>
        </w:rPr>
        <w:t xml:space="preserve">      南宁市第十四中学班班通教学设备采购需求表</w:t>
      </w:r>
    </w:p>
    <w:p>
      <w:pPr>
        <w:pStyle w:val="5"/>
        <w:jc w:val="left"/>
        <w:rPr>
          <w:rFonts w:ascii="宋体" w:hAnsi="宋体" w:eastAsia="宋体" w:cs="宋体"/>
          <w:kern w:val="0"/>
          <w:sz w:val="28"/>
          <w:szCs w:val="28"/>
        </w:rPr>
      </w:pP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4"/>
          <w:szCs w:val="24"/>
          <w:lang w:val="en-US" w:eastAsia="zh-CN"/>
        </w:rPr>
        <w:t xml:space="preserve">一、技术需求 </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 xml:space="preserve"> </w:t>
      </w:r>
    </w:p>
    <w:tbl>
      <w:tblPr>
        <w:tblStyle w:val="14"/>
        <w:tblW w:w="99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44"/>
        <w:gridCol w:w="816"/>
        <w:gridCol w:w="3960"/>
        <w:gridCol w:w="660"/>
        <w:gridCol w:w="660"/>
        <w:gridCol w:w="114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25" w:type="dxa"/>
            <w:tcBorders>
              <w:tl2br w:val="nil"/>
              <w:tr2bl w:val="nil"/>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744" w:type="dxa"/>
            <w:tcBorders>
              <w:tl2br w:val="nil"/>
              <w:tr2bl w:val="nil"/>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产品</w:t>
            </w:r>
            <w:r>
              <w:rPr>
                <w:rFonts w:hint="eastAsia" w:ascii="宋体" w:hAnsi="宋体" w:eastAsia="宋体" w:cs="宋体"/>
                <w:color w:val="000000"/>
                <w:kern w:val="0"/>
                <w:sz w:val="22"/>
                <w:szCs w:val="22"/>
              </w:rPr>
              <w:t>名称</w:t>
            </w:r>
          </w:p>
        </w:tc>
        <w:tc>
          <w:tcPr>
            <w:tcW w:w="816" w:type="dxa"/>
            <w:tcBorders>
              <w:tl2br w:val="nil"/>
              <w:tr2bl w:val="nil"/>
            </w:tcBorders>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品牌</w:t>
            </w:r>
            <w:r>
              <w:rPr>
                <w:rFonts w:hint="eastAsia" w:ascii="宋体" w:hAnsi="宋体" w:eastAsia="宋体" w:cs="宋体"/>
                <w:color w:val="000000"/>
                <w:kern w:val="0"/>
                <w:sz w:val="22"/>
                <w:szCs w:val="22"/>
              </w:rPr>
              <w:t>型号</w:t>
            </w:r>
          </w:p>
        </w:tc>
        <w:tc>
          <w:tcPr>
            <w:tcW w:w="3960" w:type="dxa"/>
            <w:tcBorders>
              <w:tl2br w:val="nil"/>
              <w:tr2bl w:val="nil"/>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b w:val="0"/>
                <w:bCs w:val="0"/>
                <w:i w:val="0"/>
                <w:iCs w:val="0"/>
                <w:strike w:val="0"/>
                <w:color w:val="000000"/>
                <w:spacing w:val="0"/>
                <w:w w:val="100"/>
                <w:position w:val="0"/>
                <w:sz w:val="22"/>
                <w:szCs w:val="22"/>
                <w:u w:val="none"/>
              </w:rPr>
              <w:t>规</w:t>
            </w:r>
            <w:r>
              <w:rPr>
                <w:rFonts w:hint="eastAsia" w:ascii="宋体" w:hAnsi="宋体" w:eastAsia="宋体" w:cs="宋体"/>
                <w:b w:val="0"/>
                <w:bCs w:val="0"/>
                <w:i w:val="0"/>
                <w:iCs w:val="0"/>
                <w:strike w:val="0"/>
                <w:color w:val="000000"/>
                <w:spacing w:val="2"/>
                <w:w w:val="100"/>
                <w:position w:val="0"/>
                <w:sz w:val="22"/>
                <w:szCs w:val="22"/>
                <w:u w:val="none"/>
              </w:rPr>
              <w:t>格</w:t>
            </w:r>
            <w:r>
              <w:rPr>
                <w:rFonts w:hint="eastAsia" w:ascii="宋体" w:hAnsi="宋体" w:eastAsia="宋体" w:cs="宋体"/>
                <w:b w:val="0"/>
                <w:bCs w:val="0"/>
                <w:i w:val="0"/>
                <w:iCs w:val="0"/>
                <w:strike w:val="0"/>
                <w:color w:val="000000"/>
                <w:spacing w:val="0"/>
                <w:w w:val="100"/>
                <w:position w:val="0"/>
                <w:sz w:val="22"/>
                <w:szCs w:val="22"/>
                <w:u w:val="none"/>
              </w:rPr>
              <w:t>要</w:t>
            </w:r>
            <w:r>
              <w:rPr>
                <w:rFonts w:hint="eastAsia" w:ascii="宋体" w:hAnsi="宋体" w:eastAsia="宋体" w:cs="宋体"/>
                <w:b w:val="0"/>
                <w:bCs w:val="0"/>
                <w:i w:val="0"/>
                <w:iCs w:val="0"/>
                <w:strike w:val="0"/>
                <w:color w:val="000000"/>
                <w:spacing w:val="2"/>
                <w:w w:val="100"/>
                <w:position w:val="0"/>
                <w:sz w:val="22"/>
                <w:szCs w:val="22"/>
                <w:u w:val="none"/>
              </w:rPr>
              <w:t>求</w:t>
            </w:r>
            <w:r>
              <w:rPr>
                <w:rFonts w:hint="eastAsia" w:ascii="宋体" w:hAnsi="宋体" w:eastAsia="宋体" w:cs="宋体"/>
                <w:b w:val="0"/>
                <w:bCs w:val="0"/>
                <w:i w:val="0"/>
                <w:iCs w:val="0"/>
                <w:strike w:val="0"/>
                <w:color w:val="000000"/>
                <w:spacing w:val="0"/>
                <w:w w:val="100"/>
                <w:position w:val="0"/>
                <w:sz w:val="22"/>
                <w:szCs w:val="22"/>
                <w:u w:val="none"/>
              </w:rPr>
              <w:t>及功</w:t>
            </w:r>
            <w:r>
              <w:rPr>
                <w:rFonts w:hint="eastAsia" w:ascii="宋体" w:hAnsi="宋体" w:eastAsia="宋体" w:cs="宋体"/>
                <w:b w:val="0"/>
                <w:bCs w:val="0"/>
                <w:i w:val="0"/>
                <w:iCs w:val="0"/>
                <w:strike w:val="0"/>
                <w:color w:val="000000"/>
                <w:spacing w:val="3"/>
                <w:w w:val="100"/>
                <w:position w:val="0"/>
                <w:sz w:val="22"/>
                <w:szCs w:val="22"/>
                <w:u w:val="none"/>
              </w:rPr>
              <w:t>能</w:t>
            </w:r>
            <w:r>
              <w:rPr>
                <w:rFonts w:hint="eastAsia" w:ascii="宋体" w:hAnsi="宋体" w:eastAsia="宋体" w:cs="宋体"/>
                <w:b w:val="0"/>
                <w:bCs w:val="0"/>
                <w:i w:val="0"/>
                <w:iCs w:val="0"/>
                <w:strike w:val="0"/>
                <w:color w:val="000000"/>
                <w:spacing w:val="0"/>
                <w:w w:val="100"/>
                <w:position w:val="0"/>
                <w:sz w:val="22"/>
                <w:szCs w:val="22"/>
                <w:u w:val="none"/>
              </w:rPr>
              <w:t>描述</w:t>
            </w:r>
          </w:p>
        </w:tc>
        <w:tc>
          <w:tcPr>
            <w:tcW w:w="660" w:type="dxa"/>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单位</w:t>
            </w:r>
          </w:p>
        </w:tc>
        <w:tc>
          <w:tcPr>
            <w:tcW w:w="660" w:type="dxa"/>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数量</w:t>
            </w:r>
          </w:p>
        </w:tc>
        <w:tc>
          <w:tcPr>
            <w:tcW w:w="1140" w:type="dxa"/>
            <w:tcBorders>
              <w:tl2br w:val="nil"/>
              <w:tr2bl w:val="nil"/>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单价（元）</w:t>
            </w:r>
          </w:p>
        </w:tc>
        <w:tc>
          <w:tcPr>
            <w:tcW w:w="1335" w:type="dxa"/>
            <w:tcBorders>
              <w:tl2br w:val="nil"/>
              <w:tr2bl w:val="nil"/>
            </w:tcBorders>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小计</w:t>
            </w:r>
            <w:r>
              <w:rPr>
                <w:rFonts w:hint="eastAsia" w:ascii="宋体" w:hAnsi="宋体" w:eastAsia="宋体" w:cs="宋体"/>
                <w:color w:val="000000"/>
                <w:kern w:val="0"/>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25" w:type="dxa"/>
            <w:tcBorders>
              <w:tl2br w:val="nil"/>
              <w:tr2bl w:val="nil"/>
            </w:tcBorders>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44" w:type="dxa"/>
            <w:tcBorders>
              <w:tl2br w:val="nil"/>
              <w:tr2bl w:val="nil"/>
            </w:tcBorders>
            <w:noWrap/>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交互一体机</w:t>
            </w:r>
          </w:p>
        </w:tc>
        <w:tc>
          <w:tcPr>
            <w:tcW w:w="816" w:type="dxa"/>
            <w:tcBorders>
              <w:tl2br w:val="nil"/>
              <w:tr2bl w:val="nil"/>
            </w:tcBorders>
            <w:noWrap/>
            <w:vAlign w:val="center"/>
          </w:tcPr>
          <w:p>
            <w:pPr>
              <w:pStyle w:val="9"/>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希沃FG86EC</w:t>
            </w:r>
          </w:p>
        </w:tc>
        <w:tc>
          <w:tcPr>
            <w:tcW w:w="3960" w:type="dxa"/>
            <w:tcBorders>
              <w:tl2br w:val="nil"/>
              <w:tr2bl w:val="nil"/>
            </w:tcBorders>
            <w:noWrap/>
            <w:vAlign w:val="center"/>
          </w:tcPr>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一、OPS电脑配置要求</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★1、CPU：搭载Intel  酷睿系列≥12代或以上i5 CPU。</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★2、内存：8GB DDR4笔记本内存或以上配置。</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★3、硬盘：256 GB或以上SSD固态硬盘。</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4、采用按压式卡扣，无需工具即可快速拆卸电脑模块。</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5、PC 模块可抽拉式插入整机，可实现无单独接线的拔插。</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6、具有独立非外拓展的视频输出接口：≥1 路 HDMI。</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7、具有独立非外拓展的电脑 USB 接口：至少具备 4个USB3.0 接口。</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8、具有标准 PC 防盗锁孔，确保电脑模块安全防盗。</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9、和整机的连接采用万兆级接口，传输速率≥10Gbps。</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10、和整机的连接接口针脚数≤40pin。</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二、整体屏显要求</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1、整机背光系统支持DC调光方式，多级亮度调节，支持白颜色背景下最暗亮度≤100nit，用于提升显示对比度。</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2、整机屏幕蓝光占比（有害蓝光415～455nm能量综合）/（整体蓝光400～500能量综合）＜50%</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3、支持标准、多媒体和节能三种图像模式调节。</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4、整机屏幕采用≥86英寸液晶显示器。整机采用超高清LED液晶显示屏，显示比例16:9，分辨率3840×2160。整机色域覆盖率（NTSC）≥72%，灰阶等级≥256级。。</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5、支持自定义图像设置，可对对比度、屏幕色温、图像亮度、亮度范围、色彩空间调节设置。</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整机系统支持手势上滑调出人工智能画质调节模式（AI-PQ），在安卓通道下可根据屏幕内容自动调节画质参数，当屏幕出现人物、建筑、夜景等元素时，自动调整对比度、饱和度、锐利度、色调色相值、高光/阴影。</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7、整机视网膜蓝光危害（蓝光加权辐射亮度LB）满足IEC TR 62778:2014蓝光危害RG0级别</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9、纸质护眼模式下，显示画面各像素点灰度不规则，减少背景干扰。</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三、整机接口设计与安全设计</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1、侧置输入接口具备2路HDMI、1路RS232、1路USB接口。</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2、侧置输出接口具备1路音频输出、1路触控USB输出。</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3、前置输入接口3路USB接口（包含1路Type-C、2路USB）。</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★4、支持通过Type-C接口U盘进行文件传输，兼容Type-C接口手机充电。</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5、整机采用一体设计，外部无任何可见内部功能模块连接线。边角采用弧形设计，表面无尖锐边缘或凸起。</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6、整机采用全金属外壳设计，边框为金属一体成型。</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7、整机屏幕边缘采用金属圆角包边防护，整机背板采用金属材质，有效屏蔽内部电路器件辐射；防潮耐盐雾蚀锈，适应多种教学环境。</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四、整体无线与网络功能设计</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1、整机无需外接无线网卡，在Windows系统下可实现Wi-Fi无线上网连接、AP无线热点发射和BT蓝牙连接功能。</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2、Wi-Fi和AP热点工作距离≥12m。</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3、整机支持蓝牙Bluetooth 5.4标准，固件版本号HCI13.0/LMP13.0。</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4、整机PC端支持主动发现蓝牙外设从而连接（无需整机进入发现模式），支持连接外部蓝牙音箱播放音频。</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★5、整机支持发出频率为18kHz-22kHz超声波信号，智能手机通过麦克风接收后，智能手机与整机无需在同一局域网内，可实现配对，一键投屏，用户无需手动输入投屏码或扫码获取投屏码；</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7、整机内置双WiFi6无线网卡（不接受外接），在Android和Windows系统下，可实现Wi-Fi无线上网连接、AP无线热点发射。</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★8、整机内置双WiFi6无线网卡（不接受外接），在Android下支持无线设备同时连接数量≥32个，在Windows系统下支持无线设备同时连接≥8个；</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9、整机无需外接无线网卡，在Windows系统下接入无线网络，切换到嵌入式Android系统下可直接实现无线上网功能，不需手动重复设置。</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10、Wi-Fi及AP热点支持频段2.4GHz/5GHz </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★11、Wi-Fi制式支持IEEE 802.11 a/b/g/n/ac/ax；支持版本Wi-Fi6。</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五、侧边栏教学设计要求</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1、整机全通道侧边栏快捷菜单包含如下小工具：批注、降半屏、截屏、放大镜、倒计时、日历、聚光灯、秒表、冻屏、倒数日、答题、节拍器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2、整机全通道侧边栏快捷菜单小工具支持自定义，支持设置对应小工具的显示/隐藏。</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3、整机全通道侧边栏支持使用批注小工具进行批注讲解，可切换书写笔颜色、截屏保存批注内容、清屏，可根据手与屏幕的接触面积自动调整板擦工具的大小。</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★4、整机全通道侧边栏支持将设备屏幕降低为半屏幕状态，点击上半屏幕可以返回全屏状态。</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5、整机全通道侧边栏支持自行选择所需截取屏幕范围，点击截屏即可成功截取屏幕，并自动保存。</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6、整机全通道侧边栏支持放大选中区域内容，并可支持对未选中区域关灯处理，实现聚光灯效果。</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整机全通道侧边栏支持倒计时、正计时功能；倒计时，输入某特定时间值，可精确到秒，点击开始进入倒计时；正计时，点击开始计时便自动开始，并实时显示时间。（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8、整机全通道侧边栏支持打开日历，查看日期。</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9、整机全通道侧边栏支持聚光灯，支持聚光灯高亮区域大小调节、区域移动。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10、整机全通道侧边栏支持冻屏，将屏幕画面进行缩放。</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11、整机安卓和外接通道下侧边栏支持设置倒数日。</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整机安卓和外接通道下侧边栏支持节拍器，支持设置节拍、轻重、节拍播放速度。全通道下可支持通过自定义按键调出该功能。（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14、整机支持在设备上通过摄像头获取教室内图像并自动识别图像内所有人员，并随机抽选1人。</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★15、整机支持在设备上通过摄像头获取教室内图像并自动识别图像内所有人员，并自动进行人数统计。</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16、整机支持在设备上，通过侧边栏实现调用windows系统运行、打开文件夹、打开任务管理。</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17、整机Windows通道支持在通过侧边栏调取软键盘。</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18、整机Windows通道支持对当前运行中的应用进行窗口最大化、窗口最小化、应用强制关闭。</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19、整机处于非内置PC通道下，支持通过侧边栏进入PC通道。</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20、整机全通道侧边栏快捷菜单支持快捷调节音量、亮度，支持自动亮度模式，支持点击静音按钮静音。</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21、整机全通道侧边栏快捷菜单中应用软件可以进行切换，无需在已经开启的应用软件全屏模式下退出当前应用再选择更换。</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22、整机全通道侧边栏支持自定义快捷菜单，支持windows应用固定，可将应用固定后，在侧边栏进行快捷打开。</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23、整机全通道侧边栏快捷菜单中可实时查看物联设备的连接情况，点击设备图标即可调出中控菜单进行管控。</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24、整机全通道侧边栏快捷菜单支持简洁模式和常规模式切换。</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★25、整机全通道侧边栏快捷菜单简洁模式，可进行打开批注、降半屏、主页的基础操作。</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六、整机系统设计</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（一）触摸系统</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★1、支持Windows 7、Windows 8、Windows 10、Windows11、Linux、Mac Os、UOS和麒麟系统外置电脑操作系统接入时，无需安装触摸驱动。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2、触摸分辨率32768×32768。</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3、书写触控延迟≤25ms</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4、整机触控书写功能集成预测算法，在书写速度≥50cm/s，支持笔迹距离笔的距离小于20mm。</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5、触摸响应≤4ms。</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6、触摸最小识别物≤3mm。</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7、整机屏幕触摸有效识别高度不超过3mm，即触摸物体距离玻璃外表面高度不超过3mm时，触摸屏识别为点击操作。</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8、整机支持提笔书写，在Windows系统下可实现无需点击任意功能入口，当检测到红外笔笔尖接触屏幕时，自动进入书写模式。</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9、整机支持手笔分离，通过提笔即写唤醒批注功能后，可进行手笔分离功能，使用笔正常书写，使用手指可以操作应用，进行点击操作。</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★10、整机触摸支持动态压力感应，支持无任何电子功能的普通书写笔在整机上书写或点压时，整机能感应压力变化，书写或点压过程笔迹呈现不同粗细。</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★11、支持同一支笔，笔头、笔尾书写不同的颜色，且颜色可自定义。（投标时须提供国家认可的第三方检测机构出具的关于该功能检测报告复印件）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★12、支持智能板擦功能，系统可根据触控物体的形状自动识别出实物板擦，可擦除电子白板中的内容，无需依赖外部电子设备。（投标时须提供国家认可的第三方检测机构出具的关于该功能检测报告复印件）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13、触摸屏具有防遮挡功能，触摸接收器在单点或多点遮挡后仍能正常书写。</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★14、采用红外触控技术，支持Windows系统中进行40点或以上触控，支持在Android系统中进行40点或以上触控。（投标时须提供国家认可的第三方检测机构出具的关于该功能检测报告复印件）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（二）安卓系统</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★1、嵌入式系统版本不低于Android 13，内存≥2GB，存储空间≥8GB。（投标时须提供国家认可的第三方检测机构出具的关于该功能检测报告复印件）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2、嵌入式Android操作系统下，白板支持对已经书写的笔迹和形状和颜色进行更换。</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3、在嵌入式系统下使用白板软件时，整机可自行调节屏幕亮度。</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嵌入式Android操作系统下，互动白板支持不同背景颜色，同时提供学科背景，如：五线谱、信纸、田字格、英文格、篮球和足球场地平面图。（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6、无PC状态下，嵌入式系统内置互动白板支持全局漫游，并能在工具栏中对全局内容进行预览和移动。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7、无PC状态下，嵌入式Android 操作系统下可使用白板书写、WPS 软件和网页浏览</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8、在嵌入式Android操作系统下，能对TV多媒体USB所读取到的文件进行自动归类，可分类查找文档、板书、图片、音视频，检索后可直接在界面中打开。</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七、教学桌面设计</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1、整机设备开机启动后，自动进入教学桌面，支持账号登录、退出，自动获取个人云端教学课件列表、并可进入全部课件列表。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2、整机设备支持多种身份识别方式，支持通过账号登录、手机扫码登录，并支持账号安全登录检测。</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3、整机设备支持统一互通的用户身份认证服务，账号登录后，打开教学白板软件教学应用工具时无需再次输入账号密码重复登录。</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整机设备教学桌面支持教学白板软件和文件管理软件；教学桌面首页支持自定义桌面应用，支持展示至少8个应用入口，并提供进入本机所有应用的入口。（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整机设备可将应用编辑到教学桌面首页，编辑方式支持从教学桌面首页进入编辑，支持在全部应用列表中进入编辑2种方式。教学桌面首页应用支持无需进入应用编辑页面，在首页指定应用上长按进行移除。（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整机设备教学桌面支持查看设备盘符，支持本地磁盘和外接U盘、移动硬盘，点击即可打开该磁盘查看磁盘文件。教学桌面支持显示存储空间状态，当存储空间即将满载时候进行红色标记明显提示。（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7、整机设备教学桌面支持推荐应用，推荐应用支持移除。</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8、整机设备教学桌面支持进行应用卸载。</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整机设备教学桌面的教师登录账号后，可自动获取并在桌面显示最近使用的教学课件，点击课件可直接进入授课模式；并支持查看所有个人教学课件资源。（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10、整机设备教学桌面支持进行壁纸编辑，内置10张以上壁纸，支持自定义壁纸。</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整机设备教学桌面支持U盘、移动硬盘外接存储设备直接在桌面显示，无需打开文件浏览器即可查看文件列表，并且支持文件打开。支持查看全部文件列表以及按照文档、图片、音视频分类方式查看文件列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12、整机设备教学桌面U盘文件查看窗口支持使用文件浏览器打开U盘。</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13、整机设备教学桌面支持进行通道切换，当设备有其他输入源时，可在桌面点击信号源进行输入源切换。</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14、整机设备教学桌面支持进行锁屏操作。</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15、整机设备教学桌面支持进行重启、关机操作。</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八、整机硬件设计</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三合一电源按键，同一电源物理按键完成Android系统和Windows系统的开机、节能熄屏、关机操作；关机状态下按按键开机；开机状态下按按键实现节能熄屏/唤醒，长按按键实现关机。（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2、整机具备至少6个前置按键，可实现开关机、调出中控菜单、音量+/-、护眼、录屏操作。</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3、支持经典护眼模式，可通过前置面板物理功能按键一键启用经典护眼模式。</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4、设备支持通过前置面板物理按键一键启动录屏功能，可将屏幕中显示的课件、音频内容与人声同时录制。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5、前置 USB 接口具备防撞挡板设计，防撞挡板采用转轴式翻转。</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整机内置2.2声道扬声器，位于设备上边框，顶置朝前发声，前朝向10W高音扬声器2个，上朝向20W中低音扬声器2个，额定总功率60W。（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★8、整机可选择高级音效设置，支持在左右声道平衡显示范围中进行更改；中低频段显示调节范围125Hz～1KHz，高频段显示调节范围 2KHz～16KHz，分贝显示-12dB～12dB 调节范围。（投标时须提供国家认可的第三方检测机构出具的关于该功能检测报告复印件）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9、整机内置非独立外扩展的4阵列麦克风，可用于对教室环境音频进行采集，麦克风拾音距离≥12米。</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10、整机内置扬声器采用缝隙发声技术，喇叭采用槽式开口设计，不大于5.8mm</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11、整机扬声器在100%音量下，可做到1米处声压级≥88db，10米处声压级≥79dB</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12、内置摄像头、麦克风无需外接线材连接，无任何可见外接线材及模块化拼接痕迹，未占用整机设备端口。</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13、支持标准、听力、观影和AI空间感知音效模式，AI空间感知音效模式可通过内置麦克风采集教室物理环境声音，自动生成符合当前教室物理环境的频段、音量、音效。</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14、整机内置摄像头（非外扩），PC通道下支持通过视频展台软件调用摄像头进行二维码扫码识别。</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15、具备摄像头工作指示灯，摄像头运行时，有指示灯提示。</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★16、整机上边框内置非独立摄像头，采用一体化集成设计，可拍摄≥1300万像素数的照片，可拍摄输出4K分辨率的视频。</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17、整机摄像头对角线视场角≥120度</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18、整机内置非独立的高清摄像头，可用于远程巡课。</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19、整机摄像头支持人脸识别、清点人数、随机抽人；识别所有学生，显示标记，然后随机抽选，同时显示标记不少于60人。</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★20、整机支持通过人脸识别进行登录账号。（投标时须提供国家认可的第三方检测机构出具的关于该功能检测报告复印件）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★21、整机摄像头支持环境色温判断，根据环境调节合适的显示图像效果。（投标时须提供国家认可的第三方检测机构出具的关于该功能检测报告复印件）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九、教学备授课软件设计</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（一）白板教学PC端应用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★1、教学系统为全校教师提供可扩展，易于学校管理，安全可靠的云存储空间，根据每名教师使用时长与教学资料制作频率提供可扩展升级至不小于200G的个人云空间。</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3、互动教学课件支持定向精准分享：分享者可将互动课件、课件组精准推送至指定接收方账号云空间，接收方可在云空间接收并打开分享课件。</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6、支持软件联网自动静默升级，无需用户手动更新。</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7、课件背景：提供不少于8种以上背景模板供老师选择，持自定义背景。</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★10、智能配对游戏：支持创建配对游戏，教师可随意将知识点进行配对。当开始配对游戏时，拖动知识点进行配对，系统将自动判断是否正确。系统至少提供7种游戏模版，且模版样式支持自定义修改。</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11、分组竞争游戏：支持创建分组竞争游戏，教师可设置正确项／干扰项，让两组学生开展竞争游戏。系统提供不少于 3 种难度、10种游戏模版选择，且模版样式支持自定义修改。</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★12、数学公式编辑器：支持复杂数学公式输入，提供不少于 20 个数学符号及模板，输出的公式内容支持不同颜色标记及二次编辑。</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13、数学画板功能：</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a)能在白板中插入在线画板，授课时可以一键打开,方便老师配合课件内容进行讲解。</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b)提供不少于 500 个数学画板资源，覆盖小学、初中、高中学段数学学科主要知识点，并按照知识点分类，便于老师查找。</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d)老师创建个人画板，除了点、线、面等基础元素以外，画板还可提供线段中点、椭圆焦点、极坐标方程等数十种数学常用工具，保证老师日常备授课所需。创建完成后，老师可一键将画板插入白板，与课件无缝连接。</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15、表格：</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a)具有表格插入功能，并提供5种以上表格样式供老师选择。</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b)表格能自适应，可一键将表格的行、列调整到最合适的大小。</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c)具有表格遮罩功能，可对表格中任意一格添加遮罩，在授课模式下通过点击可消除遮罩，方便老师设置互动活动。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d)在授课模式下，支持表格克隆功能，可克隆出多个相同表格，</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方便老师请多位同学进行答题互动。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16、图表：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a)具有图表插入功能，并提供柱状图、扇形图、折线图 3 种图表形式，且每种形式提供不少于5种样式供选择。</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b)具有图表二维及三维展示形式任意切换，且三维图表支持旋转，方便多角度展示数据变化。</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c)具有图表添加超链接，可连接至课件其他页面、网页、软件自带小工具等地方。</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d)在授课模式下，支持图表克隆功能，可克隆出多个相同图表，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方便老师进行对比观察。</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★17、古诗词资源：</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a)提供覆盖多学段的古诗词、古文资源，包含原文、翻译、背景介绍、作者介绍、朗诵音频等。</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b)支持用户根据年级、朝代、诗人等进行分类查找，也可直接搜索诗词、古文名称或作者名查找。</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c)提供不少于9种古诗词专用背景模板，老师可贴合古诗词意境选择合适背景进行教学。</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d)每篇古诗词、古文均提供原文及翻译、背景介绍、作者介绍等，同时支持一键跳转打开网页，展示对应的背景或作者介绍。</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e)支持老师备课时对原文进行注释、标重点等操作，方便老师讲解重点字词。</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f)提供原文朗读功能，全部诗词、古文均配备专业朗读配音，且支持老师在备课时对朗读音频进行打点操作，上课时可播放提前选择好的片段。</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★19、美术画板：具有美术画板工具，提供铅笔、毛笔、油画笔，可实现模拟调色盘功能，老师可自由选择不同颜色进行混合调色，搭配出任意色彩。</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20、美术工具：具备图形自由创作工具，教师可自由绘制复杂的任意多边图形及曲边图形；教师自主创作的图形可存储至个人云空间便于后续使用。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（二）白板软件移动端应用</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1、课件预览保留课件对象拖拽移动、克隆复制、置顶、删除等互动功能，并可通过移动端进行思维导图、课堂互动游戏的触控交互操作，并支持显示课件备注内容。</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2、可在移动平台选择是否接收获取的分享课件，接收后课件储存至个人云空间，可在移动平台的互动课件列表预览。</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3、移动平台可对云空间互动课件和课件组移动、删除和重命名，课件及课件组支持批量移动、删除。</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4、移动平台可将课件通过微信、朋友圈、云空间帐号、二维码、公开链接、加密链接等方式进行分享，分享有效期支持自定义。</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★5、移动平台可查看教师个人云空间里所有互动课件列表，并可打开互动课件进行预览，预览时支持上下翻页、页面缩略图预览、页面跳转。</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6、移动平台可以上传手机相册中的照片和视频到资料夹，且能调用系统相机拍摄照片并直接上传。教师可以在备课端选择资源插入课件。</w:t>
            </w:r>
          </w:p>
          <w:p>
            <w:pPr>
              <w:pStyle w:val="9"/>
              <w:jc w:val="left"/>
              <w:rPr>
                <w:rFonts w:hint="eastAsia" w:ascii="宋体" w:hAnsi="宋体" w:eastAsia="宋体" w:cs="宋体"/>
                <w:color w:val="000000"/>
                <w:kern w:val="0"/>
                <w:sz w:val="22"/>
                <w:szCs w:val="22"/>
                <w:lang w:val="en-US" w:eastAsia="zh-CN"/>
              </w:rPr>
            </w:pP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其他要求</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1、为确保货物质量及原厂品质，中标供应商在正式供货时必须提供生产厂家针对此项目的售后服务保证原件、供货证明原件，否则采购方将不予验收通过。</w:t>
            </w:r>
          </w:p>
          <w:p>
            <w:pPr>
              <w:pStyle w:val="9"/>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66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台</w:t>
            </w:r>
          </w:p>
        </w:tc>
        <w:tc>
          <w:tcPr>
            <w:tcW w:w="66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114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25500.00</w:t>
            </w:r>
          </w:p>
        </w:tc>
        <w:tc>
          <w:tcPr>
            <w:tcW w:w="133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25" w:type="dxa"/>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744" w:type="dxa"/>
            <w:tcBorders>
              <w:tl2br w:val="nil"/>
              <w:tr2bl w:val="nil"/>
            </w:tcBorders>
            <w:noWrap/>
            <w:vAlign w:val="center"/>
          </w:tcPr>
          <w:p>
            <w:pPr>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视频展台</w:t>
            </w:r>
          </w:p>
        </w:tc>
        <w:tc>
          <w:tcPr>
            <w:tcW w:w="816" w:type="dxa"/>
            <w:tcBorders>
              <w:tl2br w:val="nil"/>
              <w:tr2bl w:val="nil"/>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希沃SC06</w:t>
            </w:r>
          </w:p>
        </w:tc>
        <w:tc>
          <w:tcPr>
            <w:tcW w:w="3960" w:type="dxa"/>
            <w:tcBorders>
              <w:tl2br w:val="nil"/>
              <w:tr2bl w:val="nil"/>
            </w:tcBorders>
            <w:noWrap/>
            <w:vAlign w:val="center"/>
          </w:tcPr>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1、采用≥800万像素摄像头；采用 USB五伏电源直接供电，无需额外配置电源适配器，环保无辐射；箱内USB连线采用隐藏式设计，箱内无可见连线且USB口下出，有效防止积尘，且方便布线和返修。</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2、A4大小拍摄幅面，1080P动态视频预览达到30帧/秒；托板及挂墙部分采用金属加强，托板可承重3kg，整机壁挂式安装。</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3、支持展台成像画面实时批注，预设多种笔划粗细及颜色供选择，且支持对展台成像画面联同批注内容进行同步缩放、移动。</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4、展示托板正上方具备LED补光灯，保证展示区域的亮度及展示效果，补光灯开关采用触摸按键设计，同时可通过交互智能平板中的软件直接控制开关；带自动对焦摄像头。</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5、具有故障自动检测功能：在调用展台却无法出现镜头采集画面信号时，可自动出现检测链接，并给出导致性原因（如硬件连接、摄像头占用、配套软件版本等问题）。</w:t>
            </w:r>
          </w:p>
        </w:tc>
        <w:tc>
          <w:tcPr>
            <w:tcW w:w="660" w:type="dxa"/>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个</w:t>
            </w:r>
          </w:p>
        </w:tc>
        <w:tc>
          <w:tcPr>
            <w:tcW w:w="66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3</w:t>
            </w:r>
          </w:p>
        </w:tc>
        <w:tc>
          <w:tcPr>
            <w:tcW w:w="114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750.00</w:t>
            </w:r>
          </w:p>
        </w:tc>
        <w:tc>
          <w:tcPr>
            <w:tcW w:w="133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2250.00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4" w:hRule="atLeast"/>
        </w:trPr>
        <w:tc>
          <w:tcPr>
            <w:tcW w:w="625" w:type="dxa"/>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744"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多媒体音响</w:t>
            </w:r>
          </w:p>
        </w:tc>
        <w:tc>
          <w:tcPr>
            <w:tcW w:w="816" w:type="dxa"/>
            <w:tcBorders>
              <w:tl2br w:val="nil"/>
              <w:tr2bl w:val="nil"/>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希沃SS33B</w:t>
            </w:r>
          </w:p>
        </w:tc>
        <w:tc>
          <w:tcPr>
            <w:tcW w:w="3960" w:type="dxa"/>
            <w:tcBorders>
              <w:tl2br w:val="nil"/>
              <w:tr2bl w:val="nil"/>
            </w:tcBorders>
            <w:noWrap/>
            <w:vAlign w:val="center"/>
          </w:tcPr>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采用功放与有源音箱一体化设计，内置麦克风无线接收模块，帮助教师实现多媒体扩音以及本地扩声功能。</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输出额定功率≥ 2x15W。</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音箱灵敏度≥85dB，1W/1M。</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信噪比≥80dB@额定功率、A计权。</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全频喇叭单元尺寸≥5英寸。</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THD+N≤1%。</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声频响110Hz-16kHz。</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距离音箱10米处声压级≥75dB。</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具备≥1路电源开关、1路LINE IN、1路USB 接口。USB接口可外接U盘设备对音箱固件进行升级。</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支持无线麦克风扩音接收，采用Wi-Fi射频2.4GHz与 5GHz双频段传输，有效避免环境中运营商U段（700MHz）的信号干扰。</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采用红外对码方式，避免连接到其他教室音箱。可快速完成与教学扩声麦克风对码，无需繁琐操作。</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配置独立音频数字信号处理芯片，支持啸叫抑制功能。</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支持蓝牙无线接收，可分享移动设备上的音频。支持密码模式，防止学生连接。</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支持安卓手机通过蓝牙无线连接音箱，实现控制有源音箱的音量、设置蓝牙名称、设置蓝牙密码等功能，方便教师对音箱的管控。</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15.</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主音箱与副音箱采用有线连接，音箱采用木质材质，保证声音还原度。</w:t>
            </w:r>
          </w:p>
          <w:p>
            <w:pPr>
              <w:widowControl/>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w:t>
            </w:r>
            <w:r>
              <w:rPr>
                <w:rFonts w:hint="eastAsia" w:ascii="宋体" w:hAnsi="宋体" w:eastAsia="宋体" w:cs="宋体"/>
                <w:kern w:val="2"/>
                <w:sz w:val="22"/>
                <w:szCs w:val="22"/>
                <w:lang w:val="en-US" w:eastAsia="zh-CN" w:bidi="ar-SA"/>
              </w:rPr>
              <w:tab/>
            </w:r>
            <w:r>
              <w:rPr>
                <w:rFonts w:hint="eastAsia" w:ascii="宋体" w:hAnsi="宋体" w:eastAsia="宋体" w:cs="宋体"/>
                <w:kern w:val="2"/>
                <w:sz w:val="22"/>
                <w:szCs w:val="22"/>
                <w:lang w:val="en-US" w:eastAsia="zh-CN" w:bidi="ar-SA"/>
              </w:rPr>
              <w:t>为确保与教室白色墙面一致，音箱采取白色外观设计，更加美观。</w:t>
            </w:r>
          </w:p>
        </w:tc>
        <w:tc>
          <w:tcPr>
            <w:tcW w:w="660" w:type="dxa"/>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个</w:t>
            </w:r>
          </w:p>
        </w:tc>
        <w:tc>
          <w:tcPr>
            <w:tcW w:w="66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3</w:t>
            </w:r>
          </w:p>
        </w:tc>
        <w:tc>
          <w:tcPr>
            <w:tcW w:w="114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700.00</w:t>
            </w:r>
          </w:p>
        </w:tc>
        <w:tc>
          <w:tcPr>
            <w:tcW w:w="133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2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744" w:type="dxa"/>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麦克风</w:t>
            </w:r>
          </w:p>
        </w:tc>
        <w:tc>
          <w:tcPr>
            <w:tcW w:w="816" w:type="dxa"/>
            <w:tcBorders>
              <w:tl2br w:val="nil"/>
              <w:tr2bl w:val="nil"/>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希沃MC33</w:t>
            </w:r>
          </w:p>
        </w:tc>
        <w:tc>
          <w:tcPr>
            <w:tcW w:w="3960" w:type="dxa"/>
            <w:tcBorders>
              <w:tl2br w:val="nil"/>
              <w:tr2bl w:val="nil"/>
            </w:tcBorders>
            <w:noWrap/>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1.无线麦克风集音频发射处理器、天线、电池、拾音麦克风于一体，配合一体化有源音箱，无需任何外接辅助设备即可实现本地扩声功能。</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▲2.采样率≥48KHz，16bit；扩音增益≥15dB；声频响150Hz-16kHz，声信噪比≥60dB；配合一体化有源音箱，扩音延时≤35ms。</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▲3.用Wi-Fi射频频段传输，有效避免环境中运营商U段（700MHz）信号干扰。</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▲4.支持2.4GHz与5GHz双频段工作，信道数量≥26个。</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5.电续航时间≥7小时，满电状态可满足一天内10节课（45分钟/一节课）的高频授课，充电10分钟满足一节课（45分钟/一节课）授课时间。</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6.采用红外对码方式连接，避免连接到其他教室音箱。可在5S内快速完成与教学扩声音箱对码，无需繁琐操作。</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7.支持两个无线麦克风同时配对一套一体化有源音箱使用，实现两个麦克风混音输出进行扩音。具备3.5mm外置麦克风接口，可搭配其他麦克风进行使用，比如头戴式、挂耳式的外置麦克风。</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8.空旷无干扰的环境，无线传输有效距离≥15 米。</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9.外壳防火等级≥V1。9.为保证兼容性及稳定性，无线麦克风需与一体化有源音箱为同一品牌厂家。</w:t>
            </w:r>
          </w:p>
        </w:tc>
        <w:tc>
          <w:tcPr>
            <w:tcW w:w="660" w:type="dxa"/>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个</w:t>
            </w:r>
          </w:p>
        </w:tc>
        <w:tc>
          <w:tcPr>
            <w:tcW w:w="66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114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350.00</w:t>
            </w:r>
          </w:p>
        </w:tc>
        <w:tc>
          <w:tcPr>
            <w:tcW w:w="133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1050.00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2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tc>
        <w:tc>
          <w:tcPr>
            <w:tcW w:w="744" w:type="dxa"/>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智能笔</w:t>
            </w:r>
          </w:p>
        </w:tc>
        <w:tc>
          <w:tcPr>
            <w:tcW w:w="816" w:type="dxa"/>
            <w:tcBorders>
              <w:tl2br w:val="nil"/>
              <w:tr2bl w:val="nil"/>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希沃SP30</w:t>
            </w:r>
          </w:p>
        </w:tc>
        <w:tc>
          <w:tcPr>
            <w:tcW w:w="3960" w:type="dxa"/>
            <w:tcBorders>
              <w:tl2br w:val="nil"/>
              <w:tr2bl w:val="nil"/>
            </w:tcBorders>
            <w:noWrap/>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1、采用笔型设计，具有三个遥控按键（上下翻页和功能键），既可用于触摸书写，也可用于远程操控。</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2、采用2.4G无线连接技术，无线接收距离最大可达15米。</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3、无线接收器采用微型nano设计，并能收纳在笔上，整洁美观。</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4、使用单节7号电池驱动，并带自动休眠节电设计。</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5、单接收器设计，android、windows双系统同时响应。只需安装一个接收器，双系统都能响应智能笔的操作指令。</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6、支持白板课件、PPT、PDF等多种格式的课件进行远程无线翻页。</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7、功能按键可通过长按/短按实现两种快捷功能，方便教师操作。</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8、支持自定义按键功能，可选功能包括：一键启动任意通道批注、一键启动/退出PPT播放、一键启动PPT批注、一键启动任意通道冻结与放大屏幕内容。</w:t>
            </w:r>
          </w:p>
        </w:tc>
        <w:tc>
          <w:tcPr>
            <w:tcW w:w="66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支</w:t>
            </w:r>
          </w:p>
        </w:tc>
        <w:tc>
          <w:tcPr>
            <w:tcW w:w="66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114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150.00</w:t>
            </w:r>
          </w:p>
        </w:tc>
        <w:tc>
          <w:tcPr>
            <w:tcW w:w="133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2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w:t>
            </w:r>
          </w:p>
        </w:tc>
        <w:tc>
          <w:tcPr>
            <w:tcW w:w="744" w:type="dxa"/>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推拉黑板</w:t>
            </w:r>
          </w:p>
        </w:tc>
        <w:tc>
          <w:tcPr>
            <w:tcW w:w="816" w:type="dxa"/>
            <w:tcBorders>
              <w:tl2br w:val="nil"/>
              <w:tr2bl w:val="nil"/>
            </w:tcBorders>
            <w:noWrap/>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蓝贝斯特ZY100-29</w:t>
            </w:r>
          </w:p>
        </w:tc>
        <w:tc>
          <w:tcPr>
            <w:tcW w:w="3960" w:type="dxa"/>
            <w:tcBorders>
              <w:tl2br w:val="nil"/>
              <w:tr2bl w:val="nil"/>
            </w:tcBorders>
            <w:noWrap/>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2、基本尺寸：≥4000mm×1305mm，可根据所配电子产品适当调整，确保与一体机的有效配套。</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3、书写板面：环保教学专用彩色涂层钢板，绿板，厚度≥0.3mm，硬度≥4H，板面可吸附磁针、磁片，书写面光滑、平整，颜色均匀，坚固耐用</w:t>
            </w:r>
            <w:r>
              <w:rPr>
                <w:rFonts w:ascii="宋体" w:hAnsi="宋体" w:eastAsia="宋体" w:cs="宋体"/>
                <w:sz w:val="24"/>
                <w:szCs w:val="24"/>
              </w:rPr>
              <w:t>书写板面：采用优质</w:t>
            </w:r>
            <w:r>
              <w:rPr>
                <w:rFonts w:hint="eastAsia" w:ascii="宋体" w:hAnsi="宋体" w:eastAsia="宋体" w:cs="宋体"/>
                <w:sz w:val="24"/>
                <w:szCs w:val="24"/>
                <w:lang w:val="en-US" w:eastAsia="zh-CN"/>
              </w:rPr>
              <w:t>烤漆</w:t>
            </w:r>
            <w:bookmarkStart w:id="0" w:name="_GoBack"/>
            <w:bookmarkEnd w:id="0"/>
            <w:r>
              <w:rPr>
                <w:rFonts w:ascii="宋体" w:hAnsi="宋体" w:eastAsia="宋体" w:cs="宋体"/>
                <w:sz w:val="24"/>
                <w:szCs w:val="24"/>
              </w:rPr>
              <w:t>，墨绿色、亚</w:t>
            </w:r>
            <w:r>
              <w:rPr>
                <w:rFonts w:hint="eastAsia" w:ascii="宋体" w:hAnsi="宋体" w:eastAsia="宋体" w:cs="宋体"/>
                <w:color w:val="000000"/>
                <w:kern w:val="0"/>
                <w:sz w:val="22"/>
                <w:szCs w:val="22"/>
                <w:lang w:val="en-US" w:eastAsia="zh-CN"/>
              </w:rPr>
              <w:t>、哑光，投影可视效果佳，有效地保护了师生的视力健康。</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4、内芯材料：高强度、吸音、聚苯乙烯泡沫板，采用国际适用工艺，书写无吱咔声，改善书写手感。</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5、背板：采用优质防锈热镀锌钢板，厚度≥0.25mm，流水线一次成型，间隔80mm压有20mm凹槽加强筋,确保均布承压不低于635N，凹槽造型美观、增加强度，更加耐用。</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6、覆板：采用环保型双组份聚氨酯胶水，自动化流水线覆板作业，牵引、滴胶、刷胶、压固、切割下料一次完成，确保粘接牢固板面平整，甲醛释放量≤0.3mg/L，符合GB/T 28231-2011《书写板安全卫生要求》。</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边框：采用工业用高强度铝合金型材，电泳香槟色，模具挤压一次成型，上框规格57mm×100mm，左右框规格29mm×100mm。轨道上置隐藏式平滑轮滑道，结构性解决滑轮受灰尘影响的情况，配有宽度≥30mm的板托，板托与滑动系统分离，与边框一次模具成形，可放置书写笔，方便实用。</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8、包角材料：采用抗老化高强度ABS工程塑料注塑成型。规格：100mm×29mm×29mm，采用双壁成腔流线型设计，≥R25mm的圆角，正面带黑板品牌LOGO标识，无尖角毛刺，符合JY0001-2003《教学仪器设备产品一般质量要求》。</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tc>
        <w:tc>
          <w:tcPr>
            <w:tcW w:w="660" w:type="dxa"/>
            <w:tcBorders>
              <w:tl2br w:val="nil"/>
              <w:tr2bl w:val="nil"/>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个</w:t>
            </w:r>
          </w:p>
        </w:tc>
        <w:tc>
          <w:tcPr>
            <w:tcW w:w="66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114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1200.00</w:t>
            </w:r>
          </w:p>
        </w:tc>
        <w:tc>
          <w:tcPr>
            <w:tcW w:w="133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2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w:t>
            </w:r>
          </w:p>
        </w:tc>
        <w:tc>
          <w:tcPr>
            <w:tcW w:w="744" w:type="dxa"/>
            <w:tcBorders>
              <w:tl2br w:val="nil"/>
              <w:tr2bl w:val="nil"/>
            </w:tcBorders>
            <w:noWrap/>
            <w:vAlign w:val="center"/>
          </w:tcPr>
          <w:p>
            <w:pPr>
              <w:widowControl/>
              <w:jc w:val="both"/>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讲台桌椅</w:t>
            </w:r>
          </w:p>
        </w:tc>
        <w:tc>
          <w:tcPr>
            <w:tcW w:w="816" w:type="dxa"/>
            <w:tcBorders>
              <w:tl2br w:val="nil"/>
              <w:tr2bl w:val="nil"/>
            </w:tcBorders>
            <w:noWrap/>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希沃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TSD01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木质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讲台</w:t>
            </w:r>
          </w:p>
          <w:p>
            <w:pPr>
              <w:widowControl/>
              <w:jc w:val="left"/>
              <w:rPr>
                <w:rFonts w:hint="eastAsia" w:ascii="宋体" w:hAnsi="宋体" w:eastAsia="宋体" w:cs="宋体"/>
                <w:color w:val="000000"/>
                <w:kern w:val="0"/>
                <w:sz w:val="22"/>
                <w:szCs w:val="22"/>
                <w:lang w:val="en-US" w:eastAsia="zh-CN"/>
              </w:rPr>
            </w:pPr>
          </w:p>
        </w:tc>
        <w:tc>
          <w:tcPr>
            <w:tcW w:w="3960" w:type="dxa"/>
            <w:tcBorders>
              <w:tl2br w:val="nil"/>
              <w:tr2bl w:val="nil"/>
            </w:tcBorders>
            <w:noWrap/>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1.智能讲台结构：木结构部分均采用 E0 级木质板材结构，甲醛释放</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量≤0.05mg/m³，桌面防静电。</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2.智能讲台底座尺寸及外观：（长×宽×高）≥ 1100×550×1030 ±</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5mm，讲台三面环抱式设计，根据人体力学设计，讲台桌面高度合适</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老师放置教学用品，讲台产品外观桌面平整，悬浮式设计，边缘光</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滑，无棱角处理，保护师生安全。</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3.智能讲台底座提供大容量收纳空间，可供老师放置无线麦克风、</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粉笔、键盘、鼠标、作业试卷等，时刻保持讲台桌面干净整洁。</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4.智能讲台底座自带 4 只脚杯，脚杯支持地钉锁定，可确保讲台安</w:t>
            </w:r>
          </w:p>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装更稳固、牢靠，避免师生椅靠、挪动等行为造成人身伤害。</w:t>
            </w:r>
          </w:p>
        </w:tc>
        <w:tc>
          <w:tcPr>
            <w:tcW w:w="66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套</w:t>
            </w:r>
          </w:p>
        </w:tc>
        <w:tc>
          <w:tcPr>
            <w:tcW w:w="66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1140"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1350.00</w:t>
            </w:r>
          </w:p>
        </w:tc>
        <w:tc>
          <w:tcPr>
            <w:tcW w:w="133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4050.00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05" w:type="dxa"/>
            <w:gridSpan w:val="7"/>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合计（元）</w:t>
            </w:r>
          </w:p>
        </w:tc>
        <w:tc>
          <w:tcPr>
            <w:tcW w:w="1335" w:type="dxa"/>
            <w:tcBorders>
              <w:tl2br w:val="nil"/>
              <w:tr2bl w:val="nil"/>
            </w:tcBorders>
            <w:noWrap/>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940" w:type="dxa"/>
            <w:gridSpan w:val="8"/>
            <w:tcBorders>
              <w:tl2br w:val="nil"/>
              <w:tr2bl w:val="nil"/>
            </w:tcBorders>
            <w:noWrap/>
            <w:vAlign w:val="center"/>
          </w:tcPr>
          <w:p>
            <w:pPr>
              <w:widowControl/>
              <w:jc w:val="both"/>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940" w:type="dxa"/>
            <w:gridSpan w:val="8"/>
            <w:tcBorders>
              <w:tl2br w:val="nil"/>
              <w:tr2bl w:val="nil"/>
            </w:tcBorders>
            <w:noWrap/>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一、合同签订期：自中标通知书发出之日起 3 个工作日内。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二、交货期：自合同签订之日起 5 个工作日内交货并安装完毕。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三、交货地点：学校指定教室。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四、交货方式：现场交货；本项目采购需求中标记★符号的，必须满足或优于，否则，作无效处理；为了确保货物质量，正式供货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时中标单位必须提供检测报告原件，并且加盖厂家公章，否则不予验收通过。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五、售后服务要求：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▲1、投标人提供的硬件设备及软件的技术参数、配置和性能指标必须为真实有效，签订合同前须出具生产制造厂商的供货确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认函、售后服务承诺函（加盖生产厂商单位公章），并在正式交货前提供一套设备进行预安装，如有提供虚假材料谋取中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标的，按政府采购相关法规处罚，并追究其相应的法律责任；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▲2、为确保产品真实有效性，正式供货时，投标人须提供交互一体机在规格要求及功能描述中要求的检测报告复印件，并加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盖生产厂商单位公章，原件备查。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▲3、质量保证期 1 年（自交货并验收合格之日起计）；4、故障响应时间：中标供应商应接到故障通知后在 24 小时内到采购人指定现场，按国家及行业标准对故障进行及时处理；在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 小时内不能解决的，供应商须在一个工作日内提供与原设备技术参数要求相同或高于原设备技术参数要求的备用产品，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以保证采购人的正常工作；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5、免费送货上门、安装、调试，免费培训使用人员和维护人员，培训内容主要为：设备的软硬件安装、维护；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6、在质量保证期内设备非因人为及不可抗拒因素的原因而引起损坏或质量问题，中标供应商应免费予以技术服务、维修或设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备更换，并承担相应费用和零部件的费用，因人为因素出现的故障不在免费保修范围内，中标供应商也要积极帮助采购人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修理，并提供优惠价格的配件和服务；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7、每半年至少进行一次定期回访以及对设备保养。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六、投标报价为采购人指定地点的现场交货价，包括：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1、货物及标准附件、备品备件、专用工具的价格；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2、运输、装卸、调试、培训、技术支持、售后服务等费用；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3、必要的保险费用和各项税费；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4、包括安装费用；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5、到现场验收的费用。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七、付款方式：财政性资金按财政国库集中支付规定程序办理；货物验收合格正常使用后 10 个工作日支付合同总金额的 100%一次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性付清。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八、备品备件及耗材等要求：中标供应商应按中标价或优于市场价提供相关配件和服务。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九、验收条件及标准：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1、常温 0℃－35℃，符合合同要求及国家相关标准；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2、参数配置符合标书要求，无任何变动；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3、中标供应商提供所招标采购的货物、配套设备、所属装置等有关技术资料作为验收的参考依据。</w:t>
            </w:r>
          </w:p>
          <w:p>
            <w:pPr>
              <w:widowControl/>
              <w:jc w:val="both"/>
              <w:rPr>
                <w:rFonts w:hint="eastAsia" w:ascii="宋体" w:hAnsi="宋体" w:eastAsia="宋体" w:cs="宋体"/>
                <w:color w:val="000000"/>
                <w:kern w:val="0"/>
                <w:sz w:val="22"/>
                <w:szCs w:val="22"/>
                <w:lang w:val="en-US" w:eastAsia="zh-CN" w:bidi="ar-SA"/>
              </w:rPr>
            </w:pPr>
          </w:p>
        </w:tc>
      </w:tr>
    </w:tbl>
    <w:p/>
    <w:sectPr>
      <w:footerReference r:id="rId3" w:type="default"/>
      <w:pgSz w:w="11906" w:h="16838"/>
      <w:pgMar w:top="680" w:right="1417" w:bottom="68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MTEzZDlmZDQyOGM3NWM0MzQyMzU3YjdjNDc1NDcifQ=="/>
  </w:docVars>
  <w:rsids>
    <w:rsidRoot w:val="5F140499"/>
    <w:rsid w:val="000779C8"/>
    <w:rsid w:val="000D19B6"/>
    <w:rsid w:val="000E4B0B"/>
    <w:rsid w:val="001B28EC"/>
    <w:rsid w:val="001F7D56"/>
    <w:rsid w:val="00250BDF"/>
    <w:rsid w:val="00250EC2"/>
    <w:rsid w:val="00263247"/>
    <w:rsid w:val="002907DB"/>
    <w:rsid w:val="002D3064"/>
    <w:rsid w:val="0031770C"/>
    <w:rsid w:val="004A5FBC"/>
    <w:rsid w:val="004B3FD6"/>
    <w:rsid w:val="004C26F5"/>
    <w:rsid w:val="004F11D2"/>
    <w:rsid w:val="00510AAF"/>
    <w:rsid w:val="00644898"/>
    <w:rsid w:val="00703614"/>
    <w:rsid w:val="007A4AF3"/>
    <w:rsid w:val="008B3A33"/>
    <w:rsid w:val="00974462"/>
    <w:rsid w:val="0099085E"/>
    <w:rsid w:val="00AC40B6"/>
    <w:rsid w:val="00B6444A"/>
    <w:rsid w:val="00BA1FF2"/>
    <w:rsid w:val="00C0001C"/>
    <w:rsid w:val="00D21F58"/>
    <w:rsid w:val="00D46BC1"/>
    <w:rsid w:val="00FA78F4"/>
    <w:rsid w:val="011B6DDE"/>
    <w:rsid w:val="021215CA"/>
    <w:rsid w:val="021A26C0"/>
    <w:rsid w:val="031C2D78"/>
    <w:rsid w:val="032618DF"/>
    <w:rsid w:val="044C38A7"/>
    <w:rsid w:val="04B738AA"/>
    <w:rsid w:val="05FE4192"/>
    <w:rsid w:val="06A84C01"/>
    <w:rsid w:val="07061550"/>
    <w:rsid w:val="07117EF5"/>
    <w:rsid w:val="073A5ED2"/>
    <w:rsid w:val="08D11BD5"/>
    <w:rsid w:val="08FD6983"/>
    <w:rsid w:val="09750C0F"/>
    <w:rsid w:val="0A627190"/>
    <w:rsid w:val="0C2A6F9D"/>
    <w:rsid w:val="0C7922AF"/>
    <w:rsid w:val="0CCB2A36"/>
    <w:rsid w:val="0F2C7FC2"/>
    <w:rsid w:val="0FB85A26"/>
    <w:rsid w:val="10474A09"/>
    <w:rsid w:val="1063317E"/>
    <w:rsid w:val="10637A13"/>
    <w:rsid w:val="11301FEB"/>
    <w:rsid w:val="1296471E"/>
    <w:rsid w:val="13423A30"/>
    <w:rsid w:val="13E1581F"/>
    <w:rsid w:val="148C2E46"/>
    <w:rsid w:val="155E4C4D"/>
    <w:rsid w:val="159A192F"/>
    <w:rsid w:val="16284E21"/>
    <w:rsid w:val="16D1582C"/>
    <w:rsid w:val="17487963"/>
    <w:rsid w:val="1A8C400A"/>
    <w:rsid w:val="1B3C77DE"/>
    <w:rsid w:val="1C316C17"/>
    <w:rsid w:val="1E527583"/>
    <w:rsid w:val="1F115EED"/>
    <w:rsid w:val="1F815A29"/>
    <w:rsid w:val="1FA87D97"/>
    <w:rsid w:val="22356D36"/>
    <w:rsid w:val="225278CE"/>
    <w:rsid w:val="22AD4B1E"/>
    <w:rsid w:val="23613668"/>
    <w:rsid w:val="236E2629"/>
    <w:rsid w:val="25E1345C"/>
    <w:rsid w:val="25E20F82"/>
    <w:rsid w:val="26753BA5"/>
    <w:rsid w:val="26F01432"/>
    <w:rsid w:val="27F87006"/>
    <w:rsid w:val="281500D2"/>
    <w:rsid w:val="2B2F07C6"/>
    <w:rsid w:val="2C974875"/>
    <w:rsid w:val="2CDF446E"/>
    <w:rsid w:val="2CFB12A7"/>
    <w:rsid w:val="2DF53F49"/>
    <w:rsid w:val="2E935510"/>
    <w:rsid w:val="2EAD65D1"/>
    <w:rsid w:val="2EDE49DD"/>
    <w:rsid w:val="2EE30245"/>
    <w:rsid w:val="2F3B1E2F"/>
    <w:rsid w:val="2F5F6B85"/>
    <w:rsid w:val="2FEC6226"/>
    <w:rsid w:val="316136A3"/>
    <w:rsid w:val="319E48F7"/>
    <w:rsid w:val="34727975"/>
    <w:rsid w:val="37D14DE3"/>
    <w:rsid w:val="38397128"/>
    <w:rsid w:val="385201EA"/>
    <w:rsid w:val="38AF1F94"/>
    <w:rsid w:val="397A17A6"/>
    <w:rsid w:val="39BC1DBE"/>
    <w:rsid w:val="3A306505"/>
    <w:rsid w:val="3AFC3315"/>
    <w:rsid w:val="3B81506E"/>
    <w:rsid w:val="3C2A1D38"/>
    <w:rsid w:val="3E970704"/>
    <w:rsid w:val="3F281A52"/>
    <w:rsid w:val="3F485EA2"/>
    <w:rsid w:val="3F5465F5"/>
    <w:rsid w:val="40BE0476"/>
    <w:rsid w:val="410B0A10"/>
    <w:rsid w:val="42666D6B"/>
    <w:rsid w:val="435C3CCA"/>
    <w:rsid w:val="441E33B1"/>
    <w:rsid w:val="442E4D6C"/>
    <w:rsid w:val="45252F0E"/>
    <w:rsid w:val="45397BE0"/>
    <w:rsid w:val="4613720A"/>
    <w:rsid w:val="475F7047"/>
    <w:rsid w:val="48FB58DC"/>
    <w:rsid w:val="4AE07264"/>
    <w:rsid w:val="4C2A0F8C"/>
    <w:rsid w:val="4CF95D36"/>
    <w:rsid w:val="4E3046D1"/>
    <w:rsid w:val="4E93653F"/>
    <w:rsid w:val="4EF474AD"/>
    <w:rsid w:val="50BF6710"/>
    <w:rsid w:val="51053BF3"/>
    <w:rsid w:val="54F735C4"/>
    <w:rsid w:val="55986DE4"/>
    <w:rsid w:val="562C1C22"/>
    <w:rsid w:val="564E7DEA"/>
    <w:rsid w:val="56BE18F8"/>
    <w:rsid w:val="5714353B"/>
    <w:rsid w:val="589C308F"/>
    <w:rsid w:val="5AE92129"/>
    <w:rsid w:val="5B501F0F"/>
    <w:rsid w:val="5C8C788F"/>
    <w:rsid w:val="5D890A3E"/>
    <w:rsid w:val="5DCC3B80"/>
    <w:rsid w:val="5DDC5CDC"/>
    <w:rsid w:val="5E2E2B05"/>
    <w:rsid w:val="5E5242EF"/>
    <w:rsid w:val="5F140499"/>
    <w:rsid w:val="5FDF7D9B"/>
    <w:rsid w:val="5FF60522"/>
    <w:rsid w:val="603B4F3C"/>
    <w:rsid w:val="60874025"/>
    <w:rsid w:val="61C614B6"/>
    <w:rsid w:val="62375BD7"/>
    <w:rsid w:val="638D09F2"/>
    <w:rsid w:val="63BB1FFB"/>
    <w:rsid w:val="641B57B0"/>
    <w:rsid w:val="64300B2F"/>
    <w:rsid w:val="649E018F"/>
    <w:rsid w:val="65876E75"/>
    <w:rsid w:val="65EC4F91"/>
    <w:rsid w:val="66AD7E74"/>
    <w:rsid w:val="67165AE6"/>
    <w:rsid w:val="67AC671F"/>
    <w:rsid w:val="686833A8"/>
    <w:rsid w:val="69562DE6"/>
    <w:rsid w:val="6972414D"/>
    <w:rsid w:val="699B2EEF"/>
    <w:rsid w:val="6A4E7BDC"/>
    <w:rsid w:val="6C905D74"/>
    <w:rsid w:val="6CEB1A97"/>
    <w:rsid w:val="6D501E66"/>
    <w:rsid w:val="6E25722B"/>
    <w:rsid w:val="6E7A6A67"/>
    <w:rsid w:val="6EBA7973"/>
    <w:rsid w:val="6F163985"/>
    <w:rsid w:val="6F3A28DE"/>
    <w:rsid w:val="714479C8"/>
    <w:rsid w:val="716F112A"/>
    <w:rsid w:val="717F49FA"/>
    <w:rsid w:val="718C15C6"/>
    <w:rsid w:val="71F502A5"/>
    <w:rsid w:val="743003C9"/>
    <w:rsid w:val="747E5A92"/>
    <w:rsid w:val="74AE21F6"/>
    <w:rsid w:val="75EF084A"/>
    <w:rsid w:val="76BE7E12"/>
    <w:rsid w:val="78EF1D74"/>
    <w:rsid w:val="7C347E5B"/>
    <w:rsid w:val="7CE04A49"/>
    <w:rsid w:val="7DBD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99"/>
    <w:pPr>
      <w:keepNext/>
      <w:adjustRightInd w:val="0"/>
      <w:spacing w:line="312" w:lineRule="atLeast"/>
      <w:textAlignment w:val="baseline"/>
      <w:outlineLvl w:val="3"/>
    </w:pPr>
    <w:rPr>
      <w:b/>
      <w:kern w:val="0"/>
      <w:sz w:val="24"/>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99"/>
    <w:pPr>
      <w:spacing w:after="120"/>
    </w:p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qFormat/>
    <w:uiPriority w:val="99"/>
    <w:rPr>
      <w:rFonts w:ascii="宋体" w:hAnsi="Courier New"/>
      <w:szCs w:val="20"/>
    </w:rPr>
  </w:style>
  <w:style w:type="paragraph" w:styleId="8">
    <w:name w:val="Balloon Text"/>
    <w:basedOn w:val="1"/>
    <w:link w:val="24"/>
    <w:qFormat/>
    <w:uiPriority w:val="0"/>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5"/>
    <w:next w:val="1"/>
    <w:unhideWhenUsed/>
    <w:qFormat/>
    <w:uiPriority w:val="99"/>
    <w:pPr>
      <w:ind w:firstLine="420" w:firstLineChars="100"/>
    </w:pPr>
  </w:style>
  <w:style w:type="paragraph" w:styleId="13">
    <w:name w:val="Body Text First Indent 2"/>
    <w:basedOn w:val="6"/>
    <w:qFormat/>
    <w:uiPriority w:val="0"/>
    <w:pPr>
      <w:spacing w:after="120" w:line="240" w:lineRule="auto"/>
      <w:ind w:left="420" w:leftChars="200" w:firstLine="420" w:firstLineChars="200"/>
    </w:pPr>
    <w:rPr>
      <w:szCs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页眉 字符"/>
    <w:basedOn w:val="16"/>
    <w:link w:val="10"/>
    <w:qFormat/>
    <w:uiPriority w:val="0"/>
    <w:rPr>
      <w:rFonts w:ascii="等线" w:hAnsi="等线" w:eastAsia="等线" w:cs="等线"/>
      <w:kern w:val="2"/>
      <w:sz w:val="18"/>
      <w:szCs w:val="18"/>
    </w:rPr>
  </w:style>
  <w:style w:type="character" w:customStyle="1" w:styleId="21">
    <w:name w:val="页脚 字符"/>
    <w:basedOn w:val="16"/>
    <w:link w:val="9"/>
    <w:qFormat/>
    <w:uiPriority w:val="0"/>
    <w:rPr>
      <w:rFonts w:ascii="等线" w:hAnsi="等线" w:eastAsia="等线" w:cs="等线"/>
      <w:kern w:val="2"/>
      <w:sz w:val="18"/>
      <w:szCs w:val="18"/>
    </w:rPr>
  </w:style>
  <w:style w:type="paragraph" w:customStyle="1" w:styleId="22">
    <w:name w:val="Default"/>
    <w:unhideWhenUsed/>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character" w:customStyle="1" w:styleId="23">
    <w:name w:val="font11"/>
    <w:basedOn w:val="16"/>
    <w:qFormat/>
    <w:uiPriority w:val="0"/>
    <w:rPr>
      <w:rFonts w:hint="eastAsia" w:ascii="宋体" w:hAnsi="宋体" w:eastAsia="宋体" w:cs="宋体"/>
      <w:color w:val="000000"/>
      <w:sz w:val="24"/>
      <w:szCs w:val="24"/>
      <w:u w:val="none"/>
    </w:rPr>
  </w:style>
  <w:style w:type="character" w:customStyle="1" w:styleId="24">
    <w:name w:val="批注框文本 字符"/>
    <w:basedOn w:val="16"/>
    <w:link w:val="8"/>
    <w:qFormat/>
    <w:uiPriority w:val="0"/>
    <w:rPr>
      <w:rFonts w:ascii="等线" w:hAnsi="等线" w:eastAsia="等线" w:cs="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12696</Words>
  <Characters>13678</Characters>
  <Lines>16</Lines>
  <Paragraphs>4</Paragraphs>
  <TotalTime>13</TotalTime>
  <ScaleCrop>false</ScaleCrop>
  <LinksUpToDate>false</LinksUpToDate>
  <CharactersWithSpaces>13839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2021-12-29T00:54:00Z</dcterms:created>
  <dc:creator>李克元</dc:creator>
  <cp:lastModifiedBy>Administrator</cp:lastModifiedBy>
  <cp:lastPrinted>2024-05-06T08:43:00Z</cp:lastPrinted>
  <dcterms:modified xsi:type="dcterms:W3CDTF">2025-07-11T02:38:11Z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D2CF1CC7ACBB468E940C8A3A749A72E3_13</vt:lpwstr>
  </property>
  <property fmtid="{D5CDD505-2E9C-101B-9397-08002B2CF9AE}" pid="4" name="KSOTemplateDocerSaveRecord">
    <vt:lpwstr>eyJoZGlkIjoiMzc3MDJlNjc1MTRkNWEyODBiYjA1Y2JkZTBmODZhZDMiLCJ1c2VySWQiOiI1NjQ0Nzg0NDgifQ==</vt:lpwstr>
  </property>
</Properties>
</file>