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pPr w:leftFromText="180" w:rightFromText="180" w:vertAnchor="page" w:horzAnchor="page" w:tblpX="830" w:tblpY="1530"/>
        <w:tblOverlap w:val="never"/>
        <w:tblW w:w="104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457"/>
        <w:gridCol w:w="1176"/>
        <w:gridCol w:w="942"/>
        <w:gridCol w:w="5131"/>
        <w:gridCol w:w="457"/>
        <w:gridCol w:w="457"/>
        <w:gridCol w:w="939"/>
        <w:gridCol w:w="9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72" w:hRule="atLeast"/>
        </w:trPr>
        <w:tc>
          <w:tcPr>
            <w:tcW w:w="457" w:type="dxa"/>
            <w:vAlign w:val="center"/>
          </w:tcPr>
          <w:p>
            <w:pPr>
              <w:keepNext w:val="0"/>
              <w:keepLines w:val="0"/>
              <w:pageBreakBefore w:val="0"/>
              <w:kinsoku/>
              <w:wordWrap/>
              <w:overflowPunct/>
              <w:topLinePunct w:val="0"/>
              <w:autoSpaceDE/>
              <w:autoSpaceDN/>
              <w:bidi w:val="0"/>
              <w:adjustRightInd/>
              <w:snapToGrid/>
              <w:spacing w:line="324" w:lineRule="auto"/>
              <w:jc w:val="center"/>
              <w:rPr>
                <w:vertAlign w:val="baseline"/>
              </w:rPr>
            </w:pPr>
            <w:r>
              <w:rPr>
                <w:rFonts w:hint="eastAsia" w:ascii="宋体" w:hAnsi="宋体" w:eastAsia="宋体" w:cs="宋体"/>
                <w:b/>
                <w:bCs/>
                <w:color w:val="auto"/>
                <w:sz w:val="24"/>
                <w:szCs w:val="24"/>
                <w:highlight w:val="none"/>
                <w:lang w:val="en-US" w:eastAsia="zh-CN"/>
              </w:rPr>
              <w:t>序号</w:t>
            </w:r>
          </w:p>
        </w:tc>
        <w:tc>
          <w:tcPr>
            <w:tcW w:w="1176" w:type="dxa"/>
            <w:vAlign w:val="center"/>
          </w:tcPr>
          <w:p>
            <w:pPr>
              <w:keepNext w:val="0"/>
              <w:keepLines w:val="0"/>
              <w:pageBreakBefore w:val="0"/>
              <w:kinsoku/>
              <w:wordWrap/>
              <w:overflowPunct/>
              <w:topLinePunct w:val="0"/>
              <w:autoSpaceDE/>
              <w:autoSpaceDN/>
              <w:bidi w:val="0"/>
              <w:adjustRightInd/>
              <w:snapToGrid/>
              <w:spacing w:line="324" w:lineRule="auto"/>
              <w:jc w:val="center"/>
              <w:rPr>
                <w:vertAlign w:val="baseline"/>
              </w:rPr>
            </w:pPr>
            <w:r>
              <w:rPr>
                <w:rFonts w:hint="eastAsia" w:ascii="宋体" w:hAnsi="宋体" w:eastAsia="宋体" w:cs="宋体"/>
                <w:b/>
                <w:bCs/>
                <w:color w:val="auto"/>
                <w:sz w:val="24"/>
                <w:szCs w:val="24"/>
                <w:highlight w:val="none"/>
                <w:lang w:val="en-US" w:eastAsia="zh-CN"/>
              </w:rPr>
              <w:t>品牌型号</w:t>
            </w:r>
          </w:p>
        </w:tc>
        <w:tc>
          <w:tcPr>
            <w:tcW w:w="942" w:type="dxa"/>
            <w:vAlign w:val="center"/>
          </w:tcPr>
          <w:p>
            <w:pPr>
              <w:keepNext w:val="0"/>
              <w:keepLines w:val="0"/>
              <w:pageBreakBefore w:val="0"/>
              <w:kinsoku/>
              <w:wordWrap/>
              <w:overflowPunct/>
              <w:topLinePunct w:val="0"/>
              <w:autoSpaceDE/>
              <w:autoSpaceDN/>
              <w:bidi w:val="0"/>
              <w:adjustRightInd/>
              <w:snapToGrid/>
              <w:spacing w:line="324" w:lineRule="auto"/>
              <w:jc w:val="center"/>
              <w:rPr>
                <w:vertAlign w:val="baseline"/>
              </w:rPr>
            </w:pPr>
            <w:r>
              <w:rPr>
                <w:rFonts w:hint="eastAsia" w:ascii="宋体" w:hAnsi="宋体" w:eastAsia="宋体" w:cs="宋体"/>
                <w:b/>
                <w:bCs/>
                <w:color w:val="auto"/>
                <w:sz w:val="24"/>
                <w:szCs w:val="24"/>
                <w:highlight w:val="none"/>
                <w:lang w:val="en-US" w:eastAsia="zh-CN"/>
              </w:rPr>
              <w:t>产品名称</w:t>
            </w:r>
          </w:p>
        </w:tc>
        <w:tc>
          <w:tcPr>
            <w:tcW w:w="5131" w:type="dxa"/>
            <w:vAlign w:val="center"/>
          </w:tcPr>
          <w:p>
            <w:pPr>
              <w:keepNext w:val="0"/>
              <w:keepLines w:val="0"/>
              <w:pageBreakBefore w:val="0"/>
              <w:kinsoku/>
              <w:wordWrap/>
              <w:overflowPunct/>
              <w:topLinePunct w:val="0"/>
              <w:autoSpaceDE/>
              <w:autoSpaceDN/>
              <w:bidi w:val="0"/>
              <w:adjustRightInd/>
              <w:snapToGrid/>
              <w:spacing w:line="324" w:lineRule="auto"/>
              <w:jc w:val="center"/>
              <w:rPr>
                <w:vertAlign w:val="baseline"/>
              </w:rPr>
            </w:pPr>
            <w:r>
              <w:rPr>
                <w:rFonts w:hint="eastAsia" w:ascii="宋体" w:hAnsi="宋体" w:eastAsia="宋体" w:cs="宋体"/>
                <w:b/>
                <w:bCs/>
                <w:color w:val="auto"/>
                <w:sz w:val="24"/>
                <w:szCs w:val="24"/>
                <w:highlight w:val="none"/>
                <w:lang w:val="en-US" w:eastAsia="zh-CN"/>
              </w:rPr>
              <w:t>技术参数要求</w:t>
            </w:r>
          </w:p>
        </w:tc>
        <w:tc>
          <w:tcPr>
            <w:tcW w:w="457" w:type="dxa"/>
            <w:vAlign w:val="center"/>
          </w:tcPr>
          <w:p>
            <w:pPr>
              <w:spacing w:line="360" w:lineRule="auto"/>
              <w:jc w:val="center"/>
              <w:rPr>
                <w:vertAlign w:val="baseline"/>
              </w:rPr>
            </w:pPr>
            <w:r>
              <w:rPr>
                <w:rFonts w:hint="eastAsia" w:ascii="宋体" w:hAnsi="宋体" w:eastAsia="宋体" w:cs="宋体"/>
                <w:b/>
                <w:bCs/>
                <w:color w:val="auto"/>
                <w:sz w:val="24"/>
                <w:szCs w:val="24"/>
                <w:highlight w:val="none"/>
              </w:rPr>
              <w:t>单位</w:t>
            </w:r>
          </w:p>
        </w:tc>
        <w:tc>
          <w:tcPr>
            <w:tcW w:w="457" w:type="dxa"/>
            <w:vAlign w:val="center"/>
          </w:tcPr>
          <w:p>
            <w:pPr>
              <w:spacing w:line="360" w:lineRule="auto"/>
              <w:jc w:val="center"/>
              <w:rPr>
                <w:vertAlign w:val="baseline"/>
              </w:rPr>
            </w:pPr>
            <w:r>
              <w:rPr>
                <w:rFonts w:hint="eastAsia" w:ascii="宋体" w:hAnsi="宋体" w:eastAsia="宋体" w:cs="宋体"/>
                <w:b/>
                <w:bCs/>
                <w:i w:val="0"/>
                <w:iCs w:val="0"/>
                <w:color w:val="auto"/>
                <w:kern w:val="0"/>
                <w:sz w:val="24"/>
                <w:szCs w:val="24"/>
                <w:highlight w:val="none"/>
                <w:u w:val="none"/>
                <w:lang w:val="en-US" w:eastAsia="zh-CN" w:bidi="ar"/>
              </w:rPr>
              <w:t>数量</w:t>
            </w:r>
          </w:p>
        </w:tc>
        <w:tc>
          <w:tcPr>
            <w:tcW w:w="939" w:type="dxa"/>
            <w:vAlign w:val="center"/>
          </w:tcPr>
          <w:p>
            <w:pPr>
              <w:spacing w:line="360" w:lineRule="auto"/>
              <w:jc w:val="center"/>
              <w:rPr>
                <w:vertAlign w:val="baseline"/>
              </w:rPr>
            </w:pPr>
            <w:r>
              <w:rPr>
                <w:rFonts w:hint="eastAsia" w:ascii="宋体" w:hAnsi="宋体" w:cs="宋体"/>
                <w:b/>
                <w:bCs/>
                <w:i w:val="0"/>
                <w:iCs w:val="0"/>
                <w:color w:val="auto"/>
                <w:kern w:val="0"/>
                <w:sz w:val="24"/>
                <w:szCs w:val="24"/>
                <w:highlight w:val="none"/>
                <w:u w:val="none"/>
                <w:lang w:val="en-US" w:eastAsia="zh-CN" w:bidi="ar"/>
              </w:rPr>
              <w:t>单价</w:t>
            </w:r>
            <w:r>
              <w:rPr>
                <w:rFonts w:hint="eastAsia" w:ascii="宋体" w:hAnsi="宋体" w:eastAsia="宋体" w:cs="宋体"/>
                <w:b/>
                <w:bCs/>
                <w:i w:val="0"/>
                <w:iCs w:val="0"/>
                <w:color w:val="auto"/>
                <w:kern w:val="0"/>
                <w:sz w:val="24"/>
                <w:szCs w:val="24"/>
                <w:highlight w:val="none"/>
                <w:u w:val="none"/>
                <w:lang w:val="en-US" w:eastAsia="zh-CN" w:bidi="ar"/>
              </w:rPr>
              <w:t>（元）</w:t>
            </w:r>
          </w:p>
        </w:tc>
        <w:tc>
          <w:tcPr>
            <w:tcW w:w="939" w:type="dxa"/>
            <w:vAlign w:val="center"/>
          </w:tcPr>
          <w:p>
            <w:pPr>
              <w:spacing w:line="360" w:lineRule="auto"/>
              <w:jc w:val="center"/>
              <w:rPr>
                <w:vertAlign w:val="baseline"/>
              </w:rPr>
            </w:pPr>
            <w:r>
              <w:rPr>
                <w:rFonts w:hint="eastAsia" w:ascii="宋体" w:hAnsi="宋体" w:cs="宋体"/>
                <w:b/>
                <w:bCs/>
                <w:i w:val="0"/>
                <w:iCs w:val="0"/>
                <w:color w:val="auto"/>
                <w:kern w:val="0"/>
                <w:sz w:val="24"/>
                <w:szCs w:val="24"/>
                <w:highlight w:val="none"/>
                <w:u w:val="none"/>
                <w:lang w:val="en-US" w:eastAsia="zh-CN" w:bidi="ar"/>
              </w:rPr>
              <w:t>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1057" w:hRule="atLeast"/>
        </w:trPr>
        <w:tc>
          <w:tcPr>
            <w:tcW w:w="10498" w:type="dxa"/>
            <w:gridSpan w:val="8"/>
            <w:vAlign w:val="center"/>
          </w:tcPr>
          <w:p>
            <w:pPr>
              <w:jc w:val="left"/>
              <w:rPr>
                <w:vertAlign w:val="baseline"/>
              </w:rPr>
            </w:pPr>
            <w:r>
              <w:rPr>
                <w:rFonts w:hint="eastAsia" w:ascii="宋体" w:hAnsi="宋体" w:eastAsia="宋体" w:cs="宋体"/>
                <w:b/>
                <w:bCs/>
                <w:i w:val="0"/>
                <w:iCs w:val="0"/>
                <w:color w:val="auto"/>
                <w:kern w:val="0"/>
                <w:sz w:val="24"/>
                <w:szCs w:val="24"/>
                <w:highlight w:val="none"/>
                <w:u w:val="none"/>
                <w:lang w:val="en-US" w:eastAsia="zh-CN" w:bidi="ar"/>
              </w:rPr>
              <w:t>（一）图书馆智慧自助化系统设备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9386" w:hRule="atLeast"/>
        </w:trPr>
        <w:tc>
          <w:tcPr>
            <w:tcW w:w="457" w:type="dxa"/>
          </w:tcPr>
          <w:p>
            <w:pPr>
              <w:rPr>
                <w:rFonts w:hint="eastAsia" w:eastAsia="宋体"/>
                <w:vertAlign w:val="baseline"/>
                <w:lang w:val="en-US" w:eastAsia="zh-CN"/>
              </w:rPr>
            </w:pPr>
            <w:r>
              <w:rPr>
                <w:rFonts w:hint="eastAsia"/>
                <w:vertAlign w:val="baseline"/>
                <w:lang w:val="en-US" w:eastAsia="zh-CN"/>
              </w:rPr>
              <w:t>1</w:t>
            </w:r>
          </w:p>
        </w:tc>
        <w:tc>
          <w:tcPr>
            <w:tcW w:w="1176" w:type="dxa"/>
            <w:vAlign w:val="center"/>
          </w:tcPr>
          <w:p>
            <w:pPr>
              <w:keepNext w:val="0"/>
              <w:keepLines w:val="0"/>
              <w:pageBreakBefore w:val="0"/>
              <w:kinsoku/>
              <w:wordWrap/>
              <w:overflowPunct/>
              <w:topLinePunct w:val="0"/>
              <w:autoSpaceDE/>
              <w:autoSpaceDN/>
              <w:bidi w:val="0"/>
              <w:adjustRightInd/>
              <w:snapToGrid/>
              <w:spacing w:line="324" w:lineRule="auto"/>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联想</w:t>
            </w:r>
          </w:p>
          <w:p>
            <w:pPr>
              <w:keepNext w:val="0"/>
              <w:keepLines w:val="0"/>
              <w:pageBreakBefore w:val="0"/>
              <w:kinsoku/>
              <w:wordWrap/>
              <w:overflowPunct/>
              <w:topLinePunct w:val="0"/>
              <w:autoSpaceDE/>
              <w:autoSpaceDN/>
              <w:bidi w:val="0"/>
              <w:adjustRightInd/>
              <w:snapToGrid/>
              <w:spacing w:line="324" w:lineRule="auto"/>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Think System </w:t>
            </w:r>
          </w:p>
          <w:p>
            <w:pPr>
              <w:keepNext w:val="0"/>
              <w:keepLines w:val="0"/>
              <w:pageBreakBefore w:val="0"/>
              <w:kinsoku/>
              <w:wordWrap/>
              <w:overflowPunct/>
              <w:topLinePunct w:val="0"/>
              <w:autoSpaceDE/>
              <w:autoSpaceDN/>
              <w:bidi w:val="0"/>
              <w:adjustRightInd/>
              <w:snapToGrid/>
              <w:spacing w:line="324" w:lineRule="auto"/>
              <w:jc w:val="both"/>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lang w:val="en-US" w:eastAsia="zh-CN"/>
              </w:rPr>
              <w:t>SR588</w:t>
            </w:r>
          </w:p>
        </w:tc>
        <w:tc>
          <w:tcPr>
            <w:tcW w:w="942"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b w:val="0"/>
                <w:bCs w:val="0"/>
                <w:i w:val="0"/>
                <w:iCs w:val="0"/>
                <w:color w:val="auto"/>
                <w:kern w:val="2"/>
                <w:sz w:val="24"/>
                <w:szCs w:val="24"/>
                <w:highlight w:val="none"/>
                <w:u w:val="none"/>
                <w:lang w:val="en-US" w:eastAsia="zh-CN" w:bidi="ar-SA"/>
              </w:rPr>
            </w:pPr>
            <w:r>
              <w:rPr>
                <w:rFonts w:hint="eastAsia" w:ascii="宋体" w:hAnsi="宋体" w:eastAsia="宋体" w:cs="宋体"/>
                <w:i w:val="0"/>
                <w:iCs w:val="0"/>
                <w:color w:val="auto"/>
                <w:kern w:val="0"/>
                <w:sz w:val="24"/>
                <w:szCs w:val="24"/>
                <w:highlight w:val="none"/>
                <w:u w:val="none"/>
                <w:lang w:val="en-US" w:eastAsia="zh-CN" w:bidi="ar"/>
              </w:rPr>
              <w:t>机架式服务器</w:t>
            </w:r>
          </w:p>
        </w:tc>
        <w:tc>
          <w:tcPr>
            <w:tcW w:w="5131" w:type="dxa"/>
            <w:vAlign w:val="center"/>
          </w:tcPr>
          <w:p>
            <w:pPr>
              <w:keepNext w:val="0"/>
              <w:keepLines w:val="0"/>
              <w:pageBreakBefore w:val="0"/>
              <w:kinsoku/>
              <w:wordWrap/>
              <w:overflowPunct/>
              <w:topLinePunct w:val="0"/>
              <w:autoSpaceDE/>
              <w:autoSpaceDN/>
              <w:bidi w:val="0"/>
              <w:adjustRightInd/>
              <w:snapToGrid/>
              <w:spacing w:line="264" w:lineRule="auto"/>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2U机架式服务器</w:t>
            </w:r>
          </w:p>
          <w:p>
            <w:pPr>
              <w:keepNext w:val="0"/>
              <w:keepLines w:val="0"/>
              <w:pageBreakBefore w:val="0"/>
              <w:kinsoku/>
              <w:wordWrap/>
              <w:overflowPunct/>
              <w:topLinePunct w:val="0"/>
              <w:autoSpaceDE/>
              <w:autoSpaceDN/>
              <w:bidi w:val="0"/>
              <w:adjustRightInd/>
              <w:snapToGrid/>
              <w:spacing w:line="264" w:lineRule="auto"/>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 Bronze 3204 6C 85W 1.9GHz Pro</w:t>
            </w:r>
          </w:p>
          <w:p>
            <w:pPr>
              <w:keepNext w:val="0"/>
              <w:keepLines w:val="0"/>
              <w:pageBreakBefore w:val="0"/>
              <w:kinsoku/>
              <w:wordWrap/>
              <w:overflowPunct/>
              <w:topLinePunct w:val="0"/>
              <w:autoSpaceDE/>
              <w:autoSpaceDN/>
              <w:bidi w:val="0"/>
              <w:adjustRightInd/>
              <w:snapToGrid/>
              <w:spacing w:line="264" w:lineRule="auto"/>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cessor，最大可支持2颗CPU，1*32GB TruDDR4  MHz (1Rx4 1.2V) RDIMM，最大支持12个DDR4内存插槽，2* 2TB，最大支持8个3.5"硬盘背板插槽， 阵列卡，支持RAID0/1/10/5/50，2个集成1GbE RJ-45网口(LOM卡)1个管理网络端口，最大支持6个PCIe 3.0插槽， 1个550W白金级热插拔电源模块，最大支持2个，前置1个USB2.0(XClarity管理接口)，1个USB3.0接口，光通路诊断LED报警灯</w:t>
            </w:r>
          </w:p>
          <w:p>
            <w:pPr>
              <w:keepNext w:val="0"/>
              <w:keepLines w:val="0"/>
              <w:pageBreakBefore w:val="0"/>
              <w:kinsoku/>
              <w:wordWrap/>
              <w:overflowPunct/>
              <w:topLinePunct w:val="0"/>
              <w:autoSpaceDE/>
              <w:autoSpaceDN/>
              <w:bidi w:val="0"/>
              <w:adjustRightInd/>
              <w:snapToGrid/>
              <w:spacing w:line="264" w:lineRule="auto"/>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主板：intelC622</w:t>
            </w:r>
          </w:p>
          <w:p>
            <w:pPr>
              <w:keepNext w:val="0"/>
              <w:keepLines w:val="0"/>
              <w:pageBreakBefore w:val="0"/>
              <w:kinsoku/>
              <w:wordWrap/>
              <w:overflowPunct/>
              <w:topLinePunct w:val="0"/>
              <w:autoSpaceDE/>
              <w:autoSpaceDN/>
              <w:bidi w:val="0"/>
              <w:adjustRightInd/>
              <w:snapToGrid/>
              <w:spacing w:line="264" w:lineRule="auto"/>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CPU：配1*Bronze 3204 6C 85W 1.9GHz 最大可支持2颗CPU</w:t>
            </w:r>
          </w:p>
          <w:p>
            <w:pPr>
              <w:keepNext w:val="0"/>
              <w:keepLines w:val="0"/>
              <w:pageBreakBefore w:val="0"/>
              <w:kinsoku/>
              <w:wordWrap/>
              <w:overflowPunct/>
              <w:topLinePunct w:val="0"/>
              <w:autoSpaceDE/>
              <w:autoSpaceDN/>
              <w:bidi w:val="0"/>
              <w:adjustRightInd/>
              <w:snapToGrid/>
              <w:spacing w:line="264" w:lineRule="auto"/>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网卡：2个集成1GbE RJ-45网口(LOM卡)1个管理网络端口</w:t>
            </w:r>
          </w:p>
          <w:p>
            <w:pPr>
              <w:keepNext w:val="0"/>
              <w:keepLines w:val="0"/>
              <w:pageBreakBefore w:val="0"/>
              <w:kinsoku/>
              <w:wordWrap/>
              <w:overflowPunct/>
              <w:topLinePunct w:val="0"/>
              <w:autoSpaceDE/>
              <w:autoSpaceDN/>
              <w:bidi w:val="0"/>
              <w:adjustRightInd/>
              <w:snapToGrid/>
              <w:spacing w:line="264" w:lineRule="auto"/>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内存：配1*32GB TruDDR4 MHz 最大支持12个DDR4内存插槽</w:t>
            </w:r>
          </w:p>
          <w:p>
            <w:pPr>
              <w:keepNext w:val="0"/>
              <w:keepLines w:val="0"/>
              <w:pageBreakBefore w:val="0"/>
              <w:kinsoku/>
              <w:wordWrap/>
              <w:overflowPunct/>
              <w:topLinePunct w:val="0"/>
              <w:autoSpaceDE/>
              <w:autoSpaceDN/>
              <w:bidi w:val="0"/>
              <w:adjustRightInd/>
              <w:snapToGrid/>
              <w:spacing w:line="264" w:lineRule="auto"/>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硬盘：配2*3.5寸*2TB 7.2K SATA 本机可支持8个3.5英寸硬盘</w:t>
            </w:r>
          </w:p>
          <w:p>
            <w:pPr>
              <w:keepNext w:val="0"/>
              <w:keepLines w:val="0"/>
              <w:pageBreakBefore w:val="0"/>
              <w:kinsoku/>
              <w:wordWrap/>
              <w:overflowPunct/>
              <w:topLinePunct w:val="0"/>
              <w:autoSpaceDE/>
              <w:autoSpaceDN/>
              <w:bidi w:val="0"/>
              <w:adjustRightInd/>
              <w:snapToGrid/>
              <w:spacing w:line="264" w:lineRule="auto"/>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RAID卡：标配530-8I无缓存</w:t>
            </w:r>
          </w:p>
          <w:p>
            <w:pPr>
              <w:keepNext w:val="0"/>
              <w:keepLines w:val="0"/>
              <w:pageBreakBefore w:val="0"/>
              <w:kinsoku/>
              <w:wordWrap/>
              <w:overflowPunct/>
              <w:topLinePunct w:val="0"/>
              <w:autoSpaceDE/>
              <w:autoSpaceDN/>
              <w:bidi w:val="0"/>
              <w:adjustRightInd/>
              <w:snapToGrid/>
              <w:spacing w:line="264" w:lineRule="auto"/>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光驱：无内置光驱，可选配外置USB DVD光驱</w:t>
            </w:r>
          </w:p>
          <w:p>
            <w:pPr>
              <w:keepNext w:val="0"/>
              <w:keepLines w:val="0"/>
              <w:pageBreakBefore w:val="0"/>
              <w:kinsoku/>
              <w:wordWrap/>
              <w:overflowPunct/>
              <w:topLinePunct w:val="0"/>
              <w:autoSpaceDE/>
              <w:autoSpaceDN/>
              <w:bidi w:val="0"/>
              <w:adjustRightInd/>
              <w:snapToGrid/>
              <w:spacing w:line="264" w:lineRule="auto"/>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扩展位：多达6个PCIe 3.0扩展插糟</w:t>
            </w:r>
          </w:p>
          <w:p>
            <w:pPr>
              <w:keepNext w:val="0"/>
              <w:keepLines w:val="0"/>
              <w:pageBreakBefore w:val="0"/>
              <w:kinsoku/>
              <w:wordWrap/>
              <w:overflowPunct/>
              <w:topLinePunct w:val="0"/>
              <w:autoSpaceDE/>
              <w:autoSpaceDN/>
              <w:bidi w:val="0"/>
              <w:adjustRightInd/>
              <w:snapToGrid/>
              <w:spacing w:line="264" w:lineRule="auto"/>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电源：配550W单电源</w:t>
            </w:r>
          </w:p>
          <w:p>
            <w:pPr>
              <w:keepNext w:val="0"/>
              <w:keepLines w:val="0"/>
              <w:pageBreakBefore w:val="0"/>
              <w:widowControl/>
              <w:suppressLineNumbers w:val="0"/>
              <w:kinsoku/>
              <w:wordWrap/>
              <w:overflowPunct/>
              <w:topLinePunct w:val="0"/>
              <w:autoSpaceDE/>
              <w:autoSpaceDN/>
              <w:bidi w:val="0"/>
              <w:adjustRightInd/>
              <w:snapToGrid/>
              <w:spacing w:line="264" w:lineRule="auto"/>
              <w:jc w:val="both"/>
              <w:textAlignment w:val="auto"/>
              <w:rPr>
                <w:rFonts w:hint="eastAsia" w:ascii="宋体" w:hAnsi="宋体" w:eastAsia="宋体" w:cs="宋体"/>
                <w:b w:val="0"/>
                <w:bCs w:val="0"/>
                <w:i w:val="0"/>
                <w:iCs w:val="0"/>
                <w:color w:val="auto"/>
                <w:kern w:val="2"/>
                <w:sz w:val="24"/>
                <w:szCs w:val="24"/>
                <w:highlight w:val="none"/>
                <w:u w:val="none"/>
                <w:lang w:val="en-US" w:eastAsia="zh-CN" w:bidi="ar-SA"/>
              </w:rPr>
            </w:pPr>
            <w:r>
              <w:rPr>
                <w:rFonts w:hint="eastAsia" w:ascii="宋体" w:hAnsi="宋体" w:eastAsia="宋体" w:cs="宋体"/>
                <w:color w:val="auto"/>
                <w:sz w:val="24"/>
                <w:szCs w:val="24"/>
                <w:highlight w:val="none"/>
                <w:lang w:val="en-US" w:eastAsia="zh-CN"/>
              </w:rPr>
              <w:t>保修：全国3年硬件保修服务</w:t>
            </w:r>
          </w:p>
        </w:tc>
        <w:tc>
          <w:tcPr>
            <w:tcW w:w="457" w:type="dxa"/>
            <w:vAlign w:val="center"/>
          </w:tcPr>
          <w:p>
            <w:pPr>
              <w:jc w:val="center"/>
              <w:rPr>
                <w:rFonts w:hint="eastAsia" w:eastAsia="宋体"/>
                <w:vertAlign w:val="baseline"/>
                <w:lang w:val="en-US" w:eastAsia="zh-CN"/>
              </w:rPr>
            </w:pPr>
            <w:r>
              <w:rPr>
                <w:rFonts w:hint="eastAsia"/>
                <w:vertAlign w:val="baseline"/>
                <w:lang w:val="en-US" w:eastAsia="zh-CN"/>
              </w:rPr>
              <w:t>台</w:t>
            </w:r>
          </w:p>
        </w:tc>
        <w:tc>
          <w:tcPr>
            <w:tcW w:w="457" w:type="dxa"/>
            <w:vAlign w:val="center"/>
          </w:tcPr>
          <w:p>
            <w:pPr>
              <w:jc w:val="center"/>
              <w:rPr>
                <w:rFonts w:hint="eastAsia" w:eastAsia="宋体"/>
                <w:vertAlign w:val="baseline"/>
                <w:lang w:val="en-US" w:eastAsia="zh-CN"/>
              </w:rPr>
            </w:pPr>
            <w:r>
              <w:rPr>
                <w:rFonts w:hint="eastAsia"/>
                <w:vertAlign w:val="baseline"/>
                <w:lang w:val="en-US" w:eastAsia="zh-CN"/>
              </w:rPr>
              <w:t>1</w:t>
            </w:r>
          </w:p>
        </w:tc>
        <w:tc>
          <w:tcPr>
            <w:tcW w:w="939" w:type="dxa"/>
            <w:vAlign w:val="center"/>
          </w:tcPr>
          <w:p>
            <w:pPr>
              <w:jc w:val="center"/>
              <w:rPr>
                <w:vertAlign w:val="baseline"/>
              </w:rPr>
            </w:pPr>
            <w:r>
              <w:rPr>
                <w:rFonts w:hint="eastAsia" w:ascii="宋体" w:hAnsi="宋体" w:eastAsia="宋体" w:cs="宋体"/>
                <w:i w:val="0"/>
                <w:iCs w:val="0"/>
                <w:color w:val="auto"/>
                <w:kern w:val="0"/>
                <w:sz w:val="24"/>
                <w:szCs w:val="24"/>
                <w:highlight w:val="none"/>
                <w:u w:val="none"/>
                <w:lang w:val="en-US" w:eastAsia="zh-CN" w:bidi="ar"/>
              </w:rPr>
              <w:t>22000</w:t>
            </w:r>
          </w:p>
        </w:tc>
        <w:tc>
          <w:tcPr>
            <w:tcW w:w="939" w:type="dxa"/>
            <w:vAlign w:val="center"/>
          </w:tcPr>
          <w:p>
            <w:pPr>
              <w:jc w:val="center"/>
              <w:rPr>
                <w:vertAlign w:val="baseline"/>
              </w:rPr>
            </w:pPr>
            <w:r>
              <w:rPr>
                <w:rFonts w:hint="eastAsia" w:ascii="宋体" w:hAnsi="宋体" w:eastAsia="宋体" w:cs="宋体"/>
                <w:i w:val="0"/>
                <w:iCs w:val="0"/>
                <w:color w:val="auto"/>
                <w:kern w:val="0"/>
                <w:sz w:val="24"/>
                <w:szCs w:val="24"/>
                <w:highlight w:val="none"/>
                <w:u w:val="none"/>
                <w:lang w:val="en-US" w:eastAsia="zh-CN" w:bidi="ar"/>
              </w:rPr>
              <w:t>22000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1057" w:hRule="atLeast"/>
        </w:trPr>
        <w:tc>
          <w:tcPr>
            <w:tcW w:w="10498" w:type="dxa"/>
            <w:gridSpan w:val="8"/>
            <w:vAlign w:val="center"/>
          </w:tcPr>
          <w:p>
            <w:pPr>
              <w:jc w:val="left"/>
              <w:rPr>
                <w:b/>
                <w:bCs/>
                <w:sz w:val="24"/>
                <w:szCs w:val="24"/>
                <w:vertAlign w:val="baseline"/>
              </w:rPr>
            </w:pPr>
            <w:r>
              <w:rPr>
                <w:rFonts w:hint="eastAsia"/>
                <w:b/>
                <w:bCs/>
                <w:sz w:val="24"/>
                <w:szCs w:val="24"/>
              </w:rPr>
              <w:t>（二）图书馆短焦距激光投影仪设备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1057" w:hRule="atLeast"/>
        </w:trPr>
        <w:tc>
          <w:tcPr>
            <w:tcW w:w="457" w:type="dxa"/>
            <w:vAlign w:val="center"/>
          </w:tcPr>
          <w:p>
            <w:pPr>
              <w:jc w:val="center"/>
              <w:rPr>
                <w:rFonts w:hint="eastAsia" w:eastAsia="宋体"/>
                <w:vertAlign w:val="baseline"/>
                <w:lang w:val="en-US" w:eastAsia="zh-CN"/>
              </w:rPr>
            </w:pPr>
            <w:r>
              <w:rPr>
                <w:rFonts w:hint="eastAsia"/>
                <w:vertAlign w:val="baseline"/>
                <w:lang w:val="en-US" w:eastAsia="zh-CN"/>
              </w:rPr>
              <w:t>1</w:t>
            </w:r>
          </w:p>
        </w:tc>
        <w:tc>
          <w:tcPr>
            <w:tcW w:w="1176" w:type="dxa"/>
            <w:vAlign w:val="center"/>
          </w:tcPr>
          <w:p>
            <w:pPr>
              <w:jc w:val="center"/>
              <w:rPr>
                <w:vertAlign w:val="baseline"/>
              </w:rPr>
            </w:pPr>
            <w:r>
              <w:rPr>
                <w:rFonts w:hint="eastAsia" w:ascii="宋体" w:hAnsi="宋体" w:eastAsia="宋体" w:cs="宋体"/>
                <w:color w:val="auto"/>
                <w:sz w:val="24"/>
                <w:szCs w:val="32"/>
                <w:highlight w:val="none"/>
                <w:lang w:val="en-US" w:eastAsia="zh-CN"/>
              </w:rPr>
              <w:t>乐尔丽 RL-S43U</w:t>
            </w:r>
          </w:p>
        </w:tc>
        <w:tc>
          <w:tcPr>
            <w:tcW w:w="942" w:type="dxa"/>
            <w:vAlign w:val="center"/>
          </w:tcPr>
          <w:p>
            <w:pPr>
              <w:jc w:val="center"/>
              <w:rPr>
                <w:vertAlign w:val="baseline"/>
              </w:rPr>
            </w:pPr>
            <w:r>
              <w:rPr>
                <w:rFonts w:hint="eastAsia" w:ascii="宋体" w:hAnsi="宋体" w:eastAsia="宋体" w:cs="宋体"/>
                <w:i w:val="0"/>
                <w:iCs w:val="0"/>
                <w:color w:val="auto"/>
                <w:kern w:val="0"/>
                <w:sz w:val="24"/>
                <w:szCs w:val="24"/>
                <w:highlight w:val="none"/>
                <w:u w:val="none"/>
                <w:lang w:val="en-US" w:eastAsia="zh-CN" w:bidi="ar"/>
              </w:rPr>
              <w:t>液晶激光短焦全高清投影仪</w:t>
            </w:r>
          </w:p>
        </w:tc>
        <w:tc>
          <w:tcPr>
            <w:tcW w:w="5131" w:type="dxa"/>
            <w:vAlign w:val="center"/>
          </w:tcPr>
          <w:p>
            <w:pPr>
              <w:jc w:val="left"/>
              <w:rPr>
                <w:rFonts w:hint="eastAsia"/>
                <w:vertAlign w:val="baseline"/>
              </w:rPr>
            </w:pPr>
            <w:r>
              <w:rPr>
                <w:rFonts w:hint="eastAsia"/>
                <w:vertAlign w:val="baseline"/>
              </w:rPr>
              <w:t>■1、显示技术：采用0.6系列,液晶板3LCDx0.64；亮度：5000流明 ；对比度：1，500，000:1；分辨率：1920*1200对角线(16：10宽高比) ；均匀性：90%；光源类型：激光二极管</w:t>
            </w:r>
          </w:p>
          <w:p>
            <w:pPr>
              <w:jc w:val="left"/>
              <w:rPr>
                <w:rFonts w:hint="eastAsia"/>
                <w:vertAlign w:val="baseline"/>
              </w:rPr>
            </w:pPr>
            <w:r>
              <w:rPr>
                <w:rFonts w:hint="eastAsia"/>
                <w:vertAlign w:val="baseline"/>
              </w:rPr>
              <w:t>2、光源寿命：标准模式：20,000小时，节能模式：25000小时；</w:t>
            </w:r>
          </w:p>
          <w:p>
            <w:pPr>
              <w:jc w:val="left"/>
              <w:rPr>
                <w:rFonts w:hint="eastAsia"/>
                <w:vertAlign w:val="baseline"/>
              </w:rPr>
            </w:pPr>
            <w:r>
              <w:rPr>
                <w:rFonts w:hint="eastAsia"/>
                <w:vertAlign w:val="baseline"/>
              </w:rPr>
              <w:t>■3、镜头:F1.8，f=6.08；镜头投射比：0.43</w:t>
            </w:r>
          </w:p>
          <w:p>
            <w:pPr>
              <w:jc w:val="left"/>
              <w:rPr>
                <w:rFonts w:hint="eastAsia"/>
                <w:vertAlign w:val="baseline"/>
              </w:rPr>
            </w:pPr>
            <w:r>
              <w:rPr>
                <w:rFonts w:hint="eastAsia"/>
                <w:vertAlign w:val="baseline"/>
              </w:rPr>
              <w:t>4、数字梯形校正：垂直：±40º(自动+手动）  水平：±15º（手动）；</w:t>
            </w:r>
          </w:p>
          <w:p>
            <w:pPr>
              <w:jc w:val="left"/>
              <w:rPr>
                <w:rFonts w:hint="eastAsia"/>
                <w:vertAlign w:val="baseline"/>
              </w:rPr>
            </w:pPr>
            <w:r>
              <w:rPr>
                <w:rFonts w:hint="eastAsia"/>
                <w:vertAlign w:val="baseline"/>
              </w:rPr>
              <w:t>5、噪声水平NORMAL：37db，ECO：29db</w:t>
            </w:r>
          </w:p>
          <w:p>
            <w:pPr>
              <w:jc w:val="left"/>
              <w:rPr>
                <w:rFonts w:hint="eastAsia"/>
                <w:vertAlign w:val="baseline"/>
              </w:rPr>
            </w:pPr>
            <w:r>
              <w:rPr>
                <w:rFonts w:hint="eastAsia"/>
                <w:vertAlign w:val="baseline"/>
              </w:rPr>
              <w:t>6、重量：6.5KG；</w:t>
            </w:r>
          </w:p>
          <w:p>
            <w:pPr>
              <w:jc w:val="left"/>
              <w:rPr>
                <w:rFonts w:hint="eastAsia"/>
                <w:vertAlign w:val="baseline"/>
              </w:rPr>
            </w:pPr>
            <w:r>
              <w:rPr>
                <w:rFonts w:hint="eastAsia"/>
                <w:vertAlign w:val="baseline"/>
              </w:rPr>
              <w:t>7、整机功率：284W，待机功耗≤0.3W；</w:t>
            </w:r>
          </w:p>
          <w:p>
            <w:pPr>
              <w:jc w:val="left"/>
              <w:rPr>
                <w:rFonts w:hint="eastAsia"/>
                <w:vertAlign w:val="baseline"/>
              </w:rPr>
            </w:pPr>
            <w:r>
              <w:rPr>
                <w:rFonts w:hint="eastAsia"/>
                <w:vertAlign w:val="baseline"/>
              </w:rPr>
              <w:t>8、10W扬声器</w:t>
            </w:r>
          </w:p>
          <w:p>
            <w:pPr>
              <w:jc w:val="left"/>
              <w:rPr>
                <w:rFonts w:hint="eastAsia"/>
                <w:vertAlign w:val="baseline"/>
              </w:rPr>
            </w:pPr>
            <w:r>
              <w:rPr>
                <w:rFonts w:hint="eastAsia"/>
                <w:vertAlign w:val="baseline"/>
              </w:rPr>
              <w:t>■9、输入接口：VGA（D-sub 15pin）×1、Audio in：mini jack ×1（3.5mm）、HDMI×2，Video in ×1；输出接口: VGA（D-sub 15pin）×1、Audio out（Mini-jack ，3.5mm）×1；其他接口：RS232（D-sub 9pin）×1 ，RJ-45×1（LAN,Dispaiy and Control）、USB×2；</w:t>
            </w:r>
          </w:p>
          <w:p>
            <w:pPr>
              <w:jc w:val="left"/>
              <w:rPr>
                <w:rFonts w:hint="eastAsia"/>
                <w:vertAlign w:val="baseline"/>
              </w:rPr>
            </w:pPr>
            <w:r>
              <w:rPr>
                <w:rFonts w:hint="eastAsia"/>
                <w:vertAlign w:val="baseline"/>
              </w:rPr>
              <w:t>■10、双USB，支持USB多媒体播放，最大支持2.5A，灵活扩充其他模块功能；防尘等级，整机IP5X，激光单元IP6X；</w:t>
            </w:r>
          </w:p>
          <w:p>
            <w:pPr>
              <w:jc w:val="left"/>
              <w:rPr>
                <w:rFonts w:hint="eastAsia"/>
                <w:vertAlign w:val="baseline"/>
              </w:rPr>
            </w:pPr>
            <w:r>
              <w:rPr>
                <w:rFonts w:hint="eastAsia"/>
                <w:vertAlign w:val="baseline"/>
              </w:rPr>
              <w:t>11、具备垂直和水平梯形校正、四角校正功能；</w:t>
            </w:r>
          </w:p>
          <w:p>
            <w:pPr>
              <w:jc w:val="left"/>
              <w:rPr>
                <w:rFonts w:hint="eastAsia"/>
                <w:vertAlign w:val="baseline"/>
              </w:rPr>
            </w:pPr>
            <w:r>
              <w:rPr>
                <w:rFonts w:hint="eastAsia"/>
                <w:vertAlign w:val="baseline"/>
              </w:rPr>
              <w:t>12、支持水平、垂直360°旋转安装；</w:t>
            </w:r>
          </w:p>
          <w:p>
            <w:pPr>
              <w:jc w:val="left"/>
              <w:rPr>
                <w:rFonts w:hint="eastAsia"/>
                <w:vertAlign w:val="baseline"/>
              </w:rPr>
            </w:pPr>
            <w:r>
              <w:rPr>
                <w:rFonts w:hint="eastAsia"/>
                <w:vertAlign w:val="baseline"/>
              </w:rPr>
              <w:t>13、多种图像模式选择，支持DICOM模拟模式</w:t>
            </w:r>
          </w:p>
          <w:p>
            <w:pPr>
              <w:jc w:val="left"/>
              <w:rPr>
                <w:rFonts w:hint="eastAsia"/>
                <w:vertAlign w:val="baseline"/>
              </w:rPr>
            </w:pPr>
            <w:r>
              <w:rPr>
                <w:rFonts w:hint="eastAsia"/>
                <w:vertAlign w:val="baseline"/>
              </w:rPr>
              <w:t>14、支持Crestron、PJ-Link、AMX</w:t>
            </w:r>
          </w:p>
          <w:p>
            <w:pPr>
              <w:jc w:val="left"/>
              <w:rPr>
                <w:rFonts w:hint="eastAsia"/>
                <w:vertAlign w:val="baseline"/>
              </w:rPr>
            </w:pPr>
            <w:r>
              <w:rPr>
                <w:rFonts w:hint="eastAsia"/>
                <w:vertAlign w:val="baseline"/>
              </w:rPr>
              <w:t>15、快速开关机功能，断电保护功能；</w:t>
            </w:r>
          </w:p>
          <w:p>
            <w:pPr>
              <w:jc w:val="left"/>
              <w:rPr>
                <w:rFonts w:hint="eastAsia"/>
                <w:vertAlign w:val="baseline"/>
              </w:rPr>
            </w:pPr>
            <w:r>
              <w:rPr>
                <w:rFonts w:hint="eastAsia"/>
                <w:vertAlign w:val="baseline"/>
              </w:rPr>
              <w:t>16、内置测试图、具有黑板、绿板等多种配色板图像模式</w:t>
            </w:r>
          </w:p>
          <w:p>
            <w:pPr>
              <w:jc w:val="left"/>
              <w:rPr>
                <w:rFonts w:hint="eastAsia"/>
                <w:vertAlign w:val="baseline"/>
              </w:rPr>
            </w:pPr>
            <w:r>
              <w:rPr>
                <w:rFonts w:hint="eastAsia"/>
                <w:vertAlign w:val="baseline"/>
              </w:rPr>
              <w:t>17、可在温度0℃-45℃、湿度20%—80%（无冷凝）的环境中运行；</w:t>
            </w:r>
          </w:p>
          <w:p>
            <w:pPr>
              <w:jc w:val="left"/>
              <w:rPr>
                <w:vertAlign w:val="baseline"/>
              </w:rPr>
            </w:pPr>
            <w:r>
              <w:rPr>
                <w:rFonts w:hint="eastAsia"/>
                <w:vertAlign w:val="baseline"/>
              </w:rPr>
              <w:t>18、支持画面冻结，一键黑屏功能                                                                                                                                                                                 19、为保证产品质量与应标参数真实性，供应商在供货时提供厂商出具的整机三年保修，所销售产品如出现售后维修不及时和故障频繁的情况，投影机制造厂商承诺在半年内提供免费换机，同时提供售后服务承诺函原件、项目供货证明函原件、检测报告复印件加盖厂商公章。</w:t>
            </w:r>
          </w:p>
        </w:tc>
        <w:tc>
          <w:tcPr>
            <w:tcW w:w="457" w:type="dxa"/>
            <w:vAlign w:val="center"/>
          </w:tcPr>
          <w:p>
            <w:pPr>
              <w:jc w:val="center"/>
              <w:rPr>
                <w:rFonts w:hint="eastAsia" w:eastAsia="宋体"/>
                <w:vertAlign w:val="baseline"/>
                <w:lang w:val="en-US" w:eastAsia="zh-CN"/>
              </w:rPr>
            </w:pPr>
            <w:r>
              <w:rPr>
                <w:rFonts w:hint="eastAsia"/>
                <w:vertAlign w:val="baseline"/>
                <w:lang w:val="en-US" w:eastAsia="zh-CN"/>
              </w:rPr>
              <w:t>台</w:t>
            </w:r>
          </w:p>
        </w:tc>
        <w:tc>
          <w:tcPr>
            <w:tcW w:w="457" w:type="dxa"/>
            <w:vAlign w:val="center"/>
          </w:tcPr>
          <w:p>
            <w:pPr>
              <w:jc w:val="center"/>
              <w:rPr>
                <w:rFonts w:hint="eastAsia" w:eastAsia="宋体"/>
                <w:vertAlign w:val="baseline"/>
                <w:lang w:val="en-US" w:eastAsia="zh-CN"/>
              </w:rPr>
            </w:pPr>
            <w:r>
              <w:rPr>
                <w:rFonts w:hint="eastAsia"/>
                <w:vertAlign w:val="baseline"/>
                <w:lang w:val="en-US" w:eastAsia="zh-CN"/>
              </w:rPr>
              <w:t>1</w:t>
            </w:r>
          </w:p>
        </w:tc>
        <w:tc>
          <w:tcPr>
            <w:tcW w:w="939" w:type="dxa"/>
            <w:vAlign w:val="center"/>
          </w:tcPr>
          <w:p>
            <w:pPr>
              <w:jc w:val="center"/>
              <w:rPr>
                <w:vertAlign w:val="baseline"/>
              </w:rPr>
            </w:pPr>
            <w:r>
              <w:rPr>
                <w:rFonts w:hint="eastAsia" w:ascii="宋体" w:hAnsi="宋体" w:eastAsia="宋体" w:cs="宋体"/>
                <w:i w:val="0"/>
                <w:iCs w:val="0"/>
                <w:color w:val="auto"/>
                <w:kern w:val="0"/>
                <w:sz w:val="24"/>
                <w:szCs w:val="24"/>
                <w:highlight w:val="none"/>
                <w:u w:val="none"/>
                <w:lang w:val="en-US" w:eastAsia="zh-CN" w:bidi="ar"/>
              </w:rPr>
              <w:t>32000</w:t>
            </w:r>
          </w:p>
        </w:tc>
        <w:tc>
          <w:tcPr>
            <w:tcW w:w="939" w:type="dxa"/>
            <w:vAlign w:val="center"/>
          </w:tcPr>
          <w:p>
            <w:pPr>
              <w:jc w:val="center"/>
              <w:rPr>
                <w:vertAlign w:val="baseline"/>
              </w:rPr>
            </w:pPr>
            <w:r>
              <w:rPr>
                <w:rFonts w:hint="eastAsia" w:ascii="宋体" w:hAnsi="宋体" w:eastAsia="宋体" w:cs="宋体"/>
                <w:i w:val="0"/>
                <w:iCs w:val="0"/>
                <w:color w:val="auto"/>
                <w:kern w:val="0"/>
                <w:sz w:val="24"/>
                <w:szCs w:val="24"/>
                <w:highlight w:val="none"/>
                <w:u w:val="none"/>
                <w:lang w:val="en-US" w:eastAsia="zh-CN" w:bidi="ar"/>
              </w:rPr>
              <w:t>32000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1057" w:hRule="atLeast"/>
        </w:trPr>
        <w:tc>
          <w:tcPr>
            <w:tcW w:w="457" w:type="dxa"/>
            <w:vAlign w:val="center"/>
          </w:tcPr>
          <w:p>
            <w:pPr>
              <w:jc w:val="center"/>
              <w:rPr>
                <w:rFonts w:hint="eastAsia" w:eastAsia="宋体"/>
                <w:vertAlign w:val="baseline"/>
                <w:lang w:val="en-US" w:eastAsia="zh-CN"/>
              </w:rPr>
            </w:pPr>
            <w:r>
              <w:rPr>
                <w:rFonts w:hint="eastAsia"/>
                <w:vertAlign w:val="baseline"/>
                <w:lang w:val="en-US" w:eastAsia="zh-CN"/>
              </w:rPr>
              <w:t>2</w:t>
            </w:r>
          </w:p>
        </w:tc>
        <w:tc>
          <w:tcPr>
            <w:tcW w:w="1176" w:type="dxa"/>
            <w:vAlign w:val="center"/>
          </w:tcPr>
          <w:p>
            <w:pPr>
              <w:jc w:val="center"/>
              <w:rPr>
                <w:vertAlign w:val="baseline"/>
              </w:rPr>
            </w:pPr>
            <w:r>
              <w:rPr>
                <w:rFonts w:hint="eastAsia" w:ascii="宋体" w:hAnsi="宋体" w:eastAsia="宋体" w:cs="宋体"/>
                <w:color w:val="auto"/>
                <w:sz w:val="24"/>
                <w:szCs w:val="32"/>
                <w:highlight w:val="none"/>
                <w:lang w:val="en-US" w:eastAsia="zh-CN"/>
              </w:rPr>
              <w:t>美雪   MX-150GD</w:t>
            </w:r>
          </w:p>
        </w:tc>
        <w:tc>
          <w:tcPr>
            <w:tcW w:w="942" w:type="dxa"/>
            <w:vAlign w:val="center"/>
          </w:tcPr>
          <w:p>
            <w:pPr>
              <w:jc w:val="center"/>
              <w:rPr>
                <w:vertAlign w:val="baseline"/>
              </w:rPr>
            </w:pPr>
            <w:r>
              <w:rPr>
                <w:rFonts w:hint="eastAsia" w:ascii="宋体" w:hAnsi="宋体" w:eastAsia="宋体" w:cs="宋体"/>
                <w:i w:val="0"/>
                <w:iCs w:val="0"/>
                <w:color w:val="auto"/>
                <w:kern w:val="0"/>
                <w:sz w:val="24"/>
                <w:szCs w:val="24"/>
                <w:highlight w:val="none"/>
                <w:u w:val="none"/>
                <w:lang w:val="en-US" w:eastAsia="zh-CN" w:bidi="ar"/>
              </w:rPr>
              <w:t>150寸宽屏高清投影电动幕</w:t>
            </w:r>
          </w:p>
        </w:tc>
        <w:tc>
          <w:tcPr>
            <w:tcW w:w="5131"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1.高增益，宽视角，最大增益/视角平衡、增益可调(2.0-3.0)</w:t>
            </w:r>
          </w:p>
          <w:p>
            <w:pPr>
              <w:keepNext w:val="0"/>
              <w:keepLines w:val="0"/>
              <w:pageBreakBefore w:val="0"/>
              <w:widowControl/>
              <w:suppressLineNumbers w:val="0"/>
              <w:kinsoku/>
              <w:wordWrap/>
              <w:overflowPunct/>
              <w:topLinePunct w:val="0"/>
              <w:autoSpaceDE/>
              <w:autoSpaceDN/>
              <w:bidi w:val="0"/>
              <w:adjustRightInd/>
              <w:snapToGrid/>
              <w:spacing w:line="264"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2.高对比度，完整256灰阶 (白/灰)</w:t>
            </w:r>
          </w:p>
          <w:p>
            <w:pPr>
              <w:keepNext w:val="0"/>
              <w:keepLines w:val="0"/>
              <w:pageBreakBefore w:val="0"/>
              <w:widowControl/>
              <w:suppressLineNumbers w:val="0"/>
              <w:kinsoku/>
              <w:wordWrap/>
              <w:overflowPunct/>
              <w:topLinePunct w:val="0"/>
              <w:autoSpaceDE/>
              <w:autoSpaceDN/>
              <w:bidi w:val="0"/>
              <w:adjustRightInd/>
              <w:snapToGrid/>
              <w:spacing w:line="264"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3.色彩还原真实、艳丽，色温5000-6500K，色带更宽，色彩更饱和、纯正</w:t>
            </w:r>
          </w:p>
          <w:p>
            <w:pPr>
              <w:keepNext w:val="0"/>
              <w:keepLines w:val="0"/>
              <w:pageBreakBefore w:val="0"/>
              <w:widowControl/>
              <w:suppressLineNumbers w:val="0"/>
              <w:kinsoku/>
              <w:wordWrap/>
              <w:overflowPunct/>
              <w:topLinePunct w:val="0"/>
              <w:autoSpaceDE/>
              <w:autoSpaceDN/>
              <w:bidi w:val="0"/>
              <w:adjustRightInd/>
              <w:snapToGrid/>
              <w:spacing w:line="264"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4.RGB比例准确1:1:1</w:t>
            </w:r>
          </w:p>
          <w:p>
            <w:pPr>
              <w:keepNext w:val="0"/>
              <w:keepLines w:val="0"/>
              <w:pageBreakBefore w:val="0"/>
              <w:widowControl/>
              <w:suppressLineNumbers w:val="0"/>
              <w:kinsoku/>
              <w:wordWrap/>
              <w:overflowPunct/>
              <w:topLinePunct w:val="0"/>
              <w:autoSpaceDE/>
              <w:autoSpaceDN/>
              <w:bidi w:val="0"/>
              <w:adjustRightInd/>
              <w:snapToGrid/>
              <w:spacing w:line="264"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5.增益/视角比平衡3.0增益55度视角</w:t>
            </w:r>
          </w:p>
          <w:p>
            <w:pPr>
              <w:keepNext w:val="0"/>
              <w:keepLines w:val="0"/>
              <w:pageBreakBefore w:val="0"/>
              <w:widowControl/>
              <w:suppressLineNumbers w:val="0"/>
              <w:kinsoku/>
              <w:wordWrap/>
              <w:overflowPunct/>
              <w:topLinePunct w:val="0"/>
              <w:autoSpaceDE/>
              <w:autoSpaceDN/>
              <w:bidi w:val="0"/>
              <w:adjustRightInd/>
              <w:snapToGrid/>
              <w:spacing w:line="264"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6.无任何物理和化学拼接，整张板材。</w:t>
            </w:r>
          </w:p>
          <w:p>
            <w:pPr>
              <w:keepNext w:val="0"/>
              <w:keepLines w:val="0"/>
              <w:pageBreakBefore w:val="0"/>
              <w:widowControl/>
              <w:suppressLineNumbers w:val="0"/>
              <w:kinsoku/>
              <w:wordWrap/>
              <w:overflowPunct/>
              <w:topLinePunct w:val="0"/>
              <w:autoSpaceDE/>
              <w:autoSpaceDN/>
              <w:bidi w:val="0"/>
              <w:adjustRightInd/>
              <w:snapToGrid/>
              <w:spacing w:line="264"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7.幕面喷涂技术:数控喷涂</w:t>
            </w:r>
          </w:p>
          <w:p>
            <w:pPr>
              <w:keepNext w:val="0"/>
              <w:keepLines w:val="0"/>
              <w:pageBreakBefore w:val="0"/>
              <w:widowControl/>
              <w:suppressLineNumbers w:val="0"/>
              <w:kinsoku/>
              <w:wordWrap/>
              <w:overflowPunct/>
              <w:topLinePunct w:val="0"/>
              <w:autoSpaceDE/>
              <w:autoSpaceDN/>
              <w:bidi w:val="0"/>
              <w:adjustRightInd/>
              <w:snapToGrid/>
              <w:spacing w:line="264"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8.幕面喷涂均匀度:99%</w:t>
            </w:r>
          </w:p>
          <w:p>
            <w:pPr>
              <w:keepNext w:val="0"/>
              <w:keepLines w:val="0"/>
              <w:pageBreakBefore w:val="0"/>
              <w:widowControl/>
              <w:suppressLineNumbers w:val="0"/>
              <w:kinsoku/>
              <w:wordWrap/>
              <w:overflowPunct/>
              <w:topLinePunct w:val="0"/>
              <w:autoSpaceDE/>
              <w:autoSpaceDN/>
              <w:bidi w:val="0"/>
              <w:adjustRightInd/>
              <w:snapToGrid/>
              <w:spacing w:line="264"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9.核心材料:"还原-结晶体"</w:t>
            </w:r>
          </w:p>
          <w:p>
            <w:pPr>
              <w:keepNext w:val="0"/>
              <w:keepLines w:val="0"/>
              <w:pageBreakBefore w:val="0"/>
              <w:widowControl/>
              <w:suppressLineNumbers w:val="0"/>
              <w:kinsoku/>
              <w:wordWrap/>
              <w:overflowPunct/>
              <w:topLinePunct w:val="0"/>
              <w:autoSpaceDE/>
              <w:autoSpaceDN/>
              <w:bidi w:val="0"/>
              <w:adjustRightInd/>
              <w:snapToGrid/>
              <w:spacing w:line="264"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10.适应明亮环境 50-200LUX室内</w:t>
            </w:r>
          </w:p>
          <w:p>
            <w:pPr>
              <w:keepNext w:val="0"/>
              <w:keepLines w:val="0"/>
              <w:pageBreakBefore w:val="0"/>
              <w:widowControl/>
              <w:suppressLineNumbers w:val="0"/>
              <w:kinsoku/>
              <w:wordWrap/>
              <w:overflowPunct/>
              <w:topLinePunct w:val="0"/>
              <w:autoSpaceDE/>
              <w:autoSpaceDN/>
              <w:bidi w:val="0"/>
              <w:adjustRightInd/>
              <w:snapToGrid/>
              <w:spacing w:line="264"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11.材料制作工艺:PVC复合压制</w:t>
            </w:r>
          </w:p>
          <w:p>
            <w:pPr>
              <w:keepNext w:val="0"/>
              <w:keepLines w:val="0"/>
              <w:pageBreakBefore w:val="0"/>
              <w:widowControl/>
              <w:suppressLineNumbers w:val="0"/>
              <w:kinsoku/>
              <w:wordWrap/>
              <w:overflowPunct/>
              <w:topLinePunct w:val="0"/>
              <w:autoSpaceDE/>
              <w:autoSpaceDN/>
              <w:bidi w:val="0"/>
              <w:adjustRightInd/>
              <w:snapToGrid/>
              <w:spacing w:line="264" w:lineRule="auto"/>
              <w:jc w:val="left"/>
              <w:textAlignment w:val="center"/>
              <w:rPr>
                <w:rFonts w:hint="eastAsia" w:ascii="宋体" w:hAnsi="宋体" w:eastAsia="宋体" w:cs="宋体"/>
                <w:color w:val="auto"/>
                <w:kern w:val="2"/>
                <w:sz w:val="24"/>
                <w:szCs w:val="32"/>
                <w:highlight w:val="none"/>
                <w:lang w:val="en-US" w:eastAsia="zh-CN" w:bidi="ar-SA"/>
              </w:rPr>
            </w:pPr>
            <w:r>
              <w:rPr>
                <w:rFonts w:hint="eastAsia" w:ascii="宋体" w:hAnsi="宋体" w:eastAsia="宋体" w:cs="宋体"/>
                <w:i w:val="0"/>
                <w:iCs w:val="0"/>
                <w:color w:val="auto"/>
                <w:kern w:val="0"/>
                <w:sz w:val="24"/>
                <w:szCs w:val="24"/>
                <w:highlight w:val="none"/>
                <w:u w:val="none"/>
                <w:lang w:val="en-US" w:eastAsia="zh-CN" w:bidi="ar"/>
              </w:rPr>
              <w:t>12.涂层表面可多次清水冲洗。</w:t>
            </w:r>
          </w:p>
        </w:tc>
        <w:tc>
          <w:tcPr>
            <w:tcW w:w="457" w:type="dxa"/>
            <w:vAlign w:val="center"/>
          </w:tcPr>
          <w:p>
            <w:pPr>
              <w:jc w:val="center"/>
              <w:rPr>
                <w:vertAlign w:val="baseline"/>
              </w:rPr>
            </w:pPr>
            <w:r>
              <w:rPr>
                <w:rFonts w:hint="eastAsia"/>
                <w:vertAlign w:val="baseline"/>
                <w:lang w:val="en-US" w:eastAsia="zh-CN"/>
              </w:rPr>
              <w:t>台</w:t>
            </w:r>
          </w:p>
        </w:tc>
        <w:tc>
          <w:tcPr>
            <w:tcW w:w="457" w:type="dxa"/>
            <w:vAlign w:val="center"/>
          </w:tcPr>
          <w:p>
            <w:pPr>
              <w:jc w:val="center"/>
              <w:rPr>
                <w:vertAlign w:val="baseline"/>
              </w:rPr>
            </w:pPr>
            <w:r>
              <w:rPr>
                <w:rFonts w:hint="eastAsia"/>
                <w:vertAlign w:val="baseline"/>
                <w:lang w:val="en-US" w:eastAsia="zh-CN"/>
              </w:rPr>
              <w:t>1</w:t>
            </w:r>
          </w:p>
        </w:tc>
        <w:tc>
          <w:tcPr>
            <w:tcW w:w="939" w:type="dxa"/>
            <w:vAlign w:val="center"/>
          </w:tcPr>
          <w:p>
            <w:pPr>
              <w:jc w:val="center"/>
              <w:rPr>
                <w:rFonts w:hint="default"/>
                <w:vertAlign w:val="baseline"/>
                <w:lang w:val="en-US"/>
              </w:rPr>
            </w:pPr>
            <w:r>
              <w:rPr>
                <w:rFonts w:hint="eastAsia" w:ascii="宋体" w:hAnsi="宋体" w:cs="宋体"/>
                <w:i w:val="0"/>
                <w:iCs w:val="0"/>
                <w:color w:val="auto"/>
                <w:kern w:val="0"/>
                <w:sz w:val="24"/>
                <w:szCs w:val="24"/>
                <w:highlight w:val="none"/>
                <w:u w:val="none"/>
                <w:lang w:val="en-US" w:eastAsia="zh-CN" w:bidi="ar"/>
              </w:rPr>
              <w:t>4200</w:t>
            </w:r>
          </w:p>
        </w:tc>
        <w:tc>
          <w:tcPr>
            <w:tcW w:w="939" w:type="dxa"/>
            <w:vAlign w:val="center"/>
          </w:tcPr>
          <w:p>
            <w:pPr>
              <w:jc w:val="center"/>
              <w:rPr>
                <w:rFonts w:hint="default"/>
                <w:vertAlign w:val="baseline"/>
                <w:lang w:val="en-US"/>
              </w:rPr>
            </w:pPr>
            <w:r>
              <w:rPr>
                <w:rFonts w:hint="eastAsia" w:ascii="宋体" w:hAnsi="宋体" w:cs="宋体"/>
                <w:i w:val="0"/>
                <w:iCs w:val="0"/>
                <w:color w:val="auto"/>
                <w:kern w:val="0"/>
                <w:sz w:val="24"/>
                <w:szCs w:val="24"/>
                <w:highlight w:val="none"/>
                <w:u w:val="none"/>
                <w:lang w:val="en-US" w:eastAsia="zh-CN" w:bidi="ar"/>
              </w:rPr>
              <w:t>4200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1100" w:hRule="atLeast"/>
        </w:trPr>
        <w:tc>
          <w:tcPr>
            <w:tcW w:w="457" w:type="dxa"/>
          </w:tcPr>
          <w:p>
            <w:pPr>
              <w:rPr>
                <w:rFonts w:hint="eastAsia" w:eastAsia="宋体"/>
                <w:vertAlign w:val="baseline"/>
                <w:lang w:val="en-US" w:eastAsia="zh-CN"/>
              </w:rPr>
            </w:pPr>
            <w:r>
              <w:rPr>
                <w:rFonts w:hint="eastAsia"/>
                <w:vertAlign w:val="baseline"/>
                <w:lang w:val="en-US" w:eastAsia="zh-CN"/>
              </w:rPr>
              <w:t>3</w:t>
            </w:r>
          </w:p>
        </w:tc>
        <w:tc>
          <w:tcPr>
            <w:tcW w:w="1176" w:type="dxa"/>
            <w:vAlign w:val="center"/>
          </w:tcPr>
          <w:p>
            <w:pPr>
              <w:keepNext w:val="0"/>
              <w:keepLines w:val="0"/>
              <w:pageBreakBefore w:val="0"/>
              <w:kinsoku/>
              <w:wordWrap/>
              <w:overflowPunct/>
              <w:topLinePunct w:val="0"/>
              <w:autoSpaceDE/>
              <w:autoSpaceDN/>
              <w:bidi w:val="0"/>
              <w:adjustRightInd/>
              <w:snapToGrid/>
              <w:spacing w:line="264" w:lineRule="auto"/>
              <w:jc w:val="center"/>
              <w:rPr>
                <w:vertAlign w:val="baseline"/>
              </w:rPr>
            </w:pPr>
            <w:r>
              <w:rPr>
                <w:rFonts w:hint="eastAsia" w:ascii="宋体" w:hAnsi="宋体" w:eastAsia="宋体" w:cs="宋体"/>
                <w:color w:val="auto"/>
                <w:sz w:val="24"/>
                <w:szCs w:val="32"/>
                <w:highlight w:val="none"/>
                <w:lang w:val="en-US" w:eastAsia="zh-CN"/>
              </w:rPr>
              <w:t>天帝</w:t>
            </w:r>
          </w:p>
        </w:tc>
        <w:tc>
          <w:tcPr>
            <w:tcW w:w="942"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vertAlign w:val="baseline"/>
              </w:rPr>
            </w:pPr>
            <w:r>
              <w:rPr>
                <w:rFonts w:hint="eastAsia" w:ascii="宋体" w:hAnsi="宋体" w:eastAsia="宋体" w:cs="宋体"/>
                <w:i w:val="0"/>
                <w:iCs w:val="0"/>
                <w:color w:val="auto"/>
                <w:kern w:val="0"/>
                <w:sz w:val="24"/>
                <w:szCs w:val="24"/>
                <w:highlight w:val="none"/>
                <w:u w:val="none"/>
                <w:lang w:val="en-US" w:eastAsia="zh-CN" w:bidi="ar"/>
              </w:rPr>
              <w:t>短焦投影吊架</w:t>
            </w:r>
          </w:p>
        </w:tc>
        <w:tc>
          <w:tcPr>
            <w:tcW w:w="5131"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left"/>
              <w:textAlignment w:val="center"/>
              <w:rPr>
                <w:vertAlign w:val="baseline"/>
              </w:rPr>
            </w:pPr>
            <w:r>
              <w:rPr>
                <w:rFonts w:hint="eastAsia" w:ascii="宋体" w:hAnsi="宋体" w:eastAsia="宋体" w:cs="宋体"/>
                <w:i w:val="0"/>
                <w:iCs w:val="0"/>
                <w:color w:val="auto"/>
                <w:kern w:val="0"/>
                <w:sz w:val="24"/>
                <w:szCs w:val="24"/>
                <w:highlight w:val="none"/>
                <w:u w:val="none"/>
                <w:lang w:val="en-US" w:eastAsia="zh-CN" w:bidi="ar"/>
              </w:rPr>
              <w:t>短焦投影仪专用吊架</w:t>
            </w:r>
          </w:p>
        </w:tc>
        <w:tc>
          <w:tcPr>
            <w:tcW w:w="457"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vertAlign w:val="baseline"/>
              </w:rPr>
            </w:pPr>
            <w:r>
              <w:rPr>
                <w:rFonts w:hint="eastAsia" w:ascii="宋体" w:hAnsi="宋体" w:eastAsia="宋体" w:cs="宋体"/>
                <w:i w:val="0"/>
                <w:iCs w:val="0"/>
                <w:color w:val="auto"/>
                <w:kern w:val="0"/>
                <w:sz w:val="24"/>
                <w:szCs w:val="24"/>
                <w:highlight w:val="none"/>
                <w:u w:val="none"/>
                <w:lang w:val="en-US" w:eastAsia="zh-CN" w:bidi="ar"/>
              </w:rPr>
              <w:t>个</w:t>
            </w:r>
          </w:p>
        </w:tc>
        <w:tc>
          <w:tcPr>
            <w:tcW w:w="457"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vertAlign w:val="baseline"/>
              </w:rPr>
            </w:pPr>
            <w:r>
              <w:rPr>
                <w:rFonts w:hint="eastAsia" w:ascii="宋体" w:hAnsi="宋体" w:eastAsia="宋体" w:cs="宋体"/>
                <w:i w:val="0"/>
                <w:iCs w:val="0"/>
                <w:color w:val="auto"/>
                <w:kern w:val="0"/>
                <w:sz w:val="24"/>
                <w:szCs w:val="24"/>
                <w:highlight w:val="none"/>
                <w:u w:val="none"/>
                <w:lang w:val="en-US" w:eastAsia="zh-CN" w:bidi="ar"/>
              </w:rPr>
              <w:t>1</w:t>
            </w:r>
          </w:p>
        </w:tc>
        <w:tc>
          <w:tcPr>
            <w:tcW w:w="939"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vertAlign w:val="baseline"/>
              </w:rPr>
            </w:pPr>
            <w:r>
              <w:rPr>
                <w:rFonts w:hint="eastAsia" w:ascii="宋体" w:hAnsi="宋体" w:eastAsia="宋体" w:cs="宋体"/>
                <w:i w:val="0"/>
                <w:iCs w:val="0"/>
                <w:color w:val="auto"/>
                <w:kern w:val="0"/>
                <w:sz w:val="24"/>
                <w:szCs w:val="24"/>
                <w:highlight w:val="none"/>
                <w:u w:val="none"/>
                <w:lang w:val="en-US" w:eastAsia="zh-CN" w:bidi="ar"/>
              </w:rPr>
              <w:t>300</w:t>
            </w:r>
          </w:p>
        </w:tc>
        <w:tc>
          <w:tcPr>
            <w:tcW w:w="939"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vertAlign w:val="baseline"/>
              </w:rPr>
            </w:pPr>
            <w:r>
              <w:rPr>
                <w:rFonts w:hint="eastAsia" w:ascii="宋体" w:hAnsi="宋体" w:eastAsia="宋体" w:cs="宋体"/>
                <w:i w:val="0"/>
                <w:iCs w:val="0"/>
                <w:color w:val="auto"/>
                <w:kern w:val="0"/>
                <w:sz w:val="24"/>
                <w:szCs w:val="24"/>
                <w:highlight w:val="none"/>
                <w:u w:val="none"/>
                <w:lang w:val="en-US" w:eastAsia="zh-CN" w:bidi="ar"/>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1100" w:hRule="atLeast"/>
        </w:trPr>
        <w:tc>
          <w:tcPr>
            <w:tcW w:w="457" w:type="dxa"/>
          </w:tcPr>
          <w:p>
            <w:pPr>
              <w:rPr>
                <w:rFonts w:hint="eastAsia" w:eastAsia="宋体"/>
                <w:vertAlign w:val="baseline"/>
                <w:lang w:val="en-US" w:eastAsia="zh-CN"/>
              </w:rPr>
            </w:pPr>
            <w:r>
              <w:rPr>
                <w:rFonts w:hint="eastAsia"/>
                <w:vertAlign w:val="baseline"/>
                <w:lang w:val="en-US" w:eastAsia="zh-CN"/>
              </w:rPr>
              <w:t>4</w:t>
            </w:r>
          </w:p>
        </w:tc>
        <w:tc>
          <w:tcPr>
            <w:tcW w:w="1176" w:type="dxa"/>
            <w:vAlign w:val="center"/>
          </w:tcPr>
          <w:p>
            <w:pPr>
              <w:keepNext w:val="0"/>
              <w:keepLines w:val="0"/>
              <w:pageBreakBefore w:val="0"/>
              <w:kinsoku/>
              <w:wordWrap/>
              <w:overflowPunct/>
              <w:topLinePunct w:val="0"/>
              <w:autoSpaceDE/>
              <w:autoSpaceDN/>
              <w:bidi w:val="0"/>
              <w:adjustRightInd/>
              <w:snapToGrid/>
              <w:spacing w:line="264" w:lineRule="auto"/>
              <w:jc w:val="center"/>
              <w:rPr>
                <w:vertAlign w:val="baseline"/>
              </w:rPr>
            </w:pPr>
            <w:r>
              <w:rPr>
                <w:rFonts w:hint="eastAsia" w:ascii="宋体" w:hAnsi="宋体" w:eastAsia="宋体" w:cs="宋体"/>
                <w:color w:val="auto"/>
                <w:sz w:val="24"/>
                <w:szCs w:val="32"/>
                <w:highlight w:val="none"/>
                <w:lang w:val="en-US" w:eastAsia="zh-CN"/>
              </w:rPr>
              <w:t>一线</w:t>
            </w:r>
          </w:p>
        </w:tc>
        <w:tc>
          <w:tcPr>
            <w:tcW w:w="942"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vertAlign w:val="baseline"/>
              </w:rPr>
            </w:pPr>
            <w:r>
              <w:rPr>
                <w:rFonts w:hint="eastAsia" w:ascii="宋体" w:hAnsi="宋体" w:eastAsia="宋体" w:cs="宋体"/>
                <w:i w:val="0"/>
                <w:iCs w:val="0"/>
                <w:color w:val="auto"/>
                <w:kern w:val="0"/>
                <w:sz w:val="24"/>
                <w:szCs w:val="24"/>
                <w:highlight w:val="none"/>
                <w:u w:val="none"/>
                <w:lang w:val="en-US" w:eastAsia="zh-CN" w:bidi="ar"/>
              </w:rPr>
              <w:t>投影光纤线材材料</w:t>
            </w:r>
          </w:p>
        </w:tc>
        <w:tc>
          <w:tcPr>
            <w:tcW w:w="5131"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left"/>
              <w:textAlignment w:val="center"/>
              <w:rPr>
                <w:vertAlign w:val="baseline"/>
              </w:rPr>
            </w:pPr>
            <w:r>
              <w:rPr>
                <w:rFonts w:hint="eastAsia" w:ascii="宋体" w:hAnsi="宋体" w:eastAsia="宋体" w:cs="宋体"/>
                <w:i w:val="0"/>
                <w:iCs w:val="0"/>
                <w:color w:val="auto"/>
                <w:kern w:val="0"/>
                <w:sz w:val="24"/>
                <w:szCs w:val="24"/>
                <w:highlight w:val="none"/>
                <w:u w:val="none"/>
                <w:lang w:val="en-US" w:eastAsia="zh-CN" w:bidi="ar"/>
              </w:rPr>
              <w:t>光纤HDMI20米*1、电源线、辅材等</w:t>
            </w:r>
          </w:p>
        </w:tc>
        <w:tc>
          <w:tcPr>
            <w:tcW w:w="457"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vertAlign w:val="baseline"/>
              </w:rPr>
            </w:pPr>
            <w:r>
              <w:rPr>
                <w:rFonts w:hint="eastAsia" w:ascii="宋体" w:hAnsi="宋体" w:eastAsia="宋体" w:cs="宋体"/>
                <w:i w:val="0"/>
                <w:iCs w:val="0"/>
                <w:color w:val="auto"/>
                <w:kern w:val="0"/>
                <w:sz w:val="24"/>
                <w:szCs w:val="24"/>
                <w:highlight w:val="none"/>
                <w:u w:val="none"/>
                <w:lang w:val="en-US" w:eastAsia="zh-CN" w:bidi="ar"/>
              </w:rPr>
              <w:t>套</w:t>
            </w:r>
          </w:p>
        </w:tc>
        <w:tc>
          <w:tcPr>
            <w:tcW w:w="457"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vertAlign w:val="baseline"/>
              </w:rPr>
            </w:pPr>
            <w:r>
              <w:rPr>
                <w:rFonts w:hint="eastAsia" w:ascii="宋体" w:hAnsi="宋体" w:eastAsia="宋体" w:cs="宋体"/>
                <w:i w:val="0"/>
                <w:iCs w:val="0"/>
                <w:color w:val="auto"/>
                <w:kern w:val="0"/>
                <w:sz w:val="24"/>
                <w:szCs w:val="24"/>
                <w:highlight w:val="none"/>
                <w:u w:val="none"/>
                <w:lang w:val="en-US" w:eastAsia="zh-CN" w:bidi="ar"/>
              </w:rPr>
              <w:t>1</w:t>
            </w:r>
          </w:p>
        </w:tc>
        <w:tc>
          <w:tcPr>
            <w:tcW w:w="939"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vertAlign w:val="baseline"/>
              </w:rPr>
            </w:pPr>
            <w:r>
              <w:rPr>
                <w:rFonts w:hint="eastAsia" w:ascii="宋体" w:hAnsi="宋体" w:eastAsia="宋体" w:cs="宋体"/>
                <w:i w:val="0"/>
                <w:iCs w:val="0"/>
                <w:color w:val="auto"/>
                <w:kern w:val="0"/>
                <w:sz w:val="24"/>
                <w:szCs w:val="24"/>
                <w:highlight w:val="none"/>
                <w:u w:val="none"/>
                <w:lang w:val="en-US" w:eastAsia="zh-CN" w:bidi="ar"/>
              </w:rPr>
              <w:t>800</w:t>
            </w:r>
          </w:p>
        </w:tc>
        <w:tc>
          <w:tcPr>
            <w:tcW w:w="939"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vertAlign w:val="baseline"/>
              </w:rPr>
            </w:pPr>
            <w:r>
              <w:rPr>
                <w:rFonts w:hint="eastAsia" w:ascii="宋体" w:hAnsi="宋体" w:eastAsia="宋体" w:cs="宋体"/>
                <w:i w:val="0"/>
                <w:iCs w:val="0"/>
                <w:color w:val="auto"/>
                <w:kern w:val="0"/>
                <w:sz w:val="24"/>
                <w:szCs w:val="24"/>
                <w:highlight w:val="none"/>
                <w:u w:val="none"/>
                <w:lang w:val="en-US" w:eastAsia="zh-CN" w:bidi="ar"/>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1100" w:hRule="atLeast"/>
        </w:trPr>
        <w:tc>
          <w:tcPr>
            <w:tcW w:w="457" w:type="dxa"/>
          </w:tcPr>
          <w:p>
            <w:pPr>
              <w:rPr>
                <w:rFonts w:hint="eastAsia" w:eastAsia="宋体"/>
                <w:vertAlign w:val="baseline"/>
                <w:lang w:val="en-US" w:eastAsia="zh-CN"/>
              </w:rPr>
            </w:pPr>
            <w:r>
              <w:rPr>
                <w:rFonts w:hint="eastAsia"/>
                <w:vertAlign w:val="baseline"/>
                <w:lang w:val="en-US" w:eastAsia="zh-CN"/>
              </w:rPr>
              <w:t>5</w:t>
            </w:r>
          </w:p>
        </w:tc>
        <w:tc>
          <w:tcPr>
            <w:tcW w:w="1176" w:type="dxa"/>
            <w:vAlign w:val="center"/>
          </w:tcPr>
          <w:p>
            <w:pPr>
              <w:keepNext w:val="0"/>
              <w:keepLines w:val="0"/>
              <w:pageBreakBefore w:val="0"/>
              <w:kinsoku/>
              <w:wordWrap/>
              <w:overflowPunct/>
              <w:topLinePunct w:val="0"/>
              <w:autoSpaceDE/>
              <w:autoSpaceDN/>
              <w:bidi w:val="0"/>
              <w:adjustRightInd/>
              <w:snapToGrid/>
              <w:spacing w:line="264" w:lineRule="auto"/>
              <w:jc w:val="center"/>
              <w:rPr>
                <w:vertAlign w:val="baseline"/>
              </w:rPr>
            </w:pPr>
          </w:p>
        </w:tc>
        <w:tc>
          <w:tcPr>
            <w:tcW w:w="942"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vertAlign w:val="baseline"/>
              </w:rPr>
            </w:pPr>
            <w:r>
              <w:rPr>
                <w:rFonts w:hint="eastAsia" w:ascii="宋体" w:hAnsi="宋体" w:eastAsia="宋体" w:cs="宋体"/>
                <w:i w:val="0"/>
                <w:iCs w:val="0"/>
                <w:color w:val="auto"/>
                <w:kern w:val="0"/>
                <w:sz w:val="24"/>
                <w:szCs w:val="24"/>
                <w:highlight w:val="none"/>
                <w:u w:val="none"/>
                <w:lang w:val="en-US" w:eastAsia="zh-CN" w:bidi="ar"/>
              </w:rPr>
              <w:t>投影系统辅材</w:t>
            </w:r>
          </w:p>
        </w:tc>
        <w:tc>
          <w:tcPr>
            <w:tcW w:w="5131"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left"/>
              <w:textAlignment w:val="center"/>
              <w:rPr>
                <w:vertAlign w:val="baseline"/>
              </w:rPr>
            </w:pPr>
            <w:r>
              <w:rPr>
                <w:rFonts w:hint="eastAsia" w:ascii="宋体" w:hAnsi="宋体" w:eastAsia="宋体" w:cs="宋体"/>
                <w:i w:val="0"/>
                <w:iCs w:val="0"/>
                <w:color w:val="auto"/>
                <w:kern w:val="0"/>
                <w:sz w:val="24"/>
                <w:szCs w:val="24"/>
                <w:highlight w:val="none"/>
                <w:u w:val="none"/>
                <w:lang w:val="en-US" w:eastAsia="zh-CN" w:bidi="ar"/>
              </w:rPr>
              <w:t>设备安装以及调试及相关辅材</w:t>
            </w:r>
          </w:p>
        </w:tc>
        <w:tc>
          <w:tcPr>
            <w:tcW w:w="457"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vertAlign w:val="baseline"/>
              </w:rPr>
            </w:pPr>
            <w:r>
              <w:rPr>
                <w:rFonts w:hint="eastAsia" w:ascii="宋体" w:hAnsi="宋体" w:eastAsia="宋体" w:cs="宋体"/>
                <w:i w:val="0"/>
                <w:iCs w:val="0"/>
                <w:color w:val="auto"/>
                <w:kern w:val="0"/>
                <w:sz w:val="24"/>
                <w:szCs w:val="24"/>
                <w:highlight w:val="none"/>
                <w:u w:val="none"/>
                <w:lang w:val="en-US" w:eastAsia="zh-CN" w:bidi="ar"/>
              </w:rPr>
              <w:t>套</w:t>
            </w:r>
          </w:p>
        </w:tc>
        <w:tc>
          <w:tcPr>
            <w:tcW w:w="457"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vertAlign w:val="baseline"/>
              </w:rPr>
            </w:pPr>
            <w:r>
              <w:rPr>
                <w:rFonts w:hint="eastAsia" w:ascii="宋体" w:hAnsi="宋体" w:eastAsia="宋体" w:cs="宋体"/>
                <w:i w:val="0"/>
                <w:iCs w:val="0"/>
                <w:color w:val="auto"/>
                <w:kern w:val="0"/>
                <w:sz w:val="24"/>
                <w:szCs w:val="24"/>
                <w:highlight w:val="none"/>
                <w:u w:val="none"/>
                <w:lang w:val="en-US" w:eastAsia="zh-CN" w:bidi="ar"/>
              </w:rPr>
              <w:t>1</w:t>
            </w:r>
          </w:p>
        </w:tc>
        <w:tc>
          <w:tcPr>
            <w:tcW w:w="939"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vertAlign w:val="baseline"/>
              </w:rPr>
            </w:pPr>
            <w:r>
              <w:rPr>
                <w:rFonts w:hint="eastAsia" w:ascii="宋体" w:hAnsi="宋体" w:eastAsia="宋体" w:cs="宋体"/>
                <w:i w:val="0"/>
                <w:iCs w:val="0"/>
                <w:color w:val="auto"/>
                <w:kern w:val="0"/>
                <w:sz w:val="24"/>
                <w:szCs w:val="24"/>
                <w:highlight w:val="none"/>
                <w:u w:val="none"/>
                <w:lang w:val="en-US" w:eastAsia="zh-CN" w:bidi="ar"/>
              </w:rPr>
              <w:t>800</w:t>
            </w:r>
          </w:p>
        </w:tc>
        <w:tc>
          <w:tcPr>
            <w:tcW w:w="939"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vertAlign w:val="baseline"/>
              </w:rPr>
            </w:pPr>
            <w:r>
              <w:rPr>
                <w:rFonts w:hint="eastAsia" w:ascii="宋体" w:hAnsi="宋体" w:eastAsia="宋体" w:cs="宋体"/>
                <w:i w:val="0"/>
                <w:iCs w:val="0"/>
                <w:color w:val="auto"/>
                <w:kern w:val="0"/>
                <w:sz w:val="24"/>
                <w:szCs w:val="24"/>
                <w:highlight w:val="none"/>
                <w:u w:val="none"/>
                <w:lang w:val="en-US" w:eastAsia="zh-CN" w:bidi="ar"/>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1100" w:hRule="atLeast"/>
        </w:trPr>
        <w:tc>
          <w:tcPr>
            <w:tcW w:w="8620" w:type="dxa"/>
            <w:gridSpan w:val="6"/>
            <w:vAlign w:val="center"/>
          </w:tcPr>
          <w:p>
            <w:pPr>
              <w:keepNext w:val="0"/>
              <w:keepLines w:val="0"/>
              <w:widowControl/>
              <w:suppressLineNumbers w:val="0"/>
              <w:jc w:val="center"/>
              <w:textAlignment w:val="center"/>
              <w:rPr>
                <w:vertAlign w:val="baseline"/>
              </w:rPr>
            </w:pPr>
            <w:r>
              <w:rPr>
                <w:rFonts w:hint="eastAsia" w:ascii="宋体" w:hAnsi="宋体" w:eastAsia="宋体" w:cs="宋体"/>
                <w:b/>
                <w:bCs/>
                <w:i w:val="0"/>
                <w:iCs w:val="0"/>
                <w:color w:val="auto"/>
                <w:kern w:val="0"/>
                <w:sz w:val="22"/>
                <w:szCs w:val="22"/>
                <w:highlight w:val="none"/>
                <w:u w:val="none"/>
                <w:lang w:val="en-US" w:eastAsia="zh-CN" w:bidi="ar"/>
              </w:rPr>
              <w:t>合计金额（元）</w:t>
            </w:r>
          </w:p>
        </w:tc>
        <w:tc>
          <w:tcPr>
            <w:tcW w:w="1878" w:type="dxa"/>
            <w:gridSpan w:val="2"/>
            <w:vAlign w:val="center"/>
          </w:tcPr>
          <w:p>
            <w:pPr>
              <w:keepNext w:val="0"/>
              <w:keepLines w:val="0"/>
              <w:widowControl/>
              <w:suppressLineNumbers w:val="0"/>
              <w:jc w:val="center"/>
              <w:textAlignment w:val="center"/>
              <w:rPr>
                <w:vertAlign w:val="baseline"/>
              </w:rPr>
            </w:pPr>
            <w:r>
              <w:rPr>
                <w:rFonts w:hint="eastAsia" w:ascii="宋体" w:hAnsi="宋体" w:eastAsia="宋体" w:cs="宋体"/>
                <w:b/>
                <w:bCs/>
                <w:i w:val="0"/>
                <w:iCs w:val="0"/>
                <w:color w:val="auto"/>
                <w:kern w:val="0"/>
                <w:sz w:val="22"/>
                <w:szCs w:val="22"/>
                <w:highlight w:val="none"/>
                <w:u w:val="none"/>
                <w:lang w:val="en-US" w:eastAsia="zh-CN" w:bidi="ar"/>
              </w:rPr>
              <w:t>60100.00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1100" w:hRule="atLeast"/>
        </w:trPr>
        <w:tc>
          <w:tcPr>
            <w:tcW w:w="10498" w:type="dxa"/>
            <w:gridSpan w:val="8"/>
            <w:vAlign w:val="top"/>
          </w:tcPr>
          <w:p>
            <w:pPr>
              <w:widowControl/>
              <w:jc w:val="left"/>
              <w:rPr>
                <w:rFonts w:ascii="宋体" w:hAnsi="宋体"/>
                <w:b/>
                <w:bCs/>
                <w:sz w:val="24"/>
              </w:rPr>
            </w:pPr>
            <w:r>
              <w:rPr>
                <w:rFonts w:hint="eastAsia" w:ascii="宋体" w:hAnsi="宋体"/>
                <w:bCs/>
                <w:szCs w:val="21"/>
              </w:rPr>
              <w:t>★</w:t>
            </w:r>
            <w:r>
              <w:rPr>
                <w:rFonts w:hint="eastAsia" w:ascii="宋体" w:hAnsi="宋体"/>
                <w:b/>
                <w:bCs/>
                <w:sz w:val="24"/>
              </w:rPr>
              <w:t>商务要求：</w:t>
            </w:r>
          </w:p>
          <w:p>
            <w:pPr>
              <w:pStyle w:val="6"/>
              <w:widowControl/>
              <w:ind w:firstLine="0" w:firstLineChars="0"/>
              <w:jc w:val="left"/>
              <w:rPr>
                <w:rFonts w:hint="eastAsia"/>
              </w:rPr>
            </w:pPr>
            <w:r>
              <w:rPr>
                <w:rFonts w:hint="eastAsia"/>
              </w:rPr>
              <w:t>1、</w:t>
            </w:r>
            <w:r>
              <w:t>报价要求：本项目实行总承包报价；包含货物及服务采购、专用工具、标准附件、运输、保管、安装、验收、培训等各种费用和售后服务、税金及其它所有成本费用的总和。</w:t>
            </w:r>
            <w:r>
              <w:rPr>
                <w:rFonts w:hint="eastAsia"/>
              </w:rPr>
              <w:t>★</w:t>
            </w:r>
            <w:r>
              <w:rPr>
                <w:rFonts w:ascii="Calibri" w:hAnsi="Calibri" w:cs="Calibri"/>
              </w:rPr>
              <w:t>①</w:t>
            </w:r>
            <w:r>
              <w:rPr>
                <w:rFonts w:hint="eastAsia"/>
              </w:rPr>
              <w:t>、报价时仅限表格推荐品牌进行报价，不接受推荐品牌以外的产品报价，否则报价无效。本需求表中标注“▲”与“■”号的技术参数和商务要求为必须响应的实质性条款，必须满足，否则作为无效报价处理。</w:t>
            </w:r>
          </w:p>
          <w:p>
            <w:pPr>
              <w:pStyle w:val="6"/>
              <w:widowControl/>
              <w:ind w:firstLine="0" w:firstLineChars="0"/>
              <w:jc w:val="left"/>
              <w:rPr>
                <w:rFonts w:hint="eastAsia"/>
              </w:rPr>
            </w:pPr>
            <w:r>
              <w:rPr>
                <w:rFonts w:hint="eastAsia"/>
              </w:rPr>
              <w:t>★</w:t>
            </w:r>
            <w:r>
              <w:rPr>
                <w:rFonts w:ascii="Calibri" w:hAnsi="Calibri" w:cs="Calibri"/>
              </w:rPr>
              <w:t>②</w:t>
            </w:r>
            <w:r>
              <w:rPr>
                <w:rFonts w:hint="eastAsia"/>
              </w:rPr>
              <w:t>、为了保障产品性能符合询价文件要求，防止虚假应标，在合同签订前2个工作日内，成交供应商必须提供“规格或配置技术参数”中要求提供的相关检测报告原件到采购人处进行核查，作为合同确认的标准依据，如出现所提供检测报告原件不符合技术参数要求或无法提供原件的，均视为虚假应标处理，采购人有权拒签合同，并依法追求法律责任，依法向政采云平台举报，上报政府采购监管部门，予以禁止报价、扣除诚信分等处罚，政采云全平台各区划联动生效。</w:t>
            </w:r>
          </w:p>
          <w:p>
            <w:pPr>
              <w:pStyle w:val="6"/>
              <w:widowControl/>
              <w:ind w:firstLine="0" w:firstLineChars="0"/>
              <w:jc w:val="left"/>
            </w:pPr>
            <w:r>
              <w:rPr>
                <w:rFonts w:hint="eastAsia"/>
              </w:rPr>
              <w:t>★</w:t>
            </w:r>
            <w:r>
              <w:rPr>
                <w:rFonts w:ascii="Calibri" w:hAnsi="Calibri" w:cs="Calibri"/>
              </w:rPr>
              <w:t>③</w:t>
            </w:r>
            <w:r>
              <w:rPr>
                <w:rFonts w:hint="eastAsia"/>
              </w:rPr>
              <w:t>、正品保障：本项目中标供应商必须按所投品牌进行供货，不接受中标品牌外的产品，供应商不得以任何理由更改产品的品牌、质量，不接受中标后更改产品品牌，配置必须是原厂出厂配置，不接受出厂后加装，产品保持原厂包装不开封，不接受注册为其他单位的商品，验收时查询产品及原厂保修信息。</w:t>
            </w:r>
            <w:r>
              <w:t>。</w:t>
            </w:r>
          </w:p>
          <w:p>
            <w:pPr>
              <w:pStyle w:val="6"/>
              <w:widowControl/>
              <w:ind w:firstLine="0" w:firstLineChars="0"/>
              <w:jc w:val="left"/>
            </w:pPr>
            <w:r>
              <w:rPr>
                <w:rFonts w:hint="eastAsia"/>
              </w:rPr>
              <w:t>2、产品要求：</w:t>
            </w:r>
            <w:r>
              <w:t>竞标产品必须为全新原装产品，成交供应商所提供的产品、资料等要满足中华人民共和国的相应标准。</w:t>
            </w:r>
          </w:p>
          <w:p>
            <w:pPr>
              <w:pStyle w:val="6"/>
              <w:widowControl/>
              <w:ind w:firstLine="0" w:firstLineChars="0"/>
              <w:jc w:val="left"/>
              <w:rPr>
                <w:rFonts w:hint="eastAsia"/>
                <w:b/>
                <w:bCs/>
              </w:rPr>
            </w:pPr>
            <w:r>
              <w:rPr>
                <w:rFonts w:hint="eastAsia"/>
              </w:rPr>
              <w:t>3、成交供应商应提供货物的有效检验文件及产品销售资质，经采购人认可后，与合同的性能指标一起作为货物验收标准，采购人可对货物进行复检与性能测试；成交供应商要考虑到设备兼容性问题，并</w:t>
            </w:r>
            <w:r>
              <w:rPr>
                <w:rFonts w:hint="eastAsia" w:ascii="宋体" w:hAnsi="宋体"/>
                <w:bCs/>
                <w:szCs w:val="21"/>
              </w:rPr>
              <w:t>出具承诺</w:t>
            </w:r>
            <w:r>
              <w:rPr>
                <w:rFonts w:hint="eastAsia" w:ascii="宋体" w:hAnsi="宋体"/>
                <w:kern w:val="0"/>
                <w:szCs w:val="21"/>
                <w:lang w:bidi="ar"/>
              </w:rPr>
              <w:t>无缝兼容的承诺书并加盖公章。</w:t>
            </w:r>
            <w:r>
              <w:rPr>
                <w:rFonts w:hint="eastAsia"/>
              </w:rPr>
              <w:t>应按采购方要求，对所采购产品进行系统调试，直至与采购方原系统完全匹配，成交供应商应派出有经验、高水平的技术人员协助此项工作。采购人对货物及所配系统验收合格后，签署验收合格证书，验收标准应符合中国有关的国家、地方、行业标准；</w:t>
            </w:r>
            <w:r>
              <w:rPr>
                <w:rFonts w:hint="eastAsia"/>
                <w:b/>
                <w:bCs/>
              </w:rPr>
              <w:t>验收不合格的，按虚假应标处理，成交供应商需承担被采购人终止合同的一切风险和费用，同时造成采购人损失还要追究该供货商责任，并赔偿采购人，并报送政采云平台及广西壮族自治区财政厅监管部门。</w:t>
            </w:r>
          </w:p>
          <w:p>
            <w:pPr>
              <w:pStyle w:val="6"/>
              <w:widowControl/>
              <w:ind w:firstLine="0" w:firstLineChars="0"/>
              <w:jc w:val="left"/>
              <w:rPr>
                <w:rFonts w:hint="eastAsia"/>
              </w:rPr>
            </w:pPr>
            <w:r>
              <w:rPr>
                <w:rFonts w:hint="eastAsia"/>
              </w:rPr>
              <w:t>4、</w:t>
            </w:r>
            <w:r>
              <w:t>质保期：</w:t>
            </w:r>
          </w:p>
          <w:p>
            <w:pPr>
              <w:pStyle w:val="6"/>
              <w:widowControl/>
              <w:ind w:firstLine="0" w:firstLineChars="0"/>
              <w:jc w:val="left"/>
              <w:rPr>
                <w:rFonts w:hint="eastAsia"/>
              </w:rPr>
            </w:pPr>
            <w:r>
              <w:rPr>
                <w:rFonts w:hint="eastAsia"/>
              </w:rPr>
              <w:t>（</w:t>
            </w:r>
            <w:r>
              <w:t>1）竞标产品必须是具备厂家合法渠道的全新正品，必须按厂家承诺实行“三包”</w:t>
            </w:r>
            <w:r>
              <w:rPr>
                <w:rFonts w:hint="eastAsia"/>
              </w:rPr>
              <w:t>。</w:t>
            </w:r>
          </w:p>
          <w:p>
            <w:pPr>
              <w:pStyle w:val="6"/>
              <w:widowControl/>
              <w:ind w:firstLine="0" w:firstLineChars="0"/>
              <w:jc w:val="left"/>
            </w:pPr>
            <w:r>
              <w:rPr>
                <w:rFonts w:hint="eastAsia"/>
              </w:rPr>
              <w:t>（</w:t>
            </w:r>
            <w:r>
              <w:t>2）质保期</w:t>
            </w:r>
            <w:r>
              <w:rPr>
                <w:rFonts w:hint="eastAsia"/>
              </w:rPr>
              <w:t>2</w:t>
            </w:r>
            <w:r>
              <w:t>年（自最终验收合格之日算），分项货物质保期另有要求按分项要求。质保期内免费上门</w:t>
            </w:r>
            <w:r>
              <w:rPr>
                <w:rFonts w:hint="eastAsia"/>
              </w:rPr>
              <w:t>调试</w:t>
            </w:r>
            <w:r>
              <w:t>、更换配件，终身上门维修；在质保期内</w:t>
            </w:r>
            <w:r>
              <w:rPr>
                <w:rFonts w:hint="eastAsia"/>
              </w:rPr>
              <w:t>因采购人现场实际使用需求，需要更改设备软件配置，中标人</w:t>
            </w:r>
            <w:r>
              <w:t>必须免费提供</w:t>
            </w:r>
            <w:r>
              <w:rPr>
                <w:rFonts w:hint="eastAsia"/>
              </w:rPr>
              <w:t>技术</w:t>
            </w:r>
            <w:r>
              <w:t>服务</w:t>
            </w:r>
            <w:r>
              <w:rPr>
                <w:rFonts w:hint="eastAsia"/>
              </w:rPr>
              <w:t>；</w:t>
            </w:r>
            <w:r>
              <w:t>在质保期内设备运行发生故障，中标人必须免费提供维修服务。</w:t>
            </w:r>
          </w:p>
          <w:p>
            <w:pPr>
              <w:widowControl/>
              <w:jc w:val="left"/>
            </w:pPr>
            <w:r>
              <w:rPr>
                <w:rFonts w:hint="eastAsia"/>
              </w:rPr>
              <w:t>（</w:t>
            </w:r>
            <w:r>
              <w:t>3）质保期满前一个月，要求成交供应商对整个项目系</w:t>
            </w:r>
            <w:bookmarkStart w:id="0" w:name="_GoBack"/>
            <w:bookmarkEnd w:id="0"/>
            <w:r>
              <w:t>统设备进行全面的检修并提供相关的测试报告。</w:t>
            </w:r>
          </w:p>
          <w:p>
            <w:pPr>
              <w:widowControl/>
              <w:jc w:val="left"/>
              <w:rPr>
                <w:rFonts w:hint="eastAsia"/>
              </w:rPr>
            </w:pPr>
            <w:r>
              <w:t>5、交货期：自合同签订之日起</w:t>
            </w:r>
            <w:r>
              <w:rPr>
                <w:rFonts w:hint="eastAsia"/>
              </w:rPr>
              <w:t>15</w:t>
            </w:r>
            <w:r>
              <w:t>天内安装调试完毕并验收合格</w:t>
            </w:r>
            <w:r>
              <w:rPr>
                <w:rFonts w:hint="eastAsia"/>
              </w:rPr>
              <w:t>，供应商逾期交付货物的，应按逾期交付价值总额每日千分之十的标准向采购方支付违约金，由采购方从待付货款中直接扣除，供应商逾期时间超过3天仍不能交付的，视为不能履约，采购方可解除采购合同，供应商需支付合同款20%的违约金</w:t>
            </w:r>
            <w:r>
              <w:t>。</w:t>
            </w:r>
          </w:p>
          <w:p>
            <w:pPr>
              <w:widowControl/>
              <w:jc w:val="left"/>
            </w:pPr>
            <w:r>
              <w:t>6、交货地点：</w:t>
            </w:r>
            <w:r>
              <w:rPr>
                <w:rFonts w:ascii="Arial" w:hAnsi="Arial" w:cs="Arial"/>
                <w:color w:val="000000"/>
                <w:szCs w:val="21"/>
                <w:shd w:val="clear" w:color="auto" w:fill="FFFFFF"/>
              </w:rPr>
              <w:t>广西壮族自治区南宁市</w:t>
            </w:r>
            <w:r>
              <w:rPr>
                <w:color w:val="000000"/>
              </w:rPr>
              <w:t>。</w:t>
            </w:r>
          </w:p>
          <w:p>
            <w:pPr>
              <w:rPr>
                <w:rFonts w:hint="eastAsia"/>
              </w:rPr>
            </w:pPr>
            <w:r>
              <w:rPr>
                <w:rFonts w:hint="eastAsia"/>
              </w:rPr>
              <w:t>7</w:t>
            </w:r>
            <w:r>
              <w:t>、售后服务：分项货物另有要求按分项要求。质保期内免费维修、免费更换零部件，服务内容如下：</w:t>
            </w:r>
          </w:p>
          <w:p>
            <w:pPr>
              <w:rPr>
                <w:rFonts w:hint="eastAsia" w:ascii="宋体" w:hAnsi="宋体" w:cs="宋体"/>
              </w:rPr>
            </w:pPr>
            <w:r>
              <w:rPr>
                <w:rFonts w:hint="eastAsia"/>
              </w:rPr>
              <w:t>（1）</w:t>
            </w:r>
            <w:r>
              <w:t>保修期自设备安装调试验收合格，并以双方最终验收报告签字日开始计算。保修期内，成交供应商将负责处理故障，并免费更换有故障的零部件，一切费用由成交供应商负责。要求成交供应商在保修期内每月对设备进行保养和检测</w:t>
            </w:r>
            <w:r>
              <w:rPr>
                <w:rFonts w:hint="eastAsia" w:ascii="宋体" w:hAnsi="宋体" w:cs="宋体"/>
              </w:rPr>
              <w:t>。</w:t>
            </w:r>
            <w:r>
              <w:rPr>
                <w:rFonts w:hint="eastAsia" w:ascii="宋体" w:hAnsi="宋体" w:cs="宋体"/>
              </w:rPr>
              <w:br w:type="textWrapping"/>
            </w:r>
            <w:r>
              <w:rPr>
                <w:rFonts w:hint="eastAsia" w:ascii="宋体" w:hAnsi="宋体" w:cs="宋体"/>
              </w:rPr>
              <w:t>（2）为确保货物质量和售后服务的及时性，本次招标只针对南宁市供应商，投标人在南宁市设有售后服务机构和备件中心，投标时提供详细地址（与营业执照地址相同）、服务人员名单及联系电话，以满足紧急维修需求。</w:t>
            </w:r>
          </w:p>
          <w:p>
            <w:pPr>
              <w:rPr>
                <w:rFonts w:hint="eastAsia" w:ascii="宋体" w:hAnsi="宋体" w:cs="宋体"/>
              </w:rPr>
            </w:pPr>
            <w:r>
              <w:rPr>
                <w:rFonts w:hint="eastAsia" w:ascii="宋体" w:hAnsi="宋体" w:cs="宋体"/>
              </w:rPr>
              <w:t>（3）竞标人须承诺在接到故障通知后1小时内响应，如3小时内到达现场维修。一般问题应在24小时内解决，重大问题或其它无法迅速解决的问题应在3天内解决。</w:t>
            </w:r>
          </w:p>
          <w:p>
            <w:r>
              <w:rPr>
                <w:rFonts w:hint="eastAsia" w:ascii="宋体" w:hAnsi="宋体" w:cs="宋体"/>
              </w:rPr>
              <w:t>8、免费培训：免费提供现场技</w:t>
            </w:r>
            <w:r>
              <w:t>术培训，保证使用人员能正常操作产品的各种功能及日常保养和维护。</w:t>
            </w:r>
          </w:p>
          <w:p>
            <w:pPr>
              <w:rPr>
                <w:rFonts w:hint="eastAsia"/>
              </w:rPr>
            </w:pPr>
            <w:r>
              <w:rPr>
                <w:rFonts w:hint="eastAsia"/>
              </w:rPr>
              <w:t>9、验收要求：</w:t>
            </w:r>
          </w:p>
          <w:p>
            <w:pPr>
              <w:rPr>
                <w:rFonts w:hint="eastAsia"/>
              </w:rPr>
            </w:pPr>
            <w:r>
              <w:rPr>
                <w:rFonts w:hint="eastAsia"/>
              </w:rPr>
              <w:t>（1）采购人有权要求中标供应商提供所投设备到采购单位进行参数性能检测，中标供应商所提供的货物与报价文件中承诺的技术参数不符的或未提供以上货物去采购人处进行验收的，采购人将报同级财政监督管理部门进行处理，由此导致整批货物被拒收或索赔而引发的所有损失由中标供应商承担。</w:t>
            </w:r>
          </w:p>
          <w:p>
            <w:pPr>
              <w:rPr>
                <w:rFonts w:hint="eastAsia"/>
              </w:rPr>
            </w:pPr>
            <w:r>
              <w:rPr>
                <w:rFonts w:hint="eastAsia"/>
              </w:rPr>
              <w:t>（2）本项目的货物必须是原装正品行货、全新未开封的、符合国家标准的产品，中标供应商按采购人的要求地址进行送货到位，由采购方验收合格后才进行安装调试或交付，集中验收时货物有不响应采购需求的，不予验收，采购人将报同级财政监督管理部门进行处理，由此导致整批货物被拒收或索赔而引发的所有损失由中标供应商承担。</w:t>
            </w:r>
          </w:p>
          <w:p>
            <w:pPr>
              <w:rPr>
                <w:rFonts w:hint="eastAsia"/>
              </w:rPr>
            </w:pPr>
            <w:r>
              <w:rPr>
                <w:rFonts w:hint="eastAsia"/>
              </w:rPr>
              <w:t>（3）备品备件及耗材等要求：本项目采购的全部设备和零部件、配件及安装材料必须是未经使用的、全新的，并符合国家相关质量标准的。</w:t>
            </w:r>
          </w:p>
          <w:p>
            <w:pPr>
              <w:rPr>
                <w:rFonts w:hint="eastAsia"/>
              </w:rPr>
            </w:pPr>
            <w:r>
              <w:rPr>
                <w:rFonts w:hint="eastAsia"/>
              </w:rPr>
              <w:t>（4）凡要求中标供应商提供相关检测报告的，验收时按相关检测报告标准进行验收。</w:t>
            </w:r>
          </w:p>
          <w:p>
            <w:pPr>
              <w:rPr>
                <w:rFonts w:hint="eastAsia"/>
              </w:rPr>
            </w:pPr>
            <w:r>
              <w:rPr>
                <w:rFonts w:hint="eastAsia"/>
              </w:rPr>
              <w:t>（5）验收过程中，如采购人觉得有必要，可以邀请有资质的第三方检测机构对中标人提供的产品进行检测，费用由中标人承担。</w:t>
            </w:r>
          </w:p>
          <w:p>
            <w:pPr>
              <w:widowControl/>
              <w:jc w:val="left"/>
              <w:textAlignment w:val="center"/>
              <w:rPr>
                <w:rFonts w:hint="eastAsia" w:ascii="宋体" w:hAnsi="宋体" w:eastAsia="宋体" w:cs="宋体"/>
                <w:b/>
                <w:bCs/>
                <w:kern w:val="0"/>
                <w:sz w:val="22"/>
                <w:szCs w:val="22"/>
                <w:lang w:val="en-US" w:eastAsia="zh-CN" w:bidi="ar"/>
              </w:rPr>
            </w:pPr>
            <w:r>
              <w:rPr>
                <w:rFonts w:hint="eastAsia"/>
              </w:rPr>
              <w:t>10</w:t>
            </w:r>
            <w:r>
              <w:t>、付款方式：</w:t>
            </w:r>
            <w:r>
              <w:rPr>
                <w:rFonts w:hint="eastAsia" w:ascii="宋体" w:hAnsi="宋体"/>
                <w:szCs w:val="21"/>
              </w:rPr>
              <w:t>合同签订前成交人向采购人支付合同金额的5%履约保证金，经采购人验收合格，在收到成交人向采购人开具足额的正式合法有效发票，采购人在15个工作日内支付合同款。履约保证金在质保期内成交人提供的货物质量和服务符合合同约定，经验收合格，质保期满后成交人向采购人办理退付手续，采购人将在收到完整且合格的退付申请资料后十五个工作日内以转账或电汇方式无息退还成交人。</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34"/>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M4N2Q5NjFmZTBlZGFkYmM4NTM2Y2JiNDE2MzllMGMifQ=="/>
  </w:docVars>
  <w:rsids>
    <w:rsidRoot w:val="0956023F"/>
    <w:rsid w:val="095602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4"/>
    <w:basedOn w:val="1"/>
    <w:next w:val="1"/>
    <w:qFormat/>
    <w:uiPriority w:val="0"/>
    <w:pPr>
      <w:keepNext/>
      <w:keepLines/>
      <w:widowControl/>
      <w:spacing w:before="120" w:beforeLines="0" w:after="120" w:afterLines="0" w:line="360" w:lineRule="auto"/>
      <w:jc w:val="center"/>
      <w:outlineLvl w:val="3"/>
    </w:pPr>
    <w:rPr>
      <w:rFonts w:ascii="Arial" w:hAnsi="Arial" w:eastAsia="黑体"/>
      <w:kern w:val="0"/>
      <w:sz w:val="28"/>
      <w:szCs w:val="20"/>
    </w:rPr>
  </w:style>
  <w:style w:type="character" w:default="1" w:styleId="5">
    <w:name w:val="Default Paragraph Font"/>
    <w:semiHidden/>
    <w:uiPriority w:val="0"/>
  </w:style>
  <w:style w:type="table" w:default="1" w:styleId="3">
    <w:name w:val="Normal Table"/>
    <w:autoRedefine/>
    <w:semiHidden/>
    <w:qFormat/>
    <w:uiPriority w:val="0"/>
    <w:tblPr>
      <w:tblCellMar>
        <w:top w:w="0" w:type="dxa"/>
        <w:left w:w="108" w:type="dxa"/>
        <w:bottom w:w="0" w:type="dxa"/>
        <w:right w:w="108" w:type="dxa"/>
      </w:tblCellMar>
    </w:tblPr>
  </w:style>
  <w:style w:type="table" w:styleId="4">
    <w:name w:val="Table Grid"/>
    <w:basedOn w:val="3"/>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6">
    <w:name w:val="List Paragraph"/>
    <w:basedOn w:val="1"/>
    <w:autoRedefine/>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0</Words>
  <Characters>0</Characters>
  <Lines>0</Lines>
  <Paragraphs>0</Paragraphs>
  <TotalTime>1</TotalTime>
  <ScaleCrop>false</ScaleCrop>
  <LinksUpToDate>false</LinksUpToDate>
  <CharactersWithSpaces>0</CharactersWithSpaces>
  <Application>WPS Office_12.1.0.16704_F1E327BC-269C-435d-A152-05C5408002CA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2024-03-28T08:37:00Z</dcterms:created>
  <dc:creator>李桂兴</dc:creator>
  <cp:lastModifiedBy>李桂兴</cp:lastModifiedBy>
  <dcterms:modified xsi:type="dcterms:W3CDTF">2024-03-28T08:50:10Z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2052-12.1.0.16704</vt:lpwstr>
  </property>
  <property fmtid="{D5CDD505-2E9C-101B-9397-08002B2CF9AE}" pid="3" name="ICV">
    <vt:lpwstr>4D35ADB11F164D4C8C12D3913A98E168_11</vt:lpwstr>
  </property>
</Properties>
</file>