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48DC4" w14:textId="2699BAB3" w:rsidR="00767E6F" w:rsidRDefault="00060AEA">
      <w:pPr>
        <w:jc w:val="center"/>
        <w:rPr>
          <w:rFonts w:ascii="宋体" w:hAnsi="宋体" w:hint="eastAsia"/>
          <w:b/>
          <w:bCs/>
          <w:sz w:val="30"/>
          <w:szCs w:val="30"/>
        </w:rPr>
      </w:pPr>
      <w:r w:rsidRPr="00060AEA">
        <w:rPr>
          <w:rFonts w:ascii="宋体" w:hAnsi="宋体" w:hint="eastAsia"/>
          <w:b/>
          <w:bCs/>
          <w:sz w:val="30"/>
          <w:szCs w:val="30"/>
        </w:rPr>
        <w:t>南宁市第三中学（青山校区）超融合设备采购项目</w:t>
      </w:r>
      <w:r w:rsidR="00000000">
        <w:rPr>
          <w:rFonts w:ascii="宋体" w:hAnsi="宋体" w:hint="eastAsia"/>
          <w:b/>
          <w:bCs/>
          <w:sz w:val="30"/>
          <w:szCs w:val="30"/>
        </w:rPr>
        <w:t>需求</w:t>
      </w:r>
      <w:r>
        <w:rPr>
          <w:rFonts w:ascii="宋体" w:hAnsi="宋体" w:hint="eastAsia"/>
          <w:b/>
          <w:bCs/>
          <w:sz w:val="30"/>
          <w:szCs w:val="30"/>
        </w:rPr>
        <w:t>表</w:t>
      </w:r>
    </w:p>
    <w:p w14:paraId="7D3FB8EA" w14:textId="77777777" w:rsidR="00767E6F" w:rsidRDefault="00000000">
      <w:pPr>
        <w:spacing w:beforeLines="100" w:before="312" w:line="360" w:lineRule="auto"/>
        <w:ind w:firstLineChars="200" w:firstLine="602"/>
        <w:jc w:val="left"/>
        <w:rPr>
          <w:rFonts w:ascii="宋体" w:hAnsi="宋体" w:hint="eastAsia"/>
          <w:b/>
          <w:bCs/>
          <w:sz w:val="30"/>
          <w:szCs w:val="30"/>
        </w:rPr>
      </w:pPr>
      <w:r>
        <w:rPr>
          <w:rFonts w:ascii="宋体" w:hAnsi="宋体" w:hint="eastAsia"/>
          <w:b/>
          <w:bCs/>
          <w:sz w:val="30"/>
          <w:szCs w:val="30"/>
        </w:rPr>
        <w:t>一、报价要求:</w:t>
      </w:r>
    </w:p>
    <w:p w14:paraId="275B3A61"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1、本采购需求-</w:t>
      </w:r>
      <w:proofErr w:type="gramStart"/>
      <w:r>
        <w:rPr>
          <w:rFonts w:ascii="宋体" w:hAnsi="宋体" w:hint="eastAsia"/>
          <w:sz w:val="24"/>
        </w:rPr>
        <w:t>览</w:t>
      </w:r>
      <w:proofErr w:type="gramEnd"/>
      <w:r>
        <w:rPr>
          <w:rFonts w:ascii="宋体" w:hAnsi="宋体" w:hint="eastAsia"/>
          <w:sz w:val="24"/>
        </w:rPr>
        <w:t>表中，凡标注“</w:t>
      </w:r>
      <w:r>
        <w:rPr>
          <w:rFonts w:ascii="宋体" w:hAnsi="宋体" w:hint="eastAsia"/>
          <w:color w:val="000000"/>
          <w:kern w:val="0"/>
          <w:sz w:val="22"/>
        </w:rPr>
        <w:t>★</w:t>
      </w:r>
      <w:r>
        <w:rPr>
          <w:rFonts w:ascii="宋体" w:hAnsi="宋体" w:hint="eastAsia"/>
          <w:sz w:val="24"/>
        </w:rPr>
        <w:t>”号的条款为关键指标或要求必须满足，报价时要求提供资料的必须提供，不允许有负偏离，否则竞价无效。</w:t>
      </w:r>
    </w:p>
    <w:p w14:paraId="0DA436D1"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2、报价人在竞价时参考响应文件格式上传报价清单附件，清单中必须明确写明品牌、型号、技术参数、数量、单位、单价及金额，否则视为无效报价。</w:t>
      </w:r>
    </w:p>
    <w:p w14:paraId="63A9ECE0"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3、报价人必须认真审核竞价文件的所有要求，若发现报价人存在未实质性响应采购文件的行为，将按无效竞价处理：如明知不满足采购文件对于品牌、型号、单位资质等要求而进行恶意竞争的，或因报价人虚假竞标导致竞标无效造成的工期延误及损失，将根据《政</w:t>
      </w:r>
      <w:proofErr w:type="gramStart"/>
      <w:r>
        <w:rPr>
          <w:rFonts w:ascii="宋体" w:hAnsi="宋体" w:hint="eastAsia"/>
          <w:sz w:val="24"/>
        </w:rPr>
        <w:t>采云</w:t>
      </w:r>
      <w:proofErr w:type="gramEnd"/>
      <w:r>
        <w:rPr>
          <w:rFonts w:ascii="宋体" w:hAnsi="宋体" w:hint="eastAsia"/>
          <w:sz w:val="24"/>
        </w:rPr>
        <w:t>平台电子卖场权益维护及纠纷处理规则》的规定报有关部门处理。</w:t>
      </w:r>
    </w:p>
    <w:p w14:paraId="12CD8E5F"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4、报价人请务必认真了解项目采购需求和要求，本项目为反向竞价，报价人报价仅限本项目采购需求表中指定品牌及型号，不接受指定品牌及型号以外的产品。</w:t>
      </w:r>
    </w:p>
    <w:p w14:paraId="7797900A"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5、响应附件要求：按采购要求上传，否则采购人可以否决成交。</w:t>
      </w:r>
    </w:p>
    <w:p w14:paraId="47AC868A"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供应商在竞价时须在响应附件中上传加盖本公司公章的《竞价响应文件》pdf版电子扫描件,《竞价响应文件》应包含文件目录及以下内容:</w:t>
      </w:r>
    </w:p>
    <w:p w14:paraId="0EB9F1D7"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(1)竞标供应商《营业执照》复印件；</w:t>
      </w:r>
    </w:p>
    <w:p w14:paraId="6DBC6EE3"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(2)《技术需求响应表》</w:t>
      </w:r>
    </w:p>
    <w:p w14:paraId="3550D8DE"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(3)《商务要求响应表》</w:t>
      </w:r>
    </w:p>
    <w:p w14:paraId="6D16BED0" w14:textId="77777777" w:rsidR="00767E6F" w:rsidRDefault="00000000">
      <w:pPr>
        <w:spacing w:line="360" w:lineRule="auto"/>
        <w:ind w:firstLineChars="200" w:firstLine="480"/>
        <w:jc w:val="left"/>
        <w:rPr>
          <w:rFonts w:ascii="宋体" w:hAnsi="宋体" w:hint="eastAsia"/>
          <w:sz w:val="24"/>
        </w:rPr>
      </w:pPr>
      <w:r>
        <w:rPr>
          <w:rFonts w:ascii="宋体" w:hAnsi="宋体" w:hint="eastAsia"/>
          <w:sz w:val="24"/>
        </w:rPr>
        <w:t>(4)技术需求表中加注"</w:t>
      </w:r>
      <w:r>
        <w:rPr>
          <w:rFonts w:ascii="宋体" w:hAnsi="宋体" w:hint="eastAsia"/>
          <w:color w:val="000000"/>
          <w:kern w:val="0"/>
          <w:sz w:val="22"/>
        </w:rPr>
        <w:t>★</w:t>
      </w:r>
      <w:r>
        <w:rPr>
          <w:rFonts w:ascii="宋体" w:hAnsi="宋体" w:hint="eastAsia"/>
          <w:sz w:val="24"/>
        </w:rPr>
        <w:t>"条款要求必须提供的资料，否则报价无效。</w:t>
      </w:r>
    </w:p>
    <w:p w14:paraId="13DCECE2" w14:textId="77777777" w:rsidR="00767E6F" w:rsidRDefault="00000000">
      <w:pPr>
        <w:rPr>
          <w:rFonts w:ascii="宋体" w:hAnsi="宋体" w:hint="eastAsia"/>
          <w:b/>
          <w:bCs/>
          <w:sz w:val="30"/>
          <w:szCs w:val="30"/>
        </w:rPr>
      </w:pPr>
      <w:r>
        <w:rPr>
          <w:rFonts w:ascii="宋体" w:hAnsi="宋体"/>
          <w:b/>
          <w:bCs/>
          <w:sz w:val="30"/>
          <w:szCs w:val="30"/>
        </w:rPr>
        <w:br w:type="page"/>
      </w:r>
    </w:p>
    <w:tbl>
      <w:tblPr>
        <w:tblpPr w:leftFromText="180" w:rightFromText="180" w:vertAnchor="text" w:horzAnchor="page" w:tblpX="958" w:tblpY="260"/>
        <w:tblOverlap w:val="never"/>
        <w:tblW w:w="5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659"/>
        <w:gridCol w:w="569"/>
        <w:gridCol w:w="883"/>
        <w:gridCol w:w="3848"/>
        <w:gridCol w:w="583"/>
        <w:gridCol w:w="478"/>
        <w:gridCol w:w="1198"/>
        <w:gridCol w:w="1230"/>
      </w:tblGrid>
      <w:tr w:rsidR="00767E6F" w14:paraId="2F581478" w14:textId="77777777">
        <w:trPr>
          <w:trHeight w:val="630"/>
        </w:trPr>
        <w:tc>
          <w:tcPr>
            <w:tcW w:w="5000" w:type="pct"/>
            <w:gridSpan w:val="9"/>
            <w:noWrap/>
            <w:vAlign w:val="center"/>
          </w:tcPr>
          <w:p w14:paraId="1DFA45AA" w14:textId="77777777" w:rsidR="00767E6F" w:rsidRDefault="00000000">
            <w:pPr>
              <w:widowControl/>
              <w:jc w:val="left"/>
              <w:textAlignment w:val="center"/>
              <w:rPr>
                <w:rFonts w:ascii="宋体" w:hAnsi="宋体" w:hint="eastAsia"/>
                <w:b/>
                <w:bCs/>
                <w:color w:val="000000"/>
                <w:sz w:val="22"/>
                <w:szCs w:val="22"/>
              </w:rPr>
            </w:pPr>
            <w:r>
              <w:rPr>
                <w:rFonts w:ascii="宋体" w:hAnsi="宋体" w:hint="eastAsia"/>
                <w:b/>
                <w:bCs/>
                <w:color w:val="000000"/>
                <w:sz w:val="22"/>
                <w:szCs w:val="22"/>
              </w:rPr>
              <w:lastRenderedPageBreak/>
              <w:t>一、采购货物技术需求</w:t>
            </w:r>
          </w:p>
        </w:tc>
      </w:tr>
      <w:tr w:rsidR="00767E6F" w14:paraId="0D24FBDC" w14:textId="77777777">
        <w:trPr>
          <w:trHeight w:val="630"/>
        </w:trPr>
        <w:tc>
          <w:tcPr>
            <w:tcW w:w="252" w:type="pct"/>
            <w:noWrap/>
            <w:vAlign w:val="center"/>
          </w:tcPr>
          <w:p w14:paraId="4AEB384D"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序号</w:t>
            </w:r>
          </w:p>
        </w:tc>
        <w:tc>
          <w:tcPr>
            <w:tcW w:w="331" w:type="pct"/>
            <w:vAlign w:val="center"/>
          </w:tcPr>
          <w:p w14:paraId="52C037E6"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产品名称</w:t>
            </w:r>
          </w:p>
        </w:tc>
        <w:tc>
          <w:tcPr>
            <w:tcW w:w="286" w:type="pct"/>
            <w:vAlign w:val="center"/>
          </w:tcPr>
          <w:p w14:paraId="1945A592"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品牌</w:t>
            </w:r>
          </w:p>
        </w:tc>
        <w:tc>
          <w:tcPr>
            <w:tcW w:w="444" w:type="pct"/>
            <w:vAlign w:val="center"/>
          </w:tcPr>
          <w:p w14:paraId="1A595B3D"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规格型号</w:t>
            </w:r>
          </w:p>
        </w:tc>
        <w:tc>
          <w:tcPr>
            <w:tcW w:w="1934" w:type="pct"/>
            <w:vAlign w:val="center"/>
          </w:tcPr>
          <w:p w14:paraId="1A3B2CCA"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主要参数及配置</w:t>
            </w:r>
          </w:p>
        </w:tc>
        <w:tc>
          <w:tcPr>
            <w:tcW w:w="293" w:type="pct"/>
            <w:noWrap/>
            <w:vAlign w:val="center"/>
          </w:tcPr>
          <w:p w14:paraId="3A93CA87"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数量</w:t>
            </w:r>
          </w:p>
        </w:tc>
        <w:tc>
          <w:tcPr>
            <w:tcW w:w="240" w:type="pct"/>
            <w:noWrap/>
            <w:vAlign w:val="center"/>
          </w:tcPr>
          <w:p w14:paraId="6C8EE8B1"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单位</w:t>
            </w:r>
          </w:p>
        </w:tc>
        <w:tc>
          <w:tcPr>
            <w:tcW w:w="602" w:type="pct"/>
            <w:vAlign w:val="center"/>
          </w:tcPr>
          <w:p w14:paraId="1191B06A"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单价</w:t>
            </w:r>
          </w:p>
          <w:p w14:paraId="0F307F14"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（元）</w:t>
            </w:r>
          </w:p>
        </w:tc>
        <w:tc>
          <w:tcPr>
            <w:tcW w:w="617" w:type="pct"/>
            <w:vAlign w:val="center"/>
          </w:tcPr>
          <w:p w14:paraId="1F5AE63F"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总价</w:t>
            </w:r>
          </w:p>
          <w:p w14:paraId="36FECC40" w14:textId="77777777" w:rsidR="00767E6F" w:rsidRDefault="00000000">
            <w:pPr>
              <w:widowControl/>
              <w:jc w:val="center"/>
              <w:textAlignment w:val="center"/>
              <w:rPr>
                <w:rFonts w:ascii="宋体" w:hAnsi="宋体" w:hint="eastAsia"/>
                <w:b/>
                <w:bCs/>
                <w:color w:val="000000"/>
                <w:kern w:val="0"/>
                <w:sz w:val="22"/>
                <w:szCs w:val="22"/>
              </w:rPr>
            </w:pPr>
            <w:r>
              <w:rPr>
                <w:rFonts w:ascii="宋体" w:hAnsi="宋体" w:hint="eastAsia"/>
                <w:b/>
                <w:bCs/>
                <w:color w:val="000000"/>
                <w:kern w:val="0"/>
                <w:sz w:val="22"/>
                <w:szCs w:val="22"/>
              </w:rPr>
              <w:t>（元）</w:t>
            </w:r>
          </w:p>
        </w:tc>
      </w:tr>
      <w:tr w:rsidR="00767E6F" w14:paraId="0F9A6670" w14:textId="77777777">
        <w:trPr>
          <w:trHeight w:val="3721"/>
        </w:trPr>
        <w:tc>
          <w:tcPr>
            <w:tcW w:w="252" w:type="pct"/>
            <w:noWrap/>
            <w:vAlign w:val="center"/>
          </w:tcPr>
          <w:p w14:paraId="6BD786DC"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sz w:val="22"/>
                <w:szCs w:val="22"/>
              </w:rPr>
              <w:t>1</w:t>
            </w:r>
          </w:p>
        </w:tc>
        <w:tc>
          <w:tcPr>
            <w:tcW w:w="331" w:type="pct"/>
            <w:vAlign w:val="center"/>
          </w:tcPr>
          <w:p w14:paraId="17F940EF" w14:textId="77777777" w:rsidR="00767E6F" w:rsidRDefault="00000000">
            <w:pPr>
              <w:widowControl/>
              <w:spacing w:line="360" w:lineRule="auto"/>
              <w:jc w:val="center"/>
              <w:textAlignment w:val="center"/>
              <w:rPr>
                <w:rFonts w:ascii="宋体" w:hAnsi="宋体" w:hint="eastAsia"/>
                <w:color w:val="000000"/>
                <w:kern w:val="0"/>
                <w:sz w:val="22"/>
                <w:szCs w:val="22"/>
              </w:rPr>
            </w:pPr>
            <w:r>
              <w:rPr>
                <w:rFonts w:ascii="宋体" w:hAnsi="宋体" w:hint="eastAsia"/>
                <w:color w:val="000000"/>
                <w:kern w:val="0"/>
                <w:sz w:val="22"/>
                <w:szCs w:val="22"/>
                <w:lang w:bidi="ar"/>
              </w:rPr>
              <w:t>超融合服务器</w:t>
            </w:r>
            <w:r>
              <w:rPr>
                <w:rFonts w:ascii="宋体" w:hAnsi="宋体" w:hint="eastAsia"/>
                <w:color w:val="000000"/>
                <w:kern w:val="0"/>
                <w:sz w:val="22"/>
                <w:szCs w:val="22"/>
                <w:lang w:bidi="ar"/>
              </w:rPr>
              <w:br/>
              <w:t>一体机</w:t>
            </w:r>
          </w:p>
        </w:tc>
        <w:tc>
          <w:tcPr>
            <w:tcW w:w="286" w:type="pct"/>
            <w:vAlign w:val="center"/>
          </w:tcPr>
          <w:p w14:paraId="1FDD3C49"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t>深信服</w:t>
            </w:r>
          </w:p>
        </w:tc>
        <w:tc>
          <w:tcPr>
            <w:tcW w:w="444" w:type="pct"/>
            <w:vAlign w:val="center"/>
          </w:tcPr>
          <w:p w14:paraId="4A0A3D11"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t>aServer-W-2305</w:t>
            </w:r>
          </w:p>
        </w:tc>
        <w:tc>
          <w:tcPr>
            <w:tcW w:w="1934" w:type="pct"/>
            <w:vAlign w:val="center"/>
          </w:tcPr>
          <w:p w14:paraId="27B5CFCB" w14:textId="77777777" w:rsidR="00767E6F" w:rsidRDefault="00000000">
            <w:pPr>
              <w:pStyle w:val="aa"/>
              <w:widowControl/>
              <w:spacing w:line="360" w:lineRule="auto"/>
              <w:ind w:firstLineChars="0" w:firstLine="0"/>
              <w:rPr>
                <w:rFonts w:ascii="宋体" w:hAnsi="宋体" w:hint="eastAsia"/>
                <w:b/>
                <w:sz w:val="22"/>
                <w:szCs w:val="22"/>
              </w:rPr>
            </w:pPr>
            <w:r>
              <w:rPr>
                <w:rFonts w:ascii="宋体" w:hAnsi="宋体" w:hint="eastAsia"/>
                <w:b/>
                <w:sz w:val="22"/>
                <w:szCs w:val="22"/>
              </w:rPr>
              <w:t>一、超融合一体机</w:t>
            </w:r>
          </w:p>
          <w:p w14:paraId="3058CD7B"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★硬件规格（需提供产品图片不少于3张并加盖供应商公章）</w:t>
            </w:r>
          </w:p>
          <w:p w14:paraId="5D56938D"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1、规格：2U服务器；</w:t>
            </w:r>
          </w:p>
          <w:p w14:paraId="588AC9F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2、处理器：配置≥2颗intel(R) Xeon(R) Gold 5318Y CPU@2.10GHZ（24C）；</w:t>
            </w:r>
          </w:p>
          <w:p w14:paraId="3450AA3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3、内存：配置≥12*32GB DDR4 3200内存；内存插槽数量≥32个，最大内存可扩展至2048GB；具备内存回收机制，实现内存资源的动态复用，保障服务器的性能；</w:t>
            </w:r>
          </w:p>
          <w:p w14:paraId="4BA88881"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4、硬盘：配置≥6块3.5寸6T SATA数据盘 7.2K转速、≥2块480G SSD系统盘（不占用前置硬盘槽）、≥2块960G Intel DC系列 SSD缓存盘，支持热插拔SAS/SATA硬盘，兼容2.5英寸和3.5英寸硬盘，配备≥12个2.5/3.5寸硬盘槽；</w:t>
            </w:r>
          </w:p>
          <w:p w14:paraId="12B35308"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5、设备最多支持≥3个PCIe扩展插槽，配备≥4个GE端口和2个10GE端口（包含2个万兆</w:t>
            </w:r>
            <w:proofErr w:type="gramStart"/>
            <w:r>
              <w:rPr>
                <w:rFonts w:ascii="宋体" w:hAnsi="宋体" w:hint="eastAsia"/>
                <w:bCs/>
                <w:sz w:val="22"/>
                <w:szCs w:val="22"/>
              </w:rPr>
              <w:t>多模光模块</w:t>
            </w:r>
            <w:proofErr w:type="gramEnd"/>
            <w:r>
              <w:rPr>
                <w:rFonts w:ascii="宋体" w:hAnsi="宋体" w:hint="eastAsia"/>
                <w:bCs/>
                <w:sz w:val="22"/>
                <w:szCs w:val="22"/>
              </w:rPr>
              <w:t>）；配置冗余电源；</w:t>
            </w:r>
          </w:p>
          <w:p w14:paraId="079CDC92"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6、RAID功能：提供raid 0/1/10并支持JBOD直通；</w:t>
            </w:r>
          </w:p>
          <w:p w14:paraId="126426AD"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lastRenderedPageBreak/>
              <w:t>7、包含原厂5年硬件保修、软件升级服务；</w:t>
            </w:r>
          </w:p>
          <w:p w14:paraId="5F4E48F9"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8、★为保证平台的兼容性和稳定性，要求与 “计算服务器虚拟化软件”、 “虚拟存储软件”、“网络虚拟化软件”为同一品牌；</w:t>
            </w:r>
          </w:p>
          <w:p w14:paraId="7D743EF0"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9、★为</w:t>
            </w:r>
            <w:proofErr w:type="gramStart"/>
            <w:r>
              <w:rPr>
                <w:rFonts w:ascii="宋体" w:hAnsi="宋体" w:hint="eastAsia"/>
                <w:bCs/>
                <w:sz w:val="22"/>
                <w:szCs w:val="22"/>
              </w:rPr>
              <w:t>方便运</w:t>
            </w:r>
            <w:proofErr w:type="gramEnd"/>
            <w:r>
              <w:rPr>
                <w:rFonts w:ascii="宋体" w:hAnsi="宋体" w:hint="eastAsia"/>
                <w:bCs/>
                <w:sz w:val="22"/>
                <w:szCs w:val="22"/>
              </w:rPr>
              <w:t>维管理，本次采购3套服务器须能互为一个集群统一管理，实现以下功能：</w:t>
            </w:r>
          </w:p>
          <w:p w14:paraId="7C9D498B"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（1）支持实现虚拟机跨集群迁移（业务不中断），完成系统的平滑升级；</w:t>
            </w:r>
          </w:p>
          <w:p w14:paraId="18784A1A"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（2）平台可实现对集群内所有虚拟机配置资源（CPU、内存、硬盘）动态热分配；</w:t>
            </w:r>
          </w:p>
          <w:p w14:paraId="7DA49EA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（3）对集群内所有虚拟机全生命周期进行管理（包括虚拟机创建、更新、备份、恢复等功能）；</w:t>
            </w:r>
          </w:p>
          <w:p w14:paraId="150F60A5"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（4）可以对集群资源实时监控和分析资源使用情况，以优化性能。</w:t>
            </w:r>
          </w:p>
          <w:p w14:paraId="081570AD" w14:textId="77777777" w:rsidR="00767E6F" w:rsidRDefault="00000000">
            <w:pPr>
              <w:pStyle w:val="aa"/>
              <w:widowControl/>
              <w:spacing w:line="360" w:lineRule="auto"/>
              <w:ind w:firstLineChars="0" w:firstLine="0"/>
              <w:rPr>
                <w:rFonts w:ascii="宋体" w:hAnsi="宋体" w:hint="eastAsia"/>
                <w:b/>
                <w:sz w:val="22"/>
                <w:szCs w:val="22"/>
              </w:rPr>
            </w:pPr>
            <w:r>
              <w:rPr>
                <w:rFonts w:ascii="宋体" w:hAnsi="宋体" w:hint="eastAsia"/>
                <w:b/>
                <w:sz w:val="22"/>
                <w:szCs w:val="22"/>
              </w:rPr>
              <w:t>二、计算服务器虚拟化软件</w:t>
            </w:r>
          </w:p>
          <w:p w14:paraId="2A30C4E2"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配置2个物理CPU的计算服务器虚拟化软件授权，同时应满足以下需求：</w:t>
            </w:r>
          </w:p>
          <w:p w14:paraId="78E56421"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1、★虚拟化软件非OEM或贴牌产品，采用分布式管理架构，去中心化，管理平台不依赖于某一个虚拟机或</w:t>
            </w:r>
            <w:proofErr w:type="gramStart"/>
            <w:r>
              <w:rPr>
                <w:rFonts w:ascii="宋体" w:hAnsi="宋体" w:hint="eastAsia"/>
                <w:bCs/>
                <w:sz w:val="22"/>
                <w:szCs w:val="22"/>
              </w:rPr>
              <w:t>物理机</w:t>
            </w:r>
            <w:proofErr w:type="gramEnd"/>
            <w:r>
              <w:rPr>
                <w:rFonts w:ascii="宋体" w:hAnsi="宋体" w:hint="eastAsia"/>
                <w:bCs/>
                <w:sz w:val="22"/>
                <w:szCs w:val="22"/>
              </w:rPr>
              <w:t>部署，采用分布式架构保障平台更可靠，虚拟化软件应基于KVM开发，可维护性好，部署时无需绑定安装OpenStack相关组件；</w:t>
            </w:r>
          </w:p>
          <w:p w14:paraId="6FCB7B77"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lastRenderedPageBreak/>
              <w:t>2、在超融合管理平台界面上提供虚拟机删除、开关机、挂起与恢复、重启、关闭、关闭电源、克隆、迁移、备份、模板导出、快照、标签管理等功能，并支持批量操作；</w:t>
            </w:r>
          </w:p>
          <w:p w14:paraId="616C574C"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3、★可以支持扩展同一品牌的存储虚拟化、网络功能虚拟化、虚拟应用防火墙、虚拟应用交付、SSL VPN软件、数据库审计软件等功能组件的，并支持统一管理，以保障平台的扩展性和兼容性；（需提供产品界面截图并加盖投标人公章）</w:t>
            </w:r>
          </w:p>
          <w:p w14:paraId="2AFFFE53"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4、支持纳管第三方主流虚拟化平台，可对</w:t>
            </w:r>
            <w:proofErr w:type="spellStart"/>
            <w:r>
              <w:rPr>
                <w:rFonts w:ascii="宋体" w:hAnsi="宋体" w:hint="eastAsia"/>
                <w:bCs/>
                <w:sz w:val="22"/>
                <w:szCs w:val="22"/>
              </w:rPr>
              <w:t>Vmware</w:t>
            </w:r>
            <w:proofErr w:type="spellEnd"/>
            <w:r>
              <w:rPr>
                <w:rFonts w:ascii="宋体" w:hAnsi="宋体" w:hint="eastAsia"/>
                <w:bCs/>
                <w:sz w:val="22"/>
                <w:szCs w:val="22"/>
              </w:rPr>
              <w:t>平台上的虚拟机进行管理，支持在本地管理平台实现对VMware vCenter中的虚拟机备份，并能够在超融合的平台实现VMware虚拟机的启动恢复；</w:t>
            </w:r>
          </w:p>
          <w:p w14:paraId="08571B3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5、支持双向迁移操作，可将VMware虚拟机迁移到超融合平台上，也可将超融合平台上的虚拟机迁移到VMware vCenter的集群中，迁移结束后的虚拟机可进行手动或自动重启操作；</w:t>
            </w:r>
          </w:p>
          <w:p w14:paraId="241D0F05"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6、★支持UPS QoS（UPS联动），为尽可能保障数据中心断电场景下的业务，可在市电断电时通过UPS临时供应电量，当UPS电量过低时，按照虚拟机优先级先将不重要的虚拟机进行软关机；</w:t>
            </w:r>
            <w:r>
              <w:rPr>
                <w:rFonts w:ascii="宋体" w:hAnsi="宋体" w:hint="eastAsia"/>
                <w:bCs/>
                <w:sz w:val="22"/>
                <w:szCs w:val="22"/>
              </w:rPr>
              <w:lastRenderedPageBreak/>
              <w:t>（需提供产品界面截图并加盖投标人公章）</w:t>
            </w:r>
          </w:p>
          <w:p w14:paraId="0EC3EA1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7、★当扫描到物理主机的内存条出现ECC CE和UE错误时，能够将对应内存空间进行隔离并定位故障内存的槽位，减少硬件问题对业务的影响；（提供产品界面截图并加盖投标人公章）</w:t>
            </w:r>
          </w:p>
          <w:p w14:paraId="4A9047BF"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8、★为避免主机假死导致系列问题发生，支持识别假死主机并标签化为亚健康主机，通过邮件或短信告警提醒用户进行处理，并限制重要业务在亚健康主机上运行，规避风险；（需提供产品界面截图并加盖投标人公章）</w:t>
            </w:r>
          </w:p>
          <w:p w14:paraId="1F4A6BA7"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9、支持漏洞及版本信息巡检，推送补丁及升级信息，并支持补丁管理、更新、回滚；</w:t>
            </w:r>
          </w:p>
          <w:p w14:paraId="64C35561"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10、每个虚拟机都可以安装独立的操作系统，应支持Windows、 Linux，并且支持国产操作系统包括：红旗</w:t>
            </w:r>
            <w:proofErr w:type="spellStart"/>
            <w:r>
              <w:rPr>
                <w:rFonts w:ascii="宋体" w:hAnsi="宋体" w:hint="eastAsia"/>
                <w:bCs/>
                <w:sz w:val="22"/>
                <w:szCs w:val="22"/>
              </w:rPr>
              <w:t>linux</w:t>
            </w:r>
            <w:proofErr w:type="spellEnd"/>
            <w:r>
              <w:rPr>
                <w:rFonts w:ascii="宋体" w:hAnsi="宋体" w:hint="eastAsia"/>
                <w:bCs/>
                <w:sz w:val="22"/>
                <w:szCs w:val="22"/>
              </w:rPr>
              <w:t>、中标麒麟、中标普华、深度</w:t>
            </w:r>
            <w:proofErr w:type="spellStart"/>
            <w:r>
              <w:rPr>
                <w:rFonts w:ascii="宋体" w:hAnsi="宋体" w:hint="eastAsia"/>
                <w:bCs/>
                <w:sz w:val="22"/>
                <w:szCs w:val="22"/>
              </w:rPr>
              <w:t>linux</w:t>
            </w:r>
            <w:proofErr w:type="spellEnd"/>
            <w:r>
              <w:rPr>
                <w:rFonts w:ascii="宋体" w:hAnsi="宋体" w:hint="eastAsia"/>
                <w:bCs/>
                <w:sz w:val="22"/>
                <w:szCs w:val="22"/>
              </w:rPr>
              <w:t>等；</w:t>
            </w:r>
          </w:p>
          <w:p w14:paraId="7ED195ED"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11、支持虚拟机的HA功能，当物理服务器发生故障时，该物理服务器上的所有虚拟机，可以在集群之内的其它物理服务器上重新启动，以保障业务连续性；</w:t>
            </w:r>
          </w:p>
          <w:p w14:paraId="24166E5B"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12、支持动态资源扩展DRX，系统支持自动评估虚拟机的性能，当虚拟机性能不足时自动为虚拟机添加CPU和内存资源，确保业务持续高效运行；</w:t>
            </w:r>
          </w:p>
          <w:p w14:paraId="021FE00E"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lastRenderedPageBreak/>
              <w:t>13、支持集群动态资源调度DRS，系统支持自动评估物理主机的负载情况，当物理主机负载过高时，自动将该物理主机上的虚拟机迁移到其他负载较低的主机上，确保业务持续稳定和集群主机负载均衡；</w:t>
            </w:r>
          </w:p>
          <w:p w14:paraId="4DBDF6B3"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14、支持无代理跨物理主机的虚拟机USB映射，需要使用USB KEY时，无需在虚拟机上安装客户端插件，且虚拟机迁移到其它物理主机后，仍能正常使用迁移前所在物理主机上的USB资源；</w:t>
            </w:r>
          </w:p>
          <w:p w14:paraId="75EE3EB2"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15、为了更好的保护用户数据，虚拟化软件自带无代理备份功能，无需安装备份软件，支持设置定期全量备份、增量备份、差异备份，支持用户灵活配置备份策略，备份文件保留时间最高可以达到15年，支持将虚拟机的备份文件定期归档到第二存储；</w:t>
            </w:r>
          </w:p>
          <w:p w14:paraId="5A6FAB9E"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16、支持设置告警类型（紧急和普通）、告警内容（集群、主机、虚拟机、CPU、内存、磁盘），针对告警信息平台可自动给出告警处理建议，同时支持将告警信息以短信和邮件方式发送给管理员；</w:t>
            </w:r>
          </w:p>
          <w:p w14:paraId="3B7C569D"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17、★提供基于PowerShell的CLI命令行功能，通过PowerShell脚本可简化用户运维操作；（需提供产品界面截图并加盖投标人公章）</w:t>
            </w:r>
          </w:p>
          <w:p w14:paraId="4FD81C4B"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18、支持点击还原按钮，还原回收站列表指定项，可恢复30天内已删除的虚</w:t>
            </w:r>
            <w:r>
              <w:rPr>
                <w:rFonts w:ascii="宋体" w:hAnsi="宋体" w:hint="eastAsia"/>
                <w:bCs/>
                <w:sz w:val="22"/>
                <w:szCs w:val="22"/>
              </w:rPr>
              <w:lastRenderedPageBreak/>
              <w:t>拟机，可以查看回收站列表项信息，包括名称、描述、存储和删除时间和保留时间；</w:t>
            </w:r>
          </w:p>
          <w:p w14:paraId="63476E69" w14:textId="77777777" w:rsidR="00767E6F" w:rsidRDefault="00000000">
            <w:pPr>
              <w:pStyle w:val="aa"/>
              <w:widowControl/>
              <w:spacing w:line="360" w:lineRule="auto"/>
              <w:ind w:firstLineChars="0" w:firstLine="0"/>
              <w:rPr>
                <w:rFonts w:ascii="宋体" w:hAnsi="宋体" w:hint="eastAsia"/>
                <w:b/>
                <w:sz w:val="22"/>
                <w:szCs w:val="22"/>
              </w:rPr>
            </w:pPr>
            <w:r>
              <w:rPr>
                <w:rFonts w:ascii="宋体" w:hAnsi="宋体" w:hint="eastAsia"/>
                <w:b/>
                <w:sz w:val="22"/>
                <w:szCs w:val="22"/>
              </w:rPr>
              <w:t>三、网络虚拟化软件</w:t>
            </w:r>
          </w:p>
          <w:p w14:paraId="6AD16CEA"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配置2个CPU的网络虚拟化软件授权，同时应满足以下需求：</w:t>
            </w:r>
          </w:p>
          <w:p w14:paraId="79886BF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1、★在管理平台上可以通过拖拽虚拟设备图标和连线就能完成网络拓扑的构建，快速的实现整个业务逻辑，支持对整个平台虚拟设备实现统一的管理，提升运</w:t>
            </w:r>
            <w:proofErr w:type="gramStart"/>
            <w:r>
              <w:rPr>
                <w:rFonts w:ascii="宋体" w:hAnsi="宋体" w:hint="eastAsia"/>
                <w:bCs/>
                <w:sz w:val="22"/>
                <w:szCs w:val="22"/>
              </w:rPr>
              <w:t>维管理</w:t>
            </w:r>
            <w:proofErr w:type="gramEnd"/>
            <w:r>
              <w:rPr>
                <w:rFonts w:ascii="宋体" w:hAnsi="宋体" w:hint="eastAsia"/>
                <w:bCs/>
                <w:sz w:val="22"/>
                <w:szCs w:val="22"/>
              </w:rPr>
              <w:t>的工作效率；（需提供产品界面截图并加盖投标人公章）</w:t>
            </w:r>
          </w:p>
          <w:p w14:paraId="1142382A"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2、支持管理网、业务网、数据通信网（VXLAN）和存储网复用相同物理网口。推荐两个或四个网口聚合，最多支持8个网口聚合。网口复用后，支持对不同网络平面进行流量控制和VLAN隔离，为网络中的每个虚拟机提供内置的网络故障切换和负载均衡能力，实现更高的硬件可用性和容错能力；</w:t>
            </w:r>
          </w:p>
          <w:p w14:paraId="421C6BBD"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3、★支持创建分布式虚拟防火墙，可基于虚拟机、虚拟机组、虚拟机标签、IP、IP范围、IP组构建安全防火墙，当虚拟机在不同的物理节点之间迁移时，安全策略随之移动；（需提供产品界面截图并加盖投标人公章）</w:t>
            </w:r>
          </w:p>
          <w:p w14:paraId="7A56A676"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4、分布式防火墙中可以进行创建策略操作，可以对已创建策略进行设置，包括源、目的和状态等信息，可以查看已</w:t>
            </w:r>
            <w:r>
              <w:rPr>
                <w:rFonts w:ascii="宋体" w:hAnsi="宋体" w:hint="eastAsia"/>
                <w:bCs/>
                <w:sz w:val="22"/>
                <w:szCs w:val="22"/>
              </w:rPr>
              <w:lastRenderedPageBreak/>
              <w:t>创建的策略列表项信息，可以点击分布式防火墙中的实时拦截日志跳转到拦截日志和直通页面，可以进行实时拦截日志操作，可以查看实时拦截日志列表信息，包括时间、源、IP地址、协议（ICMP）、数据包大小和匹配策略名称，可以通过开启数据直通临时排查数据流量问题；</w:t>
            </w:r>
          </w:p>
          <w:p w14:paraId="2EDB1988"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5、虚拟路由器配置不限制个数，虚拟路由器支持HA功能，当虚拟路由器运行的主机出现故障时，可以实现故障自动恢复，保障业务的高可靠性；</w:t>
            </w:r>
          </w:p>
          <w:p w14:paraId="7D1B89BB"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6、可以支持手动指定虚拟路由器运行在固定的物理主机上，可以自动将虚拟路由器规划到高性能和高吞吐的物理主机上；</w:t>
            </w:r>
          </w:p>
          <w:p w14:paraId="1EE02C41"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7、★支持跳转连通性探测页面，可以设置探测对象信息，包括网口、对象类型、IP地址，可以点击开始探测按钮查看探测页面信息，可以在网络连通性探测页面查看网络探测是否成功；（需提供产品界面截图并加盖投标人公章）</w:t>
            </w:r>
          </w:p>
          <w:p w14:paraId="6AF084D3"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8、★超融合需提供网络可视化组件，可在图形化界面上观察到所有虚拟机的流量走向与访问关系，包括源IP、目的IP、访问次数、服务类型等；（需提供产品界面截图并加盖投标人公章）</w:t>
            </w:r>
          </w:p>
          <w:p w14:paraId="4CB064FA"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9、超融合能够提供端口镜像功能，支持将超融合内部网络流量镜像到内部</w:t>
            </w:r>
            <w:r>
              <w:rPr>
                <w:rFonts w:ascii="宋体" w:hAnsi="宋体" w:hint="eastAsia"/>
                <w:bCs/>
                <w:sz w:val="22"/>
                <w:szCs w:val="22"/>
              </w:rPr>
              <w:lastRenderedPageBreak/>
              <w:t>虚拟机、</w:t>
            </w:r>
            <w:proofErr w:type="spellStart"/>
            <w:r>
              <w:rPr>
                <w:rFonts w:ascii="宋体" w:hAnsi="宋体" w:hint="eastAsia"/>
                <w:bCs/>
                <w:sz w:val="22"/>
                <w:szCs w:val="22"/>
              </w:rPr>
              <w:t>nfv</w:t>
            </w:r>
            <w:proofErr w:type="spellEnd"/>
            <w:r>
              <w:rPr>
                <w:rFonts w:ascii="宋体" w:hAnsi="宋体" w:hint="eastAsia"/>
                <w:bCs/>
                <w:sz w:val="22"/>
                <w:szCs w:val="22"/>
              </w:rPr>
              <w:t>、外部安全设备进行流量审计，可联动安全态势感知平台进行流量检测；</w:t>
            </w:r>
          </w:p>
          <w:p w14:paraId="53B4B6F8"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10、★为保证设备的兼容性和稳定性，要求供应商所提供的产品与货物“计算服务器虚拟化软件”、“虚拟存储软件”、“超融合一体机”为同一品牌产品；</w:t>
            </w:r>
          </w:p>
          <w:p w14:paraId="496595FC" w14:textId="77777777" w:rsidR="00767E6F" w:rsidRDefault="00000000">
            <w:pPr>
              <w:pStyle w:val="aa"/>
              <w:widowControl/>
              <w:spacing w:line="360" w:lineRule="auto"/>
              <w:ind w:firstLineChars="0" w:firstLine="0"/>
              <w:rPr>
                <w:rFonts w:ascii="宋体" w:hAnsi="宋体" w:hint="eastAsia"/>
                <w:b/>
                <w:sz w:val="22"/>
                <w:szCs w:val="22"/>
              </w:rPr>
            </w:pPr>
            <w:r>
              <w:rPr>
                <w:rFonts w:ascii="宋体" w:hAnsi="宋体" w:hint="eastAsia"/>
                <w:b/>
                <w:sz w:val="22"/>
                <w:szCs w:val="22"/>
              </w:rPr>
              <w:t>四、虚拟存储软件</w:t>
            </w:r>
          </w:p>
          <w:p w14:paraId="1F61A3F9"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配置2个物理CPU的存储虚拟化软件授权，不限制硬盘容量，同时应满足以下需求：</w:t>
            </w:r>
          </w:p>
          <w:p w14:paraId="66B3492A"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1、分布式存储能够提供超高性能，性能随着节点数增加而线性增长，三节点集群能够提供百万级IOPS和12GB/s以上的带宽能力；</w:t>
            </w:r>
          </w:p>
          <w:p w14:paraId="78A091FA"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2、支持标准的iSCSI协议，允许外部物理主机或应用通过标准的iSCSI接口访问虚拟存储，实现Server SAN、IP-SAN、FC-SAN、NAS 的融合。通过iSCSI</w:t>
            </w:r>
            <w:proofErr w:type="gramStart"/>
            <w:r>
              <w:rPr>
                <w:rFonts w:ascii="宋体" w:hAnsi="宋体" w:hint="eastAsia"/>
                <w:bCs/>
                <w:sz w:val="22"/>
                <w:szCs w:val="22"/>
              </w:rPr>
              <w:t>透传</w:t>
            </w:r>
            <w:proofErr w:type="gramEnd"/>
            <w:r>
              <w:rPr>
                <w:rFonts w:ascii="宋体" w:hAnsi="宋体" w:hint="eastAsia"/>
                <w:bCs/>
                <w:sz w:val="22"/>
                <w:szCs w:val="22"/>
              </w:rPr>
              <w:t>/</w:t>
            </w:r>
            <w:proofErr w:type="gramStart"/>
            <w:r>
              <w:rPr>
                <w:rFonts w:ascii="宋体" w:hAnsi="宋体" w:hint="eastAsia"/>
                <w:bCs/>
                <w:sz w:val="22"/>
                <w:szCs w:val="22"/>
              </w:rPr>
              <w:t>非透传指令</w:t>
            </w:r>
            <w:proofErr w:type="gramEnd"/>
            <w:r>
              <w:rPr>
                <w:rFonts w:ascii="宋体" w:hAnsi="宋体" w:hint="eastAsia"/>
                <w:bCs/>
                <w:sz w:val="22"/>
                <w:szCs w:val="22"/>
              </w:rPr>
              <w:t>使虚拟机支持存储</w:t>
            </w:r>
            <w:proofErr w:type="gramStart"/>
            <w:r>
              <w:rPr>
                <w:rFonts w:ascii="宋体" w:hAnsi="宋体" w:hint="eastAsia"/>
                <w:bCs/>
                <w:sz w:val="22"/>
                <w:szCs w:val="22"/>
              </w:rPr>
              <w:t>裸</w:t>
            </w:r>
            <w:proofErr w:type="gramEnd"/>
            <w:r>
              <w:rPr>
                <w:rFonts w:ascii="宋体" w:hAnsi="宋体" w:hint="eastAsia"/>
                <w:bCs/>
                <w:sz w:val="22"/>
                <w:szCs w:val="22"/>
              </w:rPr>
              <w:t>设备映射（RDM），可以将存储设备上的LUN 直接映射给虚拟机使用；</w:t>
            </w:r>
          </w:p>
          <w:p w14:paraId="5A8B3633"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3、支持以磁盘为单位创建分卷，可将集群内固态硬盘组成一个</w:t>
            </w:r>
            <w:proofErr w:type="gramStart"/>
            <w:r>
              <w:rPr>
                <w:rFonts w:ascii="宋体" w:hAnsi="宋体" w:hint="eastAsia"/>
                <w:bCs/>
                <w:sz w:val="22"/>
                <w:szCs w:val="22"/>
              </w:rPr>
              <w:t>高性能全闪存</w:t>
            </w:r>
            <w:proofErr w:type="gramEnd"/>
            <w:r>
              <w:rPr>
                <w:rFonts w:ascii="宋体" w:hAnsi="宋体" w:hint="eastAsia"/>
                <w:bCs/>
                <w:sz w:val="22"/>
                <w:szCs w:val="22"/>
              </w:rPr>
              <w:t>存储池，满足高性能应用需求，将固态硬盘和机械硬盘组成一个大容量混合存储池，满足普通应用需求，以更低</w:t>
            </w:r>
            <w:r>
              <w:rPr>
                <w:rFonts w:ascii="宋体" w:hAnsi="宋体" w:hint="eastAsia"/>
                <w:bCs/>
                <w:sz w:val="22"/>
                <w:szCs w:val="22"/>
              </w:rPr>
              <w:lastRenderedPageBreak/>
              <w:t>成本灵活满足不同业务对存储性能容量的不同需求，并降低故障影响范围；</w:t>
            </w:r>
          </w:p>
          <w:p w14:paraId="562A49E1"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4、★支持启动聚合副本后，将会有1个副本聚合在一台主机，虚拟机会优先在聚合主机运行，实现数据的本地读取，降低网络开销；（需提供产品界面截图并加盖投标人公章）</w:t>
            </w:r>
          </w:p>
          <w:p w14:paraId="6EA818F9"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5、支持条带化功能，实现分布式raid0的性能提升效果，并且支持以虚拟磁盘为单位设置不同的条带数；</w:t>
            </w:r>
          </w:p>
          <w:p w14:paraId="09F5BCAF"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6、支持多种硬盘状态检测监控及告警，包括“健康”状态、“亚健康”状态、“故障”状态，不同状态的硬盘在UI上呈现不同的特征或告警，方便用户能够区分处理；</w:t>
            </w:r>
          </w:p>
          <w:p w14:paraId="1DEEE6EC"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7、★支持数据重建智能保护业务性能，可以对数据重建速度进行智能限速，避免数据重建过程中IO性能占用导致对业务的性能造成影响；（需提供产品界面截图并加盖投标人公章）</w:t>
            </w:r>
          </w:p>
          <w:p w14:paraId="1B80BE41"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8、为便于部署关键业务系统，虚拟存储可支持Oracle RAC，支持共享盘，及共享块设备，支持向导式安装，降低部署复杂度；</w:t>
            </w:r>
          </w:p>
          <w:p w14:paraId="1AFFD156"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9、支持对虚拟机业务按照小时/天/周自定义设置定时快照策略，以便业务发生故障时可以</w:t>
            </w:r>
            <w:proofErr w:type="gramStart"/>
            <w:r>
              <w:rPr>
                <w:rFonts w:ascii="宋体" w:hAnsi="宋体" w:hint="eastAsia"/>
                <w:bCs/>
                <w:sz w:val="22"/>
                <w:szCs w:val="22"/>
              </w:rPr>
              <w:t>快速回滚覆盖</w:t>
            </w:r>
            <w:proofErr w:type="gramEnd"/>
            <w:r>
              <w:rPr>
                <w:rFonts w:ascii="宋体" w:hAnsi="宋体" w:hint="eastAsia"/>
                <w:bCs/>
                <w:sz w:val="22"/>
                <w:szCs w:val="22"/>
              </w:rPr>
              <w:t>原虚拟机或者通过对快照进行克隆的方式生成</w:t>
            </w:r>
            <w:r>
              <w:rPr>
                <w:rFonts w:ascii="宋体" w:hAnsi="宋体" w:hint="eastAsia"/>
                <w:bCs/>
                <w:sz w:val="22"/>
                <w:szCs w:val="22"/>
              </w:rPr>
              <w:lastRenderedPageBreak/>
              <w:t>全新虚拟机，进而恢复</w:t>
            </w:r>
            <w:proofErr w:type="gramStart"/>
            <w:r>
              <w:rPr>
                <w:rFonts w:ascii="宋体" w:hAnsi="宋体" w:hint="eastAsia"/>
                <w:bCs/>
                <w:sz w:val="22"/>
                <w:szCs w:val="22"/>
              </w:rPr>
              <w:t>至业务</w:t>
            </w:r>
            <w:proofErr w:type="gramEnd"/>
            <w:r>
              <w:rPr>
                <w:rFonts w:ascii="宋体" w:hAnsi="宋体" w:hint="eastAsia"/>
                <w:bCs/>
                <w:sz w:val="22"/>
                <w:szCs w:val="22"/>
              </w:rPr>
              <w:t>健康状态；</w:t>
            </w:r>
          </w:p>
          <w:p w14:paraId="19F010F0"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10、★支持呈现硬盘的状态，提供隔离硬盘、替换硬盘功能，消除硬盘异常对业务的影响；（需提供产品界面截图并加盖投标人公章）</w:t>
            </w:r>
          </w:p>
          <w:p w14:paraId="7DA7C068"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11、支持坏道扫描及修复功能，发现坏道后，主动修复坏道区域的数据，及时恢复数据副本的冗余性；当硬盘的坏道数过多，系统能自动将该盘的数据迁移至其他健康的硬盘上，保障数据的安全；</w:t>
            </w:r>
          </w:p>
          <w:p w14:paraId="78CB747E"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12、支持磁盘亚健康监测，包括PCIE SSD寿命告警、硬盘卡、慢的检测和告警、IO错误告警、RAID</w:t>
            </w:r>
            <w:proofErr w:type="gramStart"/>
            <w:r>
              <w:rPr>
                <w:rFonts w:ascii="宋体" w:hAnsi="宋体" w:hint="eastAsia"/>
                <w:bCs/>
                <w:sz w:val="22"/>
                <w:szCs w:val="22"/>
              </w:rPr>
              <w:t>卡错误</w:t>
            </w:r>
            <w:proofErr w:type="gramEnd"/>
            <w:r>
              <w:rPr>
                <w:rFonts w:ascii="宋体" w:hAnsi="宋体" w:hint="eastAsia"/>
                <w:bCs/>
                <w:sz w:val="22"/>
                <w:szCs w:val="22"/>
              </w:rPr>
              <w:t>告警等，支持邮件和短信告警；</w:t>
            </w:r>
          </w:p>
          <w:p w14:paraId="46124704"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13、★支持选择多种克隆方式，包括快速全量克隆、全量克隆和链接克隆，可查看通过链接克隆的虚拟机是否运行正常，可以设置克隆完成后自动启动克隆虚拟机操作；（需提供产品界面截图并加盖投标人公章）</w:t>
            </w:r>
          </w:p>
          <w:p w14:paraId="637D1862"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14、★支持数据重建优先级调整，可以查看数据重建任务列表信息，包括对象名称、对象类型、数据量和优先级等信息，可以点击操作中的优先级对数据重建进行优先重建，保证重要的业务优先恢复数据的安全性；（需提供产品界面截图并加盖投标人公章）</w:t>
            </w:r>
          </w:p>
          <w:p w14:paraId="38B04970"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lastRenderedPageBreak/>
              <w:t xml:space="preserve">15、为保证集群业务或者oracle </w:t>
            </w:r>
            <w:proofErr w:type="spellStart"/>
            <w:r>
              <w:rPr>
                <w:rFonts w:ascii="宋体" w:hAnsi="宋体" w:hint="eastAsia"/>
                <w:bCs/>
                <w:sz w:val="22"/>
                <w:szCs w:val="22"/>
              </w:rPr>
              <w:t>rac</w:t>
            </w:r>
            <w:proofErr w:type="spellEnd"/>
            <w:r>
              <w:rPr>
                <w:rFonts w:ascii="宋体" w:hAnsi="宋体" w:hint="eastAsia"/>
                <w:bCs/>
                <w:sz w:val="22"/>
                <w:szCs w:val="22"/>
              </w:rPr>
              <w:t>数据库业务的快照一致性，以便故障</w:t>
            </w:r>
            <w:proofErr w:type="gramStart"/>
            <w:r>
              <w:rPr>
                <w:rFonts w:ascii="宋体" w:hAnsi="宋体" w:hint="eastAsia"/>
                <w:bCs/>
                <w:sz w:val="22"/>
                <w:szCs w:val="22"/>
              </w:rPr>
              <w:t>时业务</w:t>
            </w:r>
            <w:proofErr w:type="gramEnd"/>
            <w:r>
              <w:rPr>
                <w:rFonts w:ascii="宋体" w:hAnsi="宋体" w:hint="eastAsia"/>
                <w:bCs/>
                <w:sz w:val="22"/>
                <w:szCs w:val="22"/>
              </w:rPr>
              <w:t>可通过快照恢复，支持对虚拟机配置一致性组，对整个一致性组进行快照；</w:t>
            </w:r>
          </w:p>
          <w:p w14:paraId="69940922"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16、支持对虚拟机或虚拟磁盘设置不同的分层QoS能力，区分出高性能虚拟机、普通性能虚拟机和低性能虚拟机；</w:t>
            </w:r>
          </w:p>
          <w:p w14:paraId="4A95772F" w14:textId="77777777" w:rsidR="00767E6F" w:rsidRDefault="00000000">
            <w:pPr>
              <w:pStyle w:val="aa"/>
              <w:widowControl/>
              <w:spacing w:line="360" w:lineRule="auto"/>
              <w:ind w:firstLineChars="0" w:firstLine="0"/>
              <w:rPr>
                <w:rFonts w:ascii="宋体" w:hAnsi="宋体" w:hint="eastAsia"/>
                <w:bCs/>
                <w:sz w:val="22"/>
                <w:szCs w:val="22"/>
              </w:rPr>
            </w:pPr>
            <w:r>
              <w:rPr>
                <w:rFonts w:ascii="宋体" w:hAnsi="宋体" w:hint="eastAsia"/>
                <w:bCs/>
                <w:sz w:val="22"/>
                <w:szCs w:val="22"/>
              </w:rPr>
              <w:t>17、为更好地进行运维，支持智能坏道预测，准确识别出接下来会出现坏道的硬盘，实现故障前预测并处理，规避故障风险；</w:t>
            </w:r>
          </w:p>
          <w:p w14:paraId="36DE7D7F"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bCs/>
                <w:sz w:val="22"/>
                <w:szCs w:val="22"/>
              </w:rPr>
              <w:t>18、★支持硬盘寿命预测功能，可预估硬盘剩余可使用时间，进行实时预警，提醒用户在寿命到期之前可实现在对业务无影响的情况下安全更换硬盘；（需提供产品界面截图并加盖投标人公章）</w:t>
            </w:r>
          </w:p>
        </w:tc>
        <w:tc>
          <w:tcPr>
            <w:tcW w:w="293" w:type="pct"/>
            <w:vAlign w:val="center"/>
          </w:tcPr>
          <w:p w14:paraId="1BFC3712" w14:textId="77777777" w:rsidR="00767E6F" w:rsidRDefault="00000000">
            <w:pPr>
              <w:widowControl/>
              <w:spacing w:line="360" w:lineRule="auto"/>
              <w:jc w:val="center"/>
              <w:rPr>
                <w:rFonts w:ascii="宋体" w:hAnsi="宋体" w:hint="eastAsia"/>
                <w:color w:val="000000"/>
                <w:kern w:val="0"/>
                <w:sz w:val="22"/>
                <w:szCs w:val="22"/>
              </w:rPr>
            </w:pPr>
            <w:r>
              <w:rPr>
                <w:rFonts w:ascii="宋体" w:hAnsi="宋体" w:hint="eastAsia"/>
                <w:sz w:val="22"/>
                <w:szCs w:val="22"/>
              </w:rPr>
              <w:lastRenderedPageBreak/>
              <w:t>3</w:t>
            </w:r>
          </w:p>
        </w:tc>
        <w:tc>
          <w:tcPr>
            <w:tcW w:w="240" w:type="pct"/>
            <w:vAlign w:val="center"/>
          </w:tcPr>
          <w:p w14:paraId="2E802C65"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套</w:t>
            </w:r>
          </w:p>
        </w:tc>
        <w:tc>
          <w:tcPr>
            <w:tcW w:w="602" w:type="pct"/>
            <w:vAlign w:val="center"/>
          </w:tcPr>
          <w:p w14:paraId="40973603" w14:textId="77777777" w:rsidR="00767E6F" w:rsidRDefault="00000000">
            <w:pPr>
              <w:widowControl/>
              <w:tabs>
                <w:tab w:val="left" w:pos="553"/>
              </w:tabs>
              <w:spacing w:line="360" w:lineRule="auto"/>
              <w:jc w:val="center"/>
              <w:rPr>
                <w:rFonts w:ascii="宋体" w:hAnsi="宋体" w:hint="eastAsia"/>
                <w:color w:val="000000"/>
                <w:kern w:val="0"/>
                <w:sz w:val="22"/>
                <w:szCs w:val="22"/>
              </w:rPr>
            </w:pPr>
            <w:r>
              <w:rPr>
                <w:rFonts w:ascii="宋体" w:hint="eastAsia"/>
                <w:bCs/>
                <w:kern w:val="0"/>
                <w:sz w:val="22"/>
                <w:szCs w:val="22"/>
              </w:rPr>
              <w:t>142500</w:t>
            </w:r>
          </w:p>
        </w:tc>
        <w:tc>
          <w:tcPr>
            <w:tcW w:w="617" w:type="pct"/>
            <w:vAlign w:val="center"/>
          </w:tcPr>
          <w:p w14:paraId="175276DE"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427500</w:t>
            </w:r>
          </w:p>
        </w:tc>
      </w:tr>
      <w:tr w:rsidR="00767E6F" w14:paraId="7D15837B" w14:textId="77777777">
        <w:trPr>
          <w:trHeight w:val="2886"/>
        </w:trPr>
        <w:tc>
          <w:tcPr>
            <w:tcW w:w="252" w:type="pct"/>
            <w:noWrap/>
            <w:vAlign w:val="center"/>
          </w:tcPr>
          <w:p w14:paraId="0E84C593"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lang w:bidi="ar"/>
              </w:rPr>
              <w:lastRenderedPageBreak/>
              <w:t>2</w:t>
            </w:r>
          </w:p>
        </w:tc>
        <w:tc>
          <w:tcPr>
            <w:tcW w:w="331" w:type="pct"/>
            <w:vAlign w:val="center"/>
          </w:tcPr>
          <w:p w14:paraId="3A0B1A13"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超融合配套</w:t>
            </w:r>
          </w:p>
          <w:p w14:paraId="3C58FC56"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交换</w:t>
            </w:r>
          </w:p>
          <w:p w14:paraId="79B897E7"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sz w:val="22"/>
                <w:szCs w:val="22"/>
              </w:rPr>
              <w:t>设备（一）</w:t>
            </w:r>
          </w:p>
        </w:tc>
        <w:tc>
          <w:tcPr>
            <w:tcW w:w="286" w:type="pct"/>
            <w:vAlign w:val="center"/>
          </w:tcPr>
          <w:p w14:paraId="402B219C" w14:textId="77777777" w:rsidR="00767E6F" w:rsidRDefault="00000000">
            <w:pPr>
              <w:widowControl/>
              <w:jc w:val="center"/>
              <w:textAlignment w:val="center"/>
              <w:rPr>
                <w:rFonts w:ascii="宋体" w:hAnsi="宋体" w:hint="eastAsia"/>
                <w:color w:val="000000"/>
                <w:kern w:val="0"/>
                <w:sz w:val="22"/>
                <w:szCs w:val="22"/>
              </w:rPr>
            </w:pPr>
            <w:proofErr w:type="gramStart"/>
            <w:r>
              <w:rPr>
                <w:rFonts w:ascii="宋体" w:hAnsi="宋体" w:hint="eastAsia"/>
                <w:color w:val="000000"/>
                <w:kern w:val="0"/>
                <w:sz w:val="22"/>
                <w:szCs w:val="22"/>
              </w:rPr>
              <w:t>信锐</w:t>
            </w:r>
            <w:proofErr w:type="gramEnd"/>
          </w:p>
        </w:tc>
        <w:tc>
          <w:tcPr>
            <w:tcW w:w="444" w:type="pct"/>
            <w:vAlign w:val="center"/>
          </w:tcPr>
          <w:p w14:paraId="1E8350BD"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t>RS5300-28T-4F</w:t>
            </w:r>
          </w:p>
        </w:tc>
        <w:tc>
          <w:tcPr>
            <w:tcW w:w="1934" w:type="pct"/>
            <w:vAlign w:val="center"/>
          </w:tcPr>
          <w:p w14:paraId="7327E32F"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w:t>
            </w:r>
            <w:proofErr w:type="gramStart"/>
            <w:r>
              <w:rPr>
                <w:rFonts w:ascii="宋体" w:hAnsi="宋体" w:hint="eastAsia"/>
                <w:sz w:val="22"/>
                <w:szCs w:val="22"/>
              </w:rPr>
              <w:t>千兆电口</w:t>
            </w:r>
            <w:proofErr w:type="gramEnd"/>
            <w:r>
              <w:rPr>
                <w:rFonts w:ascii="宋体" w:hAnsi="宋体" w:hint="eastAsia"/>
                <w:sz w:val="22"/>
                <w:szCs w:val="22"/>
              </w:rPr>
              <w:t>≥24个，10G</w:t>
            </w:r>
            <w:proofErr w:type="gramStart"/>
            <w:r>
              <w:rPr>
                <w:rFonts w:ascii="宋体" w:hAnsi="宋体" w:hint="eastAsia"/>
                <w:sz w:val="22"/>
                <w:szCs w:val="22"/>
              </w:rPr>
              <w:t>光口</w:t>
            </w:r>
            <w:proofErr w:type="gramEnd"/>
            <w:r>
              <w:rPr>
                <w:rFonts w:ascii="宋体" w:hAnsi="宋体" w:hint="eastAsia"/>
                <w:sz w:val="22"/>
                <w:szCs w:val="22"/>
              </w:rPr>
              <w:t>≥4个，Console口≥1个，万兆</w:t>
            </w:r>
            <w:proofErr w:type="gramStart"/>
            <w:r>
              <w:rPr>
                <w:rFonts w:ascii="宋体" w:hAnsi="宋体" w:hint="eastAsia"/>
                <w:sz w:val="22"/>
                <w:szCs w:val="22"/>
              </w:rPr>
              <w:t>多模光模块</w:t>
            </w:r>
            <w:proofErr w:type="gramEnd"/>
            <w:r>
              <w:rPr>
                <w:rFonts w:ascii="宋体" w:hAnsi="宋体" w:hint="eastAsia"/>
                <w:sz w:val="22"/>
                <w:szCs w:val="22"/>
              </w:rPr>
              <w:t>≥4个</w:t>
            </w:r>
          </w:p>
          <w:p w14:paraId="4A31A220"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2.★交换容量≥670Gbps，包转发率≥150Mpps；</w:t>
            </w:r>
          </w:p>
          <w:p w14:paraId="7B9F10EA"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3.支持STP、RSTP、MSTP协议，支持IGMP v1/v2/v3 Snooping、4K</w:t>
            </w:r>
            <w:proofErr w:type="gramStart"/>
            <w:r>
              <w:rPr>
                <w:rFonts w:ascii="宋体" w:hAnsi="宋体" w:hint="eastAsia"/>
                <w:sz w:val="22"/>
                <w:szCs w:val="22"/>
              </w:rPr>
              <w:t>个</w:t>
            </w:r>
            <w:proofErr w:type="gramEnd"/>
            <w:r>
              <w:rPr>
                <w:rFonts w:ascii="宋体" w:hAnsi="宋体" w:hint="eastAsia"/>
                <w:sz w:val="22"/>
                <w:szCs w:val="22"/>
              </w:rPr>
              <w:t>VLAN、DHCP Server；</w:t>
            </w:r>
          </w:p>
          <w:p w14:paraId="7EB4F95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4.支持MAC地址≥16K，支持MAC地址自动学习、源MAC地址过滤、接口MAC地址学习个数限制；</w:t>
            </w:r>
          </w:p>
          <w:p w14:paraId="0E0AE441"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lastRenderedPageBreak/>
              <w:t>5.★为提升网络可靠性，支持在网络控制平台管理下的M-LAG技术，跨设备链路聚合，并对于配对的设备有独立的控制平面（需提供功能截图并加盖投标人公章）；</w:t>
            </w:r>
          </w:p>
          <w:p w14:paraId="28E65EDF"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6.支持防网关ARP欺骗，支持端口保护、隔离，支持防止DOS、ARP攻击功能，支持CPU保护功能；</w:t>
            </w:r>
          </w:p>
          <w:p w14:paraId="5D43D5F6"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7.★为方便远程运维，支持通过APP进行远程管理，并且可以修改交换机网络配置（需提供功能截图并加盖投标人公章）；</w:t>
            </w:r>
          </w:p>
          <w:p w14:paraId="23D98C19"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8.为方便故障设备快速更换，交换机支持通过控制器平台“替换”按钮即可完成故障设备替换；</w:t>
            </w:r>
          </w:p>
          <w:p w14:paraId="3DC6E256"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9.★为实现安全事件可回溯，支持查看安全事件记录、</w:t>
            </w:r>
            <w:proofErr w:type="gramStart"/>
            <w:r>
              <w:rPr>
                <w:rFonts w:ascii="宋体" w:hAnsi="宋体" w:hint="eastAsia"/>
                <w:sz w:val="22"/>
                <w:szCs w:val="22"/>
              </w:rPr>
              <w:t>私扩非法</w:t>
            </w:r>
            <w:proofErr w:type="gramEnd"/>
            <w:r>
              <w:rPr>
                <w:rFonts w:ascii="宋体" w:hAnsi="宋体" w:hint="eastAsia"/>
                <w:sz w:val="22"/>
                <w:szCs w:val="22"/>
              </w:rPr>
              <w:t>边缘设备记录、终端在端口漂移记录、静态IP异常记录等安全事件的记录统计（需提供功能截图并加盖投标人公章）；</w:t>
            </w:r>
          </w:p>
          <w:p w14:paraId="72EFD46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10.支持终端的MAC与交换机端口变更检测，支持交换机端口终端类型变更后，通过APP、短信告警；</w:t>
            </w:r>
          </w:p>
          <w:p w14:paraId="0F2BE0A1"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11.★为方便了解接入终端类型，基于终端类型库自动识别PC、路由器、摄像头设备等（需提供功能截图并加盖投标人公章）；</w:t>
            </w:r>
          </w:p>
          <w:p w14:paraId="28266CFE"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12.支持DHCP Snooping，支持交换机端口设置为信任端口或非信任端口，非</w:t>
            </w:r>
            <w:r>
              <w:rPr>
                <w:rFonts w:ascii="宋体" w:hAnsi="宋体" w:hint="eastAsia"/>
                <w:sz w:val="22"/>
                <w:szCs w:val="22"/>
              </w:rPr>
              <w:lastRenderedPageBreak/>
              <w:t>信任端口也可设置白名单响应DHCP报文；</w:t>
            </w:r>
          </w:p>
          <w:p w14:paraId="39EFC1BD"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13.★为保障网络安全性，</w:t>
            </w:r>
            <w:proofErr w:type="gramStart"/>
            <w:r>
              <w:rPr>
                <w:rFonts w:ascii="宋体" w:hAnsi="宋体" w:hint="eastAsia"/>
                <w:sz w:val="22"/>
                <w:szCs w:val="22"/>
              </w:rPr>
              <w:t>需支持</w:t>
            </w:r>
            <w:proofErr w:type="gramEnd"/>
            <w:r>
              <w:rPr>
                <w:rFonts w:ascii="宋体" w:hAnsi="宋体" w:hint="eastAsia"/>
                <w:sz w:val="22"/>
                <w:szCs w:val="22"/>
              </w:rPr>
              <w:t>交换机在网络控制平台管理下创建东西向安全策略，实现全网安全风险拦截（需提供功能截图并加盖投标人公章）；</w:t>
            </w:r>
          </w:p>
          <w:p w14:paraId="5DBA3248"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sz w:val="22"/>
                <w:szCs w:val="22"/>
              </w:rPr>
              <w:t>14.为提高系统兼容性对接，</w:t>
            </w:r>
            <w:proofErr w:type="gramStart"/>
            <w:r>
              <w:rPr>
                <w:rFonts w:ascii="宋体" w:hAnsi="宋体" w:hint="eastAsia"/>
                <w:sz w:val="22"/>
                <w:szCs w:val="22"/>
              </w:rPr>
              <w:t>需支持</w:t>
            </w:r>
            <w:proofErr w:type="gramEnd"/>
            <w:r>
              <w:rPr>
                <w:rFonts w:ascii="宋体" w:hAnsi="宋体" w:hint="eastAsia"/>
                <w:sz w:val="22"/>
                <w:szCs w:val="22"/>
              </w:rPr>
              <w:t>联动第三方安全设备或平台，通过联动实现从系统及接入层交换机对风险终端MAC地址进行封堵；</w:t>
            </w:r>
          </w:p>
        </w:tc>
        <w:tc>
          <w:tcPr>
            <w:tcW w:w="293" w:type="pct"/>
            <w:vAlign w:val="center"/>
          </w:tcPr>
          <w:p w14:paraId="7E38F010" w14:textId="77777777" w:rsidR="00767E6F" w:rsidRDefault="00000000">
            <w:pPr>
              <w:widowControl/>
              <w:spacing w:line="360" w:lineRule="auto"/>
              <w:jc w:val="center"/>
              <w:rPr>
                <w:rFonts w:ascii="宋体" w:hAnsi="宋体" w:hint="eastAsia"/>
                <w:color w:val="000000"/>
                <w:kern w:val="0"/>
                <w:sz w:val="22"/>
                <w:szCs w:val="22"/>
              </w:rPr>
            </w:pPr>
            <w:r>
              <w:rPr>
                <w:rFonts w:ascii="宋体" w:hAnsi="宋体" w:hint="eastAsia"/>
                <w:sz w:val="22"/>
                <w:szCs w:val="22"/>
              </w:rPr>
              <w:lastRenderedPageBreak/>
              <w:t>2</w:t>
            </w:r>
          </w:p>
        </w:tc>
        <w:tc>
          <w:tcPr>
            <w:tcW w:w="240" w:type="pct"/>
            <w:vAlign w:val="center"/>
          </w:tcPr>
          <w:p w14:paraId="2802444F"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台</w:t>
            </w:r>
          </w:p>
        </w:tc>
        <w:tc>
          <w:tcPr>
            <w:tcW w:w="602" w:type="pct"/>
            <w:vAlign w:val="center"/>
          </w:tcPr>
          <w:p w14:paraId="203ECDC0"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9500</w:t>
            </w:r>
          </w:p>
        </w:tc>
        <w:tc>
          <w:tcPr>
            <w:tcW w:w="617" w:type="pct"/>
            <w:vAlign w:val="center"/>
          </w:tcPr>
          <w:p w14:paraId="3FC9FA2F" w14:textId="77777777" w:rsidR="00767E6F" w:rsidRDefault="00000000">
            <w:pPr>
              <w:widowControl/>
              <w:spacing w:line="360" w:lineRule="auto"/>
              <w:jc w:val="center"/>
              <w:rPr>
                <w:rFonts w:ascii="宋体"/>
                <w:bCs/>
                <w:kern w:val="0"/>
                <w:sz w:val="22"/>
                <w:szCs w:val="22"/>
              </w:rPr>
            </w:pPr>
            <w:r>
              <w:rPr>
                <w:rFonts w:ascii="宋体" w:hint="eastAsia"/>
                <w:bCs/>
                <w:kern w:val="0"/>
                <w:sz w:val="22"/>
                <w:szCs w:val="22"/>
              </w:rPr>
              <w:t>19000</w:t>
            </w:r>
          </w:p>
        </w:tc>
      </w:tr>
      <w:tr w:rsidR="00767E6F" w14:paraId="4547E008" w14:textId="77777777">
        <w:trPr>
          <w:trHeight w:val="3721"/>
        </w:trPr>
        <w:tc>
          <w:tcPr>
            <w:tcW w:w="252" w:type="pct"/>
            <w:noWrap/>
            <w:vAlign w:val="center"/>
          </w:tcPr>
          <w:p w14:paraId="735BD191" w14:textId="77777777" w:rsidR="00767E6F" w:rsidRDefault="00000000">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lastRenderedPageBreak/>
              <w:t>3</w:t>
            </w:r>
          </w:p>
        </w:tc>
        <w:tc>
          <w:tcPr>
            <w:tcW w:w="331" w:type="pct"/>
            <w:vAlign w:val="center"/>
          </w:tcPr>
          <w:p w14:paraId="530EF319"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超融合配套</w:t>
            </w:r>
          </w:p>
          <w:p w14:paraId="7C64A794"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交换</w:t>
            </w:r>
          </w:p>
          <w:p w14:paraId="02EA305D"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sz w:val="22"/>
                <w:szCs w:val="22"/>
              </w:rPr>
              <w:t>设备（二）</w:t>
            </w:r>
          </w:p>
        </w:tc>
        <w:tc>
          <w:tcPr>
            <w:tcW w:w="286" w:type="pct"/>
            <w:vAlign w:val="center"/>
          </w:tcPr>
          <w:p w14:paraId="166EEDBA" w14:textId="77777777" w:rsidR="00767E6F" w:rsidRDefault="00000000">
            <w:pPr>
              <w:widowControl/>
              <w:jc w:val="center"/>
              <w:textAlignment w:val="center"/>
              <w:rPr>
                <w:rFonts w:ascii="宋体" w:hAnsi="宋体" w:hint="eastAsia"/>
                <w:color w:val="000000"/>
                <w:kern w:val="0"/>
                <w:sz w:val="22"/>
                <w:szCs w:val="22"/>
              </w:rPr>
            </w:pPr>
            <w:proofErr w:type="gramStart"/>
            <w:r>
              <w:rPr>
                <w:rFonts w:ascii="宋体" w:hAnsi="宋体"/>
                <w:color w:val="000000"/>
                <w:kern w:val="0"/>
                <w:sz w:val="22"/>
                <w:szCs w:val="22"/>
              </w:rPr>
              <w:t>信锐</w:t>
            </w:r>
            <w:proofErr w:type="gramEnd"/>
          </w:p>
        </w:tc>
        <w:tc>
          <w:tcPr>
            <w:tcW w:w="444" w:type="pct"/>
            <w:vAlign w:val="center"/>
          </w:tcPr>
          <w:p w14:paraId="2FD2E2A2" w14:textId="77777777" w:rsidR="00767E6F" w:rsidRDefault="00000000">
            <w:pPr>
              <w:widowControl/>
              <w:spacing w:line="300" w:lineRule="auto"/>
              <w:jc w:val="center"/>
              <w:rPr>
                <w:rFonts w:ascii="宋体" w:hAnsi="宋体" w:hint="eastAsia"/>
                <w:color w:val="000000"/>
                <w:kern w:val="0"/>
                <w:sz w:val="22"/>
                <w:szCs w:val="22"/>
              </w:rPr>
            </w:pPr>
            <w:r>
              <w:rPr>
                <w:rFonts w:ascii="宋体" w:hAnsi="宋体" w:hint="eastAsia"/>
                <w:color w:val="000000"/>
                <w:kern w:val="0"/>
                <w:sz w:val="22"/>
                <w:szCs w:val="22"/>
              </w:rPr>
              <w:t>RS6300-24X-LI-12X</w:t>
            </w:r>
          </w:p>
        </w:tc>
        <w:tc>
          <w:tcPr>
            <w:tcW w:w="1934" w:type="pct"/>
            <w:vAlign w:val="center"/>
          </w:tcPr>
          <w:p w14:paraId="6389F6B8"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w:t>
            </w:r>
            <w:proofErr w:type="gramStart"/>
            <w:r>
              <w:rPr>
                <w:rFonts w:ascii="宋体" w:hAnsi="宋体" w:hint="eastAsia"/>
                <w:sz w:val="22"/>
                <w:szCs w:val="22"/>
              </w:rPr>
              <w:t>千兆电口</w:t>
            </w:r>
            <w:proofErr w:type="gramEnd"/>
            <w:r>
              <w:rPr>
                <w:rFonts w:ascii="宋体" w:hAnsi="宋体" w:hint="eastAsia"/>
                <w:sz w:val="22"/>
                <w:szCs w:val="22"/>
              </w:rPr>
              <w:t>≥12个，10G</w:t>
            </w:r>
            <w:proofErr w:type="gramStart"/>
            <w:r>
              <w:rPr>
                <w:rFonts w:ascii="宋体" w:hAnsi="宋体" w:hint="eastAsia"/>
                <w:sz w:val="22"/>
                <w:szCs w:val="22"/>
              </w:rPr>
              <w:t>光口</w:t>
            </w:r>
            <w:proofErr w:type="gramEnd"/>
            <w:r>
              <w:rPr>
                <w:rFonts w:ascii="宋体" w:hAnsi="宋体" w:hint="eastAsia"/>
                <w:sz w:val="22"/>
                <w:szCs w:val="22"/>
              </w:rPr>
              <w:t>≥12个，Console口≥1个，万兆</w:t>
            </w:r>
            <w:proofErr w:type="gramStart"/>
            <w:r>
              <w:rPr>
                <w:rFonts w:ascii="宋体" w:hAnsi="宋体" w:hint="eastAsia"/>
                <w:sz w:val="22"/>
                <w:szCs w:val="22"/>
              </w:rPr>
              <w:t>多模光模块</w:t>
            </w:r>
            <w:proofErr w:type="gramEnd"/>
            <w:r>
              <w:rPr>
                <w:rFonts w:ascii="宋体" w:hAnsi="宋体" w:hint="eastAsia"/>
                <w:sz w:val="22"/>
                <w:szCs w:val="22"/>
              </w:rPr>
              <w:t>≥6个</w:t>
            </w:r>
          </w:p>
          <w:p w14:paraId="74AEAE8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2.★交换容量≥2.4Tbps，包转发率≥780Mpps；</w:t>
            </w:r>
          </w:p>
          <w:p w14:paraId="3BA1ACED"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3.支持STP、RSTP、MSTP协议，支持IGMP v1/v2/v3 Snooping、4K</w:t>
            </w:r>
            <w:proofErr w:type="gramStart"/>
            <w:r>
              <w:rPr>
                <w:rFonts w:ascii="宋体" w:hAnsi="宋体" w:hint="eastAsia"/>
                <w:sz w:val="22"/>
                <w:szCs w:val="22"/>
              </w:rPr>
              <w:t>个</w:t>
            </w:r>
            <w:proofErr w:type="gramEnd"/>
            <w:r>
              <w:rPr>
                <w:rFonts w:ascii="宋体" w:hAnsi="宋体" w:hint="eastAsia"/>
                <w:sz w:val="22"/>
                <w:szCs w:val="22"/>
              </w:rPr>
              <w:t>VLAN、DHCP Server；</w:t>
            </w:r>
          </w:p>
          <w:p w14:paraId="6B3C4E59"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4.★为提升网络可靠性，支持在网络控制平台管理下的M-LAG技术，跨设备链路聚合，并对于配对的设备有独立的控制平面（需提供功能截图并加盖投标人公章）；</w:t>
            </w:r>
          </w:p>
          <w:p w14:paraId="137703EE"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5.支持防网关ARP欺骗，支持端口保护、隔离，支持防止DOS、ARP攻击功能，支持CPU保护功能；</w:t>
            </w:r>
          </w:p>
          <w:p w14:paraId="5DD961BD"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6.★为方便远程运维，支持通过APP进行远程管理，并且可以修改交换机网络</w:t>
            </w:r>
            <w:r>
              <w:rPr>
                <w:rFonts w:ascii="宋体" w:hAnsi="宋体" w:hint="eastAsia"/>
                <w:sz w:val="22"/>
                <w:szCs w:val="22"/>
              </w:rPr>
              <w:lastRenderedPageBreak/>
              <w:t>配置（需提供功能截图并加盖投标人公章）；</w:t>
            </w:r>
          </w:p>
          <w:p w14:paraId="028FB25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7.为方便故障设备快速更换，交换机支持通过控制器平台“替换”按钮即可完成故障设备替换；</w:t>
            </w:r>
          </w:p>
          <w:p w14:paraId="3CEDC5E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8.★为实现安全事件可回溯，支持查看安全事件记录、</w:t>
            </w:r>
            <w:proofErr w:type="gramStart"/>
            <w:r>
              <w:rPr>
                <w:rFonts w:ascii="宋体" w:hAnsi="宋体" w:hint="eastAsia"/>
                <w:sz w:val="22"/>
                <w:szCs w:val="22"/>
              </w:rPr>
              <w:t>私扩非法</w:t>
            </w:r>
            <w:proofErr w:type="gramEnd"/>
            <w:r>
              <w:rPr>
                <w:rFonts w:ascii="宋体" w:hAnsi="宋体" w:hint="eastAsia"/>
                <w:sz w:val="22"/>
                <w:szCs w:val="22"/>
              </w:rPr>
              <w:t>边缘设备记录、终端在端口漂移记录、静态IP异常记录等安全事件的记录统计（需提供功能截图并加盖投标人公章）；</w:t>
            </w:r>
          </w:p>
          <w:p w14:paraId="4E73F711"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9.支持终端的MAC与交换机端口变更检测，支持交换机端口终端类型变更后，通过APP、短信告警；</w:t>
            </w:r>
          </w:p>
          <w:p w14:paraId="2A432949"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10.★为方便了解接入终端类型，基于终端类型库自动识别PC、路由器、摄像头设备等（需提供功能截图并加盖投标人公章）；</w:t>
            </w:r>
          </w:p>
          <w:p w14:paraId="3C91F6BF"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11.支持DHCP Snooping，支持交换机端口设置为信任端口或非信任端口，非信任端口也可设置白名单响应DHCP报文；</w:t>
            </w:r>
          </w:p>
          <w:p w14:paraId="1E52506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12.★为保障网络安全性，</w:t>
            </w:r>
            <w:proofErr w:type="gramStart"/>
            <w:r>
              <w:rPr>
                <w:rFonts w:ascii="宋体" w:hAnsi="宋体" w:hint="eastAsia"/>
                <w:sz w:val="22"/>
                <w:szCs w:val="22"/>
              </w:rPr>
              <w:t>需支持</w:t>
            </w:r>
            <w:proofErr w:type="gramEnd"/>
            <w:r>
              <w:rPr>
                <w:rFonts w:ascii="宋体" w:hAnsi="宋体" w:hint="eastAsia"/>
                <w:sz w:val="22"/>
                <w:szCs w:val="22"/>
              </w:rPr>
              <w:t>交换机在网络控制平台管理下创建东西向安全策略，实现全网安全风险拦截（需提供功能截图并加盖投标人公章）；</w:t>
            </w:r>
          </w:p>
          <w:p w14:paraId="69086EEA"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sz w:val="22"/>
                <w:szCs w:val="22"/>
              </w:rPr>
              <w:t>13.为提高系统兼容性对接，</w:t>
            </w:r>
            <w:proofErr w:type="gramStart"/>
            <w:r>
              <w:rPr>
                <w:rFonts w:ascii="宋体" w:hAnsi="宋体" w:hint="eastAsia"/>
                <w:sz w:val="22"/>
                <w:szCs w:val="22"/>
              </w:rPr>
              <w:t>需支持</w:t>
            </w:r>
            <w:proofErr w:type="gramEnd"/>
            <w:r>
              <w:rPr>
                <w:rFonts w:ascii="宋体" w:hAnsi="宋体" w:hint="eastAsia"/>
                <w:sz w:val="22"/>
                <w:szCs w:val="22"/>
              </w:rPr>
              <w:t>联动第三方安全设备或平台，通过联动实现从系统及接入层交换机对风险终端MAC地址进行封堵；</w:t>
            </w:r>
          </w:p>
        </w:tc>
        <w:tc>
          <w:tcPr>
            <w:tcW w:w="293" w:type="pct"/>
            <w:vAlign w:val="center"/>
          </w:tcPr>
          <w:p w14:paraId="4368CA6F" w14:textId="77777777" w:rsidR="00767E6F" w:rsidRDefault="00000000">
            <w:pPr>
              <w:widowControl/>
              <w:spacing w:line="360" w:lineRule="auto"/>
              <w:jc w:val="center"/>
              <w:rPr>
                <w:rFonts w:ascii="宋体" w:hAnsi="宋体" w:hint="eastAsia"/>
                <w:color w:val="000000"/>
                <w:kern w:val="0"/>
                <w:sz w:val="22"/>
                <w:szCs w:val="22"/>
              </w:rPr>
            </w:pPr>
            <w:r>
              <w:rPr>
                <w:rFonts w:ascii="宋体" w:hAnsi="宋体" w:hint="eastAsia"/>
                <w:color w:val="000000"/>
                <w:sz w:val="22"/>
                <w:szCs w:val="22"/>
              </w:rPr>
              <w:lastRenderedPageBreak/>
              <w:t>2</w:t>
            </w:r>
          </w:p>
        </w:tc>
        <w:tc>
          <w:tcPr>
            <w:tcW w:w="240" w:type="pct"/>
            <w:vAlign w:val="center"/>
          </w:tcPr>
          <w:p w14:paraId="055FEB67"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台</w:t>
            </w:r>
          </w:p>
        </w:tc>
        <w:tc>
          <w:tcPr>
            <w:tcW w:w="602" w:type="pct"/>
            <w:vAlign w:val="center"/>
          </w:tcPr>
          <w:p w14:paraId="3A4CE24F"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23500</w:t>
            </w:r>
          </w:p>
        </w:tc>
        <w:tc>
          <w:tcPr>
            <w:tcW w:w="617" w:type="pct"/>
            <w:vAlign w:val="center"/>
          </w:tcPr>
          <w:p w14:paraId="4DD0D7B6"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47000</w:t>
            </w:r>
          </w:p>
        </w:tc>
      </w:tr>
      <w:tr w:rsidR="00767E6F" w14:paraId="449E416F" w14:textId="77777777">
        <w:trPr>
          <w:trHeight w:val="1380"/>
        </w:trPr>
        <w:tc>
          <w:tcPr>
            <w:tcW w:w="252" w:type="pct"/>
            <w:noWrap/>
            <w:vAlign w:val="center"/>
          </w:tcPr>
          <w:p w14:paraId="73AA57CC"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lastRenderedPageBreak/>
              <w:t>4</w:t>
            </w:r>
          </w:p>
        </w:tc>
        <w:tc>
          <w:tcPr>
            <w:tcW w:w="331" w:type="pct"/>
            <w:vAlign w:val="center"/>
          </w:tcPr>
          <w:p w14:paraId="4D5AC09C"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计算机大模型显卡</w:t>
            </w:r>
          </w:p>
          <w:p w14:paraId="7422B0CC"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sz w:val="22"/>
                <w:szCs w:val="22"/>
              </w:rPr>
              <w:t>配件</w:t>
            </w:r>
          </w:p>
        </w:tc>
        <w:tc>
          <w:tcPr>
            <w:tcW w:w="286" w:type="pct"/>
            <w:vAlign w:val="center"/>
          </w:tcPr>
          <w:p w14:paraId="42FB9002"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t>NVIDIA</w:t>
            </w:r>
          </w:p>
        </w:tc>
        <w:tc>
          <w:tcPr>
            <w:tcW w:w="444" w:type="pct"/>
            <w:vAlign w:val="center"/>
          </w:tcPr>
          <w:p w14:paraId="1BAC81AC" w14:textId="77777777" w:rsidR="00767E6F" w:rsidRDefault="00000000">
            <w:pPr>
              <w:widowControl/>
              <w:spacing w:line="300" w:lineRule="auto"/>
              <w:jc w:val="center"/>
              <w:rPr>
                <w:rFonts w:ascii="宋体" w:hAnsi="宋体" w:hint="eastAsia"/>
                <w:color w:val="000000"/>
                <w:kern w:val="0"/>
                <w:sz w:val="22"/>
                <w:szCs w:val="22"/>
              </w:rPr>
            </w:pPr>
            <w:r>
              <w:rPr>
                <w:rFonts w:ascii="宋体" w:hAnsi="宋体" w:hint="eastAsia"/>
                <w:color w:val="000000"/>
                <w:kern w:val="0"/>
                <w:sz w:val="22"/>
                <w:szCs w:val="22"/>
              </w:rPr>
              <w:t>NVIDIA GeForce RTX 4090 D</w:t>
            </w:r>
          </w:p>
        </w:tc>
        <w:tc>
          <w:tcPr>
            <w:tcW w:w="1934" w:type="pct"/>
            <w:vAlign w:val="center"/>
          </w:tcPr>
          <w:p w14:paraId="27690C9C"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1、NVIDIA CUDA® 核心数量≥14592</w:t>
            </w:r>
          </w:p>
          <w:p w14:paraId="3035B35C"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2、Shader Core</w:t>
            </w:r>
            <w:proofErr w:type="gramStart"/>
            <w:r>
              <w:rPr>
                <w:rFonts w:ascii="宋体" w:hAnsi="宋体" w:hint="eastAsia"/>
                <w:color w:val="000000"/>
                <w:kern w:val="0"/>
                <w:sz w:val="22"/>
                <w:szCs w:val="22"/>
              </w:rPr>
              <w:t>算力</w:t>
            </w:r>
            <w:proofErr w:type="gramEnd"/>
            <w:r>
              <w:rPr>
                <w:rFonts w:ascii="宋体" w:hAnsi="宋体" w:hint="eastAsia"/>
                <w:color w:val="000000"/>
                <w:kern w:val="0"/>
                <w:sz w:val="22"/>
                <w:szCs w:val="22"/>
              </w:rPr>
              <w:t>≥74 TFLOPS</w:t>
            </w:r>
          </w:p>
          <w:p w14:paraId="24545E4B"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3、RT Core</w:t>
            </w:r>
            <w:proofErr w:type="gramStart"/>
            <w:r>
              <w:rPr>
                <w:rFonts w:ascii="宋体" w:hAnsi="宋体" w:hint="eastAsia"/>
                <w:color w:val="000000"/>
                <w:kern w:val="0"/>
                <w:sz w:val="22"/>
                <w:szCs w:val="22"/>
              </w:rPr>
              <w:t>算力</w:t>
            </w:r>
            <w:proofErr w:type="gramEnd"/>
            <w:r>
              <w:rPr>
                <w:rFonts w:ascii="宋体" w:hAnsi="宋体" w:hint="eastAsia"/>
                <w:color w:val="000000"/>
                <w:kern w:val="0"/>
                <w:sz w:val="22"/>
                <w:szCs w:val="22"/>
              </w:rPr>
              <w:t>≥170 TFLOPS</w:t>
            </w:r>
          </w:p>
          <w:p w14:paraId="095E0544"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4、Tensor Core</w:t>
            </w:r>
            <w:r>
              <w:rPr>
                <w:rFonts w:ascii="宋体" w:hAnsi="宋体" w:hint="eastAsia"/>
                <w:color w:val="000000"/>
                <w:kern w:val="0"/>
                <w:sz w:val="22"/>
                <w:szCs w:val="22"/>
              </w:rPr>
              <w:tab/>
            </w:r>
            <w:proofErr w:type="gramStart"/>
            <w:r>
              <w:rPr>
                <w:rFonts w:ascii="宋体" w:hAnsi="宋体" w:hint="eastAsia"/>
                <w:color w:val="000000"/>
                <w:kern w:val="0"/>
                <w:sz w:val="22"/>
                <w:szCs w:val="22"/>
              </w:rPr>
              <w:t>算力</w:t>
            </w:r>
            <w:proofErr w:type="gramEnd"/>
            <w:r>
              <w:rPr>
                <w:rFonts w:ascii="宋体" w:hAnsi="宋体" w:hint="eastAsia"/>
                <w:color w:val="000000"/>
                <w:kern w:val="0"/>
                <w:sz w:val="22"/>
                <w:szCs w:val="22"/>
              </w:rPr>
              <w:t>≥1177 TOPS</w:t>
            </w:r>
          </w:p>
          <w:p w14:paraId="0175DD92"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5、基础频率 (GHz)</w:t>
            </w:r>
            <w:r>
              <w:rPr>
                <w:rFonts w:ascii="宋体" w:hAnsi="宋体" w:hint="eastAsia"/>
                <w:color w:val="000000"/>
                <w:kern w:val="0"/>
                <w:sz w:val="22"/>
                <w:szCs w:val="22"/>
              </w:rPr>
              <w:tab/>
              <w:t>≥2.28</w:t>
            </w:r>
          </w:p>
          <w:p w14:paraId="07F21720"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6、显存容量≥48 GB GDDR6X</w:t>
            </w:r>
          </w:p>
          <w:p w14:paraId="32ED4816"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7、显</w:t>
            </w:r>
            <w:proofErr w:type="gramStart"/>
            <w:r>
              <w:rPr>
                <w:rFonts w:ascii="宋体" w:hAnsi="宋体" w:hint="eastAsia"/>
                <w:color w:val="000000"/>
                <w:kern w:val="0"/>
                <w:sz w:val="22"/>
                <w:szCs w:val="22"/>
              </w:rPr>
              <w:t>存位宽</w:t>
            </w:r>
            <w:proofErr w:type="gramEnd"/>
            <w:r>
              <w:rPr>
                <w:rFonts w:ascii="宋体" w:hAnsi="宋体" w:hint="eastAsia"/>
                <w:color w:val="000000"/>
                <w:kern w:val="0"/>
                <w:sz w:val="22"/>
                <w:szCs w:val="22"/>
              </w:rPr>
              <w:tab/>
              <w:t>≥384 位</w:t>
            </w:r>
          </w:p>
          <w:p w14:paraId="1CB9B4F9"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8、</w:t>
            </w:r>
            <w:proofErr w:type="gramStart"/>
            <w:r>
              <w:rPr>
                <w:rFonts w:ascii="宋体" w:hAnsi="宋体" w:hint="eastAsia"/>
                <w:color w:val="000000"/>
                <w:kern w:val="0"/>
                <w:sz w:val="22"/>
                <w:szCs w:val="22"/>
              </w:rPr>
              <w:t>需支持</w:t>
            </w:r>
            <w:proofErr w:type="gramEnd"/>
            <w:r>
              <w:rPr>
                <w:rFonts w:ascii="宋体" w:hAnsi="宋体" w:hint="eastAsia"/>
                <w:color w:val="000000"/>
                <w:kern w:val="0"/>
                <w:sz w:val="22"/>
                <w:szCs w:val="22"/>
              </w:rPr>
              <w:t>光线追踪</w:t>
            </w:r>
          </w:p>
          <w:p w14:paraId="57C9AD7A"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9、支持 NVIDIA DLSS</w:t>
            </w:r>
            <w:r>
              <w:rPr>
                <w:rFonts w:ascii="宋体" w:hAnsi="宋体" w:hint="eastAsia"/>
                <w:color w:val="000000"/>
                <w:kern w:val="0"/>
                <w:sz w:val="22"/>
                <w:szCs w:val="22"/>
              </w:rPr>
              <w:tab/>
            </w:r>
            <w:proofErr w:type="spellStart"/>
            <w:r>
              <w:rPr>
                <w:rFonts w:ascii="宋体" w:hAnsi="宋体" w:hint="eastAsia"/>
                <w:color w:val="000000"/>
                <w:kern w:val="0"/>
                <w:sz w:val="22"/>
                <w:szCs w:val="22"/>
              </w:rPr>
              <w:t>DLSS</w:t>
            </w:r>
            <w:proofErr w:type="spellEnd"/>
            <w:r>
              <w:rPr>
                <w:rFonts w:ascii="宋体" w:hAnsi="宋体" w:hint="eastAsia"/>
                <w:color w:val="000000"/>
                <w:kern w:val="0"/>
                <w:sz w:val="22"/>
                <w:szCs w:val="22"/>
              </w:rPr>
              <w:t xml:space="preserve"> 3.5</w:t>
            </w:r>
          </w:p>
          <w:p w14:paraId="281309A2"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10、支持 NVIDIA Reflex</w:t>
            </w:r>
            <w:r>
              <w:rPr>
                <w:rFonts w:ascii="宋体" w:hAnsi="宋体" w:hint="eastAsia"/>
                <w:color w:val="000000"/>
                <w:kern w:val="0"/>
                <w:sz w:val="22"/>
                <w:szCs w:val="22"/>
              </w:rPr>
              <w:tab/>
            </w:r>
          </w:p>
          <w:p w14:paraId="05116D92"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11、支持 NVIDIA Broadcast</w:t>
            </w:r>
            <w:r>
              <w:rPr>
                <w:rFonts w:ascii="宋体" w:hAnsi="宋体" w:hint="eastAsia"/>
                <w:color w:val="000000"/>
                <w:kern w:val="0"/>
                <w:sz w:val="22"/>
                <w:szCs w:val="22"/>
              </w:rPr>
              <w:tab/>
            </w:r>
          </w:p>
          <w:p w14:paraId="601DBAD8"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12、支持 PCI Express 第 4 代</w:t>
            </w:r>
            <w:r>
              <w:rPr>
                <w:rFonts w:ascii="宋体" w:hAnsi="宋体" w:hint="eastAsia"/>
                <w:color w:val="000000"/>
                <w:kern w:val="0"/>
                <w:sz w:val="22"/>
                <w:szCs w:val="22"/>
              </w:rPr>
              <w:tab/>
            </w:r>
          </w:p>
          <w:p w14:paraId="134C6A8A"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13、支持 Resizable BAR</w:t>
            </w:r>
            <w:r>
              <w:rPr>
                <w:rFonts w:ascii="宋体" w:hAnsi="宋体" w:hint="eastAsia"/>
                <w:color w:val="000000"/>
                <w:kern w:val="0"/>
                <w:sz w:val="22"/>
                <w:szCs w:val="22"/>
              </w:rPr>
              <w:tab/>
            </w:r>
          </w:p>
          <w:p w14:paraId="7FB3C05A"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14、支持 NVIDIA® GeForce Experience™</w:t>
            </w:r>
            <w:r>
              <w:rPr>
                <w:rFonts w:ascii="宋体" w:hAnsi="宋体" w:hint="eastAsia"/>
                <w:color w:val="000000"/>
                <w:kern w:val="0"/>
                <w:sz w:val="22"/>
                <w:szCs w:val="22"/>
              </w:rPr>
              <w:tab/>
            </w:r>
          </w:p>
          <w:p w14:paraId="610ABDB5"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15、支持 NVIDIA Ansel</w:t>
            </w:r>
            <w:r>
              <w:rPr>
                <w:rFonts w:ascii="宋体" w:hAnsi="宋体" w:hint="eastAsia"/>
                <w:color w:val="000000"/>
                <w:kern w:val="0"/>
                <w:sz w:val="22"/>
                <w:szCs w:val="22"/>
              </w:rPr>
              <w:tab/>
            </w:r>
          </w:p>
          <w:p w14:paraId="38F4EE21"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 xml:space="preserve">16、支持 NVIDIA </w:t>
            </w:r>
            <w:proofErr w:type="spellStart"/>
            <w:r>
              <w:rPr>
                <w:rFonts w:ascii="宋体" w:hAnsi="宋体" w:hint="eastAsia"/>
                <w:color w:val="000000"/>
                <w:kern w:val="0"/>
                <w:sz w:val="22"/>
                <w:szCs w:val="22"/>
              </w:rPr>
              <w:t>FreeStyle</w:t>
            </w:r>
            <w:proofErr w:type="spellEnd"/>
            <w:r>
              <w:rPr>
                <w:rFonts w:ascii="宋体" w:hAnsi="宋体" w:hint="eastAsia"/>
                <w:color w:val="000000"/>
                <w:kern w:val="0"/>
                <w:sz w:val="22"/>
                <w:szCs w:val="22"/>
              </w:rPr>
              <w:tab/>
            </w:r>
          </w:p>
          <w:p w14:paraId="4D214A4C"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 xml:space="preserve">17、支持 NVIDIA </w:t>
            </w:r>
            <w:proofErr w:type="spellStart"/>
            <w:r>
              <w:rPr>
                <w:rFonts w:ascii="宋体" w:hAnsi="宋体" w:hint="eastAsia"/>
                <w:color w:val="000000"/>
                <w:kern w:val="0"/>
                <w:sz w:val="22"/>
                <w:szCs w:val="22"/>
              </w:rPr>
              <w:t>ShadowPlay</w:t>
            </w:r>
            <w:proofErr w:type="spellEnd"/>
            <w:r>
              <w:rPr>
                <w:rFonts w:ascii="宋体" w:hAnsi="宋体" w:hint="eastAsia"/>
                <w:color w:val="000000"/>
                <w:kern w:val="0"/>
                <w:sz w:val="22"/>
                <w:szCs w:val="22"/>
              </w:rPr>
              <w:tab/>
            </w:r>
          </w:p>
          <w:p w14:paraId="63022609"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18、支持 NVIDIA Highlights</w:t>
            </w:r>
            <w:r>
              <w:rPr>
                <w:rFonts w:ascii="宋体" w:hAnsi="宋体" w:hint="eastAsia"/>
                <w:color w:val="000000"/>
                <w:kern w:val="0"/>
                <w:sz w:val="22"/>
                <w:szCs w:val="22"/>
              </w:rPr>
              <w:tab/>
            </w:r>
          </w:p>
          <w:p w14:paraId="13BEB5BF"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19、支持 NVIDIA G-SYNC®</w:t>
            </w:r>
            <w:r>
              <w:rPr>
                <w:rFonts w:ascii="宋体" w:hAnsi="宋体" w:hint="eastAsia"/>
                <w:color w:val="000000"/>
                <w:kern w:val="0"/>
                <w:sz w:val="22"/>
                <w:szCs w:val="22"/>
              </w:rPr>
              <w:tab/>
            </w:r>
          </w:p>
          <w:p w14:paraId="286C2C19"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20、支持Game Ready 驱动</w:t>
            </w:r>
            <w:r>
              <w:rPr>
                <w:rFonts w:ascii="宋体" w:hAnsi="宋体" w:hint="eastAsia"/>
                <w:color w:val="000000"/>
                <w:kern w:val="0"/>
                <w:sz w:val="22"/>
                <w:szCs w:val="22"/>
              </w:rPr>
              <w:tab/>
            </w:r>
          </w:p>
          <w:p w14:paraId="565B108C"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21、支持 NVIDIA Studio 驱动</w:t>
            </w:r>
            <w:r>
              <w:rPr>
                <w:rFonts w:ascii="宋体" w:hAnsi="宋体" w:hint="eastAsia"/>
                <w:color w:val="000000"/>
                <w:kern w:val="0"/>
                <w:sz w:val="22"/>
                <w:szCs w:val="22"/>
              </w:rPr>
              <w:tab/>
            </w:r>
          </w:p>
          <w:p w14:paraId="0C8BEF72"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22、支持 Microsoft DirectX® 12 Ultimate</w:t>
            </w:r>
            <w:r>
              <w:rPr>
                <w:rFonts w:ascii="宋体" w:hAnsi="宋体" w:hint="eastAsia"/>
                <w:color w:val="000000"/>
                <w:kern w:val="0"/>
                <w:sz w:val="22"/>
                <w:szCs w:val="22"/>
              </w:rPr>
              <w:tab/>
              <w:t>是</w:t>
            </w:r>
          </w:p>
          <w:p w14:paraId="795E32E5"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23、支持 NVIDIA GPU Boost™</w:t>
            </w:r>
            <w:r>
              <w:rPr>
                <w:rFonts w:ascii="宋体" w:hAnsi="宋体" w:hint="eastAsia"/>
                <w:color w:val="000000"/>
                <w:kern w:val="0"/>
                <w:sz w:val="22"/>
                <w:szCs w:val="22"/>
              </w:rPr>
              <w:tab/>
              <w:t>是</w:t>
            </w:r>
          </w:p>
          <w:p w14:paraId="0D7F8ED9"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 xml:space="preserve">24、支持 NVIDIA </w:t>
            </w:r>
            <w:proofErr w:type="spellStart"/>
            <w:r>
              <w:rPr>
                <w:rFonts w:ascii="宋体" w:hAnsi="宋体" w:hint="eastAsia"/>
                <w:color w:val="000000"/>
                <w:kern w:val="0"/>
                <w:sz w:val="22"/>
                <w:szCs w:val="22"/>
              </w:rPr>
              <w:t>NVLink</w:t>
            </w:r>
            <w:proofErr w:type="spellEnd"/>
            <w:r>
              <w:rPr>
                <w:rFonts w:ascii="宋体" w:hAnsi="宋体" w:hint="eastAsia"/>
                <w:color w:val="000000"/>
                <w:kern w:val="0"/>
                <w:sz w:val="22"/>
                <w:szCs w:val="22"/>
              </w:rPr>
              <w:t>™ (SLI-Ready)</w:t>
            </w:r>
            <w:r>
              <w:rPr>
                <w:rFonts w:ascii="宋体" w:hAnsi="宋体" w:hint="eastAsia"/>
                <w:color w:val="000000"/>
                <w:kern w:val="0"/>
                <w:sz w:val="22"/>
                <w:szCs w:val="22"/>
              </w:rPr>
              <w:tab/>
              <w:t>否</w:t>
            </w:r>
          </w:p>
          <w:p w14:paraId="085C5897"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25、支持 Vulkan RT API, OpenGL 4.6</w:t>
            </w:r>
            <w:r>
              <w:rPr>
                <w:rFonts w:ascii="宋体" w:hAnsi="宋体" w:hint="eastAsia"/>
                <w:color w:val="000000"/>
                <w:kern w:val="0"/>
                <w:sz w:val="22"/>
                <w:szCs w:val="22"/>
              </w:rPr>
              <w:tab/>
              <w:t>是</w:t>
            </w:r>
          </w:p>
          <w:p w14:paraId="68EC70C1"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lastRenderedPageBreak/>
              <w:t>26、支持NVIDIA 编码器 (NVENC) 2x 第 8 代</w:t>
            </w:r>
          </w:p>
          <w:p w14:paraId="3E9F316D"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27、支持解码器 (NVDEC)</w:t>
            </w:r>
            <w:r>
              <w:rPr>
                <w:rFonts w:ascii="宋体" w:hAnsi="宋体" w:hint="eastAsia"/>
                <w:color w:val="000000"/>
                <w:kern w:val="0"/>
                <w:sz w:val="22"/>
                <w:szCs w:val="22"/>
              </w:rPr>
              <w:tab/>
              <w:t>第 5 代</w:t>
            </w:r>
          </w:p>
          <w:p w14:paraId="7D69D621"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color w:val="000000"/>
                <w:kern w:val="0"/>
                <w:sz w:val="22"/>
                <w:szCs w:val="22"/>
              </w:rPr>
              <w:t>28、支持AV1 编码、解码</w:t>
            </w:r>
          </w:p>
        </w:tc>
        <w:tc>
          <w:tcPr>
            <w:tcW w:w="293" w:type="pct"/>
            <w:vAlign w:val="center"/>
          </w:tcPr>
          <w:p w14:paraId="2F91B4FF" w14:textId="77777777" w:rsidR="00767E6F" w:rsidRDefault="00000000">
            <w:pPr>
              <w:widowControl/>
              <w:spacing w:line="360" w:lineRule="auto"/>
              <w:jc w:val="center"/>
              <w:rPr>
                <w:rFonts w:ascii="宋体" w:hAnsi="宋体" w:hint="eastAsia"/>
                <w:color w:val="000000"/>
                <w:kern w:val="0"/>
                <w:sz w:val="22"/>
                <w:szCs w:val="22"/>
              </w:rPr>
            </w:pPr>
            <w:r>
              <w:rPr>
                <w:rFonts w:ascii="宋体" w:hAnsi="宋体" w:hint="eastAsia"/>
                <w:sz w:val="22"/>
                <w:szCs w:val="22"/>
              </w:rPr>
              <w:lastRenderedPageBreak/>
              <w:t>1</w:t>
            </w:r>
          </w:p>
        </w:tc>
        <w:tc>
          <w:tcPr>
            <w:tcW w:w="240" w:type="pct"/>
            <w:vAlign w:val="center"/>
          </w:tcPr>
          <w:p w14:paraId="7A9385EF"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张</w:t>
            </w:r>
          </w:p>
        </w:tc>
        <w:tc>
          <w:tcPr>
            <w:tcW w:w="602" w:type="pct"/>
            <w:vAlign w:val="center"/>
          </w:tcPr>
          <w:p w14:paraId="2FB2A145"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23000</w:t>
            </w:r>
          </w:p>
        </w:tc>
        <w:tc>
          <w:tcPr>
            <w:tcW w:w="617" w:type="pct"/>
            <w:vAlign w:val="center"/>
          </w:tcPr>
          <w:p w14:paraId="51013CB7"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23000</w:t>
            </w:r>
          </w:p>
        </w:tc>
      </w:tr>
      <w:tr w:rsidR="00767E6F" w14:paraId="0CFD570F" w14:textId="77777777">
        <w:trPr>
          <w:trHeight w:val="1380"/>
        </w:trPr>
        <w:tc>
          <w:tcPr>
            <w:tcW w:w="252" w:type="pct"/>
            <w:noWrap/>
            <w:vAlign w:val="center"/>
          </w:tcPr>
          <w:p w14:paraId="70897510"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t>5</w:t>
            </w:r>
          </w:p>
        </w:tc>
        <w:tc>
          <w:tcPr>
            <w:tcW w:w="331" w:type="pct"/>
            <w:vAlign w:val="center"/>
          </w:tcPr>
          <w:p w14:paraId="1E6EE657" w14:textId="77777777" w:rsidR="00767E6F" w:rsidRDefault="00000000">
            <w:pPr>
              <w:widowControl/>
              <w:jc w:val="center"/>
              <w:textAlignment w:val="center"/>
              <w:rPr>
                <w:rFonts w:ascii="宋体" w:hAnsi="宋体" w:hint="eastAsia"/>
                <w:color w:val="000000"/>
                <w:kern w:val="0"/>
                <w:sz w:val="22"/>
                <w:szCs w:val="22"/>
                <w:lang w:bidi="ar"/>
              </w:rPr>
            </w:pPr>
            <w:r>
              <w:rPr>
                <w:rFonts w:ascii="宋体" w:hAnsi="宋体" w:hint="eastAsia"/>
                <w:color w:val="000000"/>
                <w:kern w:val="0"/>
                <w:sz w:val="22"/>
                <w:szCs w:val="22"/>
                <w:lang w:bidi="ar"/>
              </w:rPr>
              <w:t>入侵</w:t>
            </w:r>
          </w:p>
          <w:p w14:paraId="24B97D37"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lang w:bidi="ar"/>
              </w:rPr>
              <w:t>检测防御设备</w:t>
            </w:r>
          </w:p>
        </w:tc>
        <w:tc>
          <w:tcPr>
            <w:tcW w:w="286" w:type="pct"/>
            <w:vAlign w:val="center"/>
          </w:tcPr>
          <w:p w14:paraId="12690416" w14:textId="77777777" w:rsidR="00767E6F" w:rsidRDefault="00000000">
            <w:pPr>
              <w:widowControl/>
              <w:jc w:val="center"/>
              <w:textAlignment w:val="center"/>
              <w:rPr>
                <w:rFonts w:ascii="宋体" w:hAnsi="宋体" w:hint="eastAsia"/>
                <w:color w:val="000000"/>
                <w:kern w:val="0"/>
                <w:sz w:val="22"/>
                <w:szCs w:val="22"/>
              </w:rPr>
            </w:pPr>
            <w:r>
              <w:rPr>
                <w:rFonts w:ascii="宋体" w:hAnsi="宋体"/>
                <w:color w:val="000000"/>
                <w:kern w:val="0"/>
                <w:sz w:val="22"/>
                <w:szCs w:val="22"/>
              </w:rPr>
              <w:t>深信服</w:t>
            </w:r>
          </w:p>
        </w:tc>
        <w:tc>
          <w:tcPr>
            <w:tcW w:w="444" w:type="pct"/>
            <w:vAlign w:val="center"/>
          </w:tcPr>
          <w:p w14:paraId="052C528C" w14:textId="77777777" w:rsidR="00767E6F" w:rsidRDefault="00000000">
            <w:pPr>
              <w:widowControl/>
              <w:spacing w:line="300" w:lineRule="auto"/>
              <w:jc w:val="center"/>
              <w:rPr>
                <w:rFonts w:ascii="宋体" w:hAnsi="宋体" w:hint="eastAsia"/>
                <w:color w:val="000000"/>
                <w:kern w:val="0"/>
                <w:sz w:val="22"/>
                <w:szCs w:val="22"/>
              </w:rPr>
            </w:pPr>
            <w:r>
              <w:rPr>
                <w:rFonts w:ascii="宋体" w:hAnsi="宋体"/>
                <w:color w:val="000000"/>
                <w:kern w:val="0"/>
                <w:sz w:val="22"/>
                <w:szCs w:val="22"/>
              </w:rPr>
              <w:t>AF-2000-FH2150B</w:t>
            </w:r>
          </w:p>
        </w:tc>
        <w:tc>
          <w:tcPr>
            <w:tcW w:w="1934" w:type="pct"/>
            <w:vAlign w:val="center"/>
          </w:tcPr>
          <w:p w14:paraId="0D9F6780"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一、★性能参数：</w:t>
            </w:r>
          </w:p>
          <w:p w14:paraId="68A06BBE"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1、性能指标：网络层吞吐量≥20Gbps，应用层吞吐量≥10Gbps，防病毒吞吐量≥1.5Gbp,并发连接数≥300万，每秒新建连接数≥9万；</w:t>
            </w:r>
          </w:p>
          <w:p w14:paraId="5ED10979"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2、硬件指标：产品采用多核并行处理架构，≥8个</w:t>
            </w:r>
            <w:proofErr w:type="gramStart"/>
            <w:r>
              <w:rPr>
                <w:rFonts w:ascii="宋体" w:hAnsi="宋体" w:hint="eastAsia"/>
                <w:sz w:val="22"/>
                <w:szCs w:val="22"/>
              </w:rPr>
              <w:t>千兆电口</w:t>
            </w:r>
            <w:proofErr w:type="gramEnd"/>
            <w:r>
              <w:rPr>
                <w:rFonts w:ascii="宋体" w:hAnsi="宋体" w:hint="eastAsia"/>
                <w:sz w:val="22"/>
                <w:szCs w:val="22"/>
              </w:rPr>
              <w:t>，≥2个万兆SFP+口（配置2个万兆模块），冗余电源，2U机箱；</w:t>
            </w:r>
          </w:p>
          <w:p w14:paraId="15C8B1D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二、功能参数：</w:t>
            </w:r>
          </w:p>
          <w:p w14:paraId="3009FB89"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1、产品支持路由模式、透明模式、虚拟网线模式、旁路镜像模式等多种部署方式；</w:t>
            </w:r>
          </w:p>
          <w:p w14:paraId="29974401"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2、产品支持链路连通性检查功能，支持基于3种以上协议对链路连通性进行探测，探测协议至少包括DNS解析、ARP探测、PING和BFD等方式；</w:t>
            </w:r>
          </w:p>
          <w:p w14:paraId="0ADBBC5B"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3、产品支持路由类型、协议类型、网络对象、国家地区等条件进行自动选路的策略路由，支持不少于3种的调度算法，至少包括带宽比例、加权流量、线路优先等；</w:t>
            </w:r>
          </w:p>
          <w:p w14:paraId="09160817"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4、产品支持多对一、一对多和一对一等多种地址转换方式；</w:t>
            </w:r>
          </w:p>
          <w:p w14:paraId="228D1EE4"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lastRenderedPageBreak/>
              <w:t>5、产品支持IPsec VPN和SSL VPN功能；</w:t>
            </w:r>
          </w:p>
          <w:p w14:paraId="5046AB0E"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6、产品支持IPSec VPN智能选路功能，根据线路质量和应用实现自动链路切换；</w:t>
            </w:r>
          </w:p>
          <w:p w14:paraId="2DE74CD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7、产品支持3种以上的用户认证方式,包含但不限于单点登录、本地账号密码、外部账号密码认证；</w:t>
            </w:r>
          </w:p>
          <w:p w14:paraId="46D811FC"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8、产品支持对不少于9000种应用的识别和控制，应用类型包括游戏、购物、图书百科、工作招聘、P2P下载、聊天工具、旅游出行、股票软件等类型应用进行检测与控制；</w:t>
            </w:r>
          </w:p>
          <w:p w14:paraId="1AEFD74E"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9、产品支持多维度流量控制功能，支持基于IP地址、用户、应用、时间设置流量控制策略，保证关键业务带宽日常需求；</w:t>
            </w:r>
          </w:p>
          <w:p w14:paraId="2E619461"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10、产品支持对ICMP、UDP、DNS、SYN等协议进行DDOS防护；</w:t>
            </w:r>
          </w:p>
          <w:p w14:paraId="6A504D9F"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11、产品支持https解密功能，支持TCP代理和SSL代理；</w:t>
            </w:r>
          </w:p>
          <w:p w14:paraId="5DFB4B3D"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12、★产品支持对压缩病毒文件进行检测和拦截，压缩层</w:t>
            </w:r>
            <w:proofErr w:type="gramStart"/>
            <w:r>
              <w:rPr>
                <w:rFonts w:ascii="宋体" w:hAnsi="宋体" w:hint="eastAsia"/>
                <w:sz w:val="22"/>
                <w:szCs w:val="22"/>
              </w:rPr>
              <w:t>数支持</w:t>
            </w:r>
            <w:proofErr w:type="gramEnd"/>
            <w:r>
              <w:rPr>
                <w:rFonts w:ascii="宋体" w:hAnsi="宋体" w:hint="eastAsia"/>
                <w:sz w:val="22"/>
                <w:szCs w:val="22"/>
              </w:rPr>
              <w:t>15层及以上；（需提供相关功能截</w:t>
            </w:r>
            <w:proofErr w:type="gramStart"/>
            <w:r>
              <w:rPr>
                <w:rFonts w:ascii="宋体" w:hAnsi="宋体" w:hint="eastAsia"/>
                <w:sz w:val="22"/>
                <w:szCs w:val="22"/>
              </w:rPr>
              <w:t>图证明</w:t>
            </w:r>
            <w:proofErr w:type="gramEnd"/>
            <w:r>
              <w:rPr>
                <w:rFonts w:ascii="宋体" w:hAnsi="宋体" w:hint="eastAsia"/>
                <w:sz w:val="22"/>
                <w:szCs w:val="22"/>
              </w:rPr>
              <w:t>并加盖投标人公章）</w:t>
            </w:r>
          </w:p>
          <w:p w14:paraId="6174FD3B"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13、产品内置不低于13800种漏洞规则，同时支持在控制台界面通过漏洞ID、漏洞名称、危险等级、漏洞CVE标</w:t>
            </w:r>
            <w:r>
              <w:rPr>
                <w:rFonts w:ascii="宋体" w:hAnsi="宋体" w:hint="eastAsia"/>
                <w:sz w:val="22"/>
                <w:szCs w:val="22"/>
              </w:rPr>
              <w:lastRenderedPageBreak/>
              <w:t>识、漏洞描述等条件查询漏洞特征信息，支持用户自定义IPS规则；</w:t>
            </w:r>
          </w:p>
          <w:p w14:paraId="78013D07"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14、产品支持僵尸主机检测功能，产品内置僵尸网络特征</w:t>
            </w:r>
            <w:proofErr w:type="gramStart"/>
            <w:r>
              <w:rPr>
                <w:rFonts w:ascii="宋体" w:hAnsi="宋体" w:hint="eastAsia"/>
                <w:sz w:val="22"/>
                <w:szCs w:val="22"/>
              </w:rPr>
              <w:t>库超过</w:t>
            </w:r>
            <w:proofErr w:type="gramEnd"/>
            <w:r>
              <w:rPr>
                <w:rFonts w:ascii="宋体" w:hAnsi="宋体" w:hint="eastAsia"/>
                <w:sz w:val="22"/>
                <w:szCs w:val="22"/>
              </w:rPr>
              <w:t>120万种，可识别主机的异常外联行为；</w:t>
            </w:r>
          </w:p>
          <w:p w14:paraId="5ADC126D"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15、★产品内置超过4500种WEB应用攻击特征，支持对</w:t>
            </w:r>
            <w:proofErr w:type="gramStart"/>
            <w:r>
              <w:rPr>
                <w:rFonts w:ascii="宋体" w:hAnsi="宋体" w:hint="eastAsia"/>
                <w:sz w:val="22"/>
                <w:szCs w:val="22"/>
              </w:rPr>
              <w:t>跨站脚本</w:t>
            </w:r>
            <w:proofErr w:type="gramEnd"/>
            <w:r>
              <w:rPr>
                <w:rFonts w:ascii="宋体" w:hAnsi="宋体" w:hint="eastAsia"/>
                <w:sz w:val="22"/>
                <w:szCs w:val="22"/>
              </w:rPr>
              <w:t>（XSS）攻击、SQL注入、文件包含攻击、信息泄露攻击、WEBSHELL、网站扫描、网页木马等攻击类型进行防护；（需提供相关功能截</w:t>
            </w:r>
            <w:proofErr w:type="gramStart"/>
            <w:r>
              <w:rPr>
                <w:rFonts w:ascii="宋体" w:hAnsi="宋体" w:hint="eastAsia"/>
                <w:sz w:val="22"/>
                <w:szCs w:val="22"/>
              </w:rPr>
              <w:t>图证明</w:t>
            </w:r>
            <w:proofErr w:type="gramEnd"/>
            <w:r>
              <w:rPr>
                <w:rFonts w:ascii="宋体" w:hAnsi="宋体" w:hint="eastAsia"/>
                <w:sz w:val="22"/>
                <w:szCs w:val="22"/>
              </w:rPr>
              <w:t>并加盖投标人公章）</w:t>
            </w:r>
          </w:p>
          <w:p w14:paraId="5215B808"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16、★产品支持用户账号全生命周期保护功能，包括用户账号多余入口检测、用户账号弱口令检测、用户账号暴力破解检测、失陷账号检测，防止因账号被暴力破解导致的非法</w:t>
            </w:r>
            <w:proofErr w:type="gramStart"/>
            <w:r>
              <w:rPr>
                <w:rFonts w:ascii="宋体" w:hAnsi="宋体" w:hint="eastAsia"/>
                <w:sz w:val="22"/>
                <w:szCs w:val="22"/>
              </w:rPr>
              <w:t>提权情况</w:t>
            </w:r>
            <w:proofErr w:type="gramEnd"/>
            <w:r>
              <w:rPr>
                <w:rFonts w:ascii="宋体" w:hAnsi="宋体" w:hint="eastAsia"/>
                <w:sz w:val="22"/>
                <w:szCs w:val="22"/>
              </w:rPr>
              <w:t>发生；（需提供相关功能截</w:t>
            </w:r>
            <w:proofErr w:type="gramStart"/>
            <w:r>
              <w:rPr>
                <w:rFonts w:ascii="宋体" w:hAnsi="宋体" w:hint="eastAsia"/>
                <w:sz w:val="22"/>
                <w:szCs w:val="22"/>
              </w:rPr>
              <w:t>图证明</w:t>
            </w:r>
            <w:proofErr w:type="gramEnd"/>
            <w:r>
              <w:rPr>
                <w:rFonts w:ascii="宋体" w:hAnsi="宋体" w:hint="eastAsia"/>
                <w:sz w:val="22"/>
                <w:szCs w:val="22"/>
              </w:rPr>
              <w:t>并加盖投标人公章）</w:t>
            </w:r>
          </w:p>
          <w:p w14:paraId="1D7D6375"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17、★产品可识别IT、OT、IoT混合资产，获取IP、MAC、操作系统、类型、厂商等信息，终端类型包括但不限于：</w:t>
            </w:r>
          </w:p>
          <w:p w14:paraId="46987267"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（1）PC、</w:t>
            </w:r>
            <w:proofErr w:type="gramStart"/>
            <w:r>
              <w:rPr>
                <w:rFonts w:ascii="宋体" w:hAnsi="宋体" w:hint="eastAsia"/>
                <w:sz w:val="22"/>
                <w:szCs w:val="22"/>
              </w:rPr>
              <w:t>瘦客户</w:t>
            </w:r>
            <w:proofErr w:type="gramEnd"/>
            <w:r>
              <w:rPr>
                <w:rFonts w:ascii="宋体" w:hAnsi="宋体" w:hint="eastAsia"/>
                <w:sz w:val="22"/>
                <w:szCs w:val="22"/>
              </w:rPr>
              <w:t>机、手机、平板、交换机、路由器、防火墙、无线控制器、服务器等IT资产</w:t>
            </w:r>
          </w:p>
          <w:p w14:paraId="60A0D1E9"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（2）摄像头、门禁、打印机、投影仪、VOIP设备、条形码扫描仪、医学图像打印机、呼吸机、心电图仪、监护仪、放射系统等IoT资产</w:t>
            </w:r>
          </w:p>
          <w:p w14:paraId="5516F7B6"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lastRenderedPageBreak/>
              <w:t>18、★产品可扩展主动诱捕功能，通过伪装业务诱捕内外网的攻击行为，并联合云蜜罐获取黑客指纹信息，并自动封锁高危IP；（需提供相关功能截</w:t>
            </w:r>
            <w:proofErr w:type="gramStart"/>
            <w:r>
              <w:rPr>
                <w:rFonts w:ascii="宋体" w:hAnsi="宋体" w:hint="eastAsia"/>
                <w:sz w:val="22"/>
                <w:szCs w:val="22"/>
              </w:rPr>
              <w:t>图证明</w:t>
            </w:r>
            <w:proofErr w:type="gramEnd"/>
            <w:r>
              <w:rPr>
                <w:rFonts w:ascii="宋体" w:hAnsi="宋体" w:hint="eastAsia"/>
                <w:sz w:val="22"/>
                <w:szCs w:val="22"/>
              </w:rPr>
              <w:t>并加盖投标人公章）</w:t>
            </w:r>
          </w:p>
          <w:p w14:paraId="262551A7" w14:textId="77777777" w:rsidR="00767E6F" w:rsidRDefault="00000000">
            <w:pPr>
              <w:pStyle w:val="aa"/>
              <w:widowControl/>
              <w:spacing w:line="360" w:lineRule="auto"/>
              <w:ind w:firstLineChars="0" w:firstLine="0"/>
              <w:rPr>
                <w:rFonts w:ascii="宋体" w:hAnsi="宋体" w:hint="eastAsia"/>
                <w:sz w:val="22"/>
                <w:szCs w:val="22"/>
              </w:rPr>
            </w:pPr>
            <w:r>
              <w:rPr>
                <w:rFonts w:ascii="宋体" w:hAnsi="宋体" w:hint="eastAsia"/>
                <w:sz w:val="22"/>
                <w:szCs w:val="22"/>
              </w:rPr>
              <w:t xml:space="preserve">19、★产品支持策略生命周期管理功能，支持对安全策略修改的时间、原因、变更类型进行统一管理，便于策略的运维与管理； </w:t>
            </w:r>
          </w:p>
          <w:p w14:paraId="38EC9F0F" w14:textId="77777777" w:rsidR="00767E6F" w:rsidRDefault="00000000">
            <w:pPr>
              <w:pStyle w:val="aa"/>
              <w:widowControl/>
              <w:spacing w:line="360" w:lineRule="auto"/>
              <w:ind w:firstLineChars="0" w:firstLine="0"/>
              <w:rPr>
                <w:rFonts w:ascii="宋体" w:hAnsi="宋体" w:hint="eastAsia"/>
                <w:color w:val="000000"/>
                <w:kern w:val="0"/>
                <w:sz w:val="22"/>
                <w:szCs w:val="22"/>
              </w:rPr>
            </w:pPr>
            <w:r>
              <w:rPr>
                <w:rFonts w:ascii="宋体" w:hAnsi="宋体" w:hint="eastAsia"/>
                <w:sz w:val="22"/>
                <w:szCs w:val="22"/>
              </w:rPr>
              <w:t>20、提供产品质保和软件升级≥5年；</w:t>
            </w:r>
          </w:p>
        </w:tc>
        <w:tc>
          <w:tcPr>
            <w:tcW w:w="293" w:type="pct"/>
            <w:vAlign w:val="center"/>
          </w:tcPr>
          <w:p w14:paraId="38661F65" w14:textId="77777777" w:rsidR="00767E6F" w:rsidRDefault="00000000">
            <w:pPr>
              <w:widowControl/>
              <w:spacing w:line="360" w:lineRule="auto"/>
              <w:jc w:val="center"/>
              <w:rPr>
                <w:rFonts w:ascii="宋体" w:hAnsi="宋体" w:hint="eastAsia"/>
                <w:color w:val="000000"/>
                <w:kern w:val="0"/>
                <w:sz w:val="22"/>
                <w:szCs w:val="22"/>
              </w:rPr>
            </w:pPr>
            <w:r>
              <w:rPr>
                <w:rFonts w:ascii="宋体" w:hAnsi="宋体" w:hint="eastAsia"/>
                <w:sz w:val="22"/>
                <w:szCs w:val="22"/>
              </w:rPr>
              <w:lastRenderedPageBreak/>
              <w:t>1</w:t>
            </w:r>
          </w:p>
        </w:tc>
        <w:tc>
          <w:tcPr>
            <w:tcW w:w="240" w:type="pct"/>
            <w:vAlign w:val="center"/>
          </w:tcPr>
          <w:p w14:paraId="4095293A"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台</w:t>
            </w:r>
          </w:p>
        </w:tc>
        <w:tc>
          <w:tcPr>
            <w:tcW w:w="602" w:type="pct"/>
            <w:vAlign w:val="center"/>
          </w:tcPr>
          <w:p w14:paraId="7317458D"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69500</w:t>
            </w:r>
          </w:p>
        </w:tc>
        <w:tc>
          <w:tcPr>
            <w:tcW w:w="617" w:type="pct"/>
            <w:vAlign w:val="center"/>
          </w:tcPr>
          <w:p w14:paraId="33F778A8"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69500</w:t>
            </w:r>
          </w:p>
        </w:tc>
      </w:tr>
      <w:tr w:rsidR="00767E6F" w14:paraId="45B76536" w14:textId="77777777">
        <w:trPr>
          <w:trHeight w:val="1380"/>
        </w:trPr>
        <w:tc>
          <w:tcPr>
            <w:tcW w:w="252" w:type="pct"/>
            <w:noWrap/>
            <w:vAlign w:val="center"/>
          </w:tcPr>
          <w:p w14:paraId="348FF10E"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color w:val="000000"/>
                <w:kern w:val="0"/>
                <w:sz w:val="22"/>
                <w:szCs w:val="22"/>
              </w:rPr>
              <w:lastRenderedPageBreak/>
              <w:t>6</w:t>
            </w:r>
          </w:p>
        </w:tc>
        <w:tc>
          <w:tcPr>
            <w:tcW w:w="331" w:type="pct"/>
            <w:vAlign w:val="center"/>
          </w:tcPr>
          <w:p w14:paraId="45580B4F"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KVM</w:t>
            </w:r>
          </w:p>
          <w:p w14:paraId="0F34DAAF" w14:textId="77777777" w:rsidR="00767E6F" w:rsidRDefault="00000000">
            <w:pPr>
              <w:widowControl/>
              <w:jc w:val="center"/>
              <w:textAlignment w:val="center"/>
              <w:rPr>
                <w:rFonts w:ascii="宋体" w:hAnsi="宋体" w:hint="eastAsia"/>
                <w:sz w:val="22"/>
                <w:szCs w:val="22"/>
              </w:rPr>
            </w:pPr>
            <w:r>
              <w:rPr>
                <w:rFonts w:ascii="宋体" w:hAnsi="宋体" w:hint="eastAsia"/>
                <w:sz w:val="22"/>
                <w:szCs w:val="22"/>
              </w:rPr>
              <w:t>功能</w:t>
            </w:r>
          </w:p>
          <w:p w14:paraId="7F7B09C8" w14:textId="77777777" w:rsidR="00767E6F" w:rsidRDefault="00000000">
            <w:pPr>
              <w:widowControl/>
              <w:jc w:val="center"/>
              <w:textAlignment w:val="center"/>
              <w:rPr>
                <w:rFonts w:ascii="宋体" w:hAnsi="宋体" w:hint="eastAsia"/>
                <w:color w:val="000000"/>
                <w:kern w:val="0"/>
                <w:sz w:val="22"/>
                <w:szCs w:val="22"/>
              </w:rPr>
            </w:pPr>
            <w:r>
              <w:rPr>
                <w:rFonts w:ascii="宋体" w:hAnsi="宋体" w:hint="eastAsia"/>
                <w:sz w:val="22"/>
                <w:szCs w:val="22"/>
              </w:rPr>
              <w:t>服务器</w:t>
            </w:r>
          </w:p>
        </w:tc>
        <w:tc>
          <w:tcPr>
            <w:tcW w:w="286" w:type="pct"/>
            <w:vAlign w:val="center"/>
          </w:tcPr>
          <w:p w14:paraId="5CB61922" w14:textId="77777777" w:rsidR="00767E6F" w:rsidRDefault="00000000">
            <w:pPr>
              <w:widowControl/>
              <w:jc w:val="center"/>
              <w:textAlignment w:val="center"/>
              <w:rPr>
                <w:rFonts w:ascii="宋体" w:hAnsi="宋体" w:hint="eastAsia"/>
                <w:color w:val="000000"/>
                <w:kern w:val="0"/>
                <w:sz w:val="22"/>
                <w:szCs w:val="22"/>
              </w:rPr>
            </w:pPr>
            <w:proofErr w:type="gramStart"/>
            <w:r>
              <w:rPr>
                <w:rFonts w:ascii="宋体" w:hAnsi="宋体" w:hint="eastAsia"/>
                <w:color w:val="000000"/>
                <w:kern w:val="0"/>
                <w:sz w:val="22"/>
                <w:szCs w:val="22"/>
              </w:rPr>
              <w:t>图奥</w:t>
            </w:r>
            <w:proofErr w:type="gramEnd"/>
          </w:p>
        </w:tc>
        <w:tc>
          <w:tcPr>
            <w:tcW w:w="444" w:type="pct"/>
            <w:vAlign w:val="center"/>
          </w:tcPr>
          <w:p w14:paraId="71A20516" w14:textId="77777777" w:rsidR="00767E6F" w:rsidRDefault="00000000">
            <w:pPr>
              <w:widowControl/>
              <w:spacing w:line="300" w:lineRule="auto"/>
              <w:jc w:val="center"/>
              <w:rPr>
                <w:rFonts w:ascii="宋体" w:hAnsi="宋体" w:hint="eastAsia"/>
                <w:color w:val="000000"/>
                <w:kern w:val="0"/>
                <w:sz w:val="22"/>
                <w:szCs w:val="22"/>
              </w:rPr>
            </w:pPr>
            <w:r>
              <w:rPr>
                <w:rFonts w:ascii="宋体" w:hAnsi="宋体" w:hint="eastAsia"/>
                <w:color w:val="000000"/>
                <w:kern w:val="0"/>
                <w:sz w:val="22"/>
                <w:szCs w:val="22"/>
              </w:rPr>
              <w:t>TX1916I</w:t>
            </w:r>
          </w:p>
        </w:tc>
        <w:tc>
          <w:tcPr>
            <w:tcW w:w="1934" w:type="pct"/>
            <w:vAlign w:val="center"/>
          </w:tcPr>
          <w:p w14:paraId="747684AC"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1、显示屏类型:SXGA TFT</w:t>
            </w:r>
          </w:p>
          <w:p w14:paraId="378DFA10"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2、PC端口数量≥16个；</w:t>
            </w:r>
          </w:p>
          <w:p w14:paraId="38ECFE25"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3、规格（可视面积）：19英寸</w:t>
            </w:r>
          </w:p>
          <w:p w14:paraId="02821BC3"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4、分辨率≥1280x1024</w:t>
            </w:r>
          </w:p>
          <w:p w14:paraId="3BB0E289"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5、键盘设计：99 键笔记本键盘</w:t>
            </w:r>
          </w:p>
          <w:p w14:paraId="7E4E3336"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6、键盘接口：USB 键盘;鼠标</w:t>
            </w:r>
          </w:p>
          <w:p w14:paraId="60E2CDA9"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7、机柜安装深度：抽拉式安装设计，可以调整长度以适应各机柜空间</w:t>
            </w:r>
          </w:p>
          <w:p w14:paraId="35571288" w14:textId="77777777" w:rsidR="00767E6F" w:rsidRDefault="00000000">
            <w:pPr>
              <w:pStyle w:val="aa"/>
              <w:widowControl/>
              <w:spacing w:line="360" w:lineRule="auto"/>
              <w:ind w:firstLineChars="0" w:firstLine="0"/>
              <w:jc w:val="left"/>
              <w:rPr>
                <w:rFonts w:ascii="宋体" w:hAnsi="宋体" w:hint="eastAsia"/>
                <w:sz w:val="22"/>
                <w:szCs w:val="22"/>
              </w:rPr>
            </w:pPr>
            <w:r>
              <w:rPr>
                <w:rFonts w:ascii="宋体" w:hAnsi="宋体" w:hint="eastAsia"/>
                <w:sz w:val="22"/>
                <w:szCs w:val="22"/>
              </w:rPr>
              <w:t>8、兼容性:支持 Windows、Linux、Unix等系列操作系统</w:t>
            </w:r>
          </w:p>
          <w:p w14:paraId="47E5C086" w14:textId="77777777" w:rsidR="00767E6F" w:rsidRDefault="00000000">
            <w:pPr>
              <w:pStyle w:val="aa"/>
              <w:widowControl/>
              <w:spacing w:line="360" w:lineRule="auto"/>
              <w:ind w:firstLineChars="0" w:firstLine="0"/>
              <w:jc w:val="left"/>
              <w:rPr>
                <w:rFonts w:ascii="宋体" w:hAnsi="宋体" w:hint="eastAsia"/>
                <w:color w:val="000000"/>
                <w:kern w:val="0"/>
                <w:sz w:val="22"/>
                <w:szCs w:val="22"/>
              </w:rPr>
            </w:pPr>
            <w:r>
              <w:rPr>
                <w:rFonts w:ascii="宋体" w:hAnsi="宋体" w:hint="eastAsia"/>
                <w:sz w:val="22"/>
                <w:szCs w:val="22"/>
              </w:rPr>
              <w:t>9、OSD、键盘热键、面板按键实现控制切换外，既可以在用户选定的通道间自动扫描跳步切换。</w:t>
            </w:r>
          </w:p>
        </w:tc>
        <w:tc>
          <w:tcPr>
            <w:tcW w:w="293" w:type="pct"/>
            <w:vAlign w:val="center"/>
          </w:tcPr>
          <w:p w14:paraId="41A7B779" w14:textId="77777777" w:rsidR="00767E6F" w:rsidRDefault="00000000">
            <w:pPr>
              <w:widowControl/>
              <w:spacing w:line="360" w:lineRule="auto"/>
              <w:jc w:val="center"/>
              <w:rPr>
                <w:rFonts w:ascii="宋体" w:hAnsi="宋体" w:hint="eastAsia"/>
                <w:color w:val="000000"/>
                <w:kern w:val="0"/>
                <w:sz w:val="22"/>
                <w:szCs w:val="22"/>
              </w:rPr>
            </w:pPr>
            <w:r>
              <w:rPr>
                <w:rFonts w:ascii="宋体" w:hAnsi="宋体" w:hint="eastAsia"/>
                <w:sz w:val="22"/>
                <w:szCs w:val="22"/>
              </w:rPr>
              <w:t>1</w:t>
            </w:r>
          </w:p>
        </w:tc>
        <w:tc>
          <w:tcPr>
            <w:tcW w:w="240" w:type="pct"/>
            <w:vAlign w:val="center"/>
          </w:tcPr>
          <w:p w14:paraId="728BA979" w14:textId="77777777" w:rsidR="00767E6F" w:rsidRDefault="00000000">
            <w:pPr>
              <w:widowControl/>
              <w:spacing w:line="360" w:lineRule="auto"/>
              <w:jc w:val="center"/>
              <w:rPr>
                <w:rFonts w:ascii="宋体" w:hAnsi="宋体" w:hint="eastAsia"/>
                <w:color w:val="000000"/>
                <w:kern w:val="0"/>
                <w:sz w:val="22"/>
                <w:szCs w:val="22"/>
              </w:rPr>
            </w:pPr>
            <w:r>
              <w:rPr>
                <w:rFonts w:ascii="宋体" w:hint="eastAsia"/>
                <w:bCs/>
                <w:kern w:val="0"/>
                <w:sz w:val="22"/>
                <w:szCs w:val="22"/>
              </w:rPr>
              <w:t>套</w:t>
            </w:r>
          </w:p>
        </w:tc>
        <w:tc>
          <w:tcPr>
            <w:tcW w:w="602" w:type="pct"/>
            <w:vAlign w:val="center"/>
          </w:tcPr>
          <w:p w14:paraId="74E7FB2F"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4000</w:t>
            </w:r>
          </w:p>
        </w:tc>
        <w:tc>
          <w:tcPr>
            <w:tcW w:w="617" w:type="pct"/>
            <w:vAlign w:val="center"/>
          </w:tcPr>
          <w:p w14:paraId="23E02CE4" w14:textId="77777777" w:rsidR="00767E6F" w:rsidRDefault="00000000">
            <w:pPr>
              <w:widowControl/>
              <w:spacing w:line="360" w:lineRule="auto"/>
              <w:jc w:val="center"/>
              <w:rPr>
                <w:rFonts w:ascii="宋体" w:hAnsi="宋体" w:hint="eastAsia"/>
                <w:color w:val="000000"/>
                <w:sz w:val="22"/>
                <w:szCs w:val="22"/>
              </w:rPr>
            </w:pPr>
            <w:r>
              <w:rPr>
                <w:rFonts w:ascii="宋体" w:hint="eastAsia"/>
                <w:bCs/>
                <w:kern w:val="0"/>
                <w:sz w:val="22"/>
                <w:szCs w:val="22"/>
              </w:rPr>
              <w:t>4000</w:t>
            </w:r>
          </w:p>
        </w:tc>
      </w:tr>
      <w:tr w:rsidR="00767E6F" w14:paraId="24840E1B" w14:textId="77777777">
        <w:trPr>
          <w:trHeight w:val="623"/>
        </w:trPr>
        <w:tc>
          <w:tcPr>
            <w:tcW w:w="5000" w:type="pct"/>
            <w:gridSpan w:val="9"/>
            <w:noWrap/>
            <w:vAlign w:val="center"/>
          </w:tcPr>
          <w:p w14:paraId="66EFC476" w14:textId="77777777" w:rsidR="00767E6F" w:rsidRDefault="00000000">
            <w:pPr>
              <w:widowControl/>
              <w:jc w:val="center"/>
              <w:textAlignment w:val="center"/>
              <w:rPr>
                <w:rFonts w:ascii="宋体" w:hAnsi="宋体" w:hint="eastAsia"/>
                <w:b/>
                <w:bCs/>
                <w:color w:val="000000"/>
                <w:sz w:val="22"/>
                <w:szCs w:val="22"/>
              </w:rPr>
            </w:pPr>
            <w:r>
              <w:rPr>
                <w:rFonts w:ascii="宋体" w:hAnsi="宋体" w:hint="eastAsia"/>
                <w:b/>
                <w:bCs/>
                <w:color w:val="000000"/>
                <w:kern w:val="0"/>
                <w:sz w:val="22"/>
                <w:szCs w:val="22"/>
              </w:rPr>
              <w:t>合计：人民币大写伍拾玖万元整 （￥590000.00）</w:t>
            </w:r>
          </w:p>
        </w:tc>
      </w:tr>
    </w:tbl>
    <w:p w14:paraId="1F86285C" w14:textId="77777777" w:rsidR="00767E6F" w:rsidRDefault="00767E6F">
      <w:pPr>
        <w:rPr>
          <w:rFonts w:ascii="宋体" w:hAnsi="宋体" w:hint="eastAsia"/>
        </w:rPr>
      </w:pPr>
    </w:p>
    <w:p w14:paraId="0E5F593A" w14:textId="77777777" w:rsidR="00767E6F" w:rsidRDefault="00000000">
      <w:r>
        <w:br w:type="page"/>
      </w:r>
    </w:p>
    <w:p w14:paraId="3C7C19EE" w14:textId="77777777" w:rsidR="00767E6F" w:rsidRDefault="00000000">
      <w:pPr>
        <w:spacing w:line="560" w:lineRule="exact"/>
        <w:jc w:val="left"/>
        <w:rPr>
          <w:rFonts w:ascii="仿宋_GB2312" w:eastAsia="仿宋_GB2312" w:hAnsi="仿宋" w:hint="eastAsia"/>
          <w:b/>
          <w:bCs/>
          <w:sz w:val="28"/>
          <w:szCs w:val="28"/>
        </w:rPr>
      </w:pPr>
      <w:r>
        <w:rPr>
          <w:rFonts w:ascii="仿宋_GB2312" w:eastAsia="仿宋_GB2312" w:hAnsi="仿宋" w:hint="eastAsia"/>
          <w:b/>
          <w:bCs/>
          <w:sz w:val="28"/>
          <w:szCs w:val="28"/>
        </w:rPr>
        <w:lastRenderedPageBreak/>
        <w:t>（2）商务要求</w:t>
      </w:r>
    </w:p>
    <w:tbl>
      <w:tblPr>
        <w:tblW w:w="8980" w:type="dxa"/>
        <w:jc w:val="center"/>
        <w:tblLayout w:type="fixed"/>
        <w:tblCellMar>
          <w:left w:w="0" w:type="dxa"/>
          <w:right w:w="0" w:type="dxa"/>
        </w:tblCellMar>
        <w:tblLook w:val="04A0" w:firstRow="1" w:lastRow="0" w:firstColumn="1" w:lastColumn="0" w:noHBand="0" w:noVBand="1"/>
      </w:tblPr>
      <w:tblGrid>
        <w:gridCol w:w="665"/>
        <w:gridCol w:w="1139"/>
        <w:gridCol w:w="7176"/>
      </w:tblGrid>
      <w:tr w:rsidR="00767E6F" w14:paraId="4A45076D" w14:textId="77777777">
        <w:trPr>
          <w:trHeight w:val="509"/>
          <w:jc w:val="center"/>
        </w:trPr>
        <w:tc>
          <w:tcPr>
            <w:tcW w:w="8980"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B211F05" w14:textId="0141CF2D" w:rsidR="00767E6F" w:rsidRDefault="00591781" w:rsidP="00862632">
            <w:pPr>
              <w:spacing w:line="380" w:lineRule="exact"/>
              <w:jc w:val="center"/>
              <w:rPr>
                <w:rFonts w:ascii="宋体" w:hAnsi="宋体" w:hint="eastAsia"/>
                <w:b/>
                <w:bCs/>
                <w:sz w:val="22"/>
                <w:szCs w:val="22"/>
              </w:rPr>
            </w:pPr>
            <w:r>
              <w:rPr>
                <w:rFonts w:ascii="宋体" w:hAnsi="宋体" w:hint="eastAsia"/>
                <w:sz w:val="22"/>
                <w:szCs w:val="22"/>
              </w:rPr>
              <w:t>★</w:t>
            </w:r>
            <w:r>
              <w:rPr>
                <w:rFonts w:ascii="宋体" w:hAnsi="宋体" w:hint="eastAsia"/>
                <w:b/>
                <w:bCs/>
                <w:sz w:val="22"/>
                <w:szCs w:val="22"/>
              </w:rPr>
              <w:t>二、商务要求</w:t>
            </w:r>
          </w:p>
        </w:tc>
      </w:tr>
      <w:tr w:rsidR="00767E6F" w14:paraId="510203F1"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73BBF4C" w14:textId="77777777" w:rsidR="00767E6F" w:rsidRDefault="00000000">
            <w:pPr>
              <w:widowControl/>
              <w:spacing w:line="276" w:lineRule="auto"/>
              <w:jc w:val="center"/>
              <w:rPr>
                <w:rFonts w:ascii="宋体" w:hAnsi="宋体" w:hint="eastAsia"/>
                <w:sz w:val="22"/>
                <w:szCs w:val="22"/>
              </w:rPr>
            </w:pPr>
            <w:r>
              <w:rPr>
                <w:rFonts w:ascii="宋体" w:hAnsi="宋体" w:hint="eastAsia"/>
                <w:sz w:val="22"/>
                <w:szCs w:val="22"/>
              </w:rPr>
              <w:t>1</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ECA1B6A" w14:textId="77777777" w:rsidR="00767E6F" w:rsidRDefault="00000000">
            <w:pPr>
              <w:pStyle w:val="CharCharChar3"/>
              <w:spacing w:after="0" w:line="360" w:lineRule="auto"/>
              <w:jc w:val="center"/>
              <w:rPr>
                <w:rFonts w:ascii="宋体" w:hAnsi="宋体" w:cs="宋体" w:hint="eastAsia"/>
                <w:sz w:val="22"/>
                <w:szCs w:val="22"/>
              </w:rPr>
            </w:pPr>
            <w:r>
              <w:rPr>
                <w:rFonts w:ascii="宋体" w:hAnsi="宋体" w:cs="宋体" w:hint="eastAsia"/>
                <w:sz w:val="22"/>
                <w:szCs w:val="22"/>
                <w:lang w:eastAsia="zh-CN"/>
              </w:rPr>
              <w:t>合同签订日期</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349557F"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中标通知书发出后 10 日内。</w:t>
            </w:r>
          </w:p>
        </w:tc>
      </w:tr>
      <w:tr w:rsidR="00767E6F" w14:paraId="15083CD8"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09B9E43"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2</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F0AE214"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交货时间及地点</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012D0E03"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 xml:space="preserve">1.交付使用时间：自合同签订之日后起 </w:t>
            </w:r>
            <w:r>
              <w:rPr>
                <w:rFonts w:ascii="宋体" w:hAnsi="宋体" w:cs="宋体" w:hint="eastAsia"/>
                <w:sz w:val="22"/>
                <w:szCs w:val="22"/>
                <w:u w:val="single"/>
                <w:lang w:eastAsia="zh-CN"/>
              </w:rPr>
              <w:t xml:space="preserve"> 15 </w:t>
            </w:r>
            <w:proofErr w:type="gramStart"/>
            <w:r>
              <w:rPr>
                <w:rFonts w:ascii="宋体" w:hAnsi="宋体" w:cs="宋体" w:hint="eastAsia"/>
                <w:sz w:val="22"/>
                <w:szCs w:val="22"/>
                <w:lang w:eastAsia="zh-CN"/>
              </w:rPr>
              <w:t>个</w:t>
            </w:r>
            <w:proofErr w:type="gramEnd"/>
            <w:r>
              <w:rPr>
                <w:rFonts w:ascii="宋体" w:hAnsi="宋体" w:cs="宋体" w:hint="eastAsia"/>
                <w:sz w:val="22"/>
                <w:szCs w:val="22"/>
                <w:lang w:eastAsia="zh-CN"/>
              </w:rPr>
              <w:t>自然日内必须到货，并全部安装调试合格完毕交付。</w:t>
            </w:r>
          </w:p>
          <w:p w14:paraId="73458A78"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2.交货地点：</w:t>
            </w:r>
            <w:r>
              <w:rPr>
                <w:rFonts w:ascii="宋体" w:hAnsi="宋体" w:cs="宋体" w:hint="eastAsia"/>
                <w:sz w:val="22"/>
                <w:szCs w:val="22"/>
                <w:u w:val="single"/>
                <w:lang w:eastAsia="zh-CN"/>
              </w:rPr>
              <w:t xml:space="preserve">  南宁市内采购人指定地点 ，</w:t>
            </w:r>
            <w:r>
              <w:rPr>
                <w:rFonts w:ascii="宋体" w:hAnsi="宋体" w:cs="宋体" w:hint="eastAsia"/>
                <w:sz w:val="22"/>
                <w:szCs w:val="22"/>
                <w:lang w:eastAsia="zh-CN"/>
              </w:rPr>
              <w:t>保管工作由中标人自行负责。</w:t>
            </w:r>
          </w:p>
          <w:p w14:paraId="48A06D2C"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3.交货方式：现场交货。</w:t>
            </w:r>
          </w:p>
        </w:tc>
      </w:tr>
      <w:tr w:rsidR="00767E6F" w14:paraId="552754B2"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1463B75" w14:textId="77777777" w:rsidR="00767E6F" w:rsidRDefault="00000000">
            <w:pPr>
              <w:pStyle w:val="CharCharChar3"/>
              <w:spacing w:after="0" w:line="360" w:lineRule="auto"/>
              <w:jc w:val="center"/>
              <w:rPr>
                <w:rFonts w:ascii="宋体" w:hAnsi="宋体" w:cs="宋体" w:hint="eastAsia"/>
                <w:sz w:val="22"/>
                <w:szCs w:val="22"/>
                <w:lang w:eastAsia="zh-CN"/>
              </w:rPr>
            </w:pPr>
            <w:r>
              <w:rPr>
                <w:rFonts w:ascii="宋体" w:hAnsi="宋体" w:cs="宋体" w:hint="eastAsia"/>
                <w:sz w:val="22"/>
                <w:szCs w:val="22"/>
                <w:lang w:eastAsia="zh-CN"/>
              </w:rPr>
              <w:t>3</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FDF6F07" w14:textId="77777777" w:rsidR="00767E6F" w:rsidRDefault="00000000">
            <w:pPr>
              <w:pStyle w:val="CharCharChar3"/>
              <w:spacing w:after="0" w:line="360" w:lineRule="auto"/>
              <w:jc w:val="center"/>
              <w:rPr>
                <w:rFonts w:ascii="宋体" w:hAnsi="宋体" w:cs="宋体" w:hint="eastAsia"/>
                <w:sz w:val="22"/>
                <w:szCs w:val="22"/>
                <w:lang w:eastAsia="zh-CN"/>
              </w:rPr>
            </w:pPr>
            <w:r>
              <w:rPr>
                <w:rFonts w:ascii="宋体" w:hAnsi="宋体" w:cs="宋体" w:hint="eastAsia"/>
                <w:sz w:val="22"/>
                <w:szCs w:val="22"/>
                <w:lang w:eastAsia="zh-CN"/>
              </w:rPr>
              <w:t>报价要求</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26960BC4" w14:textId="77777777" w:rsidR="00767E6F" w:rsidRDefault="00000000">
            <w:pPr>
              <w:pStyle w:val="a7"/>
              <w:spacing w:before="0" w:beforeAutospacing="0" w:after="0" w:afterAutospacing="0" w:line="360" w:lineRule="auto"/>
              <w:rPr>
                <w:rFonts w:hint="eastAsia"/>
                <w:sz w:val="22"/>
                <w:szCs w:val="22"/>
              </w:rPr>
            </w:pPr>
            <w:r>
              <w:rPr>
                <w:rFonts w:hint="eastAsia"/>
                <w:sz w:val="22"/>
                <w:szCs w:val="22"/>
              </w:rPr>
              <w:t>1.投标报价包括但不限于货款、随配附件、备品备件、专用工具、包装、运输、装卸、保险、运抵指定交货地点、送货上门服务、现场安装调试、保修等各种费用和售后服务、培训、税金及其他所有成本费用的总和，中标后采购人不再另行支付额外费用。</w:t>
            </w:r>
          </w:p>
          <w:p w14:paraId="4654764F" w14:textId="77777777" w:rsidR="00767E6F" w:rsidRDefault="00000000">
            <w:pPr>
              <w:widowControl/>
              <w:spacing w:line="360" w:lineRule="auto"/>
              <w:jc w:val="left"/>
              <w:rPr>
                <w:rFonts w:ascii="宋体" w:hAnsi="宋体" w:hint="eastAsia"/>
                <w:kern w:val="0"/>
                <w:sz w:val="22"/>
                <w:szCs w:val="22"/>
              </w:rPr>
            </w:pPr>
            <w:r>
              <w:rPr>
                <w:rFonts w:ascii="宋体" w:hAnsi="宋体" w:hint="eastAsia"/>
                <w:kern w:val="0"/>
                <w:sz w:val="22"/>
                <w:szCs w:val="22"/>
              </w:rPr>
              <w:t>2. 对于本文件中明确列明必须报价的货物或服务，供应商应分别报价。对于本文件中未列明，而供应商认为必需的费用也需列入总报价。在合同实施时， 采购人将不予支付供应商没有列入的项目费用，并认为此项目的费用已包括在投标总报价中。</w:t>
            </w:r>
          </w:p>
        </w:tc>
      </w:tr>
      <w:tr w:rsidR="00767E6F" w14:paraId="0400689A"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4B28CE6"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4</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31AF524"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质量保证</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DE59AD0"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1.供应商提供的产品必须是具备厂家合法渠道的全新正品，属于国家规定“三包”范围的，其质量保证期不得低于“三包”规定。供应商承诺质量保证期优于国家“三包”规定的，或优于招标文件规定的，</w:t>
            </w:r>
            <w:proofErr w:type="gramStart"/>
            <w:r>
              <w:rPr>
                <w:rFonts w:ascii="宋体" w:hAnsi="宋体" w:cs="宋体" w:hint="eastAsia"/>
                <w:sz w:val="22"/>
                <w:szCs w:val="22"/>
                <w:lang w:eastAsia="zh-CN"/>
              </w:rPr>
              <w:t>按供应商实际</w:t>
            </w:r>
            <w:proofErr w:type="gramEnd"/>
            <w:r>
              <w:rPr>
                <w:rFonts w:ascii="宋体" w:hAnsi="宋体" w:cs="宋体" w:hint="eastAsia"/>
                <w:sz w:val="22"/>
                <w:szCs w:val="22"/>
                <w:lang w:eastAsia="zh-CN"/>
              </w:rPr>
              <w:t>承诺执行；</w:t>
            </w:r>
          </w:p>
          <w:p w14:paraId="29A687B2"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2.保修期内出现故障，需派出技术工程师到达现场处理故障的，供应商承担一切费用</w:t>
            </w:r>
            <w:r>
              <w:rPr>
                <w:rFonts w:ascii="宋体" w:hAnsi="宋体" w:cs="宋体"/>
                <w:sz w:val="22"/>
                <w:szCs w:val="22"/>
                <w:lang w:eastAsia="zh-CN"/>
              </w:rPr>
              <w:t>。</w:t>
            </w:r>
          </w:p>
          <w:p w14:paraId="5DDF10F6"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成交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tc>
      </w:tr>
      <w:tr w:rsidR="00767E6F" w14:paraId="7A782FC4"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D593E01"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5</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0F2240B"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售后服务</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64801830"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1.负责送货上门、负责提供产品原厂工程师现场安装、安装调试服务、负</w:t>
            </w:r>
            <w:r>
              <w:rPr>
                <w:rFonts w:ascii="宋体" w:hAnsi="宋体" w:hint="eastAsia"/>
                <w:kern w:val="0"/>
                <w:sz w:val="22"/>
                <w:szCs w:val="22"/>
              </w:rPr>
              <w:lastRenderedPageBreak/>
              <w:t>责技术培训和3年远程服务。</w:t>
            </w:r>
          </w:p>
          <w:p w14:paraId="43262144"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2.按国家有关产品“三包”规定执行“三包”政策，提供原厂质量保证期≥5年（分项货物或配置有明确要求的按分项参数要求；生产厂家承诺的质量保证期更长的按生产厂家的承诺），交货经采购人验收合格之日起计。</w:t>
            </w:r>
          </w:p>
          <w:p w14:paraId="67D83034"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3.在质量保证期由中标人对出现的任何故障及损失免费维修、更换配件，并负责对供应货物进行软件更新升级、系统维护和远程服务。</w:t>
            </w:r>
          </w:p>
          <w:p w14:paraId="724D158B"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4.质量保证期内因设备性能故障检修三次仍不能正常使用的，由中标人无偿更换新设备。</w:t>
            </w:r>
          </w:p>
          <w:p w14:paraId="4FED0CFB"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5.维修响应：售后服务要求7天×8小时工作制，中标人在接到用户维修电话后1小时内响应，2小时内到达现场处理，一般情况下24小时内恢复正常使用。若不能修复须有合理应对方案。</w:t>
            </w:r>
          </w:p>
          <w:p w14:paraId="74F90F6C"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6.质量保证期满后，终身维护并提供远程技术协助服务，且以市场最优惠价格提供上门维修和备件更换、软件更新升级，且承诺用户。</w:t>
            </w:r>
          </w:p>
          <w:p w14:paraId="02E1869D" w14:textId="77777777" w:rsidR="00767E6F" w:rsidRDefault="00000000">
            <w:pPr>
              <w:spacing w:line="360" w:lineRule="auto"/>
              <w:rPr>
                <w:rFonts w:ascii="宋体" w:hAnsi="宋体" w:hint="eastAsia"/>
                <w:kern w:val="0"/>
                <w:sz w:val="22"/>
                <w:szCs w:val="22"/>
              </w:rPr>
            </w:pPr>
            <w:r>
              <w:rPr>
                <w:rFonts w:ascii="宋体" w:hAnsi="宋体" w:hint="eastAsia"/>
                <w:kern w:val="0"/>
                <w:sz w:val="22"/>
                <w:szCs w:val="22"/>
              </w:rPr>
              <w:t>7.供应商对其提供产品或服务的使用和操作应尽培训义务。供应商应提供对采购人的基本培训，使采购人使用人员熟练掌握所培训内容，熟练掌握全部功能，培训的相关费用包括在响应报价中，采购人不再另行支付。</w:t>
            </w:r>
          </w:p>
        </w:tc>
      </w:tr>
      <w:tr w:rsidR="00767E6F" w14:paraId="2C199A1B"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A60D9EF" w14:textId="77777777" w:rsidR="00767E6F" w:rsidRDefault="00000000">
            <w:pPr>
              <w:widowControl/>
              <w:spacing w:line="276" w:lineRule="auto"/>
              <w:jc w:val="center"/>
              <w:rPr>
                <w:rFonts w:ascii="宋体" w:hAnsi="宋体" w:hint="eastAsia"/>
                <w:color w:val="000000"/>
                <w:kern w:val="0"/>
                <w:sz w:val="22"/>
                <w:szCs w:val="22"/>
              </w:rPr>
            </w:pPr>
            <w:r>
              <w:rPr>
                <w:rFonts w:ascii="宋体" w:hAnsi="宋体" w:hint="eastAsia"/>
                <w:color w:val="000000"/>
                <w:kern w:val="0"/>
                <w:sz w:val="22"/>
                <w:szCs w:val="22"/>
              </w:rPr>
              <w:lastRenderedPageBreak/>
              <w:t>6</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00AE7CD"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验收方式</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38DF2B78"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1.检查服务范围</w:t>
            </w:r>
          </w:p>
          <w:p w14:paraId="01B2D4AB"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根据招标文件和合同检查产品内容是否满足要求。</w:t>
            </w:r>
          </w:p>
          <w:p w14:paraId="3C5AF620"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2.成交供应商所提供的货物参数与响应文件中承诺的技术参数不符的，采购人将报同级财政监督管理部门进行处理，由此导致整批货物被拒收或索赔而引发的所有损失由供应商承担。</w:t>
            </w:r>
          </w:p>
          <w:p w14:paraId="7471A5A3"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供应商提供的货物必须是原装正品行货、全新未开封的、符合国家标准的产品，成交供应商按采购人的要求地址进行送货到位，由采购方验收合格后才进行安装调试或交付，集中验收时货物有不响应采购需求的，不予验收，采购人将报同级财政监督管理部门进行处理，由此导致整批货物被拒收或索赔而引发的所有损失</w:t>
            </w:r>
            <w:proofErr w:type="gramStart"/>
            <w:r>
              <w:rPr>
                <w:rFonts w:ascii="宋体" w:hAnsi="宋体" w:cs="宋体" w:hint="eastAsia"/>
                <w:sz w:val="22"/>
                <w:szCs w:val="22"/>
                <w:lang w:eastAsia="zh-CN"/>
              </w:rPr>
              <w:t>由成交</w:t>
            </w:r>
            <w:proofErr w:type="gramEnd"/>
            <w:r>
              <w:rPr>
                <w:rFonts w:ascii="宋体" w:hAnsi="宋体" w:cs="宋体" w:hint="eastAsia"/>
                <w:sz w:val="22"/>
                <w:szCs w:val="22"/>
                <w:lang w:eastAsia="zh-CN"/>
              </w:rPr>
              <w:t>供应商承担。</w:t>
            </w:r>
          </w:p>
          <w:p w14:paraId="3EFBC295"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4.采购人有权要求成交供应商在供货前提供检验报告原件核查。</w:t>
            </w:r>
          </w:p>
          <w:p w14:paraId="6CFC9ACE" w14:textId="77777777" w:rsidR="00767E6F" w:rsidRDefault="00000000">
            <w:pPr>
              <w:pStyle w:val="CharCharChar3"/>
              <w:spacing w:after="0" w:line="360" w:lineRule="auto"/>
              <w:rPr>
                <w:rFonts w:cs="宋体"/>
                <w:kern w:val="2"/>
                <w:sz w:val="22"/>
                <w:szCs w:val="22"/>
                <w:lang w:eastAsia="zh-CN"/>
              </w:rPr>
            </w:pPr>
            <w:r>
              <w:rPr>
                <w:rFonts w:ascii="宋体" w:hAnsi="宋体" w:cs="宋体" w:hint="eastAsia"/>
                <w:kern w:val="2"/>
                <w:sz w:val="22"/>
                <w:szCs w:val="22"/>
                <w:lang w:eastAsia="zh-CN"/>
              </w:rPr>
              <w:t>5.</w:t>
            </w:r>
            <w:r>
              <w:rPr>
                <w:rFonts w:cs="宋体" w:hint="eastAsia"/>
                <w:kern w:val="2"/>
                <w:sz w:val="22"/>
                <w:szCs w:val="22"/>
                <w:lang w:eastAsia="zh-CN"/>
              </w:rPr>
              <w:t>供货时采购人有权邀请项目其它未成交供应商、第三方检测机构对成交供应商提供本项目中的指定产品进行测试预验收，以确认技术指标和商务</w:t>
            </w:r>
            <w:r>
              <w:rPr>
                <w:rFonts w:cs="宋体" w:hint="eastAsia"/>
                <w:kern w:val="2"/>
                <w:sz w:val="22"/>
                <w:szCs w:val="22"/>
                <w:lang w:eastAsia="zh-CN"/>
              </w:rPr>
              <w:lastRenderedPageBreak/>
              <w:t>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w:t>
            </w:r>
            <w:proofErr w:type="gramStart"/>
            <w:r>
              <w:rPr>
                <w:rFonts w:cs="宋体" w:hint="eastAsia"/>
                <w:kern w:val="2"/>
                <w:sz w:val="22"/>
                <w:szCs w:val="22"/>
                <w:lang w:eastAsia="zh-CN"/>
              </w:rPr>
              <w:t>由成交</w:t>
            </w:r>
            <w:proofErr w:type="gramEnd"/>
            <w:r>
              <w:rPr>
                <w:rFonts w:cs="宋体" w:hint="eastAsia"/>
                <w:kern w:val="2"/>
                <w:sz w:val="22"/>
                <w:szCs w:val="22"/>
                <w:lang w:eastAsia="zh-CN"/>
              </w:rPr>
              <w:t>供应商自行承担。以上邀请第三方检测机构所产生的测试和检验相关费用</w:t>
            </w:r>
            <w:proofErr w:type="gramStart"/>
            <w:r>
              <w:rPr>
                <w:rFonts w:cs="宋体" w:hint="eastAsia"/>
                <w:kern w:val="2"/>
                <w:sz w:val="22"/>
                <w:szCs w:val="22"/>
                <w:lang w:eastAsia="zh-CN"/>
              </w:rPr>
              <w:t>由成交</w:t>
            </w:r>
            <w:proofErr w:type="gramEnd"/>
            <w:r>
              <w:rPr>
                <w:rFonts w:cs="宋体" w:hint="eastAsia"/>
                <w:kern w:val="2"/>
                <w:sz w:val="22"/>
                <w:szCs w:val="22"/>
                <w:lang w:eastAsia="zh-CN"/>
              </w:rPr>
              <w:t>供应商承担。</w:t>
            </w:r>
          </w:p>
          <w:p w14:paraId="3846BDFD" w14:textId="77777777" w:rsidR="00767E6F" w:rsidRDefault="00000000">
            <w:pPr>
              <w:pStyle w:val="a7"/>
              <w:spacing w:before="0" w:beforeAutospacing="0" w:after="0" w:afterAutospacing="0" w:line="360" w:lineRule="auto"/>
              <w:rPr>
                <w:rFonts w:hint="eastAsia"/>
                <w:sz w:val="22"/>
                <w:szCs w:val="22"/>
              </w:rPr>
            </w:pPr>
            <w:r>
              <w:rPr>
                <w:rFonts w:hint="eastAsia"/>
                <w:sz w:val="22"/>
                <w:szCs w:val="22"/>
              </w:rPr>
              <w:t>6.采购人可以根据采购项目具体情况自行组织验收，或者委托第三方机构或部门开展采购项目履约验收工作，验收过程中所产生的一切费用均由中标人承担，投标人在投标报价时应考虑相关费用。</w:t>
            </w:r>
            <w:r>
              <w:rPr>
                <w:rFonts w:hint="eastAsia"/>
                <w:kern w:val="2"/>
                <w:sz w:val="22"/>
                <w:szCs w:val="22"/>
              </w:rPr>
              <w:t>项目验收过程中，采购人需委托第三方检测机构介入的，费用由中标人另行承担。</w:t>
            </w:r>
          </w:p>
        </w:tc>
      </w:tr>
      <w:tr w:rsidR="00767E6F" w14:paraId="47E004E2"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F2C34EE"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lastRenderedPageBreak/>
              <w:t>7</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3623AC0" w14:textId="77777777" w:rsidR="00767E6F" w:rsidRDefault="00000000">
            <w:pPr>
              <w:pStyle w:val="CharCharChar3"/>
              <w:spacing w:after="0" w:line="360" w:lineRule="auto"/>
              <w:rPr>
                <w:rFonts w:ascii="宋体" w:hAnsi="宋体" w:cs="宋体" w:hint="eastAsia"/>
                <w:kern w:val="2"/>
                <w:sz w:val="22"/>
                <w:szCs w:val="22"/>
                <w:lang w:eastAsia="zh-CN"/>
              </w:rPr>
            </w:pPr>
            <w:r>
              <w:rPr>
                <w:rFonts w:ascii="宋体" w:hAnsi="宋体" w:cs="宋体" w:hint="eastAsia"/>
                <w:sz w:val="22"/>
                <w:szCs w:val="22"/>
                <w:lang w:eastAsia="zh-CN"/>
              </w:rPr>
              <w:t>付款方式</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759FA506" w14:textId="77777777"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全部货物安装调试完毕并</w:t>
            </w:r>
            <w:proofErr w:type="gramStart"/>
            <w:r>
              <w:rPr>
                <w:rFonts w:ascii="宋体" w:hAnsi="宋体" w:cs="宋体" w:hint="eastAsia"/>
                <w:sz w:val="22"/>
                <w:szCs w:val="22"/>
                <w:lang w:eastAsia="zh-CN"/>
              </w:rPr>
              <w:t>经最终</w:t>
            </w:r>
            <w:proofErr w:type="gramEnd"/>
            <w:r>
              <w:rPr>
                <w:rFonts w:ascii="宋体" w:hAnsi="宋体" w:cs="宋体" w:hint="eastAsia"/>
                <w:sz w:val="22"/>
                <w:szCs w:val="22"/>
                <w:lang w:eastAsia="zh-CN"/>
              </w:rPr>
              <w:t>验收合格后30个工作日内，甲方凭乙方开具的全额发票向乙方支付全部合同价款。</w:t>
            </w:r>
          </w:p>
        </w:tc>
      </w:tr>
      <w:tr w:rsidR="00767E6F" w14:paraId="2C827403" w14:textId="77777777">
        <w:trPr>
          <w:jc w:val="center"/>
        </w:trPr>
        <w:tc>
          <w:tcPr>
            <w:tcW w:w="66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8A0FA66"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8</w:t>
            </w:r>
          </w:p>
        </w:tc>
        <w:tc>
          <w:tcPr>
            <w:tcW w:w="113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EB62736" w14:textId="77777777" w:rsidR="00767E6F" w:rsidRDefault="00000000">
            <w:pPr>
              <w:spacing w:line="360" w:lineRule="auto"/>
              <w:jc w:val="center"/>
              <w:rPr>
                <w:rFonts w:ascii="宋体" w:hAnsi="宋体" w:hint="eastAsia"/>
                <w:sz w:val="22"/>
                <w:szCs w:val="22"/>
              </w:rPr>
            </w:pPr>
            <w:r>
              <w:rPr>
                <w:rFonts w:ascii="宋体" w:hAnsi="宋体" w:hint="eastAsia"/>
                <w:sz w:val="22"/>
                <w:szCs w:val="22"/>
              </w:rPr>
              <w:t>其他要求</w:t>
            </w:r>
          </w:p>
        </w:tc>
        <w:tc>
          <w:tcPr>
            <w:tcW w:w="717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2223FDB9" w14:textId="25D8ED02"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1、 成交供应商提供的货物及设备均要求出厂日期至合同签订日时间不超过6个月。因产品特性原因超过6个月的，应取得采购人书面同意。</w:t>
            </w:r>
          </w:p>
          <w:p w14:paraId="0E56B340" w14:textId="5453971C"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2、货物进场时，由采购人或采购人委托的监理机构对货物的数量、功能及参数验收合格后并签署货物验收单后，成交供应</w:t>
            </w:r>
            <w:proofErr w:type="gramStart"/>
            <w:r>
              <w:rPr>
                <w:rFonts w:ascii="宋体" w:hAnsi="宋体" w:cs="宋体" w:hint="eastAsia"/>
                <w:sz w:val="22"/>
                <w:szCs w:val="22"/>
                <w:lang w:eastAsia="zh-CN"/>
              </w:rPr>
              <w:t>商才能</w:t>
            </w:r>
            <w:proofErr w:type="gramEnd"/>
            <w:r>
              <w:rPr>
                <w:rFonts w:ascii="宋体" w:hAnsi="宋体" w:cs="宋体" w:hint="eastAsia"/>
                <w:sz w:val="22"/>
                <w:szCs w:val="22"/>
                <w:lang w:eastAsia="zh-CN"/>
              </w:rPr>
              <w:t>进场施工。</w:t>
            </w:r>
          </w:p>
          <w:p w14:paraId="405006D2" w14:textId="6D89A388"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3、为确保供应商所供产品完全满足招标文件要求，成交供应商在供货前必须提供</w:t>
            </w:r>
            <w:r>
              <w:rPr>
                <w:rFonts w:hAnsi="宋体" w:cs="宋体"/>
                <w:sz w:val="22"/>
                <w:szCs w:val="22"/>
                <w:lang w:eastAsia="zh-CN"/>
              </w:rPr>
              <w:t>“</w:t>
            </w:r>
            <w:r>
              <w:rPr>
                <w:rFonts w:ascii="宋体" w:hAnsi="宋体" w:cs="宋体" w:hint="eastAsia"/>
                <w:sz w:val="22"/>
                <w:szCs w:val="22"/>
                <w:lang w:eastAsia="zh-CN"/>
              </w:rPr>
              <w:t>第1项超融合服务器一体机</w:t>
            </w:r>
            <w:r>
              <w:rPr>
                <w:rFonts w:hAnsi="宋体" w:cs="宋体"/>
                <w:sz w:val="22"/>
                <w:szCs w:val="22"/>
                <w:lang w:eastAsia="zh-CN"/>
              </w:rPr>
              <w:t>”产品</w:t>
            </w:r>
            <w:r>
              <w:rPr>
                <w:rFonts w:ascii="宋体" w:hAnsi="宋体" w:cs="宋体" w:hint="eastAsia"/>
                <w:sz w:val="22"/>
                <w:szCs w:val="22"/>
                <w:lang w:eastAsia="zh-CN"/>
              </w:rPr>
              <w:t>生产厂商证明投标产品功能及参数真实有效的承诺函、供货证明及售后服务承诺函并加盖生产厂商公章，否则采购人有权拒绝验收。</w:t>
            </w:r>
          </w:p>
          <w:p w14:paraId="0D840A77" w14:textId="6092746F" w:rsidR="00767E6F" w:rsidRDefault="00000000">
            <w:pPr>
              <w:pStyle w:val="CharCharChar3"/>
              <w:spacing w:after="0" w:line="360" w:lineRule="auto"/>
              <w:rPr>
                <w:rFonts w:ascii="宋体" w:hAnsi="宋体" w:cs="宋体" w:hint="eastAsia"/>
                <w:sz w:val="22"/>
                <w:szCs w:val="22"/>
                <w:lang w:eastAsia="zh-CN"/>
              </w:rPr>
            </w:pPr>
            <w:r>
              <w:rPr>
                <w:rFonts w:ascii="宋体" w:hAnsi="宋体" w:cs="宋体" w:hint="eastAsia"/>
                <w:sz w:val="22"/>
                <w:szCs w:val="22"/>
                <w:lang w:eastAsia="zh-CN"/>
              </w:rPr>
              <w:t>4、签订合同之后供货前，采购人有权要求成交供应商提供应标设备做功能性验证，若存在虚假应标，不满足项目需求导致项目不能按合同约定时间交付的，成交供应</w:t>
            </w:r>
            <w:proofErr w:type="gramStart"/>
            <w:r>
              <w:rPr>
                <w:rFonts w:ascii="宋体" w:hAnsi="宋体" w:cs="宋体" w:hint="eastAsia"/>
                <w:sz w:val="22"/>
                <w:szCs w:val="22"/>
                <w:lang w:eastAsia="zh-CN"/>
              </w:rPr>
              <w:t>商按照</w:t>
            </w:r>
            <w:proofErr w:type="gramEnd"/>
            <w:r>
              <w:rPr>
                <w:rFonts w:ascii="宋体" w:hAnsi="宋体" w:cs="宋体" w:hint="eastAsia"/>
                <w:sz w:val="22"/>
                <w:szCs w:val="22"/>
                <w:lang w:eastAsia="zh-CN"/>
              </w:rPr>
              <w:t>合同价的30%向采购人支付违约金，追究相关责任，同时成交供应商顺延。</w:t>
            </w:r>
            <w:r>
              <w:rPr>
                <w:rFonts w:ascii="宋体" w:hAnsi="宋体" w:cs="宋体" w:hint="eastAsia"/>
                <w:sz w:val="22"/>
                <w:szCs w:val="22"/>
                <w:lang w:eastAsia="zh-CN"/>
              </w:rPr>
              <w:br/>
            </w:r>
            <w:r w:rsidRPr="00F84F42">
              <w:rPr>
                <w:rFonts w:ascii="宋体" w:hAnsi="宋体" w:cs="宋体" w:hint="eastAsia"/>
                <w:sz w:val="22"/>
                <w:szCs w:val="22"/>
                <w:lang w:eastAsia="zh-CN"/>
              </w:rPr>
              <w:t>5、本次采购为学校数据中心所需场景配套设备，成交供应商需免费提供对学校现有物理服务器运行所有信息业务系统进行数据迁移服务，保障目标系统数据无丢失，数据完整性达到 100%，目标系统的 CPU 使用率、内存占用、磁盘 IOPS、网络吞吐量等性能指标优于或不低于源系统，满足实际业务运行需求，且各项业务功能正常运行，无业务异常或错误，通过</w:t>
            </w:r>
            <w:r w:rsidRPr="00F84F42">
              <w:rPr>
                <w:rFonts w:ascii="宋体" w:hAnsi="宋体" w:cs="宋体" w:hint="eastAsia"/>
                <w:sz w:val="22"/>
                <w:szCs w:val="22"/>
                <w:lang w:eastAsia="zh-CN"/>
              </w:rPr>
              <w:lastRenderedPageBreak/>
              <w:t>压力功能测试。迁移前需进行充分的性能评估和资源规划；迁移后及时进行性能测试和优化；根据业务需求动态调整资源分配。</w:t>
            </w:r>
          </w:p>
        </w:tc>
      </w:tr>
    </w:tbl>
    <w:p w14:paraId="3FBE3DF5" w14:textId="77777777" w:rsidR="00767E6F" w:rsidRDefault="00767E6F">
      <w:pPr>
        <w:pStyle w:val="a5"/>
        <w:spacing w:line="440" w:lineRule="exact"/>
        <w:rPr>
          <w:rFonts w:ascii="宋体" w:hAnsi="宋体" w:hint="eastAsia"/>
          <w:kern w:val="2"/>
          <w:sz w:val="24"/>
          <w:szCs w:val="24"/>
        </w:rPr>
      </w:pPr>
    </w:p>
    <w:p w14:paraId="701CDB39" w14:textId="77777777" w:rsidR="00767E6F" w:rsidRDefault="00000000">
      <w:r>
        <w:br w:type="page"/>
      </w:r>
    </w:p>
    <w:p w14:paraId="40D26301" w14:textId="77777777" w:rsidR="00767E6F" w:rsidRDefault="00000000">
      <w:pPr>
        <w:jc w:val="left"/>
        <w:rPr>
          <w:rFonts w:ascii="宋体" w:hAnsi="宋体" w:hint="eastAsia"/>
          <w:b/>
          <w:color w:val="000000"/>
          <w:szCs w:val="21"/>
        </w:rPr>
      </w:pPr>
      <w:r>
        <w:rPr>
          <w:rFonts w:ascii="宋体" w:hAnsi="宋体" w:hint="eastAsia"/>
          <w:b/>
          <w:color w:val="000000"/>
          <w:szCs w:val="21"/>
        </w:rPr>
        <w:lastRenderedPageBreak/>
        <w:t>附件1：</w:t>
      </w:r>
    </w:p>
    <w:p w14:paraId="5CEBAB16" w14:textId="77777777" w:rsidR="00767E6F" w:rsidRDefault="00000000">
      <w:pPr>
        <w:jc w:val="center"/>
        <w:rPr>
          <w:rFonts w:ascii="宋体" w:hAnsi="宋体" w:hint="eastAsia"/>
          <w:b/>
          <w:color w:val="000000"/>
          <w:szCs w:val="21"/>
        </w:rPr>
      </w:pPr>
      <w:r>
        <w:rPr>
          <w:rFonts w:ascii="宋体" w:hAnsi="宋体" w:hint="eastAsia"/>
          <w:b/>
          <w:color w:val="000000"/>
          <w:szCs w:val="21"/>
        </w:rPr>
        <w:t>技术需求响应表（必须提供）</w:t>
      </w:r>
    </w:p>
    <w:p w14:paraId="50829F50" w14:textId="77777777" w:rsidR="00767E6F" w:rsidRDefault="00000000">
      <w:pPr>
        <w:spacing w:line="300" w:lineRule="auto"/>
        <w:rPr>
          <w:rFonts w:ascii="宋体" w:hAnsi="宋体" w:hint="eastAsia"/>
          <w:color w:val="000000"/>
          <w:szCs w:val="21"/>
        </w:rPr>
      </w:pPr>
      <w:r>
        <w:rPr>
          <w:rFonts w:ascii="宋体" w:hAnsi="宋体" w:hint="eastAsia"/>
          <w:color w:val="000000"/>
          <w:szCs w:val="21"/>
        </w:rPr>
        <w:t>采购项目名称:</w:t>
      </w:r>
      <w:r>
        <w:rPr>
          <w:rFonts w:ascii="宋体" w:hAnsi="宋体" w:hint="eastAsia"/>
          <w:color w:val="000000"/>
          <w:szCs w:val="21"/>
          <w:u w:val="single"/>
        </w:rPr>
        <w:t xml:space="preserve">                 </w:t>
      </w:r>
      <w:r>
        <w:rPr>
          <w:rFonts w:ascii="宋体" w:hAnsi="宋体" w:hint="eastAsia"/>
          <w:color w:val="000000"/>
          <w:szCs w:val="21"/>
        </w:rPr>
        <w:t xml:space="preserve">    </w:t>
      </w:r>
    </w:p>
    <w:p w14:paraId="5BF2B043" w14:textId="77777777" w:rsidR="00767E6F" w:rsidRDefault="00000000">
      <w:pPr>
        <w:spacing w:line="300" w:lineRule="auto"/>
        <w:rPr>
          <w:rFonts w:ascii="宋体" w:hAnsi="宋体" w:hint="eastAsia"/>
          <w:color w:val="000000"/>
          <w:szCs w:val="21"/>
        </w:rPr>
      </w:pPr>
      <w:r>
        <w:rPr>
          <w:rFonts w:ascii="宋体" w:hAnsi="宋体" w:hint="eastAsia"/>
          <w:color w:val="000000"/>
          <w:szCs w:val="21"/>
        </w:rPr>
        <w:t>采购项目编号:</w:t>
      </w:r>
      <w:r>
        <w:rPr>
          <w:rFonts w:ascii="宋体" w:hAnsi="宋体" w:hint="eastAsia"/>
          <w:color w:val="000000"/>
          <w:szCs w:val="21"/>
          <w:u w:val="single"/>
        </w:rPr>
        <w:t xml:space="preserve">                 </w:t>
      </w:r>
      <w:r>
        <w:rPr>
          <w:rFonts w:ascii="宋体" w:hAnsi="宋体" w:hint="eastAsia"/>
          <w:color w:val="000000"/>
          <w:szCs w:val="21"/>
        </w:rPr>
        <w:t xml:space="preserve"> </w:t>
      </w:r>
    </w:p>
    <w:p w14:paraId="4DBD1546" w14:textId="77777777" w:rsidR="00767E6F" w:rsidRDefault="00000000">
      <w:pPr>
        <w:ind w:firstLineChars="1150" w:firstLine="2415"/>
        <w:rPr>
          <w:rFonts w:ascii="宋体" w:hAnsi="宋体" w:hint="eastAsia"/>
          <w:color w:val="000000"/>
          <w:szCs w:val="21"/>
        </w:rPr>
      </w:pPr>
      <w:r>
        <w:rPr>
          <w:rFonts w:ascii="宋体" w:hAnsi="宋体" w:hint="eastAsia"/>
          <w:color w:val="000000"/>
          <w:szCs w:val="21"/>
        </w:rPr>
        <w:t xml:space="preserve">                            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276"/>
        <w:gridCol w:w="1134"/>
        <w:gridCol w:w="709"/>
        <w:gridCol w:w="1134"/>
        <w:gridCol w:w="504"/>
      </w:tblGrid>
      <w:tr w:rsidR="00767E6F" w14:paraId="1257A6D8" w14:textId="77777777">
        <w:trPr>
          <w:cantSplit/>
          <w:trHeight w:val="1579"/>
          <w:jc w:val="center"/>
        </w:trPr>
        <w:tc>
          <w:tcPr>
            <w:tcW w:w="445" w:type="dxa"/>
            <w:tcBorders>
              <w:bottom w:val="single" w:sz="4" w:space="0" w:color="auto"/>
            </w:tcBorders>
            <w:vAlign w:val="center"/>
          </w:tcPr>
          <w:p w14:paraId="32958877" w14:textId="77777777" w:rsidR="00767E6F" w:rsidRDefault="00000000">
            <w:pPr>
              <w:pStyle w:val="a4"/>
              <w:jc w:val="center"/>
              <w:rPr>
                <w:rFonts w:hAnsi="宋体" w:cs="宋体" w:hint="eastAsia"/>
                <w:color w:val="000000"/>
                <w:spacing w:val="-20"/>
              </w:rPr>
            </w:pPr>
            <w:r>
              <w:rPr>
                <w:rFonts w:hAnsi="宋体" w:cs="宋体" w:hint="eastAsia"/>
                <w:color w:val="000000"/>
                <w:spacing w:val="-20"/>
              </w:rPr>
              <w:t>序号</w:t>
            </w:r>
          </w:p>
        </w:tc>
        <w:tc>
          <w:tcPr>
            <w:tcW w:w="1011" w:type="dxa"/>
            <w:tcBorders>
              <w:bottom w:val="single" w:sz="4" w:space="0" w:color="auto"/>
            </w:tcBorders>
            <w:vAlign w:val="center"/>
          </w:tcPr>
          <w:p w14:paraId="7D2B3C3C"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货物(服务)名称</w:t>
            </w:r>
          </w:p>
        </w:tc>
        <w:tc>
          <w:tcPr>
            <w:tcW w:w="694" w:type="dxa"/>
            <w:tcBorders>
              <w:bottom w:val="single" w:sz="4" w:space="0" w:color="auto"/>
            </w:tcBorders>
            <w:vAlign w:val="center"/>
          </w:tcPr>
          <w:p w14:paraId="7D491CA4"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数量</w:t>
            </w:r>
            <w:r>
              <w:rPr>
                <w:rFonts w:ascii="宋体" w:hAnsi="宋体" w:hint="eastAsia"/>
                <w:color w:val="000000"/>
              </w:rPr>
              <w:t>①</w:t>
            </w:r>
          </w:p>
        </w:tc>
        <w:tc>
          <w:tcPr>
            <w:tcW w:w="708" w:type="dxa"/>
            <w:tcBorders>
              <w:bottom w:val="single" w:sz="4" w:space="0" w:color="auto"/>
            </w:tcBorders>
            <w:vAlign w:val="center"/>
          </w:tcPr>
          <w:p w14:paraId="3D1B2A97"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单位</w:t>
            </w:r>
          </w:p>
        </w:tc>
        <w:tc>
          <w:tcPr>
            <w:tcW w:w="2977" w:type="dxa"/>
            <w:tcBorders>
              <w:bottom w:val="single" w:sz="4" w:space="0" w:color="auto"/>
            </w:tcBorders>
            <w:vAlign w:val="center"/>
          </w:tcPr>
          <w:p w14:paraId="7D284B95"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技术参数及性能配置要求</w:t>
            </w:r>
          </w:p>
        </w:tc>
        <w:tc>
          <w:tcPr>
            <w:tcW w:w="1276" w:type="dxa"/>
            <w:tcBorders>
              <w:bottom w:val="single" w:sz="4" w:space="0" w:color="auto"/>
            </w:tcBorders>
            <w:vAlign w:val="center"/>
          </w:tcPr>
          <w:p w14:paraId="4EBD1FFD"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品牌、型号规格</w:t>
            </w:r>
          </w:p>
        </w:tc>
        <w:tc>
          <w:tcPr>
            <w:tcW w:w="1134" w:type="dxa"/>
            <w:tcBorders>
              <w:bottom w:val="single" w:sz="4" w:space="0" w:color="auto"/>
            </w:tcBorders>
            <w:vAlign w:val="center"/>
          </w:tcPr>
          <w:p w14:paraId="14EE027F"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生产厂家</w:t>
            </w:r>
          </w:p>
        </w:tc>
        <w:tc>
          <w:tcPr>
            <w:tcW w:w="709" w:type="dxa"/>
            <w:tcBorders>
              <w:bottom w:val="single" w:sz="4" w:space="0" w:color="auto"/>
            </w:tcBorders>
            <w:vAlign w:val="center"/>
          </w:tcPr>
          <w:p w14:paraId="2BD527BA" w14:textId="77777777" w:rsidR="00767E6F" w:rsidRDefault="00000000">
            <w:pPr>
              <w:tabs>
                <w:tab w:val="left" w:pos="180"/>
                <w:tab w:val="left" w:pos="1620"/>
              </w:tabs>
              <w:spacing w:line="500" w:lineRule="exact"/>
              <w:jc w:val="center"/>
              <w:rPr>
                <w:rFonts w:ascii="宋体" w:hAnsi="宋体" w:hint="eastAsia"/>
                <w:color w:val="000000"/>
                <w:szCs w:val="21"/>
              </w:rPr>
            </w:pPr>
            <w:r>
              <w:rPr>
                <w:rFonts w:ascii="宋体" w:hAnsi="宋体" w:hint="eastAsia"/>
                <w:color w:val="000000"/>
                <w:szCs w:val="21"/>
              </w:rPr>
              <w:t>单价</w:t>
            </w:r>
            <w:r>
              <w:rPr>
                <w:rFonts w:ascii="宋体" w:hAnsi="宋体" w:hint="eastAsia"/>
                <w:color w:val="000000"/>
              </w:rPr>
              <w:t>②</w:t>
            </w:r>
          </w:p>
        </w:tc>
        <w:tc>
          <w:tcPr>
            <w:tcW w:w="1134" w:type="dxa"/>
            <w:tcBorders>
              <w:bottom w:val="single" w:sz="4" w:space="0" w:color="auto"/>
            </w:tcBorders>
            <w:vAlign w:val="center"/>
          </w:tcPr>
          <w:p w14:paraId="2D09B2D9" w14:textId="77777777" w:rsidR="00767E6F" w:rsidRDefault="00000000">
            <w:pPr>
              <w:pStyle w:val="a4"/>
              <w:jc w:val="center"/>
              <w:rPr>
                <w:rFonts w:hAnsi="宋体" w:cs="宋体" w:hint="eastAsia"/>
                <w:color w:val="000000"/>
              </w:rPr>
            </w:pPr>
            <w:r>
              <w:rPr>
                <w:rFonts w:hAnsi="宋体" w:cs="宋体" w:hint="eastAsia"/>
                <w:color w:val="000000"/>
              </w:rPr>
              <w:t>单项合价</w:t>
            </w:r>
          </w:p>
          <w:p w14:paraId="2FA1A2A0" w14:textId="77777777" w:rsidR="00767E6F" w:rsidRDefault="00000000">
            <w:pPr>
              <w:pStyle w:val="a4"/>
              <w:jc w:val="center"/>
              <w:rPr>
                <w:rFonts w:hAnsi="宋体" w:cs="宋体" w:hint="eastAsia"/>
                <w:color w:val="000000"/>
              </w:rPr>
            </w:pPr>
            <w:r>
              <w:rPr>
                <w:rFonts w:hAnsi="宋体" w:cs="宋体" w:hint="eastAsia"/>
                <w:color w:val="000000"/>
              </w:rPr>
              <w:t>（元）</w:t>
            </w:r>
          </w:p>
          <w:p w14:paraId="43A4A181" w14:textId="77777777" w:rsidR="00767E6F" w:rsidRDefault="00000000">
            <w:pPr>
              <w:pStyle w:val="a4"/>
              <w:jc w:val="center"/>
              <w:rPr>
                <w:rFonts w:hAnsi="宋体" w:cs="宋体" w:hint="eastAsia"/>
                <w:color w:val="000000"/>
              </w:rPr>
            </w:pPr>
            <w:r>
              <w:rPr>
                <w:rFonts w:hAnsi="宋体" w:cs="宋体" w:hint="eastAsia"/>
                <w:color w:val="000000"/>
              </w:rPr>
              <w:t>③=①×②</w:t>
            </w:r>
          </w:p>
        </w:tc>
        <w:tc>
          <w:tcPr>
            <w:tcW w:w="504" w:type="dxa"/>
            <w:tcBorders>
              <w:bottom w:val="single" w:sz="4" w:space="0" w:color="auto"/>
            </w:tcBorders>
            <w:vAlign w:val="center"/>
          </w:tcPr>
          <w:p w14:paraId="00DF657B" w14:textId="77777777" w:rsidR="00767E6F" w:rsidRDefault="00000000">
            <w:pPr>
              <w:pStyle w:val="a4"/>
              <w:jc w:val="center"/>
              <w:rPr>
                <w:rFonts w:hAnsi="宋体" w:cs="宋体" w:hint="eastAsia"/>
                <w:color w:val="000000"/>
              </w:rPr>
            </w:pPr>
            <w:r>
              <w:rPr>
                <w:rFonts w:hAnsi="宋体" w:cs="宋体" w:hint="eastAsia"/>
                <w:color w:val="000000"/>
              </w:rPr>
              <w:t>备注</w:t>
            </w:r>
          </w:p>
        </w:tc>
      </w:tr>
      <w:tr w:rsidR="00767E6F" w14:paraId="7F1BB84C" w14:textId="77777777">
        <w:trPr>
          <w:cantSplit/>
          <w:trHeight w:val="624"/>
          <w:jc w:val="center"/>
        </w:trPr>
        <w:tc>
          <w:tcPr>
            <w:tcW w:w="445" w:type="dxa"/>
            <w:vAlign w:val="center"/>
          </w:tcPr>
          <w:p w14:paraId="60275F1C" w14:textId="77777777" w:rsidR="00767E6F" w:rsidRDefault="00000000">
            <w:pPr>
              <w:jc w:val="center"/>
              <w:rPr>
                <w:rFonts w:ascii="宋体" w:hAnsi="宋体" w:hint="eastAsia"/>
                <w:color w:val="000000"/>
                <w:sz w:val="24"/>
              </w:rPr>
            </w:pPr>
            <w:r>
              <w:rPr>
                <w:rFonts w:ascii="宋体" w:hAnsi="宋体" w:hint="eastAsia"/>
                <w:color w:val="000000"/>
                <w:sz w:val="24"/>
              </w:rPr>
              <w:t>1</w:t>
            </w:r>
          </w:p>
        </w:tc>
        <w:tc>
          <w:tcPr>
            <w:tcW w:w="1011" w:type="dxa"/>
            <w:vAlign w:val="center"/>
          </w:tcPr>
          <w:p w14:paraId="65027865" w14:textId="77777777" w:rsidR="00767E6F" w:rsidRDefault="00767E6F">
            <w:pPr>
              <w:jc w:val="center"/>
              <w:rPr>
                <w:rFonts w:ascii="宋体" w:hAnsi="宋体" w:hint="eastAsia"/>
                <w:color w:val="000000"/>
              </w:rPr>
            </w:pPr>
          </w:p>
        </w:tc>
        <w:tc>
          <w:tcPr>
            <w:tcW w:w="694" w:type="dxa"/>
            <w:vAlign w:val="center"/>
          </w:tcPr>
          <w:p w14:paraId="76DB0F75" w14:textId="77777777" w:rsidR="00767E6F" w:rsidRDefault="00767E6F">
            <w:pPr>
              <w:jc w:val="center"/>
              <w:rPr>
                <w:rFonts w:ascii="宋体" w:hAnsi="宋体" w:hint="eastAsia"/>
                <w:color w:val="000000"/>
              </w:rPr>
            </w:pPr>
          </w:p>
        </w:tc>
        <w:tc>
          <w:tcPr>
            <w:tcW w:w="708" w:type="dxa"/>
            <w:vAlign w:val="center"/>
          </w:tcPr>
          <w:p w14:paraId="17834DBF" w14:textId="77777777" w:rsidR="00767E6F" w:rsidRDefault="00767E6F">
            <w:pPr>
              <w:pStyle w:val="a4"/>
              <w:rPr>
                <w:rFonts w:hAnsi="宋体" w:cs="宋体" w:hint="eastAsia"/>
                <w:color w:val="000000"/>
              </w:rPr>
            </w:pPr>
          </w:p>
        </w:tc>
        <w:tc>
          <w:tcPr>
            <w:tcW w:w="2977" w:type="dxa"/>
            <w:vAlign w:val="center"/>
          </w:tcPr>
          <w:p w14:paraId="70FF6D01" w14:textId="77777777" w:rsidR="00767E6F" w:rsidRDefault="00767E6F">
            <w:pPr>
              <w:pStyle w:val="a4"/>
              <w:rPr>
                <w:rFonts w:hAnsi="宋体" w:cs="宋体" w:hint="eastAsia"/>
                <w:color w:val="000000"/>
              </w:rPr>
            </w:pPr>
          </w:p>
        </w:tc>
        <w:tc>
          <w:tcPr>
            <w:tcW w:w="1276" w:type="dxa"/>
            <w:vAlign w:val="center"/>
          </w:tcPr>
          <w:p w14:paraId="4839C576" w14:textId="77777777" w:rsidR="00767E6F" w:rsidRDefault="00767E6F">
            <w:pPr>
              <w:pStyle w:val="a4"/>
              <w:rPr>
                <w:rFonts w:hAnsi="宋体" w:cs="宋体" w:hint="eastAsia"/>
                <w:color w:val="000000"/>
              </w:rPr>
            </w:pPr>
          </w:p>
        </w:tc>
        <w:tc>
          <w:tcPr>
            <w:tcW w:w="1134" w:type="dxa"/>
            <w:vAlign w:val="center"/>
          </w:tcPr>
          <w:p w14:paraId="164B863F" w14:textId="77777777" w:rsidR="00767E6F" w:rsidRDefault="00767E6F">
            <w:pPr>
              <w:pStyle w:val="a4"/>
              <w:rPr>
                <w:rFonts w:hAnsi="宋体" w:cs="宋体" w:hint="eastAsia"/>
                <w:color w:val="000000"/>
              </w:rPr>
            </w:pPr>
          </w:p>
        </w:tc>
        <w:tc>
          <w:tcPr>
            <w:tcW w:w="709" w:type="dxa"/>
            <w:vAlign w:val="center"/>
          </w:tcPr>
          <w:p w14:paraId="5359700E" w14:textId="77777777" w:rsidR="00767E6F" w:rsidRDefault="00767E6F">
            <w:pPr>
              <w:pStyle w:val="a4"/>
              <w:rPr>
                <w:rFonts w:hAnsi="宋体" w:cs="宋体" w:hint="eastAsia"/>
                <w:color w:val="000000"/>
              </w:rPr>
            </w:pPr>
          </w:p>
        </w:tc>
        <w:tc>
          <w:tcPr>
            <w:tcW w:w="1134" w:type="dxa"/>
            <w:vAlign w:val="center"/>
          </w:tcPr>
          <w:p w14:paraId="3DA76B5C" w14:textId="77777777" w:rsidR="00767E6F" w:rsidRDefault="00767E6F">
            <w:pPr>
              <w:pStyle w:val="a4"/>
              <w:rPr>
                <w:rFonts w:hAnsi="宋体" w:cs="宋体" w:hint="eastAsia"/>
                <w:color w:val="000000"/>
              </w:rPr>
            </w:pPr>
          </w:p>
        </w:tc>
        <w:tc>
          <w:tcPr>
            <w:tcW w:w="504" w:type="dxa"/>
            <w:vAlign w:val="center"/>
          </w:tcPr>
          <w:p w14:paraId="3396D835" w14:textId="77777777" w:rsidR="00767E6F" w:rsidRDefault="00767E6F">
            <w:pPr>
              <w:pStyle w:val="a4"/>
              <w:rPr>
                <w:rFonts w:hAnsi="宋体" w:cs="宋体" w:hint="eastAsia"/>
                <w:color w:val="000000"/>
                <w:spacing w:val="-6"/>
              </w:rPr>
            </w:pPr>
          </w:p>
        </w:tc>
      </w:tr>
      <w:tr w:rsidR="00767E6F" w14:paraId="719568CA" w14:textId="77777777">
        <w:trPr>
          <w:cantSplit/>
          <w:trHeight w:val="624"/>
          <w:jc w:val="center"/>
        </w:trPr>
        <w:tc>
          <w:tcPr>
            <w:tcW w:w="445" w:type="dxa"/>
            <w:vAlign w:val="center"/>
          </w:tcPr>
          <w:p w14:paraId="0F01B21E" w14:textId="77777777" w:rsidR="00767E6F" w:rsidRDefault="00000000">
            <w:pPr>
              <w:jc w:val="center"/>
              <w:rPr>
                <w:rFonts w:ascii="宋体" w:hAnsi="宋体" w:hint="eastAsia"/>
                <w:color w:val="000000"/>
                <w:sz w:val="24"/>
              </w:rPr>
            </w:pPr>
            <w:r>
              <w:rPr>
                <w:rFonts w:ascii="宋体" w:hAnsi="宋体" w:hint="eastAsia"/>
                <w:color w:val="000000"/>
                <w:sz w:val="24"/>
              </w:rPr>
              <w:t>…</w:t>
            </w:r>
          </w:p>
        </w:tc>
        <w:tc>
          <w:tcPr>
            <w:tcW w:w="1011" w:type="dxa"/>
            <w:vAlign w:val="center"/>
          </w:tcPr>
          <w:p w14:paraId="583071C5" w14:textId="77777777" w:rsidR="00767E6F" w:rsidRDefault="00767E6F">
            <w:pPr>
              <w:jc w:val="center"/>
              <w:rPr>
                <w:rFonts w:ascii="宋体" w:hAnsi="宋体" w:hint="eastAsia"/>
                <w:color w:val="000000"/>
              </w:rPr>
            </w:pPr>
          </w:p>
        </w:tc>
        <w:tc>
          <w:tcPr>
            <w:tcW w:w="694" w:type="dxa"/>
            <w:vAlign w:val="center"/>
          </w:tcPr>
          <w:p w14:paraId="3774F580" w14:textId="77777777" w:rsidR="00767E6F" w:rsidRDefault="00767E6F">
            <w:pPr>
              <w:jc w:val="center"/>
              <w:rPr>
                <w:rFonts w:ascii="宋体" w:hAnsi="宋体" w:hint="eastAsia"/>
                <w:color w:val="000000"/>
              </w:rPr>
            </w:pPr>
          </w:p>
        </w:tc>
        <w:tc>
          <w:tcPr>
            <w:tcW w:w="708" w:type="dxa"/>
            <w:vAlign w:val="center"/>
          </w:tcPr>
          <w:p w14:paraId="735C207B" w14:textId="77777777" w:rsidR="00767E6F" w:rsidRDefault="00767E6F">
            <w:pPr>
              <w:pStyle w:val="a4"/>
              <w:rPr>
                <w:rFonts w:hAnsi="宋体" w:cs="宋体" w:hint="eastAsia"/>
                <w:color w:val="000000"/>
              </w:rPr>
            </w:pPr>
          </w:p>
        </w:tc>
        <w:tc>
          <w:tcPr>
            <w:tcW w:w="2977" w:type="dxa"/>
            <w:vAlign w:val="center"/>
          </w:tcPr>
          <w:p w14:paraId="00D46C50" w14:textId="77777777" w:rsidR="00767E6F" w:rsidRDefault="00767E6F">
            <w:pPr>
              <w:pStyle w:val="a4"/>
              <w:rPr>
                <w:rFonts w:hAnsi="宋体" w:cs="宋体" w:hint="eastAsia"/>
                <w:color w:val="000000"/>
              </w:rPr>
            </w:pPr>
          </w:p>
        </w:tc>
        <w:tc>
          <w:tcPr>
            <w:tcW w:w="1276" w:type="dxa"/>
            <w:vAlign w:val="center"/>
          </w:tcPr>
          <w:p w14:paraId="4E67F118" w14:textId="77777777" w:rsidR="00767E6F" w:rsidRDefault="00767E6F">
            <w:pPr>
              <w:pStyle w:val="a4"/>
              <w:rPr>
                <w:rFonts w:hAnsi="宋体" w:cs="宋体" w:hint="eastAsia"/>
                <w:color w:val="000000"/>
              </w:rPr>
            </w:pPr>
          </w:p>
        </w:tc>
        <w:tc>
          <w:tcPr>
            <w:tcW w:w="1134" w:type="dxa"/>
            <w:vAlign w:val="center"/>
          </w:tcPr>
          <w:p w14:paraId="217D2647" w14:textId="77777777" w:rsidR="00767E6F" w:rsidRDefault="00767E6F">
            <w:pPr>
              <w:pStyle w:val="a4"/>
              <w:rPr>
                <w:rFonts w:hAnsi="宋体" w:cs="宋体" w:hint="eastAsia"/>
                <w:color w:val="000000"/>
              </w:rPr>
            </w:pPr>
          </w:p>
        </w:tc>
        <w:tc>
          <w:tcPr>
            <w:tcW w:w="709" w:type="dxa"/>
            <w:vAlign w:val="center"/>
          </w:tcPr>
          <w:p w14:paraId="61BB3EB3" w14:textId="77777777" w:rsidR="00767E6F" w:rsidRDefault="00767E6F">
            <w:pPr>
              <w:pStyle w:val="a4"/>
              <w:rPr>
                <w:rFonts w:hAnsi="宋体" w:cs="宋体" w:hint="eastAsia"/>
                <w:color w:val="000000"/>
              </w:rPr>
            </w:pPr>
          </w:p>
        </w:tc>
        <w:tc>
          <w:tcPr>
            <w:tcW w:w="1134" w:type="dxa"/>
            <w:vAlign w:val="center"/>
          </w:tcPr>
          <w:p w14:paraId="403B9314" w14:textId="77777777" w:rsidR="00767E6F" w:rsidRDefault="00767E6F">
            <w:pPr>
              <w:pStyle w:val="a4"/>
              <w:rPr>
                <w:rFonts w:hAnsi="宋体" w:cs="宋体" w:hint="eastAsia"/>
                <w:color w:val="000000"/>
              </w:rPr>
            </w:pPr>
          </w:p>
        </w:tc>
        <w:tc>
          <w:tcPr>
            <w:tcW w:w="504" w:type="dxa"/>
            <w:vAlign w:val="center"/>
          </w:tcPr>
          <w:p w14:paraId="5E3204F2" w14:textId="77777777" w:rsidR="00767E6F" w:rsidRDefault="00767E6F">
            <w:pPr>
              <w:pStyle w:val="a4"/>
              <w:rPr>
                <w:rFonts w:hAnsi="宋体" w:cs="宋体" w:hint="eastAsia"/>
                <w:color w:val="000000"/>
                <w:spacing w:val="-6"/>
              </w:rPr>
            </w:pPr>
          </w:p>
        </w:tc>
      </w:tr>
      <w:tr w:rsidR="00767E6F" w14:paraId="06281E13" w14:textId="77777777">
        <w:trPr>
          <w:cantSplit/>
          <w:trHeight w:val="624"/>
          <w:jc w:val="center"/>
        </w:trPr>
        <w:tc>
          <w:tcPr>
            <w:tcW w:w="445" w:type="dxa"/>
            <w:vAlign w:val="center"/>
          </w:tcPr>
          <w:p w14:paraId="7BD8EB97" w14:textId="77777777" w:rsidR="00767E6F" w:rsidRDefault="00000000">
            <w:pPr>
              <w:jc w:val="center"/>
              <w:rPr>
                <w:rFonts w:ascii="宋体" w:hAnsi="宋体" w:hint="eastAsia"/>
                <w:color w:val="000000"/>
                <w:sz w:val="24"/>
              </w:rPr>
            </w:pPr>
            <w:r>
              <w:rPr>
                <w:rFonts w:ascii="宋体" w:hAnsi="宋体" w:hint="eastAsia"/>
                <w:color w:val="000000"/>
                <w:sz w:val="24"/>
              </w:rPr>
              <w:t>N</w:t>
            </w:r>
          </w:p>
        </w:tc>
        <w:tc>
          <w:tcPr>
            <w:tcW w:w="1011" w:type="dxa"/>
            <w:vAlign w:val="center"/>
          </w:tcPr>
          <w:p w14:paraId="0A405252" w14:textId="77777777" w:rsidR="00767E6F" w:rsidRDefault="00767E6F">
            <w:pPr>
              <w:jc w:val="center"/>
              <w:rPr>
                <w:rFonts w:ascii="宋体" w:hAnsi="宋体" w:hint="eastAsia"/>
                <w:color w:val="000000"/>
              </w:rPr>
            </w:pPr>
          </w:p>
        </w:tc>
        <w:tc>
          <w:tcPr>
            <w:tcW w:w="694" w:type="dxa"/>
            <w:vAlign w:val="center"/>
          </w:tcPr>
          <w:p w14:paraId="50651643" w14:textId="77777777" w:rsidR="00767E6F" w:rsidRDefault="00767E6F">
            <w:pPr>
              <w:jc w:val="center"/>
              <w:rPr>
                <w:rFonts w:ascii="宋体" w:hAnsi="宋体" w:hint="eastAsia"/>
                <w:color w:val="000000"/>
              </w:rPr>
            </w:pPr>
          </w:p>
        </w:tc>
        <w:tc>
          <w:tcPr>
            <w:tcW w:w="708" w:type="dxa"/>
            <w:vAlign w:val="center"/>
          </w:tcPr>
          <w:p w14:paraId="4BA27C42" w14:textId="77777777" w:rsidR="00767E6F" w:rsidRDefault="00767E6F">
            <w:pPr>
              <w:pStyle w:val="a4"/>
              <w:rPr>
                <w:rFonts w:hAnsi="宋体" w:cs="宋体" w:hint="eastAsia"/>
                <w:color w:val="000000"/>
              </w:rPr>
            </w:pPr>
          </w:p>
        </w:tc>
        <w:tc>
          <w:tcPr>
            <w:tcW w:w="2977" w:type="dxa"/>
            <w:vAlign w:val="center"/>
          </w:tcPr>
          <w:p w14:paraId="753B8630" w14:textId="77777777" w:rsidR="00767E6F" w:rsidRDefault="00767E6F">
            <w:pPr>
              <w:pStyle w:val="a4"/>
              <w:rPr>
                <w:rFonts w:hAnsi="宋体" w:cs="宋体" w:hint="eastAsia"/>
                <w:color w:val="000000"/>
              </w:rPr>
            </w:pPr>
          </w:p>
        </w:tc>
        <w:tc>
          <w:tcPr>
            <w:tcW w:w="1276" w:type="dxa"/>
            <w:vAlign w:val="center"/>
          </w:tcPr>
          <w:p w14:paraId="537EAA29" w14:textId="77777777" w:rsidR="00767E6F" w:rsidRDefault="00767E6F">
            <w:pPr>
              <w:pStyle w:val="a4"/>
              <w:rPr>
                <w:rFonts w:hAnsi="宋体" w:cs="宋体" w:hint="eastAsia"/>
                <w:color w:val="000000"/>
              </w:rPr>
            </w:pPr>
          </w:p>
        </w:tc>
        <w:tc>
          <w:tcPr>
            <w:tcW w:w="1134" w:type="dxa"/>
            <w:vAlign w:val="center"/>
          </w:tcPr>
          <w:p w14:paraId="0FBBADB2" w14:textId="77777777" w:rsidR="00767E6F" w:rsidRDefault="00767E6F">
            <w:pPr>
              <w:pStyle w:val="a4"/>
              <w:rPr>
                <w:rFonts w:hAnsi="宋体" w:cs="宋体" w:hint="eastAsia"/>
                <w:color w:val="000000"/>
              </w:rPr>
            </w:pPr>
          </w:p>
        </w:tc>
        <w:tc>
          <w:tcPr>
            <w:tcW w:w="709" w:type="dxa"/>
            <w:vAlign w:val="center"/>
          </w:tcPr>
          <w:p w14:paraId="598198E7" w14:textId="77777777" w:rsidR="00767E6F" w:rsidRDefault="00767E6F">
            <w:pPr>
              <w:pStyle w:val="a4"/>
              <w:rPr>
                <w:rFonts w:hAnsi="宋体" w:cs="宋体" w:hint="eastAsia"/>
                <w:color w:val="000000"/>
              </w:rPr>
            </w:pPr>
          </w:p>
        </w:tc>
        <w:tc>
          <w:tcPr>
            <w:tcW w:w="1134" w:type="dxa"/>
            <w:vAlign w:val="center"/>
          </w:tcPr>
          <w:p w14:paraId="7261CCC9" w14:textId="77777777" w:rsidR="00767E6F" w:rsidRDefault="00767E6F">
            <w:pPr>
              <w:pStyle w:val="a4"/>
              <w:rPr>
                <w:rFonts w:hAnsi="宋体" w:cs="宋体" w:hint="eastAsia"/>
                <w:color w:val="000000"/>
              </w:rPr>
            </w:pPr>
          </w:p>
        </w:tc>
        <w:tc>
          <w:tcPr>
            <w:tcW w:w="504" w:type="dxa"/>
            <w:vAlign w:val="center"/>
          </w:tcPr>
          <w:p w14:paraId="60512044" w14:textId="77777777" w:rsidR="00767E6F" w:rsidRDefault="00767E6F">
            <w:pPr>
              <w:pStyle w:val="a4"/>
              <w:rPr>
                <w:rFonts w:hAnsi="宋体" w:cs="宋体" w:hint="eastAsia"/>
                <w:color w:val="000000"/>
                <w:spacing w:val="-6"/>
              </w:rPr>
            </w:pPr>
          </w:p>
        </w:tc>
      </w:tr>
      <w:tr w:rsidR="00767E6F" w14:paraId="30BA4097" w14:textId="77777777">
        <w:trPr>
          <w:cantSplit/>
          <w:trHeight w:val="624"/>
          <w:jc w:val="center"/>
        </w:trPr>
        <w:tc>
          <w:tcPr>
            <w:tcW w:w="10592" w:type="dxa"/>
            <w:gridSpan w:val="10"/>
            <w:vAlign w:val="center"/>
          </w:tcPr>
          <w:p w14:paraId="16D6F6E1" w14:textId="77777777" w:rsidR="00767E6F" w:rsidRDefault="00000000">
            <w:pPr>
              <w:pStyle w:val="a4"/>
              <w:rPr>
                <w:rFonts w:hAnsi="宋体" w:cs="宋体" w:hint="eastAsia"/>
                <w:color w:val="000000"/>
                <w:spacing w:val="-6"/>
              </w:rPr>
            </w:pPr>
            <w:r>
              <w:rPr>
                <w:rFonts w:hAnsi="宋体" w:cs="宋体" w:hint="eastAsia"/>
                <w:color w:val="000000"/>
                <w:spacing w:val="-6"/>
              </w:rPr>
              <w:t>总报价（人民币大写）：                                       （￥                       元）</w:t>
            </w:r>
          </w:p>
        </w:tc>
      </w:tr>
      <w:tr w:rsidR="00767E6F" w14:paraId="6CF09C94" w14:textId="77777777">
        <w:trPr>
          <w:cantSplit/>
          <w:trHeight w:val="624"/>
          <w:jc w:val="center"/>
        </w:trPr>
        <w:tc>
          <w:tcPr>
            <w:tcW w:w="10592" w:type="dxa"/>
            <w:gridSpan w:val="10"/>
            <w:vAlign w:val="center"/>
          </w:tcPr>
          <w:p w14:paraId="2C7AB110" w14:textId="77777777" w:rsidR="00767E6F" w:rsidRDefault="00000000">
            <w:pPr>
              <w:pStyle w:val="a4"/>
              <w:tabs>
                <w:tab w:val="left" w:pos="721"/>
              </w:tabs>
              <w:rPr>
                <w:rFonts w:hAnsi="宋体" w:cs="宋体" w:hint="eastAsia"/>
                <w:color w:val="000000"/>
                <w:spacing w:val="-6"/>
              </w:rPr>
            </w:pPr>
            <w:r>
              <w:rPr>
                <w:rFonts w:hAnsi="宋体" w:cs="宋体" w:hint="eastAsia"/>
                <w:color w:val="000000"/>
                <w:spacing w:val="-6"/>
              </w:rPr>
              <w:t>交付使用时间：</w:t>
            </w:r>
          </w:p>
        </w:tc>
      </w:tr>
      <w:tr w:rsidR="00767E6F" w14:paraId="2B656E80" w14:textId="77777777">
        <w:trPr>
          <w:cantSplit/>
          <w:trHeight w:val="624"/>
          <w:jc w:val="center"/>
        </w:trPr>
        <w:tc>
          <w:tcPr>
            <w:tcW w:w="10592" w:type="dxa"/>
            <w:gridSpan w:val="10"/>
            <w:vAlign w:val="center"/>
          </w:tcPr>
          <w:p w14:paraId="50414E64" w14:textId="77777777" w:rsidR="00767E6F" w:rsidRDefault="00000000">
            <w:pPr>
              <w:pStyle w:val="a4"/>
              <w:tabs>
                <w:tab w:val="left" w:pos="721"/>
              </w:tabs>
              <w:rPr>
                <w:rFonts w:hAnsi="宋体" w:cs="宋体" w:hint="eastAsia"/>
                <w:color w:val="000000"/>
                <w:spacing w:val="-6"/>
              </w:rPr>
            </w:pPr>
            <w:r>
              <w:rPr>
                <w:rFonts w:hAnsi="宋体" w:cs="宋体" w:hint="eastAsia"/>
                <w:color w:val="000000"/>
                <w:spacing w:val="-6"/>
              </w:rPr>
              <w:t>交付使用地点:</w:t>
            </w:r>
          </w:p>
        </w:tc>
      </w:tr>
    </w:tbl>
    <w:p w14:paraId="0B28FFB0" w14:textId="77777777" w:rsidR="00767E6F" w:rsidRDefault="00767E6F">
      <w:pPr>
        <w:ind w:firstLineChars="1150" w:firstLine="2415"/>
        <w:rPr>
          <w:rFonts w:ascii="宋体" w:hAnsi="宋体" w:hint="eastAsia"/>
          <w:color w:val="000000"/>
          <w:szCs w:val="21"/>
        </w:rPr>
      </w:pPr>
    </w:p>
    <w:p w14:paraId="055A79AF" w14:textId="77777777" w:rsidR="00767E6F" w:rsidRDefault="00767E6F">
      <w:pPr>
        <w:rPr>
          <w:rFonts w:ascii="宋体" w:hAnsi="宋体" w:hint="eastAsia"/>
          <w:color w:val="000000"/>
          <w:spacing w:val="20"/>
          <w:szCs w:val="21"/>
          <w:u w:val="single"/>
        </w:rPr>
      </w:pPr>
    </w:p>
    <w:p w14:paraId="59A88902" w14:textId="77777777" w:rsidR="00767E6F" w:rsidRDefault="00767E6F">
      <w:pPr>
        <w:spacing w:line="360" w:lineRule="auto"/>
        <w:rPr>
          <w:rFonts w:ascii="宋体" w:hAnsi="宋体" w:hint="eastAsia"/>
          <w:color w:val="000000"/>
          <w:spacing w:val="20"/>
          <w:szCs w:val="21"/>
        </w:rPr>
      </w:pPr>
    </w:p>
    <w:p w14:paraId="4E1CFF04" w14:textId="77777777" w:rsidR="00767E6F" w:rsidRDefault="00000000">
      <w:pPr>
        <w:jc w:val="left"/>
        <w:rPr>
          <w:rFonts w:ascii="宋体" w:hAnsi="宋体" w:hint="eastAsia"/>
          <w:color w:val="000000"/>
          <w:szCs w:val="21"/>
        </w:rPr>
      </w:pPr>
      <w:r>
        <w:rPr>
          <w:rFonts w:ascii="宋体" w:hAnsi="宋体" w:hint="eastAsia"/>
          <w:color w:val="000000"/>
          <w:szCs w:val="21"/>
        </w:rPr>
        <w:t>注：</w:t>
      </w:r>
    </w:p>
    <w:p w14:paraId="2D623351" w14:textId="77777777" w:rsidR="00767E6F" w:rsidRDefault="00000000">
      <w:pPr>
        <w:spacing w:line="312" w:lineRule="auto"/>
        <w:jc w:val="left"/>
        <w:rPr>
          <w:rFonts w:ascii="宋体" w:hAnsi="宋体" w:hint="eastAsia"/>
          <w:color w:val="000000"/>
          <w:szCs w:val="21"/>
        </w:rPr>
      </w:pPr>
      <w:r>
        <w:rPr>
          <w:rFonts w:ascii="宋体" w:hAnsi="宋体" w:hint="eastAsia"/>
          <w:color w:val="000000"/>
          <w:szCs w:val="21"/>
        </w:rPr>
        <w:t>1.供应商的首次报价与最后报价均不能超过采购预算，否则报价无效。</w:t>
      </w:r>
    </w:p>
    <w:p w14:paraId="50B05586" w14:textId="77777777" w:rsidR="00767E6F" w:rsidRDefault="00000000">
      <w:pPr>
        <w:spacing w:line="312" w:lineRule="auto"/>
        <w:jc w:val="left"/>
        <w:rPr>
          <w:rFonts w:ascii="宋体" w:hAnsi="宋体" w:hint="eastAsia"/>
          <w:color w:val="000000"/>
          <w:szCs w:val="21"/>
        </w:rPr>
      </w:pPr>
      <w:r>
        <w:rPr>
          <w:rFonts w:ascii="宋体" w:hAnsi="宋体" w:hint="eastAsia"/>
          <w:color w:val="000000"/>
          <w:szCs w:val="21"/>
        </w:rPr>
        <w:t>2.所有价格均用人民币表示，单位为元，精确到个数位。</w:t>
      </w:r>
    </w:p>
    <w:p w14:paraId="15F13C8A" w14:textId="77777777" w:rsidR="00767E6F" w:rsidRDefault="00000000">
      <w:pPr>
        <w:spacing w:line="312" w:lineRule="auto"/>
        <w:rPr>
          <w:rFonts w:ascii="宋体" w:hAnsi="宋体" w:hint="eastAsia"/>
          <w:color w:val="000000"/>
          <w:szCs w:val="21"/>
        </w:rPr>
      </w:pPr>
      <w:r>
        <w:rPr>
          <w:rFonts w:ascii="宋体" w:hAnsi="宋体" w:hint="eastAsia"/>
          <w:color w:val="000000"/>
          <w:szCs w:val="21"/>
        </w:rPr>
        <w:t>3.竞标</w:t>
      </w:r>
      <w:proofErr w:type="gramStart"/>
      <w:r>
        <w:rPr>
          <w:rFonts w:ascii="宋体" w:hAnsi="宋体" w:hint="eastAsia"/>
          <w:color w:val="000000"/>
          <w:szCs w:val="21"/>
        </w:rPr>
        <w:t>报价指</w:t>
      </w:r>
      <w:proofErr w:type="gramEnd"/>
      <w:r>
        <w:rPr>
          <w:rFonts w:ascii="宋体" w:hAnsi="宋体" w:hint="eastAsia"/>
          <w:color w:val="000000"/>
          <w:szCs w:val="21"/>
        </w:rPr>
        <w:t>货物、服务、随配附件、备品备件、工具、货物运抵指定交货地点、安装调试的各种费用和售后服务、税金及其它所有成本、费用的总和。</w:t>
      </w:r>
    </w:p>
    <w:p w14:paraId="5D0ED924" w14:textId="77777777" w:rsidR="00767E6F" w:rsidRDefault="00000000">
      <w:pPr>
        <w:spacing w:line="312" w:lineRule="auto"/>
        <w:jc w:val="left"/>
        <w:rPr>
          <w:rFonts w:ascii="宋体" w:hAnsi="宋体" w:hint="eastAsia"/>
          <w:color w:val="000000"/>
          <w:szCs w:val="21"/>
        </w:rPr>
      </w:pPr>
      <w:r>
        <w:rPr>
          <w:rFonts w:ascii="宋体" w:hAnsi="宋体" w:hint="eastAsia"/>
          <w:color w:val="000000"/>
          <w:szCs w:val="21"/>
        </w:rPr>
        <w:t>4. 自然人参加谈判的无需盖章，需要签字。</w:t>
      </w:r>
    </w:p>
    <w:p w14:paraId="5BC216B0" w14:textId="77777777" w:rsidR="00767E6F" w:rsidRDefault="00000000">
      <w:pPr>
        <w:spacing w:line="312" w:lineRule="auto"/>
        <w:jc w:val="left"/>
        <w:rPr>
          <w:rFonts w:ascii="宋体" w:hAnsi="宋体" w:hint="eastAsia"/>
          <w:color w:val="000000"/>
          <w:szCs w:val="21"/>
        </w:rPr>
      </w:pPr>
      <w:r>
        <w:rPr>
          <w:rFonts w:ascii="宋体" w:hAnsi="宋体" w:hint="eastAsia"/>
          <w:color w:val="000000"/>
          <w:szCs w:val="21"/>
        </w:rPr>
        <w:t>5.本表可扩展，并逐页签字及盖章，否则其报价无效并作无效响应处理。</w:t>
      </w:r>
    </w:p>
    <w:p w14:paraId="4625CA1E" w14:textId="77777777" w:rsidR="00767E6F" w:rsidRDefault="00767E6F">
      <w:pPr>
        <w:jc w:val="left"/>
        <w:rPr>
          <w:rFonts w:ascii="宋体" w:hAnsi="宋体" w:hint="eastAsia"/>
          <w:color w:val="000000"/>
          <w:szCs w:val="21"/>
        </w:rPr>
      </w:pPr>
    </w:p>
    <w:p w14:paraId="1BC00719" w14:textId="77777777" w:rsidR="00767E6F" w:rsidRDefault="00767E6F">
      <w:pPr>
        <w:spacing w:line="360" w:lineRule="auto"/>
        <w:rPr>
          <w:rFonts w:ascii="宋体" w:hAnsi="宋体" w:hint="eastAsia"/>
          <w:color w:val="000000"/>
          <w:spacing w:val="20"/>
          <w:szCs w:val="21"/>
        </w:rPr>
      </w:pPr>
    </w:p>
    <w:p w14:paraId="5DE048E0" w14:textId="77777777" w:rsidR="00767E6F" w:rsidRDefault="00000000">
      <w:pPr>
        <w:spacing w:line="360" w:lineRule="auto"/>
        <w:rPr>
          <w:rFonts w:ascii="宋体" w:hAnsi="宋体" w:hint="eastAsia"/>
          <w:color w:val="000000"/>
          <w:szCs w:val="21"/>
        </w:rPr>
      </w:pPr>
      <w:r>
        <w:rPr>
          <w:rFonts w:ascii="宋体" w:hAnsi="宋体" w:hint="eastAsia"/>
          <w:color w:val="000000"/>
          <w:szCs w:val="21"/>
        </w:rPr>
        <w:t>供应商名称（公章）：</w:t>
      </w:r>
      <w:r>
        <w:rPr>
          <w:rFonts w:ascii="宋体" w:hAnsi="宋体" w:hint="eastAsia"/>
          <w:color w:val="000000"/>
          <w:szCs w:val="21"/>
          <w:u w:val="single"/>
        </w:rPr>
        <w:t xml:space="preserve">                          </w:t>
      </w:r>
    </w:p>
    <w:p w14:paraId="6CFD4A9C" w14:textId="77777777" w:rsidR="00767E6F" w:rsidRDefault="00000000">
      <w:pPr>
        <w:spacing w:line="360" w:lineRule="auto"/>
        <w:rPr>
          <w:rFonts w:ascii="宋体" w:hAnsi="宋体" w:hint="eastAsia"/>
          <w:color w:val="000000"/>
          <w:spacing w:val="20"/>
          <w:szCs w:val="21"/>
          <w:u w:val="single"/>
        </w:rPr>
      </w:pPr>
      <w:r>
        <w:rPr>
          <w:rFonts w:ascii="宋体" w:hAnsi="宋体" w:hint="eastAsia"/>
          <w:color w:val="000000"/>
          <w:szCs w:val="21"/>
        </w:rPr>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 xml:space="preserve">日 </w:t>
      </w:r>
    </w:p>
    <w:p w14:paraId="2A1D13C8" w14:textId="77777777" w:rsidR="00767E6F" w:rsidRDefault="00000000">
      <w:pPr>
        <w:rPr>
          <w:rFonts w:ascii="宋体" w:hAnsi="宋体" w:hint="eastAsia"/>
          <w:color w:val="000000"/>
        </w:rPr>
      </w:pPr>
      <w:r>
        <w:rPr>
          <w:rFonts w:ascii="宋体" w:hAnsi="宋体" w:hint="eastAsia"/>
          <w:color w:val="000000"/>
        </w:rPr>
        <w:br w:type="page"/>
      </w:r>
    </w:p>
    <w:p w14:paraId="3AE2483A" w14:textId="77777777" w:rsidR="00767E6F" w:rsidRDefault="00000000">
      <w:pPr>
        <w:jc w:val="left"/>
        <w:rPr>
          <w:rFonts w:ascii="宋体" w:hAnsi="宋体" w:hint="eastAsia"/>
          <w:b/>
          <w:color w:val="000000"/>
          <w:szCs w:val="21"/>
        </w:rPr>
      </w:pPr>
      <w:r>
        <w:rPr>
          <w:rFonts w:ascii="宋体" w:hAnsi="宋体" w:hint="eastAsia"/>
          <w:b/>
          <w:color w:val="000000"/>
          <w:szCs w:val="21"/>
        </w:rPr>
        <w:lastRenderedPageBreak/>
        <w:t>附件2：</w:t>
      </w:r>
    </w:p>
    <w:p w14:paraId="466B2CFE" w14:textId="77777777" w:rsidR="00767E6F" w:rsidRDefault="00000000">
      <w:pPr>
        <w:spacing w:line="300" w:lineRule="auto"/>
        <w:jc w:val="center"/>
        <w:rPr>
          <w:rFonts w:ascii="宋体" w:hAnsi="宋体" w:hint="eastAsia"/>
          <w:b/>
          <w:color w:val="000000"/>
          <w:szCs w:val="21"/>
        </w:rPr>
      </w:pPr>
      <w:r>
        <w:rPr>
          <w:rFonts w:ascii="宋体" w:hAnsi="宋体" w:hint="eastAsia"/>
          <w:b/>
          <w:color w:val="000000"/>
          <w:szCs w:val="21"/>
        </w:rPr>
        <w:t>商务要求响应表（必须提供）</w:t>
      </w:r>
    </w:p>
    <w:p w14:paraId="2F1CC3B9" w14:textId="77777777" w:rsidR="00767E6F" w:rsidRDefault="00767E6F">
      <w:pPr>
        <w:spacing w:line="300" w:lineRule="auto"/>
        <w:rPr>
          <w:rFonts w:ascii="宋体" w:hAnsi="宋体" w:hint="eastAsia"/>
          <w:color w:val="000000"/>
          <w:szCs w:val="21"/>
        </w:rPr>
      </w:pPr>
    </w:p>
    <w:p w14:paraId="48FCC15E" w14:textId="77777777" w:rsidR="00767E6F" w:rsidRDefault="00000000">
      <w:pPr>
        <w:spacing w:line="300" w:lineRule="auto"/>
        <w:rPr>
          <w:rFonts w:ascii="宋体" w:hAnsi="宋体" w:hint="eastAsia"/>
          <w:color w:val="000000"/>
          <w:szCs w:val="21"/>
        </w:rPr>
      </w:pPr>
      <w:r>
        <w:rPr>
          <w:rFonts w:ascii="宋体" w:hAnsi="宋体" w:hint="eastAsia"/>
          <w:color w:val="000000"/>
          <w:szCs w:val="21"/>
        </w:rPr>
        <w:t>采购项目名称:</w:t>
      </w:r>
      <w:r>
        <w:rPr>
          <w:rFonts w:ascii="宋体" w:hAnsi="宋体" w:hint="eastAsia"/>
          <w:color w:val="000000"/>
          <w:szCs w:val="21"/>
          <w:u w:val="single"/>
        </w:rPr>
        <w:t xml:space="preserve">                 </w:t>
      </w:r>
      <w:r>
        <w:rPr>
          <w:rFonts w:ascii="宋体" w:hAnsi="宋体" w:hint="eastAsia"/>
          <w:color w:val="000000"/>
          <w:szCs w:val="21"/>
        </w:rPr>
        <w:t xml:space="preserve">    </w:t>
      </w:r>
    </w:p>
    <w:p w14:paraId="22D4FABB" w14:textId="77777777" w:rsidR="00767E6F" w:rsidRDefault="00000000">
      <w:pPr>
        <w:spacing w:line="300" w:lineRule="auto"/>
        <w:rPr>
          <w:rFonts w:ascii="宋体" w:hAnsi="宋体" w:hint="eastAsia"/>
          <w:color w:val="000000"/>
          <w:szCs w:val="21"/>
          <w:u w:val="single"/>
        </w:rPr>
      </w:pPr>
      <w:r>
        <w:rPr>
          <w:rFonts w:ascii="宋体" w:hAnsi="宋体" w:hint="eastAsia"/>
          <w:color w:val="000000"/>
          <w:szCs w:val="21"/>
        </w:rPr>
        <w:t>采购项目编号:</w:t>
      </w:r>
      <w:r>
        <w:rPr>
          <w:rFonts w:ascii="宋体" w:hAnsi="宋体" w:hint="eastAsia"/>
          <w:color w:val="000000"/>
          <w:szCs w:val="21"/>
          <w:u w:val="single"/>
        </w:rPr>
        <w:t xml:space="preserve">                 </w:t>
      </w:r>
    </w:p>
    <w:p w14:paraId="3DC5A8E1" w14:textId="77777777" w:rsidR="00767E6F" w:rsidRDefault="00767E6F">
      <w:pPr>
        <w:spacing w:line="300" w:lineRule="auto"/>
        <w:rPr>
          <w:rFonts w:ascii="宋体" w:hAnsi="宋体" w:hint="eastAsia"/>
          <w:color w:val="000000"/>
          <w:szCs w:val="21"/>
        </w:rPr>
      </w:pPr>
    </w:p>
    <w:tbl>
      <w:tblPr>
        <w:tblW w:w="85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tblGrid>
      <w:tr w:rsidR="00767E6F" w14:paraId="1625D68E" w14:textId="77777777">
        <w:trPr>
          <w:cantSplit/>
          <w:trHeight w:val="420"/>
        </w:trPr>
        <w:tc>
          <w:tcPr>
            <w:tcW w:w="635" w:type="dxa"/>
          </w:tcPr>
          <w:p w14:paraId="0ED7E6EC"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序号</w:t>
            </w:r>
          </w:p>
        </w:tc>
        <w:tc>
          <w:tcPr>
            <w:tcW w:w="1316" w:type="dxa"/>
            <w:vAlign w:val="center"/>
          </w:tcPr>
          <w:p w14:paraId="28892E42"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 xml:space="preserve">名称                    </w:t>
            </w:r>
          </w:p>
        </w:tc>
        <w:tc>
          <w:tcPr>
            <w:tcW w:w="2268" w:type="dxa"/>
            <w:vAlign w:val="center"/>
          </w:tcPr>
          <w:p w14:paraId="3353296A"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采购文件商务要求</w:t>
            </w:r>
          </w:p>
        </w:tc>
        <w:tc>
          <w:tcPr>
            <w:tcW w:w="3087" w:type="dxa"/>
            <w:vAlign w:val="center"/>
          </w:tcPr>
          <w:p w14:paraId="48B97850" w14:textId="77777777" w:rsidR="00767E6F" w:rsidRDefault="00000000">
            <w:pPr>
              <w:adjustRightInd w:val="0"/>
              <w:snapToGrid w:val="0"/>
              <w:spacing w:line="300" w:lineRule="auto"/>
              <w:ind w:leftChars="-51" w:left="-107" w:firstLineChars="51" w:firstLine="107"/>
              <w:jc w:val="center"/>
              <w:outlineLvl w:val="0"/>
              <w:rPr>
                <w:rFonts w:ascii="宋体" w:hAnsi="宋体" w:hint="eastAsia"/>
                <w:color w:val="000000"/>
                <w:szCs w:val="21"/>
              </w:rPr>
            </w:pPr>
            <w:r>
              <w:rPr>
                <w:rFonts w:ascii="宋体" w:hAnsi="宋体" w:hint="eastAsia"/>
                <w:color w:val="000000"/>
                <w:szCs w:val="21"/>
              </w:rPr>
              <w:t>报价响应文件</w:t>
            </w:r>
            <w:proofErr w:type="gramStart"/>
            <w:r>
              <w:rPr>
                <w:rFonts w:ascii="宋体" w:hAnsi="宋体" w:hint="eastAsia"/>
                <w:color w:val="000000"/>
                <w:szCs w:val="21"/>
              </w:rPr>
              <w:t>具体响应</w:t>
            </w:r>
            <w:proofErr w:type="gramEnd"/>
          </w:p>
        </w:tc>
        <w:tc>
          <w:tcPr>
            <w:tcW w:w="1198" w:type="dxa"/>
            <w:vAlign w:val="center"/>
          </w:tcPr>
          <w:p w14:paraId="0FCCA5DA"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偏离说明</w:t>
            </w:r>
          </w:p>
        </w:tc>
      </w:tr>
      <w:tr w:rsidR="00767E6F" w14:paraId="462011C5" w14:textId="77777777">
        <w:trPr>
          <w:cantSplit/>
          <w:trHeight w:val="200"/>
        </w:trPr>
        <w:tc>
          <w:tcPr>
            <w:tcW w:w="635" w:type="dxa"/>
            <w:vAlign w:val="center"/>
          </w:tcPr>
          <w:p w14:paraId="370FE34C"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1</w:t>
            </w:r>
          </w:p>
        </w:tc>
        <w:tc>
          <w:tcPr>
            <w:tcW w:w="1316" w:type="dxa"/>
            <w:vAlign w:val="center"/>
          </w:tcPr>
          <w:p w14:paraId="5088480D"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2268" w:type="dxa"/>
            <w:vAlign w:val="center"/>
          </w:tcPr>
          <w:p w14:paraId="37B178D3"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3087" w:type="dxa"/>
            <w:vAlign w:val="center"/>
          </w:tcPr>
          <w:p w14:paraId="3E7016FA"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1198" w:type="dxa"/>
            <w:vAlign w:val="center"/>
          </w:tcPr>
          <w:p w14:paraId="20E32710" w14:textId="77777777" w:rsidR="00767E6F" w:rsidRDefault="00767E6F">
            <w:pPr>
              <w:adjustRightInd w:val="0"/>
              <w:snapToGrid w:val="0"/>
              <w:spacing w:line="300" w:lineRule="auto"/>
              <w:jc w:val="center"/>
              <w:outlineLvl w:val="0"/>
              <w:rPr>
                <w:rFonts w:ascii="宋体" w:hAnsi="宋体" w:hint="eastAsia"/>
                <w:color w:val="000000"/>
                <w:szCs w:val="21"/>
              </w:rPr>
            </w:pPr>
          </w:p>
        </w:tc>
      </w:tr>
      <w:tr w:rsidR="00767E6F" w14:paraId="7BA7B2D1" w14:textId="77777777">
        <w:trPr>
          <w:cantSplit/>
          <w:trHeight w:val="420"/>
        </w:trPr>
        <w:tc>
          <w:tcPr>
            <w:tcW w:w="635" w:type="dxa"/>
            <w:vAlign w:val="center"/>
          </w:tcPr>
          <w:p w14:paraId="66E2525E"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2</w:t>
            </w:r>
          </w:p>
        </w:tc>
        <w:tc>
          <w:tcPr>
            <w:tcW w:w="1316" w:type="dxa"/>
            <w:vAlign w:val="center"/>
          </w:tcPr>
          <w:p w14:paraId="27DEA9FD"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2268" w:type="dxa"/>
            <w:vAlign w:val="center"/>
          </w:tcPr>
          <w:p w14:paraId="1CD19F76"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3087" w:type="dxa"/>
            <w:vAlign w:val="center"/>
          </w:tcPr>
          <w:p w14:paraId="4820D9E6"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1198" w:type="dxa"/>
            <w:vAlign w:val="center"/>
          </w:tcPr>
          <w:p w14:paraId="4721A450" w14:textId="77777777" w:rsidR="00767E6F" w:rsidRDefault="00767E6F">
            <w:pPr>
              <w:adjustRightInd w:val="0"/>
              <w:snapToGrid w:val="0"/>
              <w:spacing w:line="300" w:lineRule="auto"/>
              <w:jc w:val="center"/>
              <w:outlineLvl w:val="0"/>
              <w:rPr>
                <w:rFonts w:ascii="宋体" w:hAnsi="宋体" w:hint="eastAsia"/>
                <w:color w:val="000000"/>
                <w:szCs w:val="21"/>
              </w:rPr>
            </w:pPr>
          </w:p>
        </w:tc>
      </w:tr>
      <w:tr w:rsidR="00767E6F" w14:paraId="00C5A03E" w14:textId="77777777">
        <w:trPr>
          <w:cantSplit/>
          <w:trHeight w:val="420"/>
        </w:trPr>
        <w:tc>
          <w:tcPr>
            <w:tcW w:w="635" w:type="dxa"/>
            <w:vAlign w:val="center"/>
          </w:tcPr>
          <w:p w14:paraId="35705E45"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3</w:t>
            </w:r>
          </w:p>
        </w:tc>
        <w:tc>
          <w:tcPr>
            <w:tcW w:w="1316" w:type="dxa"/>
            <w:vAlign w:val="center"/>
          </w:tcPr>
          <w:p w14:paraId="1DD0FDC4"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2268" w:type="dxa"/>
            <w:vAlign w:val="center"/>
          </w:tcPr>
          <w:p w14:paraId="10038159"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3087" w:type="dxa"/>
            <w:vAlign w:val="center"/>
          </w:tcPr>
          <w:p w14:paraId="5B290F0B"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1198" w:type="dxa"/>
            <w:vAlign w:val="center"/>
          </w:tcPr>
          <w:p w14:paraId="05F668B8" w14:textId="77777777" w:rsidR="00767E6F" w:rsidRDefault="00767E6F">
            <w:pPr>
              <w:adjustRightInd w:val="0"/>
              <w:snapToGrid w:val="0"/>
              <w:spacing w:line="300" w:lineRule="auto"/>
              <w:jc w:val="center"/>
              <w:outlineLvl w:val="0"/>
              <w:rPr>
                <w:rFonts w:ascii="宋体" w:hAnsi="宋体" w:hint="eastAsia"/>
                <w:color w:val="000000"/>
                <w:szCs w:val="21"/>
              </w:rPr>
            </w:pPr>
          </w:p>
        </w:tc>
      </w:tr>
      <w:tr w:rsidR="00767E6F" w14:paraId="053EB4E4" w14:textId="77777777">
        <w:trPr>
          <w:cantSplit/>
          <w:trHeight w:val="420"/>
        </w:trPr>
        <w:tc>
          <w:tcPr>
            <w:tcW w:w="635" w:type="dxa"/>
          </w:tcPr>
          <w:p w14:paraId="0C068567"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4</w:t>
            </w:r>
          </w:p>
        </w:tc>
        <w:tc>
          <w:tcPr>
            <w:tcW w:w="1316" w:type="dxa"/>
          </w:tcPr>
          <w:p w14:paraId="52DD40E7"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2268" w:type="dxa"/>
          </w:tcPr>
          <w:p w14:paraId="07CB4550"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3087" w:type="dxa"/>
          </w:tcPr>
          <w:p w14:paraId="6A103B3E"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1198" w:type="dxa"/>
          </w:tcPr>
          <w:p w14:paraId="6B45602D" w14:textId="77777777" w:rsidR="00767E6F" w:rsidRDefault="00767E6F">
            <w:pPr>
              <w:adjustRightInd w:val="0"/>
              <w:snapToGrid w:val="0"/>
              <w:spacing w:line="300" w:lineRule="auto"/>
              <w:jc w:val="center"/>
              <w:outlineLvl w:val="0"/>
              <w:rPr>
                <w:rFonts w:ascii="宋体" w:hAnsi="宋体" w:hint="eastAsia"/>
                <w:color w:val="000000"/>
                <w:szCs w:val="21"/>
              </w:rPr>
            </w:pPr>
          </w:p>
        </w:tc>
      </w:tr>
      <w:tr w:rsidR="00767E6F" w14:paraId="0F3192FE" w14:textId="77777777">
        <w:trPr>
          <w:cantSplit/>
          <w:trHeight w:val="420"/>
        </w:trPr>
        <w:tc>
          <w:tcPr>
            <w:tcW w:w="635" w:type="dxa"/>
          </w:tcPr>
          <w:p w14:paraId="104CD8DB"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5</w:t>
            </w:r>
          </w:p>
        </w:tc>
        <w:tc>
          <w:tcPr>
            <w:tcW w:w="1316" w:type="dxa"/>
          </w:tcPr>
          <w:p w14:paraId="1787EB50"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2268" w:type="dxa"/>
          </w:tcPr>
          <w:p w14:paraId="4BCFF95F"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3087" w:type="dxa"/>
          </w:tcPr>
          <w:p w14:paraId="67D32821"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1198" w:type="dxa"/>
          </w:tcPr>
          <w:p w14:paraId="0573093E" w14:textId="77777777" w:rsidR="00767E6F" w:rsidRDefault="00767E6F">
            <w:pPr>
              <w:adjustRightInd w:val="0"/>
              <w:snapToGrid w:val="0"/>
              <w:spacing w:line="300" w:lineRule="auto"/>
              <w:jc w:val="center"/>
              <w:outlineLvl w:val="0"/>
              <w:rPr>
                <w:rFonts w:ascii="宋体" w:hAnsi="宋体" w:hint="eastAsia"/>
                <w:color w:val="000000"/>
                <w:szCs w:val="21"/>
              </w:rPr>
            </w:pPr>
          </w:p>
        </w:tc>
      </w:tr>
      <w:tr w:rsidR="00767E6F" w14:paraId="575A691A" w14:textId="77777777">
        <w:trPr>
          <w:trHeight w:val="190"/>
        </w:trPr>
        <w:tc>
          <w:tcPr>
            <w:tcW w:w="635" w:type="dxa"/>
            <w:vAlign w:val="center"/>
          </w:tcPr>
          <w:p w14:paraId="5DF77F14" w14:textId="77777777" w:rsidR="00767E6F" w:rsidRDefault="00000000">
            <w:pPr>
              <w:adjustRightInd w:val="0"/>
              <w:snapToGrid w:val="0"/>
              <w:spacing w:line="300" w:lineRule="auto"/>
              <w:jc w:val="center"/>
              <w:outlineLvl w:val="0"/>
              <w:rPr>
                <w:rFonts w:ascii="宋体" w:hAnsi="宋体" w:hint="eastAsia"/>
                <w:color w:val="000000"/>
                <w:szCs w:val="21"/>
              </w:rPr>
            </w:pPr>
            <w:r>
              <w:rPr>
                <w:rFonts w:ascii="宋体" w:hAnsi="宋体" w:hint="eastAsia"/>
                <w:color w:val="000000"/>
                <w:szCs w:val="21"/>
              </w:rPr>
              <w:t>…</w:t>
            </w:r>
          </w:p>
        </w:tc>
        <w:tc>
          <w:tcPr>
            <w:tcW w:w="1316" w:type="dxa"/>
            <w:vAlign w:val="center"/>
          </w:tcPr>
          <w:p w14:paraId="6188CE76"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2268" w:type="dxa"/>
            <w:vAlign w:val="center"/>
          </w:tcPr>
          <w:p w14:paraId="5BD06376"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3087" w:type="dxa"/>
            <w:vAlign w:val="center"/>
          </w:tcPr>
          <w:p w14:paraId="640BC899" w14:textId="77777777" w:rsidR="00767E6F" w:rsidRDefault="00767E6F">
            <w:pPr>
              <w:adjustRightInd w:val="0"/>
              <w:snapToGrid w:val="0"/>
              <w:spacing w:line="300" w:lineRule="auto"/>
              <w:jc w:val="center"/>
              <w:outlineLvl w:val="0"/>
              <w:rPr>
                <w:rFonts w:ascii="宋体" w:hAnsi="宋体" w:hint="eastAsia"/>
                <w:color w:val="000000"/>
                <w:szCs w:val="21"/>
              </w:rPr>
            </w:pPr>
          </w:p>
        </w:tc>
        <w:tc>
          <w:tcPr>
            <w:tcW w:w="1198" w:type="dxa"/>
            <w:tcBorders>
              <w:right w:val="single" w:sz="4" w:space="0" w:color="auto"/>
            </w:tcBorders>
            <w:vAlign w:val="center"/>
          </w:tcPr>
          <w:p w14:paraId="2997F912" w14:textId="77777777" w:rsidR="00767E6F" w:rsidRDefault="00767E6F">
            <w:pPr>
              <w:adjustRightInd w:val="0"/>
              <w:snapToGrid w:val="0"/>
              <w:spacing w:line="300" w:lineRule="auto"/>
              <w:jc w:val="center"/>
              <w:outlineLvl w:val="0"/>
              <w:rPr>
                <w:rFonts w:ascii="宋体" w:hAnsi="宋体" w:hint="eastAsia"/>
                <w:color w:val="000000"/>
                <w:szCs w:val="21"/>
              </w:rPr>
            </w:pPr>
          </w:p>
        </w:tc>
      </w:tr>
    </w:tbl>
    <w:p w14:paraId="5BA92D9B" w14:textId="77777777" w:rsidR="00767E6F" w:rsidRDefault="00767E6F">
      <w:pPr>
        <w:spacing w:line="300" w:lineRule="auto"/>
        <w:rPr>
          <w:rFonts w:ascii="宋体" w:hAnsi="宋体" w:hint="eastAsia"/>
          <w:color w:val="000000"/>
          <w:szCs w:val="21"/>
        </w:rPr>
      </w:pPr>
    </w:p>
    <w:p w14:paraId="42ABF46E" w14:textId="77777777" w:rsidR="00767E6F" w:rsidRDefault="00767E6F">
      <w:pPr>
        <w:adjustRightInd w:val="0"/>
        <w:snapToGrid w:val="0"/>
        <w:spacing w:line="300" w:lineRule="auto"/>
        <w:rPr>
          <w:rFonts w:ascii="宋体" w:hAnsi="宋体" w:hint="eastAsia"/>
          <w:color w:val="000000"/>
          <w:szCs w:val="21"/>
        </w:rPr>
      </w:pPr>
    </w:p>
    <w:p w14:paraId="089B6226" w14:textId="77777777" w:rsidR="00767E6F" w:rsidRDefault="00000000">
      <w:pPr>
        <w:pStyle w:val="a4"/>
        <w:spacing w:line="300" w:lineRule="auto"/>
        <w:rPr>
          <w:rFonts w:hAnsi="宋体" w:cs="宋体" w:hint="eastAsia"/>
          <w:color w:val="000000"/>
          <w:sz w:val="21"/>
        </w:rPr>
      </w:pPr>
      <w:r>
        <w:rPr>
          <w:rFonts w:hAnsi="宋体" w:cs="宋体" w:hint="eastAsia"/>
          <w:color w:val="000000"/>
          <w:sz w:val="21"/>
        </w:rPr>
        <w:t>说明:</w:t>
      </w:r>
    </w:p>
    <w:p w14:paraId="1C6906C6" w14:textId="77777777" w:rsidR="00767E6F" w:rsidRDefault="00000000">
      <w:pPr>
        <w:pStyle w:val="a4"/>
        <w:spacing w:line="300" w:lineRule="auto"/>
        <w:rPr>
          <w:rFonts w:hAnsi="宋体" w:cs="宋体" w:hint="eastAsia"/>
          <w:color w:val="000000"/>
          <w:sz w:val="21"/>
        </w:rPr>
      </w:pPr>
      <w:r>
        <w:rPr>
          <w:rFonts w:hAnsi="宋体" w:cs="宋体" w:hint="eastAsia"/>
          <w:color w:val="000000"/>
          <w:sz w:val="21"/>
        </w:rPr>
        <w:t>1.应对照采购文件“第一章采购需求”中的商务要求逐条作明确的竞标响应，并</w:t>
      </w:r>
      <w:proofErr w:type="gramStart"/>
      <w:r>
        <w:rPr>
          <w:rFonts w:hAnsi="宋体" w:cs="宋体" w:hint="eastAsia"/>
          <w:color w:val="000000"/>
          <w:sz w:val="21"/>
        </w:rPr>
        <w:t>作出</w:t>
      </w:r>
      <w:proofErr w:type="gramEnd"/>
      <w:r>
        <w:rPr>
          <w:rFonts w:hAnsi="宋体" w:cs="宋体" w:hint="eastAsia"/>
          <w:color w:val="000000"/>
          <w:sz w:val="21"/>
        </w:rPr>
        <w:t>偏离说明。</w:t>
      </w:r>
    </w:p>
    <w:p w14:paraId="501D0CEF" w14:textId="77777777" w:rsidR="00767E6F" w:rsidRDefault="00000000">
      <w:pPr>
        <w:pStyle w:val="a4"/>
        <w:spacing w:line="300" w:lineRule="auto"/>
        <w:rPr>
          <w:rFonts w:hAnsi="宋体" w:cs="宋体" w:hint="eastAsia"/>
          <w:color w:val="000000"/>
          <w:sz w:val="21"/>
        </w:rPr>
      </w:pPr>
      <w:r>
        <w:rPr>
          <w:rFonts w:hAnsi="宋体" w:cs="宋体" w:hint="eastAsia"/>
          <w:color w:val="000000"/>
          <w:sz w:val="21"/>
        </w:rPr>
        <w:t>2.竞标供应商应根据自身的承诺，对照采购文件要求在“偏离说明”中注明“正偏离”、“负偏离”</w:t>
      </w:r>
    </w:p>
    <w:p w14:paraId="44B06CC0" w14:textId="77777777" w:rsidR="00767E6F" w:rsidRDefault="00000000">
      <w:pPr>
        <w:pStyle w:val="a4"/>
        <w:spacing w:line="300" w:lineRule="auto"/>
        <w:rPr>
          <w:rFonts w:hAnsi="宋体" w:cs="宋体" w:hint="eastAsia"/>
          <w:color w:val="000000"/>
          <w:sz w:val="21"/>
        </w:rPr>
      </w:pPr>
      <w:r>
        <w:rPr>
          <w:rFonts w:hAnsi="宋体" w:cs="宋体" w:hint="eastAsia"/>
          <w:color w:val="000000"/>
          <w:sz w:val="21"/>
        </w:rPr>
        <w:t>或者“无偏离”。既不属于“正偏离”也不属于“负偏离”即为“无偏离”。</w:t>
      </w:r>
    </w:p>
    <w:p w14:paraId="77F79271" w14:textId="77777777" w:rsidR="00767E6F" w:rsidRDefault="00767E6F">
      <w:pPr>
        <w:spacing w:line="360" w:lineRule="auto"/>
        <w:rPr>
          <w:rFonts w:ascii="宋体" w:hAnsi="宋体" w:hint="eastAsia"/>
          <w:color w:val="000000"/>
          <w:szCs w:val="21"/>
        </w:rPr>
      </w:pPr>
    </w:p>
    <w:p w14:paraId="491E90A2" w14:textId="77777777" w:rsidR="00767E6F" w:rsidRDefault="00000000">
      <w:pPr>
        <w:spacing w:line="360" w:lineRule="auto"/>
        <w:rPr>
          <w:rFonts w:ascii="宋体" w:hAnsi="宋体" w:hint="eastAsia"/>
          <w:color w:val="000000"/>
          <w:szCs w:val="21"/>
        </w:rPr>
      </w:pPr>
      <w:r>
        <w:rPr>
          <w:rFonts w:ascii="宋体" w:hAnsi="宋体" w:hint="eastAsia"/>
          <w:color w:val="000000"/>
          <w:szCs w:val="21"/>
        </w:rPr>
        <w:t>供应商名称（公章）：</w:t>
      </w:r>
      <w:r>
        <w:rPr>
          <w:rFonts w:ascii="宋体" w:hAnsi="宋体" w:hint="eastAsia"/>
          <w:color w:val="000000"/>
          <w:szCs w:val="21"/>
          <w:u w:val="single"/>
        </w:rPr>
        <w:t xml:space="preserve">                          </w:t>
      </w:r>
    </w:p>
    <w:p w14:paraId="1E0A9B91" w14:textId="77777777" w:rsidR="00767E6F" w:rsidRDefault="00000000">
      <w:pPr>
        <w:pStyle w:val="a5"/>
        <w:rPr>
          <w:rFonts w:ascii="宋体" w:hAnsi="宋体" w:hint="eastAsia"/>
        </w:rPr>
      </w:pPr>
      <w:r>
        <w:rPr>
          <w:rFonts w:ascii="宋体" w:hAnsi="宋体" w:hint="eastAsia"/>
          <w:color w:val="000000"/>
          <w:szCs w:val="21"/>
        </w:rPr>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 xml:space="preserve">日 </w:t>
      </w:r>
    </w:p>
    <w:p w14:paraId="34FDF28F" w14:textId="77777777" w:rsidR="00767E6F" w:rsidRDefault="00767E6F">
      <w:pPr>
        <w:pStyle w:val="a5"/>
        <w:rPr>
          <w:rFonts w:ascii="宋体" w:hAnsi="宋体" w:hint="eastAsia"/>
        </w:rPr>
      </w:pPr>
    </w:p>
    <w:p w14:paraId="7B34B96A" w14:textId="77777777" w:rsidR="00767E6F" w:rsidRDefault="00767E6F">
      <w:pPr>
        <w:pStyle w:val="a5"/>
        <w:rPr>
          <w:rFonts w:ascii="宋体" w:hAnsi="宋体" w:hint="eastAsia"/>
        </w:rPr>
      </w:pPr>
    </w:p>
    <w:p w14:paraId="28906660" w14:textId="77777777" w:rsidR="00767E6F" w:rsidRDefault="00767E6F">
      <w:pPr>
        <w:pStyle w:val="a5"/>
        <w:rPr>
          <w:rFonts w:ascii="宋体" w:hAnsi="宋体" w:hint="eastAsia"/>
        </w:rPr>
      </w:pPr>
    </w:p>
    <w:p w14:paraId="46CB2113" w14:textId="77777777" w:rsidR="00767E6F" w:rsidRDefault="00767E6F">
      <w:pPr>
        <w:pStyle w:val="a5"/>
        <w:rPr>
          <w:rFonts w:ascii="宋体" w:hAnsi="宋体" w:hint="eastAsia"/>
        </w:rPr>
      </w:pPr>
    </w:p>
    <w:p w14:paraId="0B9FABA8" w14:textId="77777777" w:rsidR="00767E6F" w:rsidRDefault="00767E6F">
      <w:pPr>
        <w:pStyle w:val="a5"/>
        <w:rPr>
          <w:rFonts w:ascii="宋体" w:hAnsi="宋体" w:hint="eastAsia"/>
        </w:rPr>
      </w:pPr>
    </w:p>
    <w:p w14:paraId="482E536F" w14:textId="77777777" w:rsidR="00767E6F" w:rsidRDefault="00767E6F">
      <w:pPr>
        <w:rPr>
          <w:rFonts w:ascii="宋体" w:hAnsi="宋体" w:hint="eastAsia"/>
        </w:rPr>
      </w:pPr>
    </w:p>
    <w:p w14:paraId="58925CDC" w14:textId="77777777" w:rsidR="00767E6F" w:rsidRDefault="00767E6F">
      <w:pPr>
        <w:rPr>
          <w:rFonts w:ascii="宋体" w:hAnsi="宋体" w:hint="eastAsia"/>
        </w:rPr>
      </w:pPr>
    </w:p>
    <w:p w14:paraId="59B1C5C1" w14:textId="77777777" w:rsidR="00767E6F" w:rsidRDefault="00767E6F">
      <w:pPr>
        <w:rPr>
          <w:rFonts w:ascii="宋体" w:hAnsi="宋体" w:hint="eastAsia"/>
        </w:rPr>
      </w:pPr>
    </w:p>
    <w:p w14:paraId="2EE0F782" w14:textId="77777777" w:rsidR="00767E6F" w:rsidRDefault="00767E6F">
      <w:pPr>
        <w:rPr>
          <w:rFonts w:ascii="宋体" w:hAnsi="宋体" w:hint="eastAsia"/>
        </w:rPr>
      </w:pPr>
    </w:p>
    <w:p w14:paraId="77DC4C8C" w14:textId="77777777" w:rsidR="00767E6F" w:rsidRDefault="00767E6F">
      <w:pPr>
        <w:rPr>
          <w:rFonts w:ascii="宋体" w:hAnsi="宋体" w:hint="eastAsia"/>
        </w:rPr>
      </w:pPr>
    </w:p>
    <w:p w14:paraId="5E40A1FB" w14:textId="77777777" w:rsidR="00767E6F" w:rsidRDefault="00767E6F">
      <w:pPr>
        <w:rPr>
          <w:rFonts w:ascii="宋体" w:hAnsi="宋体" w:hint="eastAsia"/>
        </w:rPr>
      </w:pPr>
    </w:p>
    <w:p w14:paraId="75697F46" w14:textId="77777777" w:rsidR="00767E6F" w:rsidRDefault="00767E6F"/>
    <w:sectPr w:rsidR="00767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MmJhMjMzMjI1NzhjMjEyOWI0MzQ0NGI2MDgwN2UifQ=="/>
  </w:docVars>
  <w:rsids>
    <w:rsidRoot w:val="005C1A7F"/>
    <w:rsid w:val="00003E76"/>
    <w:rsid w:val="00060AEA"/>
    <w:rsid w:val="000E42E0"/>
    <w:rsid w:val="000E50AC"/>
    <w:rsid w:val="00230D5B"/>
    <w:rsid w:val="00287B2D"/>
    <w:rsid w:val="002C47F5"/>
    <w:rsid w:val="00370AE9"/>
    <w:rsid w:val="003B602D"/>
    <w:rsid w:val="003C6C03"/>
    <w:rsid w:val="003F2AD1"/>
    <w:rsid w:val="00591781"/>
    <w:rsid w:val="005B0F37"/>
    <w:rsid w:val="005C1A7F"/>
    <w:rsid w:val="006018C7"/>
    <w:rsid w:val="0074773E"/>
    <w:rsid w:val="00767E6F"/>
    <w:rsid w:val="00777A4B"/>
    <w:rsid w:val="0086195A"/>
    <w:rsid w:val="00862632"/>
    <w:rsid w:val="008653ED"/>
    <w:rsid w:val="0099519F"/>
    <w:rsid w:val="00AB465F"/>
    <w:rsid w:val="00AF3F4A"/>
    <w:rsid w:val="00B40208"/>
    <w:rsid w:val="00B63FE0"/>
    <w:rsid w:val="00CD6D5F"/>
    <w:rsid w:val="00DD247C"/>
    <w:rsid w:val="00E40B37"/>
    <w:rsid w:val="00EA26F8"/>
    <w:rsid w:val="00F00E50"/>
    <w:rsid w:val="00F04CF6"/>
    <w:rsid w:val="00F84F42"/>
    <w:rsid w:val="00FA01B2"/>
    <w:rsid w:val="00FA0961"/>
    <w:rsid w:val="135C3637"/>
    <w:rsid w:val="147C72F5"/>
    <w:rsid w:val="18CF220E"/>
    <w:rsid w:val="1A3F521F"/>
    <w:rsid w:val="239D1036"/>
    <w:rsid w:val="26F00A07"/>
    <w:rsid w:val="28131A9F"/>
    <w:rsid w:val="30731155"/>
    <w:rsid w:val="369736C3"/>
    <w:rsid w:val="3A746A19"/>
    <w:rsid w:val="3C095063"/>
    <w:rsid w:val="3E3913D7"/>
    <w:rsid w:val="4F4D04BF"/>
    <w:rsid w:val="5A7D277F"/>
    <w:rsid w:val="5F090F6B"/>
    <w:rsid w:val="63030411"/>
    <w:rsid w:val="64C742BD"/>
    <w:rsid w:val="65181CEF"/>
    <w:rsid w:val="6D2F2C90"/>
    <w:rsid w:val="70A04FBC"/>
    <w:rsid w:val="75823BEA"/>
    <w:rsid w:val="76BD2A92"/>
    <w:rsid w:val="78857244"/>
    <w:rsid w:val="792277DF"/>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6CAF6"/>
  <w15:docId w15:val="{5F5BBEE0-D8E4-480E-897C-DFB3C5D1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380" w:lineRule="exact"/>
    </w:pPr>
    <w:rPr>
      <w:sz w:val="24"/>
    </w:rPr>
  </w:style>
  <w:style w:type="paragraph" w:styleId="a4">
    <w:name w:val="Plain Text"/>
    <w:basedOn w:val="a3"/>
    <w:next w:val="a3"/>
    <w:qFormat/>
    <w:rPr>
      <w:rFonts w:ascii="宋体" w:hAnsi="Courier New" w:cs="Times New Roman"/>
      <w:kern w:val="0"/>
      <w:sz w:val="20"/>
      <w:szCs w:val="21"/>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uiPriority w:val="99"/>
    <w:qFormat/>
    <w:pPr>
      <w:pBdr>
        <w:bottom w:val="single" w:sz="6" w:space="1" w:color="auto"/>
      </w:pBdr>
      <w:tabs>
        <w:tab w:val="center" w:pos="0"/>
        <w:tab w:val="lef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rPr>
  </w:style>
  <w:style w:type="character" w:styleId="a8">
    <w:name w:val="page number"/>
    <w:qFormat/>
  </w:style>
  <w:style w:type="character" w:styleId="a9">
    <w:name w:val="Hyperlink"/>
    <w:basedOn w:val="a0"/>
    <w:qFormat/>
    <w:rPr>
      <w:color w:val="0000FF"/>
      <w:u w:val="single"/>
    </w:rPr>
  </w:style>
  <w:style w:type="paragraph" w:customStyle="1" w:styleId="CharCharChar3">
    <w:name w:val="Char Char Char3"/>
    <w:basedOn w:val="a"/>
    <w:qFormat/>
    <w:pPr>
      <w:widowControl/>
      <w:spacing w:after="160" w:line="240" w:lineRule="exact"/>
      <w:jc w:val="left"/>
    </w:pPr>
    <w:rPr>
      <w:rFonts w:ascii="Verdana" w:hAnsi="Verdana" w:cs="Times New Roman"/>
      <w:kern w:val="0"/>
      <w:sz w:val="20"/>
      <w:szCs w:val="20"/>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26</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宋榎宜</dc:creator>
  <cp:lastModifiedBy>频捷 黄</cp:lastModifiedBy>
  <cp:revision>6</cp:revision>
  <dcterms:created xsi:type="dcterms:W3CDTF">2025-07-24T02:58:00Z</dcterms:created>
  <dcterms:modified xsi:type="dcterms:W3CDTF">2025-07-24T05:26:00Z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082cbe2e64934f089392442d0d3fa0bd_23</vt:lpwstr>
  </property>
  <property fmtid="{D5CDD505-2E9C-101B-9397-08002B2CF9AE}" pid="4" name="KSOTemplateDocerSaveRecord">
    <vt:lpwstr>eyJoZGlkIjoiMzM4NzY3Y2EzMmZkZWVjNzJjMjA2NTg2YjZkYWQ0M2QiLCJ1c2VySWQiOiI1MDkzMjY0ODAifQ==</vt:lpwstr>
  </property>
</Properties>
</file>