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A2FD4">
      <w:pPr>
        <w:jc w:val="center"/>
        <w:rPr>
          <w:rFonts w:ascii="宋体" w:hAnsi="宋体" w:eastAsia="宋体"/>
          <w:b/>
          <w:bCs/>
          <w:sz w:val="32"/>
          <w:szCs w:val="32"/>
        </w:rPr>
      </w:pPr>
      <w:r>
        <w:rPr>
          <w:rFonts w:hint="eastAsia" w:ascii="宋体" w:hAnsi="宋体" w:eastAsia="宋体"/>
          <w:b/>
          <w:bCs/>
          <w:sz w:val="32"/>
          <w:szCs w:val="32"/>
        </w:rPr>
        <w:t>采购需求一览表</w:t>
      </w:r>
    </w:p>
    <w:tbl>
      <w:tblPr>
        <w:tblStyle w:val="3"/>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50"/>
        <w:gridCol w:w="1155"/>
        <w:gridCol w:w="825"/>
        <w:gridCol w:w="5820"/>
        <w:gridCol w:w="1424"/>
      </w:tblGrid>
      <w:tr w14:paraId="577F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6E3D7B87">
            <w:pPr>
              <w:widowControl/>
              <w:jc w:val="center"/>
              <w:rPr>
                <w:rFonts w:ascii="宋体" w:hAnsi="宋体" w:eastAsia="宋体" w:cs="宋体"/>
                <w:b/>
                <w:kern w:val="0"/>
              </w:rPr>
            </w:pPr>
            <w:r>
              <w:rPr>
                <w:rFonts w:hint="eastAsia" w:ascii="宋体" w:hAnsi="宋体" w:eastAsia="宋体" w:cs="宋体"/>
                <w:b/>
                <w:kern w:val="0"/>
              </w:rPr>
              <w:t>项号</w:t>
            </w:r>
          </w:p>
        </w:tc>
        <w:tc>
          <w:tcPr>
            <w:tcW w:w="1155" w:type="dxa"/>
            <w:shd w:val="clear" w:color="auto" w:fill="FFFFFF"/>
            <w:tcMar>
              <w:left w:w="108" w:type="dxa"/>
              <w:right w:w="108" w:type="dxa"/>
            </w:tcMar>
            <w:vAlign w:val="center"/>
          </w:tcPr>
          <w:p w14:paraId="47775C5B">
            <w:pPr>
              <w:widowControl/>
              <w:jc w:val="center"/>
              <w:rPr>
                <w:rFonts w:ascii="宋体" w:hAnsi="宋体" w:eastAsia="宋体" w:cs="宋体"/>
                <w:b/>
                <w:kern w:val="0"/>
              </w:rPr>
            </w:pPr>
            <w:r>
              <w:rPr>
                <w:rFonts w:hint="eastAsia" w:ascii="宋体" w:hAnsi="宋体" w:eastAsia="宋体" w:cs="宋体"/>
                <w:b/>
                <w:kern w:val="0"/>
              </w:rPr>
              <w:t>货物名称</w:t>
            </w:r>
          </w:p>
        </w:tc>
        <w:tc>
          <w:tcPr>
            <w:tcW w:w="825" w:type="dxa"/>
            <w:shd w:val="clear" w:color="auto" w:fill="FFFFFF"/>
            <w:tcMar>
              <w:left w:w="108" w:type="dxa"/>
              <w:right w:w="108" w:type="dxa"/>
            </w:tcMar>
            <w:vAlign w:val="center"/>
          </w:tcPr>
          <w:p w14:paraId="2899CC3C">
            <w:pPr>
              <w:widowControl/>
              <w:jc w:val="center"/>
              <w:rPr>
                <w:rFonts w:ascii="宋体" w:hAnsi="宋体" w:eastAsia="宋体" w:cs="宋体"/>
                <w:b/>
                <w:kern w:val="0"/>
              </w:rPr>
            </w:pPr>
            <w:r>
              <w:rPr>
                <w:rFonts w:hint="eastAsia" w:ascii="宋体" w:hAnsi="宋体" w:eastAsia="宋体" w:cs="宋体"/>
                <w:b/>
                <w:kern w:val="0"/>
              </w:rPr>
              <w:t>数量</w:t>
            </w:r>
          </w:p>
        </w:tc>
        <w:tc>
          <w:tcPr>
            <w:tcW w:w="5820" w:type="dxa"/>
            <w:shd w:val="clear" w:color="auto" w:fill="FFFFFF"/>
            <w:tcMar>
              <w:left w:w="108" w:type="dxa"/>
              <w:right w:w="108" w:type="dxa"/>
            </w:tcMar>
            <w:vAlign w:val="center"/>
          </w:tcPr>
          <w:p w14:paraId="1945C199">
            <w:pPr>
              <w:widowControl/>
              <w:jc w:val="center"/>
              <w:rPr>
                <w:rFonts w:ascii="宋体" w:hAnsi="宋体" w:eastAsia="宋体" w:cs="宋体"/>
                <w:b/>
                <w:kern w:val="0"/>
              </w:rPr>
            </w:pPr>
            <w:r>
              <w:rPr>
                <w:rFonts w:hint="eastAsia" w:ascii="宋体" w:hAnsi="宋体" w:eastAsia="宋体" w:cs="宋体"/>
                <w:b/>
                <w:kern w:val="0"/>
              </w:rPr>
              <w:t>技术参数要求</w:t>
            </w:r>
          </w:p>
        </w:tc>
        <w:tc>
          <w:tcPr>
            <w:tcW w:w="1424" w:type="dxa"/>
            <w:shd w:val="clear" w:color="auto" w:fill="FFFFFF"/>
            <w:tcMar>
              <w:left w:w="108" w:type="dxa"/>
              <w:right w:w="108" w:type="dxa"/>
            </w:tcMar>
            <w:vAlign w:val="center"/>
          </w:tcPr>
          <w:p w14:paraId="09993009">
            <w:pPr>
              <w:widowControl/>
              <w:jc w:val="center"/>
              <w:rPr>
                <w:rFonts w:ascii="宋体" w:hAnsi="宋体" w:eastAsia="宋体" w:cs="宋体"/>
                <w:b/>
                <w:kern w:val="0"/>
              </w:rPr>
            </w:pPr>
            <w:r>
              <w:rPr>
                <w:rFonts w:hint="eastAsia" w:ascii="宋体" w:hAnsi="宋体" w:eastAsia="宋体"/>
                <w:szCs w:val="21"/>
              </w:rPr>
              <w:t>分项预算合价（元）</w:t>
            </w:r>
          </w:p>
        </w:tc>
      </w:tr>
      <w:tr w14:paraId="24D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50" w:type="dxa"/>
            <w:shd w:val="clear" w:color="auto" w:fill="FFFFFF"/>
            <w:vAlign w:val="center"/>
          </w:tcPr>
          <w:p w14:paraId="25F41CD7">
            <w:pPr>
              <w:spacing w:line="360" w:lineRule="exact"/>
              <w:jc w:val="center"/>
              <w:rPr>
                <w:rFonts w:ascii="宋体" w:hAnsi="宋体" w:eastAsia="宋体" w:cs="宋体"/>
                <w:szCs w:val="21"/>
              </w:rPr>
            </w:pPr>
            <w:r>
              <w:rPr>
                <w:rFonts w:hint="eastAsia" w:ascii="宋体" w:hAnsi="宋体" w:eastAsia="宋体" w:cs="宋体"/>
                <w:szCs w:val="21"/>
              </w:rPr>
              <w:t>1</w:t>
            </w:r>
          </w:p>
        </w:tc>
        <w:tc>
          <w:tcPr>
            <w:tcW w:w="1155" w:type="dxa"/>
            <w:shd w:val="clear" w:color="auto" w:fill="FFFFFF"/>
            <w:tcMar>
              <w:left w:w="108" w:type="dxa"/>
              <w:right w:w="108" w:type="dxa"/>
            </w:tcMar>
            <w:vAlign w:val="center"/>
          </w:tcPr>
          <w:p w14:paraId="3D1DC5FE">
            <w:pPr>
              <w:spacing w:line="360" w:lineRule="exact"/>
              <w:rPr>
                <w:rFonts w:ascii="宋体" w:hAnsi="宋体" w:eastAsia="宋体" w:cs="宋体"/>
                <w:szCs w:val="21"/>
              </w:rPr>
            </w:pPr>
            <w:r>
              <w:rPr>
                <w:rFonts w:hint="eastAsia" w:ascii="宋体" w:hAnsi="宋体" w:eastAsia="宋体" w:cs="宋体"/>
                <w:szCs w:val="21"/>
              </w:rPr>
              <w:t>360终端安全管理系统软件V10.0</w:t>
            </w:r>
          </w:p>
        </w:tc>
        <w:tc>
          <w:tcPr>
            <w:tcW w:w="825" w:type="dxa"/>
            <w:shd w:val="clear" w:color="auto" w:fill="FFFFFF"/>
            <w:tcMar>
              <w:left w:w="108" w:type="dxa"/>
              <w:right w:w="108" w:type="dxa"/>
            </w:tcMar>
            <w:vAlign w:val="center"/>
          </w:tcPr>
          <w:p w14:paraId="39E15F45">
            <w:pPr>
              <w:spacing w:line="360" w:lineRule="exact"/>
              <w:jc w:val="center"/>
              <w:rPr>
                <w:rFonts w:ascii="宋体" w:hAnsi="宋体" w:eastAsia="宋体" w:cs="宋体"/>
                <w:szCs w:val="21"/>
              </w:rPr>
            </w:pPr>
            <w:r>
              <w:rPr>
                <w:rFonts w:hint="eastAsia" w:ascii="宋体" w:hAnsi="宋体" w:eastAsia="宋体" w:cs="宋体"/>
                <w:szCs w:val="21"/>
              </w:rPr>
              <w:t>1套</w:t>
            </w:r>
          </w:p>
        </w:tc>
        <w:tc>
          <w:tcPr>
            <w:tcW w:w="5820" w:type="dxa"/>
            <w:shd w:val="clear" w:color="auto" w:fill="FFFFFF"/>
            <w:tcMar>
              <w:left w:w="108" w:type="dxa"/>
              <w:right w:w="108" w:type="dxa"/>
            </w:tcMar>
            <w:vAlign w:val="center"/>
          </w:tcPr>
          <w:p w14:paraId="0C2E1597">
            <w:pPr>
              <w:rPr>
                <w:rFonts w:hint="eastAsia"/>
              </w:rPr>
            </w:pPr>
            <w:r>
              <w:rPr>
                <w:rFonts w:hint="eastAsia"/>
              </w:rPr>
              <w:t>1、支持多种终端管理策略，包括分组策略、平台策略以及约束策略等；分组策略支持为分组内所有客户端统一配置策略，当客户端进入这个分组内且没有配置其他策略时将执行此分组策略；平台策略支持按照终端操作系统的不同设置相应的策略；约束策略支持在超级管理员设置策略时，可锁定子分组策略防止被其他普通管理员修改。</w:t>
            </w:r>
          </w:p>
          <w:p w14:paraId="5EFEEE70">
            <w:pPr>
              <w:rPr>
                <w:rFonts w:hint="eastAsia"/>
              </w:rPr>
            </w:pPr>
            <w:r>
              <w:rPr>
                <w:rFonts w:hint="eastAsia"/>
              </w:rPr>
              <w:t>2、支持多种终端管理方式，包括终端密码管理、分组管理、消息推送以及升级管理等；终端密码管理支持终端防卸载、防退出密码设置；分组管理支持IP段自动分组，当客户端首次连接到系统后，会自动进入到符合IP规则的分组中；消息推送支持从服务端对全网终端或指定终端进行消息推送，消息推送支持设置有效期，发布时间可选择立即生效、开机显示或定期推送；升级管理支持从服务端给客户端下发程序升级命令，支持灰度升级控制，允许选择部分分组的客户端先升级。</w:t>
            </w:r>
          </w:p>
          <w:p w14:paraId="15503FC4">
            <w:pPr>
              <w:rPr>
                <w:rFonts w:hint="eastAsia"/>
              </w:rPr>
            </w:pPr>
            <w:r>
              <w:rPr>
                <w:rFonts w:hint="eastAsia"/>
              </w:rPr>
              <w:t>3、提供多引擎查杀矩阵，包括云查杀引擎、大数据特征引擎、自学习智能引擎以及脚本引擎，客户端支持以图形化方式展示各个引擎的信息。</w:t>
            </w:r>
          </w:p>
          <w:p w14:paraId="393FDFAC">
            <w:pPr>
              <w:rPr>
                <w:rFonts w:hint="eastAsia"/>
              </w:rPr>
            </w:pPr>
            <w:r>
              <w:rPr>
                <w:rFonts w:hint="eastAsia"/>
              </w:rPr>
              <w:t>4、管理员可配置客户端的云查询引擎的模式，如直接连接到公有云查询、通过代理服务器连接到公有云查询，可以选择关闭云查询服务；终端用户可根据终端硬件配置情况以及查杀需求搭配不同的引擎组合；在保持云查杀引擎强制开启不可修改的同时，终端用户可单独启用或关闭其他引擎的病毒查杀及实时防护功能，通过引擎图标的显示状态直观展示引擎是否被启用，以此实现灵活的多引擎组合查杀效果。</w:t>
            </w:r>
          </w:p>
          <w:p w14:paraId="62749BAE">
            <w:pPr>
              <w:rPr>
                <w:rFonts w:hint="eastAsia"/>
              </w:rPr>
            </w:pPr>
            <w:r>
              <w:rPr>
                <w:rFonts w:hint="eastAsia"/>
              </w:rPr>
              <w:t>5、支持在服务端对客户端下发多种扫描指令，包括快速扫描、全盘扫描、强力扫描等；快速扫描支持快速对客户端系统设置、常用软件、内存活跃程序、开机启动项以及系统关键位置进行扫描；全盘扫描支持对客户端全部路径进行文件扫描；强力扫描能够在执行快速扫描、全盘扫描或自定义扫描时，强制扫描客户端所有文件包含白名单。</w:t>
            </w:r>
          </w:p>
          <w:p w14:paraId="5FDD0120">
            <w:pPr>
              <w:rPr>
                <w:rFonts w:hint="eastAsia"/>
              </w:rPr>
            </w:pPr>
            <w:r>
              <w:rPr>
                <w:rFonts w:hint="eastAsia"/>
              </w:rPr>
              <w:t>6、★客户端提供宏病毒专项扫描功能，终端用户可对客户端执行宏病毒扫描，发现是否存在宏病毒。</w:t>
            </w:r>
          </w:p>
          <w:p w14:paraId="49DBDF32">
            <w:pPr>
              <w:rPr>
                <w:rFonts w:hint="eastAsia"/>
              </w:rPr>
            </w:pPr>
            <w:r>
              <w:rPr>
                <w:rFonts w:hint="eastAsia"/>
              </w:rPr>
              <w:t>7、★清除木马时，能一并将木马关联的文件检测出来，降低木马重复感染几率，提高查杀效果。</w:t>
            </w:r>
          </w:p>
          <w:p w14:paraId="130E4F8B">
            <w:pPr>
              <w:rPr>
                <w:rFonts w:hint="eastAsia"/>
              </w:rPr>
            </w:pPr>
            <w:r>
              <w:rPr>
                <w:rFonts w:hint="eastAsia"/>
              </w:rPr>
              <w:t>8、客户端支持漏洞扫描，对扫描出的操作系统漏洞、Microsoft Office软件漏洞能执行一键修复，可以忽略指定补丁。</w:t>
            </w:r>
          </w:p>
          <w:p w14:paraId="270E3AD3">
            <w:pPr>
              <w:rPr>
                <w:rFonts w:hint="eastAsia"/>
              </w:rPr>
            </w:pPr>
            <w:r>
              <w:rPr>
                <w:rFonts w:hint="eastAsia"/>
              </w:rPr>
              <w:t>客户端可查看已安装的补丁、已忽略的补丁，可按照KB号卸载指定补丁；终端用户可清理补丁安装包，减少对磁盘空间的占用。</w:t>
            </w:r>
          </w:p>
          <w:p w14:paraId="67F37463">
            <w:pPr>
              <w:rPr>
                <w:rFonts w:hint="eastAsia"/>
              </w:rPr>
            </w:pPr>
            <w:r>
              <w:rPr>
                <w:rFonts w:hint="eastAsia"/>
              </w:rPr>
              <w:t>9、服务端可查看已停服系统（Windows XP、Windows 7、Windows Server 2003以及Windows Server 2008）的终端数，并能查看关联的终端详情，每类停服系统能给出处理建议。</w:t>
            </w:r>
          </w:p>
          <w:p w14:paraId="01C4DB9A">
            <w:pPr>
              <w:rPr>
                <w:rFonts w:hint="eastAsia"/>
              </w:rPr>
            </w:pPr>
            <w:r>
              <w:rPr>
                <w:rFonts w:hint="eastAsia"/>
              </w:rPr>
              <w:t>10、可记录终端硬件信息，包括CPU型号、内存大小、硬盘、主板、显卡、网卡、声卡、显示器信息以及SN码，支持导出硬件信息；可显示终端上次关机时间、本次开机时间。可记录客户端的硬件变更信息，包括变更类型、变更项目、原配置、新配置以及变更时间，可导出终端硬件变更日志。管理员可查看客户端软件安装信息。可要求客户端登记资产类型、资产用途、归属部门、使用人、手机、邮箱等信息，可设置登记项是否必填、是否显示。</w:t>
            </w:r>
          </w:p>
          <w:p w14:paraId="78294A0E">
            <w:pPr>
              <w:rPr>
                <w:rFonts w:hint="eastAsia"/>
              </w:rPr>
            </w:pPr>
            <w:r>
              <w:rPr>
                <w:rFonts w:hint="eastAsia"/>
              </w:rPr>
              <w:t>11、★支持基于机器学习的程序识别方法，通过对海量样本进行分析，得到识别恶意程序的模型，发现程序内在规律，对未发生的恶意程序进行预防。</w:t>
            </w:r>
          </w:p>
          <w:p w14:paraId="630AF43F">
            <w:pPr>
              <w:rPr>
                <w:rFonts w:hint="eastAsia"/>
              </w:rPr>
            </w:pPr>
            <w:r>
              <w:rPr>
                <w:rFonts w:hint="eastAsia"/>
              </w:rPr>
              <w:t>12、★支持与现有交换机实现联动，进行综合防护。</w:t>
            </w:r>
          </w:p>
          <w:p w14:paraId="3648FAB7">
            <w:pPr>
              <w:rPr>
                <w:rFonts w:hint="eastAsia"/>
              </w:rPr>
            </w:pPr>
            <w:r>
              <w:rPr>
                <w:rFonts w:hint="eastAsia"/>
              </w:rPr>
              <w:t>13、实现国产化终端和Windows终端的统一管理，统一策略。</w:t>
            </w:r>
          </w:p>
          <w:p w14:paraId="75D3389E">
            <w:pPr>
              <w:rPr>
                <w:rFonts w:ascii="宋体" w:hAnsi="宋体" w:eastAsia="宋体"/>
                <w:kern w:val="0"/>
                <w:szCs w:val="21"/>
              </w:rPr>
            </w:pPr>
            <w:r>
              <w:rPr>
                <w:rFonts w:hint="eastAsia"/>
              </w:rPr>
              <w:t>14、★包含90个Windows和10个国产操作系统PC端授权； 2个Windows Server端授权</w:t>
            </w:r>
          </w:p>
        </w:tc>
        <w:tc>
          <w:tcPr>
            <w:tcW w:w="1424" w:type="dxa"/>
            <w:shd w:val="clear" w:color="auto" w:fill="FFFFFF"/>
            <w:tcMar>
              <w:left w:w="108" w:type="dxa"/>
              <w:right w:w="108" w:type="dxa"/>
            </w:tcMar>
            <w:vAlign w:val="center"/>
          </w:tcPr>
          <w:p w14:paraId="6797A299">
            <w:pPr>
              <w:widowControl/>
              <w:jc w:val="center"/>
              <w:rPr>
                <w:rFonts w:ascii="宋体" w:hAnsi="宋体" w:eastAsia="宋体"/>
                <w:szCs w:val="21"/>
              </w:rPr>
            </w:pPr>
            <w:r>
              <w:rPr>
                <w:rFonts w:ascii="宋体" w:hAnsi="宋体" w:eastAsia="宋体"/>
                <w:szCs w:val="21"/>
              </w:rPr>
              <w:t>8800</w:t>
            </w:r>
          </w:p>
        </w:tc>
      </w:tr>
      <w:tr w14:paraId="5671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2530" w:type="dxa"/>
            <w:gridSpan w:val="3"/>
            <w:shd w:val="clear" w:color="auto" w:fill="FFFFFF"/>
            <w:vAlign w:val="center"/>
          </w:tcPr>
          <w:p w14:paraId="3C4308E7">
            <w:pPr>
              <w:spacing w:line="360" w:lineRule="exact"/>
              <w:jc w:val="center"/>
              <w:rPr>
                <w:rFonts w:ascii="宋体" w:hAnsi="宋体" w:eastAsia="宋体" w:cs="宋体"/>
                <w:szCs w:val="21"/>
              </w:rPr>
            </w:pPr>
            <w:r>
              <w:rPr>
                <w:rFonts w:hint="eastAsia" w:ascii="宋体" w:hAnsi="宋体" w:eastAsia="宋体" w:cs="宋体"/>
                <w:szCs w:val="21"/>
              </w:rPr>
              <w:t>分项最高限价</w:t>
            </w:r>
          </w:p>
          <w:p w14:paraId="6C60D75D">
            <w:pPr>
              <w:spacing w:line="360" w:lineRule="exact"/>
              <w:jc w:val="center"/>
              <w:rPr>
                <w:rFonts w:ascii="宋体" w:hAnsi="宋体" w:eastAsia="宋体" w:cs="宋体"/>
                <w:szCs w:val="21"/>
              </w:rPr>
            </w:pPr>
            <w:r>
              <w:rPr>
                <w:rFonts w:hint="eastAsia" w:ascii="宋体" w:hAnsi="宋体" w:eastAsia="宋体" w:cs="宋体"/>
                <w:szCs w:val="21"/>
              </w:rPr>
              <w:t>合计（元）</w:t>
            </w:r>
          </w:p>
        </w:tc>
        <w:tc>
          <w:tcPr>
            <w:tcW w:w="7244" w:type="dxa"/>
            <w:gridSpan w:val="2"/>
            <w:shd w:val="clear" w:color="auto" w:fill="FFFFFF"/>
            <w:tcMar>
              <w:left w:w="108" w:type="dxa"/>
              <w:right w:w="108" w:type="dxa"/>
            </w:tcMar>
            <w:vAlign w:val="center"/>
          </w:tcPr>
          <w:p w14:paraId="71C8C51F">
            <w:pPr>
              <w:spacing w:line="360" w:lineRule="exact"/>
              <w:rPr>
                <w:rFonts w:ascii="宋体" w:hAnsi="宋体" w:eastAsia="宋体"/>
              </w:rPr>
            </w:pPr>
            <w:r>
              <w:rPr>
                <w:rFonts w:hint="eastAsia" w:ascii="宋体" w:hAnsi="宋体" w:eastAsia="宋体"/>
              </w:rPr>
              <w:t>8800.00</w:t>
            </w:r>
          </w:p>
        </w:tc>
      </w:tr>
      <w:tr w14:paraId="43F0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2CF36B20">
            <w:pPr>
              <w:spacing w:line="360" w:lineRule="exact"/>
              <w:jc w:val="center"/>
              <w:rPr>
                <w:rFonts w:ascii="宋体" w:hAnsi="宋体" w:eastAsia="宋体" w:cs="宋体"/>
                <w:color w:val="000000"/>
                <w:szCs w:val="21"/>
              </w:rPr>
            </w:pPr>
            <w:bookmarkStart w:id="0" w:name="_GoBack"/>
            <w:r>
              <w:rPr>
                <w:rFonts w:hint="eastAsia" w:ascii="宋体" w:hAnsi="宋体" w:eastAsia="宋体" w:cs="宋体"/>
                <w:kern w:val="0"/>
              </w:rPr>
              <w:t>商务条款</w:t>
            </w:r>
            <w:bookmarkEnd w:id="0"/>
          </w:p>
        </w:tc>
        <w:tc>
          <w:tcPr>
            <w:tcW w:w="9224" w:type="dxa"/>
            <w:gridSpan w:val="4"/>
            <w:shd w:val="clear" w:color="auto" w:fill="FFFFFF"/>
            <w:tcMar>
              <w:left w:w="108" w:type="dxa"/>
              <w:right w:w="108" w:type="dxa"/>
            </w:tcMar>
            <w:vAlign w:val="center"/>
          </w:tcPr>
          <w:p w14:paraId="37402FF5">
            <w:pPr>
              <w:numPr>
                <w:ilvl w:val="0"/>
                <w:numId w:val="0"/>
              </w:numPr>
              <w:spacing w:line="360" w:lineRule="exact"/>
              <w:rPr>
                <w:rFonts w:ascii="宋体" w:hAnsi="宋体" w:eastAsia="宋体"/>
              </w:rPr>
            </w:pPr>
            <w:r>
              <w:rPr>
                <w:rFonts w:hint="eastAsia" w:ascii="宋体" w:hAnsi="宋体" w:eastAsia="宋体" w:cstheme="minorBidi"/>
                <w:kern w:val="2"/>
                <w:sz w:val="21"/>
                <w:szCs w:val="24"/>
                <w:lang w:val="en-US" w:eastAsia="zh-CN" w:bidi="ar-SA"/>
              </w:rPr>
              <w:t>一、</w:t>
            </w:r>
            <w:r>
              <w:rPr>
                <w:rFonts w:hint="eastAsia" w:ascii="宋体" w:hAnsi="宋体" w:eastAsia="宋体"/>
              </w:rPr>
              <w:t>合同签订日期：采购结果公告后</w:t>
            </w:r>
            <w:r>
              <w:rPr>
                <w:rFonts w:hint="eastAsia" w:ascii="宋体" w:hAnsi="宋体" w:eastAsia="宋体"/>
                <w:lang w:val="en-US" w:eastAsia="zh-CN"/>
              </w:rPr>
              <w:t>15</w:t>
            </w:r>
            <w:r>
              <w:rPr>
                <w:rFonts w:hint="eastAsia" w:ascii="宋体" w:hAnsi="宋体" w:eastAsia="宋体"/>
              </w:rPr>
              <w:t>个工作日内。</w:t>
            </w:r>
          </w:p>
          <w:p w14:paraId="48A07713">
            <w:pPr>
              <w:widowControl/>
              <w:shd w:val="clear" w:color="auto" w:fill="FFFFFF"/>
              <w:rPr>
                <w:rFonts w:ascii="宋体" w:hAnsi="宋体" w:eastAsia="宋体"/>
              </w:rPr>
            </w:pPr>
            <w:r>
              <w:rPr>
                <w:rFonts w:hint="eastAsia" w:ascii="宋体" w:hAnsi="宋体" w:eastAsia="宋体"/>
              </w:rPr>
              <w:t>二、交货期：自合同签订之日起</w:t>
            </w:r>
            <w:r>
              <w:rPr>
                <w:rFonts w:hint="eastAsia" w:ascii="宋体" w:hAnsi="宋体" w:eastAsia="宋体"/>
                <w:u w:val="single"/>
              </w:rPr>
              <w:t xml:space="preserve"> </w:t>
            </w:r>
            <w:r>
              <w:rPr>
                <w:rFonts w:hint="eastAsia" w:ascii="宋体" w:hAnsi="宋体" w:eastAsia="宋体"/>
                <w:u w:val="single"/>
                <w:lang w:val="en-US" w:eastAsia="zh-CN"/>
              </w:rPr>
              <w:t>10个</w:t>
            </w:r>
            <w:r>
              <w:rPr>
                <w:rFonts w:hint="eastAsia" w:ascii="宋体" w:hAnsi="宋体" w:eastAsia="宋体"/>
                <w:u w:val="none"/>
                <w:lang w:val="en-US" w:eastAsia="zh-CN"/>
              </w:rPr>
              <w:t>工作</w:t>
            </w:r>
            <w:r>
              <w:rPr>
                <w:rFonts w:hint="eastAsia" w:ascii="宋体" w:hAnsi="宋体" w:eastAsia="宋体"/>
              </w:rPr>
              <w:t>日内。</w:t>
            </w:r>
          </w:p>
          <w:p w14:paraId="0018C964">
            <w:pPr>
              <w:widowControl/>
              <w:shd w:val="clear" w:color="auto" w:fill="FFFFFF"/>
              <w:rPr>
                <w:rFonts w:ascii="宋体" w:hAnsi="宋体" w:eastAsia="宋体"/>
                <w:bCs/>
                <w:u w:val="single"/>
              </w:rPr>
            </w:pPr>
            <w:r>
              <w:rPr>
                <w:rFonts w:hint="eastAsia" w:ascii="宋体" w:hAnsi="宋体" w:eastAsia="宋体"/>
              </w:rPr>
              <w:t>三、交货地点：</w:t>
            </w:r>
            <w:r>
              <w:rPr>
                <w:rFonts w:hint="eastAsia" w:ascii="宋体" w:hAnsi="宋体" w:eastAsia="宋体"/>
                <w:bCs/>
                <w:u w:val="single"/>
              </w:rPr>
              <w:t xml:space="preserve">  南宁</w:t>
            </w:r>
            <w:r>
              <w:rPr>
                <w:rFonts w:ascii="宋体" w:hAnsi="宋体" w:eastAsia="宋体"/>
                <w:bCs/>
                <w:u w:val="single"/>
              </w:rPr>
              <w:t>中心</w:t>
            </w:r>
            <w:r>
              <w:rPr>
                <w:rFonts w:hint="eastAsia" w:ascii="宋体" w:hAnsi="宋体" w:eastAsia="宋体"/>
                <w:bCs/>
                <w:u w:val="single"/>
              </w:rPr>
              <w:t>血站</w:t>
            </w:r>
            <w:r>
              <w:rPr>
                <w:rFonts w:hint="eastAsia" w:ascii="宋体" w:hAnsi="宋体" w:eastAsia="宋体"/>
                <w:bCs/>
                <w:u w:val="single"/>
                <w:lang w:val="en-US" w:eastAsia="zh-CN"/>
              </w:rPr>
              <w:t>指定地点</w:t>
            </w:r>
            <w:r>
              <w:rPr>
                <w:rFonts w:hint="eastAsia" w:ascii="宋体" w:hAnsi="宋体" w:eastAsia="宋体"/>
                <w:bCs/>
                <w:u w:val="single"/>
              </w:rPr>
              <w:t xml:space="preserve">  </w:t>
            </w:r>
          </w:p>
          <w:p w14:paraId="0C9A87C1">
            <w:pPr>
              <w:widowControl/>
              <w:shd w:val="clear" w:color="auto" w:fill="FFFFFF"/>
              <w:rPr>
                <w:rFonts w:ascii="宋体" w:hAnsi="宋体" w:eastAsia="宋体"/>
                <w:sz w:val="24"/>
              </w:rPr>
            </w:pPr>
            <w:r>
              <w:rPr>
                <w:rFonts w:hint="eastAsia" w:ascii="宋体" w:hAnsi="宋体" w:eastAsia="宋体"/>
                <w:bCs/>
              </w:rPr>
              <w:t>四、交货方式：现场交货</w:t>
            </w:r>
          </w:p>
          <w:p w14:paraId="1F840989">
            <w:pPr>
              <w:spacing w:line="340" w:lineRule="exact"/>
              <w:ind w:left="2" w:right="-17" w:rightChars="-8"/>
              <w:rPr>
                <w:rFonts w:ascii="宋体" w:hAnsi="宋体" w:eastAsia="宋体"/>
                <w:szCs w:val="21"/>
              </w:rPr>
            </w:pPr>
            <w:r>
              <w:rPr>
                <w:rFonts w:hint="eastAsia" w:ascii="宋体" w:hAnsi="宋体" w:eastAsia="宋体"/>
                <w:szCs w:val="21"/>
                <w:lang w:val="en-US" w:eastAsia="zh-CN"/>
              </w:rPr>
              <w:t>五</w:t>
            </w:r>
            <w:r>
              <w:rPr>
                <w:rFonts w:hint="eastAsia" w:ascii="宋体" w:hAnsi="宋体" w:eastAsia="宋体"/>
                <w:szCs w:val="21"/>
              </w:rPr>
              <w:t>、其他要求：</w:t>
            </w:r>
          </w:p>
          <w:p w14:paraId="363EAC20">
            <w:pPr>
              <w:spacing w:line="420" w:lineRule="exact"/>
              <w:rPr>
                <w:rFonts w:ascii="宋体" w:hAnsi="宋体" w:eastAsia="宋体"/>
                <w:szCs w:val="21"/>
              </w:rPr>
            </w:pPr>
            <w:r>
              <w:rPr>
                <w:rFonts w:hint="eastAsia" w:ascii="宋体" w:hAnsi="宋体" w:eastAsia="宋体"/>
                <w:szCs w:val="21"/>
              </w:rPr>
              <w:t>1、报价为采购人指定地点的现场交货价，包括：</w:t>
            </w:r>
          </w:p>
          <w:p w14:paraId="3387806C">
            <w:pPr>
              <w:spacing w:line="420" w:lineRule="exact"/>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软件</w:t>
            </w:r>
            <w:r>
              <w:rPr>
                <w:rFonts w:hint="eastAsia" w:ascii="宋体" w:hAnsi="宋体" w:eastAsia="宋体"/>
                <w:szCs w:val="21"/>
              </w:rPr>
              <w:t>的价格；</w:t>
            </w:r>
          </w:p>
          <w:p w14:paraId="2A6F681C">
            <w:pPr>
              <w:spacing w:line="420" w:lineRule="exact"/>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val="en-US" w:eastAsia="zh-CN"/>
              </w:rPr>
              <w:t>安装</w:t>
            </w:r>
            <w:r>
              <w:rPr>
                <w:rFonts w:hint="eastAsia" w:ascii="宋体" w:hAnsi="宋体" w:eastAsia="宋体"/>
                <w:szCs w:val="21"/>
              </w:rPr>
              <w:t>、调试、培训、技术支持、售后服务等费用；</w:t>
            </w:r>
          </w:p>
          <w:p w14:paraId="3A414409">
            <w:pPr>
              <w:spacing w:line="420" w:lineRule="exact"/>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）必要的保险费用和各项税费</w:t>
            </w:r>
            <w:r>
              <w:rPr>
                <w:rFonts w:hint="eastAsia" w:ascii="宋体" w:hAnsi="宋体" w:eastAsia="宋体"/>
                <w:szCs w:val="21"/>
                <w:lang w:val="en-US" w:eastAsia="zh-CN"/>
              </w:rPr>
              <w:t>等。</w:t>
            </w:r>
          </w:p>
          <w:p w14:paraId="7A459D9A">
            <w:pPr>
              <w:spacing w:line="420" w:lineRule="exact"/>
              <w:rPr>
                <w:rFonts w:ascii="宋体" w:hAnsi="宋体" w:eastAsia="宋体" w:cs="宋体"/>
                <w:color w:val="000000"/>
                <w:szCs w:val="21"/>
              </w:rPr>
            </w:pPr>
            <w:r>
              <w:rPr>
                <w:rFonts w:hint="eastAsia" w:ascii="宋体" w:hAnsi="宋体" w:eastAsia="宋体"/>
                <w:szCs w:val="21"/>
              </w:rPr>
              <w:t>2、付款方式：本项目无预付款，供应商交货</w:t>
            </w:r>
            <w:r>
              <w:rPr>
                <w:rFonts w:hint="eastAsia" w:ascii="宋体" w:hAnsi="宋体" w:eastAsia="宋体"/>
                <w:szCs w:val="21"/>
                <w:lang w:val="en-US" w:eastAsia="zh-CN"/>
              </w:rPr>
              <w:t>安装调试</w:t>
            </w:r>
            <w:r>
              <w:rPr>
                <w:rFonts w:hint="eastAsia" w:ascii="宋体" w:hAnsi="宋体" w:eastAsia="宋体"/>
                <w:szCs w:val="21"/>
              </w:rPr>
              <w:t>完毕</w:t>
            </w:r>
            <w:r>
              <w:rPr>
                <w:rFonts w:hint="eastAsia" w:ascii="宋体" w:hAnsi="宋体" w:eastAsia="宋体"/>
                <w:szCs w:val="21"/>
                <w:lang w:eastAsia="zh-CN"/>
              </w:rPr>
              <w:t>、</w:t>
            </w:r>
            <w:r>
              <w:rPr>
                <w:rFonts w:hint="eastAsia" w:ascii="宋体" w:hAnsi="宋体" w:eastAsia="宋体"/>
                <w:szCs w:val="21"/>
              </w:rPr>
              <w:t>验收合格</w:t>
            </w:r>
            <w:r>
              <w:rPr>
                <w:rFonts w:hint="eastAsia" w:ascii="宋体" w:hAnsi="宋体" w:eastAsia="宋体"/>
                <w:szCs w:val="21"/>
                <w:lang w:val="en-US" w:eastAsia="zh-CN"/>
              </w:rPr>
              <w:t>并收到成交供应商开具的对应金额的增值税普通发票后</w:t>
            </w:r>
            <w:r>
              <w:rPr>
                <w:rFonts w:hint="eastAsia" w:ascii="宋体" w:hAnsi="宋体" w:eastAsia="宋体"/>
                <w:szCs w:val="21"/>
              </w:rPr>
              <w:t>，一次性支付合同款。</w:t>
            </w:r>
          </w:p>
        </w:tc>
      </w:tr>
    </w:tbl>
    <w:p w14:paraId="26D0F7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WI4NDMyYWM1NTVmYTViNTkyNDAxYTQ4NmE5OGEifQ=="/>
  </w:docVars>
  <w:rsids>
    <w:rsidRoot w:val="0BD6465E"/>
    <w:rsid w:val="079805FC"/>
    <w:rsid w:val="0BD6465E"/>
    <w:rsid w:val="170F118F"/>
    <w:rsid w:val="25B61F3B"/>
    <w:rsid w:val="3EA61188"/>
    <w:rsid w:val="4A75724D"/>
    <w:rsid w:val="4F6544A4"/>
    <w:rsid w:val="53274965"/>
    <w:rsid w:val="53A2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
    <w:name w:val="normalpara"/>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1620</Words>
  <Characters>1728</Characters>
  <Lines>0</Lines>
  <Paragraphs>0</Paragraphs>
  <TotalTime>8</TotalTime>
  <ScaleCrop>false</ScaleCrop>
  <LinksUpToDate>false</LinksUpToDate>
  <CharactersWithSpaces>1742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2024-04-22T07:53:00Z</dcterms:created>
  <dc:creator>WPS</dc:creator>
  <cp:lastModifiedBy>WPS</cp:lastModifiedBy>
  <dcterms:modified xsi:type="dcterms:W3CDTF">2025-04-21T09:13:19Z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CE9B7807352546FE8E1579B2E67EA692_11</vt:lpwstr>
  </property>
  <property fmtid="{D5CDD505-2E9C-101B-9397-08002B2CF9AE}" pid="4" name="KSOTemplateDocerSaveRecord">
    <vt:lpwstr>eyJoZGlkIjoiMWIyYzljODkwM2JhNTJiZTQzNDFiMTBjYjk5MmJhYmQiLCJ1c2VySWQiOiIyMjY4OTY5MDYifQ==</vt:lpwstr>
  </property>
</Properties>
</file>