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宋体" w:hAnsi="宋体"/>
          <w:b/>
          <w:sz w:val="44"/>
          <w:szCs w:val="44"/>
        </w:rPr>
      </w:pPr>
      <w:r>
        <w:rPr>
          <w:rFonts w:hint="eastAsia" w:ascii="宋体" w:hAnsi="宋体"/>
          <w:b/>
          <w:sz w:val="44"/>
          <w:szCs w:val="44"/>
        </w:rPr>
        <w:t>南宁市森林公安局202</w:t>
      </w:r>
      <w:r>
        <w:rPr>
          <w:rFonts w:hint="eastAsia" w:ascii="宋体" w:hAnsi="宋体"/>
          <w:b/>
          <w:sz w:val="44"/>
          <w:szCs w:val="44"/>
          <w:lang w:val="en-US" w:eastAsia="zh-CN"/>
        </w:rPr>
        <w:t>4</w:t>
      </w:r>
      <w:r>
        <w:rPr>
          <w:rFonts w:hint="eastAsia" w:ascii="宋体" w:hAnsi="宋体"/>
          <w:b/>
          <w:sz w:val="44"/>
          <w:szCs w:val="44"/>
        </w:rPr>
        <w:t>年采购招标需求</w:t>
      </w:r>
    </w:p>
    <w:p>
      <w:pPr>
        <w:pStyle w:val="5"/>
      </w:pPr>
    </w:p>
    <w:tbl>
      <w:tblPr>
        <w:tblStyle w:val="9"/>
        <w:tblW w:w="9264" w:type="dxa"/>
        <w:tblInd w:w="-810" w:type="dxa"/>
        <w:tblLayout w:type="fixed"/>
        <w:tblCellMar>
          <w:top w:w="0" w:type="dxa"/>
          <w:left w:w="108" w:type="dxa"/>
          <w:bottom w:w="0" w:type="dxa"/>
          <w:right w:w="108" w:type="dxa"/>
        </w:tblCellMar>
      </w:tblPr>
      <w:tblGrid>
        <w:gridCol w:w="1060"/>
        <w:gridCol w:w="753"/>
        <w:gridCol w:w="6338"/>
        <w:gridCol w:w="1113"/>
      </w:tblGrid>
      <w:tr>
        <w:tblPrEx>
          <w:tblLayout w:type="fixed"/>
          <w:tblCellMar>
            <w:top w:w="0" w:type="dxa"/>
            <w:left w:w="108" w:type="dxa"/>
            <w:bottom w:w="0" w:type="dxa"/>
            <w:right w:w="108" w:type="dxa"/>
          </w:tblCellMar>
        </w:tblPrEx>
        <w:trPr>
          <w:trHeight w:val="468" w:hRule="atLeast"/>
        </w:trPr>
        <w:tc>
          <w:tcPr>
            <w:tcW w:w="1060" w:type="dxa"/>
            <w:vMerge w:val="restart"/>
            <w:tcBorders>
              <w:top w:val="single" w:color="auto" w:sz="8" w:space="0"/>
              <w:left w:val="single" w:color="auto" w:sz="8" w:space="0"/>
              <w:bottom w:val="single" w:color="000000" w:sz="8" w:space="0"/>
              <w:right w:val="single" w:color="auto" w:sz="8" w:space="0"/>
            </w:tcBorders>
            <w:noWrap w:val="0"/>
            <w:vAlign w:val="center"/>
          </w:tcPr>
          <w:p>
            <w:pPr>
              <w:spacing w:line="360" w:lineRule="auto"/>
              <w:jc w:val="center"/>
              <w:rPr>
                <w:rFonts w:ascii="宋体" w:hAnsi="宋体"/>
                <w:b/>
                <w:bCs/>
              </w:rPr>
            </w:pPr>
            <w:r>
              <w:rPr>
                <w:rFonts w:hint="eastAsia" w:ascii="宋体" w:hAnsi="宋体"/>
                <w:b/>
                <w:bCs/>
              </w:rPr>
              <w:t>服务名称</w:t>
            </w:r>
          </w:p>
        </w:tc>
        <w:tc>
          <w:tcPr>
            <w:tcW w:w="753" w:type="dxa"/>
            <w:vMerge w:val="restart"/>
            <w:tcBorders>
              <w:top w:val="single" w:color="auto" w:sz="8" w:space="0"/>
              <w:left w:val="single" w:color="auto" w:sz="8" w:space="0"/>
              <w:bottom w:val="single" w:color="000000" w:sz="8" w:space="0"/>
              <w:right w:val="single" w:color="auto" w:sz="8" w:space="0"/>
            </w:tcBorders>
            <w:noWrap w:val="0"/>
            <w:vAlign w:val="center"/>
          </w:tcPr>
          <w:p>
            <w:pPr>
              <w:spacing w:line="360" w:lineRule="auto"/>
              <w:jc w:val="center"/>
              <w:rPr>
                <w:rFonts w:ascii="宋体" w:hAnsi="宋体"/>
                <w:b/>
                <w:bCs/>
              </w:rPr>
            </w:pPr>
            <w:r>
              <w:rPr>
                <w:rFonts w:hint="eastAsia" w:ascii="宋体" w:hAnsi="宋体"/>
                <w:b/>
                <w:bCs/>
              </w:rPr>
              <w:t>数量</w:t>
            </w:r>
          </w:p>
        </w:tc>
        <w:tc>
          <w:tcPr>
            <w:tcW w:w="6338" w:type="dxa"/>
            <w:vMerge w:val="restart"/>
            <w:tcBorders>
              <w:top w:val="single" w:color="auto" w:sz="8" w:space="0"/>
              <w:left w:val="single" w:color="auto" w:sz="8" w:space="0"/>
              <w:bottom w:val="single" w:color="000000" w:sz="8" w:space="0"/>
              <w:right w:val="single" w:color="auto" w:sz="8" w:space="0"/>
            </w:tcBorders>
            <w:noWrap w:val="0"/>
            <w:vAlign w:val="center"/>
          </w:tcPr>
          <w:p>
            <w:pPr>
              <w:spacing w:line="360" w:lineRule="auto"/>
              <w:jc w:val="center"/>
              <w:rPr>
                <w:rFonts w:ascii="宋体" w:hAnsi="宋体"/>
                <w:b/>
                <w:bCs/>
              </w:rPr>
            </w:pPr>
            <w:r>
              <w:rPr>
                <w:rFonts w:hint="eastAsia" w:ascii="宋体" w:hAnsi="宋体"/>
                <w:b/>
                <w:bCs/>
              </w:rPr>
              <w:t>技术参数要求</w:t>
            </w:r>
          </w:p>
        </w:tc>
        <w:tc>
          <w:tcPr>
            <w:tcW w:w="1113" w:type="dxa"/>
            <w:vMerge w:val="restart"/>
            <w:tcBorders>
              <w:top w:val="single" w:color="auto" w:sz="8" w:space="0"/>
              <w:left w:val="single" w:color="auto" w:sz="8" w:space="0"/>
              <w:bottom w:val="single" w:color="000000" w:sz="8" w:space="0"/>
              <w:right w:val="single" w:color="auto" w:sz="8" w:space="0"/>
            </w:tcBorders>
            <w:noWrap w:val="0"/>
            <w:vAlign w:val="center"/>
          </w:tcPr>
          <w:p>
            <w:pPr>
              <w:spacing w:line="360" w:lineRule="auto"/>
              <w:jc w:val="center"/>
              <w:rPr>
                <w:rFonts w:ascii="宋体" w:hAnsi="宋体"/>
                <w:b/>
                <w:bCs/>
              </w:rPr>
            </w:pPr>
            <w:r>
              <w:rPr>
                <w:rFonts w:hint="eastAsia" w:ascii="宋体" w:hAnsi="宋体"/>
                <w:b/>
                <w:bCs/>
              </w:rPr>
              <w:t>分项最高限价（元）</w:t>
            </w:r>
          </w:p>
        </w:tc>
      </w:tr>
      <w:tr>
        <w:tblPrEx>
          <w:tblLayout w:type="fixed"/>
          <w:tblCellMar>
            <w:top w:w="0" w:type="dxa"/>
            <w:left w:w="108" w:type="dxa"/>
            <w:bottom w:w="0" w:type="dxa"/>
            <w:right w:w="108" w:type="dxa"/>
          </w:tblCellMar>
        </w:tblPrEx>
        <w:trPr>
          <w:trHeight w:val="468" w:hRule="atLeast"/>
        </w:trPr>
        <w:tc>
          <w:tcPr>
            <w:tcW w:w="1060"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360" w:lineRule="auto"/>
              <w:jc w:val="left"/>
              <w:rPr>
                <w:rFonts w:ascii="宋体" w:hAnsi="宋体"/>
                <w:b/>
                <w:bCs/>
              </w:rPr>
            </w:pPr>
          </w:p>
        </w:tc>
        <w:tc>
          <w:tcPr>
            <w:tcW w:w="753"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360" w:lineRule="auto"/>
              <w:jc w:val="left"/>
              <w:rPr>
                <w:rFonts w:ascii="宋体" w:hAnsi="宋体"/>
                <w:b/>
                <w:bCs/>
              </w:rPr>
            </w:pPr>
          </w:p>
        </w:tc>
        <w:tc>
          <w:tcPr>
            <w:tcW w:w="6338"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360" w:lineRule="auto"/>
              <w:jc w:val="left"/>
              <w:rPr>
                <w:rFonts w:ascii="宋体" w:hAnsi="宋体"/>
                <w:b/>
                <w:bCs/>
              </w:rPr>
            </w:pPr>
          </w:p>
        </w:tc>
        <w:tc>
          <w:tcPr>
            <w:tcW w:w="1113"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360" w:lineRule="auto"/>
              <w:jc w:val="center"/>
              <w:rPr>
                <w:rFonts w:ascii="宋体" w:hAnsi="宋体"/>
                <w:b/>
                <w:bCs/>
              </w:rPr>
            </w:pPr>
          </w:p>
        </w:tc>
      </w:tr>
      <w:tr>
        <w:tblPrEx>
          <w:tblLayout w:type="fixed"/>
          <w:tblCellMar>
            <w:top w:w="0" w:type="dxa"/>
            <w:left w:w="108" w:type="dxa"/>
            <w:bottom w:w="0" w:type="dxa"/>
            <w:right w:w="108" w:type="dxa"/>
          </w:tblCellMar>
        </w:tblPrEx>
        <w:tc>
          <w:tcPr>
            <w:tcW w:w="1060"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left"/>
              <w:rPr>
                <w:rFonts w:hint="eastAsia" w:ascii="宋体" w:hAnsi="宋体" w:eastAsia="宋体"/>
                <w:lang w:val="en-US" w:eastAsia="zh-CN"/>
              </w:rPr>
            </w:pPr>
            <w:r>
              <w:rPr>
                <w:rFonts w:hint="eastAsia" w:ascii="宋体" w:hAnsi="宋体"/>
              </w:rPr>
              <w:t>互联网光纤租赁</w:t>
            </w:r>
            <w:r>
              <w:rPr>
                <w:rFonts w:hint="eastAsia" w:ascii="宋体" w:hAnsi="宋体"/>
                <w:lang w:val="en-US" w:eastAsia="zh-CN"/>
              </w:rPr>
              <w:t>服务</w:t>
            </w:r>
          </w:p>
        </w:tc>
        <w:tc>
          <w:tcPr>
            <w:tcW w:w="753"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r>
              <w:rPr>
                <w:rFonts w:hint="eastAsia" w:ascii="宋体" w:hAnsi="宋体"/>
              </w:rPr>
              <w:t>7条</w:t>
            </w:r>
          </w:p>
        </w:tc>
        <w:tc>
          <w:tcPr>
            <w:tcW w:w="6338" w:type="dxa"/>
            <w:tcBorders>
              <w:top w:val="nil"/>
              <w:left w:val="nil"/>
              <w:bottom w:val="nil"/>
              <w:right w:val="single" w:color="auto" w:sz="8" w:space="0"/>
            </w:tcBorders>
            <w:noWrap w:val="0"/>
            <w:vAlign w:val="center"/>
          </w:tcPr>
          <w:p>
            <w:pPr>
              <w:spacing w:line="360" w:lineRule="auto"/>
              <w:jc w:val="left"/>
              <w:rPr>
                <w:rFonts w:ascii="宋体" w:hAnsi="宋体"/>
                <w:b/>
                <w:bCs/>
              </w:rPr>
            </w:pPr>
            <w:r>
              <w:rPr>
                <w:rFonts w:hint="eastAsia" w:ascii="宋体" w:hAnsi="宋体"/>
                <w:b/>
                <w:bCs/>
              </w:rPr>
              <w:t>★一、服务内容：</w:t>
            </w:r>
          </w:p>
        </w:tc>
        <w:tc>
          <w:tcPr>
            <w:tcW w:w="1113"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rPr>
            </w:pPr>
            <w:r>
              <w:rPr>
                <w:rFonts w:hint="eastAsia" w:ascii="宋体" w:hAnsi="宋体"/>
              </w:rPr>
              <w:t>82000.00</w:t>
            </w:r>
          </w:p>
        </w:tc>
      </w:tr>
      <w:tr>
        <w:tblPrEx>
          <w:tblLayout w:type="fixed"/>
          <w:tblCellMar>
            <w:top w:w="0" w:type="dxa"/>
            <w:left w:w="108" w:type="dxa"/>
            <w:bottom w:w="0" w:type="dxa"/>
            <w:right w:w="108" w:type="dxa"/>
          </w:tblCellMar>
        </w:tblPrEx>
        <w:tc>
          <w:tcPr>
            <w:tcW w:w="106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75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6338" w:type="dxa"/>
            <w:tcBorders>
              <w:top w:val="nil"/>
              <w:left w:val="nil"/>
              <w:bottom w:val="nil"/>
              <w:right w:val="single" w:color="auto" w:sz="8" w:space="0"/>
            </w:tcBorders>
            <w:noWrap w:val="0"/>
            <w:vAlign w:val="center"/>
          </w:tcPr>
          <w:p>
            <w:pPr>
              <w:spacing w:line="360" w:lineRule="auto"/>
              <w:jc w:val="left"/>
              <w:rPr>
                <w:rFonts w:ascii="宋体" w:hAnsi="宋体"/>
              </w:rPr>
            </w:pPr>
            <w:r>
              <w:rPr>
                <w:rFonts w:hint="eastAsia" w:ascii="宋体" w:hAnsi="宋体"/>
              </w:rPr>
              <w:t>本次服务采购要求对南宁市森林公安局</w:t>
            </w:r>
            <w:r>
              <w:rPr>
                <w:rFonts w:ascii="宋体" w:hAnsi="宋体"/>
              </w:rPr>
              <w:t>7</w:t>
            </w:r>
            <w:r>
              <w:rPr>
                <w:rFonts w:hint="eastAsia" w:ascii="宋体" w:hAnsi="宋体"/>
              </w:rPr>
              <w:t>个办公点提供互联网专线接入服务，共提供7条互联网专线，各网点具体需求及带宽如下：</w:t>
            </w:r>
          </w:p>
        </w:tc>
        <w:tc>
          <w:tcPr>
            <w:tcW w:w="111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c>
          <w:tcPr>
            <w:tcW w:w="106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75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6338" w:type="dxa"/>
            <w:tcBorders>
              <w:top w:val="nil"/>
              <w:left w:val="nil"/>
              <w:bottom w:val="nil"/>
              <w:right w:val="single" w:color="auto" w:sz="8" w:space="0"/>
            </w:tcBorders>
            <w:noWrap w:val="0"/>
            <w:vAlign w:val="center"/>
          </w:tcPr>
          <w:p>
            <w:pPr>
              <w:spacing w:line="360" w:lineRule="auto"/>
              <w:jc w:val="left"/>
              <w:rPr>
                <w:rFonts w:ascii="宋体" w:hAnsi="宋体"/>
              </w:rPr>
            </w:pPr>
            <w:r>
              <w:rPr>
                <w:rFonts w:ascii="宋体" w:hAnsi="宋体"/>
              </w:rPr>
              <w:t>1</w:t>
            </w:r>
            <w:r>
              <w:rPr>
                <w:rFonts w:hint="eastAsia" w:ascii="宋体" w:hAnsi="宋体"/>
              </w:rPr>
              <w:t>、南宁市森林公安局</w:t>
            </w:r>
            <w:r>
              <w:rPr>
                <w:rFonts w:ascii="宋体" w:hAnsi="宋体"/>
              </w:rPr>
              <w:t xml:space="preserve">              </w:t>
            </w:r>
            <w:r>
              <w:rPr>
                <w:rFonts w:hint="eastAsia" w:ascii="宋体" w:hAnsi="宋体"/>
                <w:lang w:val="en-US" w:eastAsia="zh-CN"/>
              </w:rPr>
              <w:t>3</w:t>
            </w:r>
            <w:r>
              <w:rPr>
                <w:rFonts w:hint="eastAsia" w:ascii="宋体" w:hAnsi="宋体"/>
              </w:rPr>
              <w:t>00M</w:t>
            </w:r>
          </w:p>
        </w:tc>
        <w:tc>
          <w:tcPr>
            <w:tcW w:w="111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c>
          <w:tcPr>
            <w:tcW w:w="106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75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6338" w:type="dxa"/>
            <w:tcBorders>
              <w:top w:val="nil"/>
              <w:left w:val="nil"/>
              <w:bottom w:val="nil"/>
              <w:right w:val="single" w:color="auto" w:sz="8" w:space="0"/>
            </w:tcBorders>
            <w:noWrap w:val="0"/>
            <w:vAlign w:val="center"/>
          </w:tcPr>
          <w:p>
            <w:pPr>
              <w:spacing w:line="360" w:lineRule="auto"/>
              <w:jc w:val="left"/>
              <w:rPr>
                <w:rFonts w:ascii="宋体" w:hAnsi="宋体"/>
              </w:rPr>
            </w:pPr>
            <w:r>
              <w:rPr>
                <w:rFonts w:ascii="宋体" w:hAnsi="宋体"/>
              </w:rPr>
              <w:t>2</w:t>
            </w:r>
            <w:r>
              <w:rPr>
                <w:rFonts w:hint="eastAsia" w:ascii="宋体" w:hAnsi="宋体"/>
              </w:rPr>
              <w:t>、南宁市森林公安局一大队</w:t>
            </w:r>
            <w:r>
              <w:rPr>
                <w:rFonts w:ascii="宋体" w:hAnsi="宋体"/>
              </w:rPr>
              <w:t xml:space="preserve">     </w:t>
            </w:r>
            <w:r>
              <w:rPr>
                <w:rFonts w:hint="eastAsia" w:ascii="宋体" w:hAnsi="宋体"/>
              </w:rPr>
              <w:t xml:space="preserve">  </w:t>
            </w:r>
            <w:r>
              <w:rPr>
                <w:rFonts w:hint="eastAsia" w:ascii="宋体" w:hAnsi="宋体"/>
                <w:lang w:val="en-US" w:eastAsia="zh-CN"/>
              </w:rPr>
              <w:t>150</w:t>
            </w:r>
            <w:r>
              <w:rPr>
                <w:rFonts w:hint="eastAsia" w:ascii="宋体" w:hAnsi="宋体"/>
              </w:rPr>
              <w:t>M</w:t>
            </w:r>
          </w:p>
        </w:tc>
        <w:tc>
          <w:tcPr>
            <w:tcW w:w="111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c>
          <w:tcPr>
            <w:tcW w:w="106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75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6338" w:type="dxa"/>
            <w:tcBorders>
              <w:top w:val="nil"/>
              <w:left w:val="nil"/>
              <w:bottom w:val="nil"/>
              <w:right w:val="single" w:color="auto" w:sz="8" w:space="0"/>
            </w:tcBorders>
            <w:noWrap w:val="0"/>
            <w:vAlign w:val="center"/>
          </w:tcPr>
          <w:p>
            <w:pPr>
              <w:spacing w:line="360" w:lineRule="auto"/>
              <w:jc w:val="left"/>
              <w:rPr>
                <w:rFonts w:ascii="宋体" w:hAnsi="宋体"/>
              </w:rPr>
            </w:pPr>
            <w:r>
              <w:rPr>
                <w:rFonts w:ascii="宋体" w:hAnsi="宋体"/>
              </w:rPr>
              <w:t>3</w:t>
            </w:r>
            <w:r>
              <w:rPr>
                <w:rFonts w:hint="eastAsia" w:ascii="宋体" w:hAnsi="宋体"/>
              </w:rPr>
              <w:t>、南宁市森林公安局二大队</w:t>
            </w:r>
            <w:r>
              <w:rPr>
                <w:rFonts w:ascii="宋体" w:hAnsi="宋体"/>
              </w:rPr>
              <w:t xml:space="preserve">     </w:t>
            </w:r>
            <w:r>
              <w:rPr>
                <w:rFonts w:hint="eastAsia" w:ascii="宋体" w:hAnsi="宋体"/>
              </w:rPr>
              <w:t xml:space="preserve">  </w:t>
            </w:r>
            <w:r>
              <w:rPr>
                <w:rFonts w:hint="eastAsia" w:ascii="宋体" w:hAnsi="宋体"/>
                <w:lang w:val="en-US" w:eastAsia="zh-CN"/>
              </w:rPr>
              <w:t>150</w:t>
            </w:r>
            <w:r>
              <w:rPr>
                <w:rFonts w:hint="eastAsia" w:ascii="宋体" w:hAnsi="宋体"/>
              </w:rPr>
              <w:t>M</w:t>
            </w:r>
          </w:p>
        </w:tc>
        <w:tc>
          <w:tcPr>
            <w:tcW w:w="111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c>
          <w:tcPr>
            <w:tcW w:w="106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75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6338" w:type="dxa"/>
            <w:tcBorders>
              <w:top w:val="nil"/>
              <w:left w:val="nil"/>
              <w:bottom w:val="nil"/>
              <w:right w:val="single" w:color="auto" w:sz="8" w:space="0"/>
            </w:tcBorders>
            <w:noWrap w:val="0"/>
            <w:vAlign w:val="center"/>
          </w:tcPr>
          <w:p>
            <w:pPr>
              <w:spacing w:line="360" w:lineRule="auto"/>
              <w:jc w:val="left"/>
              <w:rPr>
                <w:rFonts w:ascii="宋体" w:hAnsi="宋体"/>
              </w:rPr>
            </w:pPr>
            <w:r>
              <w:rPr>
                <w:rFonts w:ascii="宋体" w:hAnsi="宋体"/>
              </w:rPr>
              <w:t>4</w:t>
            </w:r>
            <w:r>
              <w:rPr>
                <w:rFonts w:hint="eastAsia" w:ascii="宋体" w:hAnsi="宋体"/>
              </w:rPr>
              <w:t>、南宁市森林公安局三大队</w:t>
            </w:r>
            <w:r>
              <w:rPr>
                <w:rFonts w:ascii="宋体" w:hAnsi="宋体"/>
              </w:rPr>
              <w:t xml:space="preserve">        </w:t>
            </w:r>
            <w:r>
              <w:rPr>
                <w:rFonts w:hint="eastAsia" w:ascii="宋体" w:hAnsi="宋体"/>
                <w:lang w:val="en-US" w:eastAsia="zh-CN"/>
              </w:rPr>
              <w:t>150</w:t>
            </w:r>
            <w:r>
              <w:rPr>
                <w:rFonts w:hint="eastAsia" w:ascii="宋体" w:hAnsi="宋体"/>
              </w:rPr>
              <w:t>M</w:t>
            </w:r>
          </w:p>
        </w:tc>
        <w:tc>
          <w:tcPr>
            <w:tcW w:w="111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c>
          <w:tcPr>
            <w:tcW w:w="106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75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6338" w:type="dxa"/>
            <w:tcBorders>
              <w:top w:val="nil"/>
              <w:left w:val="nil"/>
              <w:bottom w:val="nil"/>
              <w:right w:val="single" w:color="auto" w:sz="8" w:space="0"/>
            </w:tcBorders>
            <w:noWrap w:val="0"/>
            <w:vAlign w:val="center"/>
          </w:tcPr>
          <w:p>
            <w:pPr>
              <w:spacing w:line="360" w:lineRule="auto"/>
              <w:jc w:val="left"/>
              <w:rPr>
                <w:rFonts w:ascii="宋体" w:hAnsi="宋体"/>
              </w:rPr>
            </w:pPr>
            <w:r>
              <w:rPr>
                <w:rFonts w:ascii="宋体" w:hAnsi="宋体"/>
              </w:rPr>
              <w:t>5</w:t>
            </w:r>
            <w:r>
              <w:rPr>
                <w:rFonts w:hint="eastAsia" w:ascii="宋体" w:hAnsi="宋体"/>
              </w:rPr>
              <w:t>、南宁市森林公安局四大队</w:t>
            </w:r>
            <w:r>
              <w:rPr>
                <w:rFonts w:ascii="宋体" w:hAnsi="宋体"/>
              </w:rPr>
              <w:t xml:space="preserve">      </w:t>
            </w:r>
            <w:r>
              <w:rPr>
                <w:rFonts w:hint="eastAsia" w:ascii="宋体" w:hAnsi="宋体"/>
                <w:lang w:val="en-US" w:eastAsia="zh-CN"/>
              </w:rPr>
              <w:t xml:space="preserve">   150</w:t>
            </w:r>
            <w:r>
              <w:rPr>
                <w:rFonts w:hint="eastAsia" w:ascii="宋体" w:hAnsi="宋体"/>
              </w:rPr>
              <w:t>M</w:t>
            </w:r>
          </w:p>
        </w:tc>
        <w:tc>
          <w:tcPr>
            <w:tcW w:w="111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c>
          <w:tcPr>
            <w:tcW w:w="106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75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6338" w:type="dxa"/>
            <w:tcBorders>
              <w:top w:val="nil"/>
              <w:left w:val="nil"/>
              <w:bottom w:val="nil"/>
              <w:right w:val="single" w:color="auto" w:sz="8" w:space="0"/>
            </w:tcBorders>
            <w:noWrap w:val="0"/>
            <w:vAlign w:val="center"/>
          </w:tcPr>
          <w:p>
            <w:pPr>
              <w:spacing w:line="360" w:lineRule="auto"/>
              <w:jc w:val="left"/>
              <w:rPr>
                <w:rFonts w:ascii="宋体" w:hAnsi="宋体"/>
              </w:rPr>
            </w:pPr>
            <w:r>
              <w:rPr>
                <w:rFonts w:ascii="宋体" w:hAnsi="宋体"/>
              </w:rPr>
              <w:t>6</w:t>
            </w:r>
            <w:r>
              <w:rPr>
                <w:rFonts w:hint="eastAsia" w:ascii="宋体" w:hAnsi="宋体"/>
              </w:rPr>
              <w:t>、南宁市森林公安局五大队</w:t>
            </w:r>
            <w:r>
              <w:rPr>
                <w:rFonts w:ascii="宋体" w:hAnsi="宋体"/>
              </w:rPr>
              <w:t xml:space="preserve">     </w:t>
            </w:r>
            <w:r>
              <w:rPr>
                <w:rFonts w:hint="eastAsia" w:ascii="宋体" w:hAnsi="宋体"/>
              </w:rPr>
              <w:t xml:space="preserve">   </w:t>
            </w:r>
            <w:r>
              <w:rPr>
                <w:rFonts w:hint="eastAsia" w:ascii="宋体" w:hAnsi="宋体"/>
                <w:lang w:val="en-US" w:eastAsia="zh-CN"/>
              </w:rPr>
              <w:t>150</w:t>
            </w:r>
            <w:r>
              <w:rPr>
                <w:rFonts w:hint="eastAsia" w:ascii="宋体" w:hAnsi="宋体"/>
              </w:rPr>
              <w:t>M</w:t>
            </w:r>
          </w:p>
        </w:tc>
        <w:tc>
          <w:tcPr>
            <w:tcW w:w="111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c>
          <w:tcPr>
            <w:tcW w:w="106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75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6338" w:type="dxa"/>
            <w:tcBorders>
              <w:top w:val="nil"/>
              <w:left w:val="nil"/>
              <w:bottom w:val="nil"/>
              <w:right w:val="single" w:color="auto" w:sz="8" w:space="0"/>
            </w:tcBorders>
            <w:noWrap w:val="0"/>
            <w:vAlign w:val="center"/>
          </w:tcPr>
          <w:p>
            <w:pPr>
              <w:spacing w:line="360" w:lineRule="auto"/>
              <w:jc w:val="left"/>
              <w:rPr>
                <w:rFonts w:ascii="宋体" w:hAnsi="宋体"/>
              </w:rPr>
            </w:pPr>
            <w:r>
              <w:rPr>
                <w:rFonts w:ascii="宋体" w:hAnsi="宋体"/>
              </w:rPr>
              <w:t>7</w:t>
            </w:r>
            <w:r>
              <w:rPr>
                <w:rFonts w:hint="eastAsia" w:ascii="宋体" w:hAnsi="宋体"/>
              </w:rPr>
              <w:t>、南宁市森林公安局六大队</w:t>
            </w:r>
            <w:r>
              <w:rPr>
                <w:rFonts w:ascii="宋体" w:hAnsi="宋体"/>
              </w:rPr>
              <w:t xml:space="preserve">     </w:t>
            </w:r>
            <w:r>
              <w:rPr>
                <w:rFonts w:hint="eastAsia" w:ascii="宋体" w:hAnsi="宋体"/>
              </w:rPr>
              <w:t xml:space="preserve">  </w:t>
            </w:r>
            <w:r>
              <w:rPr>
                <w:rFonts w:hint="eastAsia" w:ascii="宋体" w:hAnsi="宋体"/>
                <w:lang w:val="en-US" w:eastAsia="zh-CN"/>
              </w:rPr>
              <w:t>150</w:t>
            </w:r>
            <w:r>
              <w:rPr>
                <w:rFonts w:hint="eastAsia" w:ascii="宋体" w:hAnsi="宋体"/>
              </w:rPr>
              <w:t>M</w:t>
            </w:r>
          </w:p>
        </w:tc>
        <w:tc>
          <w:tcPr>
            <w:tcW w:w="111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c>
          <w:tcPr>
            <w:tcW w:w="106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75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6338" w:type="dxa"/>
            <w:tcBorders>
              <w:top w:val="nil"/>
              <w:left w:val="nil"/>
              <w:bottom w:val="nil"/>
              <w:right w:val="single" w:color="auto" w:sz="8" w:space="0"/>
            </w:tcBorders>
            <w:noWrap w:val="0"/>
            <w:vAlign w:val="center"/>
          </w:tcPr>
          <w:p>
            <w:pPr>
              <w:spacing w:line="360" w:lineRule="auto"/>
              <w:jc w:val="left"/>
              <w:rPr>
                <w:rFonts w:ascii="宋体" w:hAnsi="宋体"/>
                <w:b/>
                <w:bCs/>
              </w:rPr>
            </w:pPr>
            <w:r>
              <w:rPr>
                <w:rFonts w:hint="eastAsia" w:ascii="宋体" w:hAnsi="宋体"/>
                <w:b/>
                <w:bCs/>
              </w:rPr>
              <w:t>二、网络技术参数及服务要求</w:t>
            </w:r>
          </w:p>
        </w:tc>
        <w:tc>
          <w:tcPr>
            <w:tcW w:w="111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c>
          <w:tcPr>
            <w:tcW w:w="106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75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6338" w:type="dxa"/>
            <w:tcBorders>
              <w:top w:val="nil"/>
              <w:left w:val="nil"/>
              <w:bottom w:val="nil"/>
              <w:right w:val="single" w:color="auto" w:sz="8" w:space="0"/>
            </w:tcBorders>
            <w:noWrap w:val="0"/>
            <w:vAlign w:val="center"/>
          </w:tcPr>
          <w:p>
            <w:pPr>
              <w:spacing w:line="360" w:lineRule="auto"/>
              <w:jc w:val="left"/>
              <w:rPr>
                <w:rFonts w:ascii="宋体" w:hAnsi="宋体"/>
              </w:rPr>
            </w:pPr>
            <w:r>
              <w:rPr>
                <w:rFonts w:hint="eastAsia" w:ascii="宋体" w:hAnsi="宋体"/>
              </w:rPr>
              <w:t>★</w:t>
            </w:r>
            <w:r>
              <w:rPr>
                <w:rFonts w:ascii="宋体" w:hAnsi="宋体"/>
              </w:rPr>
              <w:t>1</w:t>
            </w:r>
            <w:r>
              <w:rPr>
                <w:rFonts w:hint="eastAsia" w:ascii="宋体" w:hAnsi="宋体"/>
              </w:rPr>
              <w:t>、网络承载能力：要求省级互联网出口带宽</w:t>
            </w:r>
            <w:r>
              <w:rPr>
                <w:rFonts w:ascii="宋体" w:hAnsi="宋体"/>
              </w:rPr>
              <w:t>1000G</w:t>
            </w:r>
            <w:r>
              <w:rPr>
                <w:rFonts w:hint="eastAsia" w:ascii="宋体" w:hAnsi="宋体"/>
              </w:rPr>
              <w:t>以上；</w:t>
            </w:r>
          </w:p>
        </w:tc>
        <w:tc>
          <w:tcPr>
            <w:tcW w:w="111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c>
          <w:tcPr>
            <w:tcW w:w="106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75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6338" w:type="dxa"/>
            <w:tcBorders>
              <w:top w:val="nil"/>
              <w:left w:val="nil"/>
              <w:bottom w:val="nil"/>
              <w:right w:val="single" w:color="auto" w:sz="8" w:space="0"/>
            </w:tcBorders>
            <w:noWrap w:val="0"/>
            <w:vAlign w:val="center"/>
          </w:tcPr>
          <w:p>
            <w:pPr>
              <w:spacing w:line="360" w:lineRule="auto"/>
              <w:jc w:val="left"/>
              <w:rPr>
                <w:rFonts w:ascii="宋体" w:hAnsi="宋体"/>
              </w:rPr>
            </w:pPr>
            <w:r>
              <w:rPr>
                <w:rFonts w:hint="eastAsia" w:ascii="宋体" w:hAnsi="宋体"/>
              </w:rPr>
              <w:t>★</w:t>
            </w:r>
            <w:r>
              <w:rPr>
                <w:rFonts w:ascii="宋体" w:hAnsi="宋体"/>
              </w:rPr>
              <w:t>2</w:t>
            </w:r>
            <w:r>
              <w:rPr>
                <w:rFonts w:hint="eastAsia" w:ascii="宋体" w:hAnsi="宋体"/>
              </w:rPr>
              <w:t>、互联网专线配套的光纤收发器等所有的光纤接入设备及配件由成交供应商提供；</w:t>
            </w:r>
          </w:p>
        </w:tc>
        <w:tc>
          <w:tcPr>
            <w:tcW w:w="111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c>
          <w:tcPr>
            <w:tcW w:w="106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75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6338" w:type="dxa"/>
            <w:tcBorders>
              <w:top w:val="nil"/>
              <w:left w:val="nil"/>
              <w:bottom w:val="nil"/>
              <w:right w:val="single" w:color="auto" w:sz="8" w:space="0"/>
            </w:tcBorders>
            <w:noWrap w:val="0"/>
            <w:vAlign w:val="center"/>
          </w:tcPr>
          <w:p>
            <w:pPr>
              <w:spacing w:line="360" w:lineRule="auto"/>
              <w:jc w:val="left"/>
              <w:rPr>
                <w:rFonts w:ascii="宋体" w:hAnsi="宋体"/>
              </w:rPr>
            </w:pPr>
            <w:r>
              <w:rPr>
                <w:rFonts w:ascii="宋体" w:hAnsi="宋体"/>
              </w:rPr>
              <w:t>3</w:t>
            </w:r>
            <w:r>
              <w:rPr>
                <w:rFonts w:hint="eastAsia" w:ascii="宋体" w:hAnsi="宋体"/>
              </w:rPr>
              <w:t>、要求提供</w:t>
            </w:r>
            <w:r>
              <w:rPr>
                <w:rFonts w:ascii="宋体" w:hAnsi="宋体"/>
              </w:rPr>
              <w:t>7</w:t>
            </w:r>
            <w:r>
              <w:rPr>
                <w:rFonts w:hint="eastAsia" w:ascii="宋体" w:hAnsi="宋体"/>
              </w:rPr>
              <w:t>个互联网静态</w:t>
            </w:r>
            <w:r>
              <w:rPr>
                <w:rFonts w:ascii="宋体" w:hAnsi="宋体"/>
              </w:rPr>
              <w:t>IP</w:t>
            </w:r>
            <w:r>
              <w:rPr>
                <w:rFonts w:hint="eastAsia" w:ascii="宋体" w:hAnsi="宋体"/>
              </w:rPr>
              <w:t>地址；</w:t>
            </w:r>
          </w:p>
        </w:tc>
        <w:tc>
          <w:tcPr>
            <w:tcW w:w="111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c>
          <w:tcPr>
            <w:tcW w:w="106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75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left"/>
              <w:rPr>
                <w:rFonts w:ascii="宋体" w:hAnsi="宋体"/>
              </w:rPr>
            </w:pPr>
          </w:p>
        </w:tc>
        <w:tc>
          <w:tcPr>
            <w:tcW w:w="6338" w:type="dxa"/>
            <w:tcBorders>
              <w:top w:val="nil"/>
              <w:left w:val="nil"/>
              <w:bottom w:val="nil"/>
              <w:right w:val="single" w:color="auto" w:sz="8" w:space="0"/>
            </w:tcBorders>
            <w:noWrap w:val="0"/>
            <w:vAlign w:val="center"/>
          </w:tcPr>
          <w:p>
            <w:pPr>
              <w:spacing w:line="360" w:lineRule="auto"/>
              <w:jc w:val="left"/>
              <w:rPr>
                <w:rFonts w:ascii="宋体" w:hAnsi="宋体"/>
              </w:rPr>
            </w:pPr>
            <w:r>
              <w:rPr>
                <w:rFonts w:ascii="宋体" w:hAnsi="宋体"/>
              </w:rPr>
              <w:t>4</w:t>
            </w:r>
            <w:r>
              <w:rPr>
                <w:rFonts w:hint="eastAsia" w:ascii="宋体" w:hAnsi="宋体"/>
              </w:rPr>
              <w:t>、</w:t>
            </w:r>
            <w:r>
              <w:rPr>
                <w:rFonts w:ascii="宋体" w:hAnsi="宋体"/>
              </w:rPr>
              <w:t>1</w:t>
            </w:r>
            <w:r>
              <w:rPr>
                <w:rFonts w:hint="eastAsia" w:ascii="宋体" w:hAnsi="宋体"/>
              </w:rPr>
              <w:t>条</w:t>
            </w:r>
            <w:r>
              <w:rPr>
                <w:rFonts w:hint="eastAsia" w:ascii="宋体" w:hAnsi="宋体"/>
                <w:lang w:val="en-US" w:eastAsia="zh-CN"/>
              </w:rPr>
              <w:t>3</w:t>
            </w:r>
            <w:r>
              <w:rPr>
                <w:rFonts w:hint="eastAsia" w:ascii="宋体" w:hAnsi="宋体"/>
              </w:rPr>
              <w:t>00</w:t>
            </w:r>
            <w:r>
              <w:rPr>
                <w:rFonts w:ascii="宋体" w:hAnsi="宋体"/>
              </w:rPr>
              <w:t>M</w:t>
            </w:r>
            <w:r>
              <w:rPr>
                <w:rFonts w:hint="eastAsia" w:ascii="宋体" w:hAnsi="宋体"/>
              </w:rPr>
              <w:t>互联网带宽裸机测试，上下行速率稳定在</w:t>
            </w:r>
            <w:r>
              <w:rPr>
                <w:rFonts w:hint="eastAsia" w:ascii="宋体" w:hAnsi="宋体"/>
                <w:lang w:val="en-US" w:eastAsia="zh-CN"/>
              </w:rPr>
              <w:t>3</w:t>
            </w:r>
            <w:r>
              <w:rPr>
                <w:rFonts w:hint="eastAsia" w:ascii="宋体" w:hAnsi="宋体"/>
              </w:rPr>
              <w:t>00</w:t>
            </w:r>
            <w:r>
              <w:rPr>
                <w:rFonts w:ascii="宋体" w:hAnsi="宋体"/>
              </w:rPr>
              <w:t>Mbit/s</w:t>
            </w:r>
            <w:r>
              <w:rPr>
                <w:rFonts w:hint="eastAsia" w:ascii="宋体" w:hAnsi="宋体"/>
              </w:rPr>
              <w:t>以上；</w:t>
            </w:r>
            <w:r>
              <w:rPr>
                <w:rFonts w:ascii="宋体" w:hAnsi="宋体"/>
              </w:rPr>
              <w:t>6</w:t>
            </w:r>
            <w:r>
              <w:rPr>
                <w:rFonts w:hint="eastAsia" w:ascii="宋体" w:hAnsi="宋体"/>
              </w:rPr>
              <w:t>条</w:t>
            </w:r>
            <w:r>
              <w:rPr>
                <w:rFonts w:hint="eastAsia" w:ascii="宋体" w:hAnsi="宋体"/>
                <w:lang w:val="en-US" w:eastAsia="zh-CN"/>
              </w:rPr>
              <w:t>15</w:t>
            </w:r>
            <w:r>
              <w:rPr>
                <w:rFonts w:hint="eastAsia" w:ascii="宋体" w:hAnsi="宋体"/>
              </w:rPr>
              <w:t>0</w:t>
            </w:r>
            <w:r>
              <w:rPr>
                <w:rFonts w:ascii="宋体" w:hAnsi="宋体"/>
              </w:rPr>
              <w:t>M</w:t>
            </w:r>
            <w:r>
              <w:rPr>
                <w:rFonts w:hint="eastAsia" w:ascii="宋体" w:hAnsi="宋体"/>
              </w:rPr>
              <w:t>互联网带宽裸机测试，每条带宽上下行速率稳定在</w:t>
            </w:r>
            <w:r>
              <w:rPr>
                <w:rFonts w:hint="eastAsia" w:ascii="宋体" w:hAnsi="宋体"/>
                <w:lang w:val="en-US" w:eastAsia="zh-CN"/>
              </w:rPr>
              <w:t>15</w:t>
            </w:r>
            <w:r>
              <w:rPr>
                <w:rFonts w:hint="eastAsia" w:ascii="宋体" w:hAnsi="宋体"/>
              </w:rPr>
              <w:t>0</w:t>
            </w:r>
            <w:r>
              <w:rPr>
                <w:rFonts w:ascii="宋体" w:hAnsi="宋体"/>
              </w:rPr>
              <w:t>Mbit/s</w:t>
            </w:r>
            <w:r>
              <w:rPr>
                <w:rFonts w:hint="eastAsia" w:ascii="宋体" w:hAnsi="宋体"/>
              </w:rPr>
              <w:t>以上。</w:t>
            </w:r>
          </w:p>
        </w:tc>
        <w:tc>
          <w:tcPr>
            <w:tcW w:w="1113"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c>
          <w:tcPr>
            <w:tcW w:w="1060" w:type="dxa"/>
            <w:tcBorders>
              <w:top w:val="single" w:color="auto" w:sz="8" w:space="0"/>
              <w:left w:val="single" w:color="auto" w:sz="8" w:space="0"/>
              <w:right w:val="single" w:color="000000" w:sz="8" w:space="0"/>
            </w:tcBorders>
            <w:noWrap w:val="0"/>
            <w:vAlign w:val="center"/>
          </w:tcPr>
          <w:p>
            <w:pPr>
              <w:spacing w:line="360" w:lineRule="auto"/>
              <w:jc w:val="left"/>
              <w:rPr>
                <w:rFonts w:ascii="宋体" w:hAnsi="宋体"/>
                <w:highlight w:val="none"/>
              </w:rPr>
            </w:pPr>
            <w:r>
              <w:rPr>
                <w:rFonts w:hint="eastAsia" w:ascii="宋体" w:hAnsi="宋体"/>
                <w:highlight w:val="none"/>
              </w:rPr>
              <w:t>云服务</w:t>
            </w:r>
          </w:p>
        </w:tc>
        <w:tc>
          <w:tcPr>
            <w:tcW w:w="753" w:type="dxa"/>
            <w:tcBorders>
              <w:top w:val="single" w:color="auto" w:sz="8" w:space="0"/>
              <w:left w:val="single" w:color="auto" w:sz="8" w:space="0"/>
              <w:right w:val="single" w:color="000000" w:sz="8" w:space="0"/>
            </w:tcBorders>
            <w:noWrap w:val="0"/>
            <w:vAlign w:val="center"/>
          </w:tcPr>
          <w:p>
            <w:pPr>
              <w:spacing w:line="360" w:lineRule="auto"/>
              <w:jc w:val="left"/>
              <w:rPr>
                <w:rFonts w:ascii="宋体" w:hAnsi="宋体"/>
                <w:highlight w:val="none"/>
              </w:rPr>
            </w:pPr>
            <w:r>
              <w:rPr>
                <w:rFonts w:hint="eastAsia" w:ascii="宋体" w:hAnsi="宋体"/>
                <w:highlight w:val="none"/>
              </w:rPr>
              <w:t>1项</w:t>
            </w:r>
          </w:p>
        </w:tc>
        <w:tc>
          <w:tcPr>
            <w:tcW w:w="6338" w:type="dxa"/>
            <w:tcBorders>
              <w:top w:val="single" w:color="auto" w:sz="8" w:space="0"/>
              <w:left w:val="single" w:color="auto" w:sz="8" w:space="0"/>
              <w:bottom w:val="single" w:color="auto" w:sz="8" w:space="0"/>
              <w:right w:val="single" w:color="000000" w:sz="8" w:space="0"/>
            </w:tcBorders>
            <w:noWrap w:val="0"/>
            <w:vAlign w:val="center"/>
          </w:tcPr>
          <w:p>
            <w:pPr>
              <w:spacing w:line="360" w:lineRule="auto"/>
              <w:jc w:val="left"/>
              <w:rPr>
                <w:rFonts w:hint="eastAsia" w:ascii="宋体" w:hAnsi="宋体"/>
                <w:highlight w:val="none"/>
              </w:rPr>
            </w:pPr>
            <w:r>
              <w:rPr>
                <w:rFonts w:hint="eastAsia" w:ascii="宋体" w:hAnsi="宋体"/>
                <w:highlight w:val="none"/>
                <w:lang w:val="en-US" w:eastAsia="zh-CN"/>
              </w:rPr>
              <w:t>提供1台8C16G应用服务器</w:t>
            </w:r>
            <w:r>
              <w:rPr>
                <w:rFonts w:hint="eastAsia" w:ascii="宋体" w:hAnsi="宋体"/>
                <w:highlight w:val="none"/>
              </w:rPr>
              <w:t>，</w:t>
            </w:r>
            <w:r>
              <w:rPr>
                <w:rFonts w:hint="eastAsia" w:ascii="宋体" w:hAnsi="宋体"/>
                <w:highlight w:val="none"/>
                <w:lang w:val="en-US" w:eastAsia="zh-CN"/>
              </w:rPr>
              <w:t>1台16C32G数据库服务器，1台2C4G</w:t>
            </w:r>
            <w:r>
              <w:rPr>
                <w:rFonts w:hint="eastAsia" w:ascii="宋体" w:hAnsi="宋体"/>
                <w:highlight w:val="none"/>
                <w:lang w:eastAsia="zh-CN"/>
              </w:rPr>
              <w:t>备份服务器</w:t>
            </w:r>
            <w:r>
              <w:rPr>
                <w:rFonts w:hint="eastAsia" w:ascii="宋体" w:hAnsi="宋体"/>
                <w:highlight w:val="none"/>
                <w:lang w:val="en-US" w:eastAsia="zh-CN"/>
              </w:rPr>
              <w:t>，</w:t>
            </w:r>
            <w:r>
              <w:rPr>
                <w:rFonts w:hint="eastAsia" w:ascii="宋体" w:hAnsi="宋体"/>
                <w:highlight w:val="none"/>
              </w:rPr>
              <w:t>高效硬盘</w:t>
            </w:r>
            <w:r>
              <w:rPr>
                <w:rFonts w:hint="eastAsia" w:ascii="宋体" w:hAnsi="宋体"/>
                <w:highlight w:val="none"/>
                <w:lang w:val="en-US" w:eastAsia="zh-CN"/>
              </w:rPr>
              <w:t>10</w:t>
            </w:r>
            <w:r>
              <w:rPr>
                <w:rFonts w:hint="eastAsia" w:ascii="宋体" w:hAnsi="宋体"/>
                <w:highlight w:val="none"/>
              </w:rPr>
              <w:t>00 G，</w:t>
            </w:r>
            <w:r>
              <w:rPr>
                <w:rFonts w:hint="eastAsia" w:ascii="宋体" w:hAnsi="宋体"/>
                <w:highlight w:val="none"/>
                <w:lang w:eastAsia="zh-CN"/>
              </w:rPr>
              <w:t>独享</w:t>
            </w:r>
            <w:r>
              <w:rPr>
                <w:rFonts w:hint="eastAsia" w:ascii="宋体" w:hAnsi="宋体"/>
                <w:highlight w:val="none"/>
              </w:rPr>
              <w:t>带宽</w:t>
            </w:r>
            <w:r>
              <w:rPr>
                <w:rFonts w:hint="eastAsia" w:ascii="宋体" w:hAnsi="宋体"/>
                <w:highlight w:val="none"/>
                <w:lang w:val="en-US" w:eastAsia="zh-CN"/>
              </w:rPr>
              <w:t>10M及1个IP</w:t>
            </w:r>
            <w:r>
              <w:rPr>
                <w:rFonts w:hint="eastAsia" w:ascii="宋体" w:hAnsi="宋体"/>
                <w:highlight w:val="none"/>
              </w:rPr>
              <w:t>；</w:t>
            </w:r>
          </w:p>
        </w:tc>
        <w:tc>
          <w:tcPr>
            <w:tcW w:w="1113" w:type="dxa"/>
            <w:tcBorders>
              <w:top w:val="single" w:color="auto" w:sz="8" w:space="0"/>
              <w:left w:val="single" w:color="auto" w:sz="8" w:space="0"/>
              <w:right w:val="single" w:color="000000" w:sz="8" w:space="0"/>
            </w:tcBorders>
            <w:noWrap w:val="0"/>
            <w:vAlign w:val="center"/>
          </w:tcPr>
          <w:p>
            <w:pPr>
              <w:spacing w:line="360" w:lineRule="auto"/>
              <w:jc w:val="center"/>
              <w:rPr>
                <w:rFonts w:ascii="宋体" w:hAnsi="宋体"/>
                <w:highlight w:val="none"/>
              </w:rPr>
            </w:pPr>
            <w:r>
              <w:rPr>
                <w:rFonts w:hint="eastAsia" w:ascii="宋体" w:hAnsi="宋体"/>
                <w:highlight w:val="none"/>
                <w:lang w:val="en-US" w:eastAsia="zh-CN"/>
              </w:rPr>
              <w:t>28500</w:t>
            </w:r>
            <w:r>
              <w:rPr>
                <w:rFonts w:hint="eastAsia" w:ascii="宋体" w:hAnsi="宋体"/>
                <w:highlight w:val="none"/>
              </w:rPr>
              <w:t>.00</w:t>
            </w:r>
          </w:p>
        </w:tc>
      </w:tr>
      <w:tr>
        <w:tblPrEx>
          <w:tblLayout w:type="fixed"/>
          <w:tblCellMar>
            <w:top w:w="0" w:type="dxa"/>
            <w:left w:w="108" w:type="dxa"/>
            <w:bottom w:w="0" w:type="dxa"/>
            <w:right w:w="108" w:type="dxa"/>
          </w:tblCellMar>
        </w:tblPrEx>
        <w:tc>
          <w:tcPr>
            <w:tcW w:w="1060" w:type="dxa"/>
            <w:tcBorders>
              <w:top w:val="single" w:color="auto" w:sz="8" w:space="0"/>
              <w:left w:val="single" w:color="auto" w:sz="8" w:space="0"/>
              <w:bottom w:val="single" w:color="auto" w:sz="8" w:space="0"/>
              <w:right w:val="single" w:color="000000" w:sz="8" w:space="0"/>
            </w:tcBorders>
            <w:noWrap w:val="0"/>
            <w:vAlign w:val="center"/>
          </w:tcPr>
          <w:p>
            <w:pPr>
              <w:spacing w:line="360" w:lineRule="auto"/>
              <w:jc w:val="left"/>
              <w:rPr>
                <w:rFonts w:ascii="宋体" w:hAnsi="宋体"/>
                <w:b/>
                <w:bCs/>
              </w:rPr>
            </w:pPr>
            <w:r>
              <w:rPr>
                <w:rFonts w:hint="eastAsia" w:ascii="宋体" w:hAnsi="宋体"/>
              </w:rPr>
              <w:t>网络安全</w:t>
            </w:r>
            <w:r>
              <w:rPr>
                <w:rFonts w:hint="eastAsia" w:ascii="宋体" w:hAnsi="宋体"/>
                <w:lang w:val="en-US" w:eastAsia="zh-CN"/>
              </w:rPr>
              <w:t>咨询检测</w:t>
            </w:r>
            <w:r>
              <w:rPr>
                <w:rFonts w:hint="eastAsia" w:ascii="宋体" w:hAnsi="宋体"/>
                <w:lang w:eastAsia="zh-CN"/>
              </w:rPr>
              <w:t>服务</w:t>
            </w:r>
          </w:p>
        </w:tc>
        <w:tc>
          <w:tcPr>
            <w:tcW w:w="753" w:type="dxa"/>
            <w:tcBorders>
              <w:top w:val="single" w:color="auto" w:sz="8" w:space="0"/>
              <w:left w:val="single" w:color="auto" w:sz="8" w:space="0"/>
              <w:bottom w:val="single" w:color="auto" w:sz="8" w:space="0"/>
              <w:right w:val="single" w:color="000000" w:sz="8" w:space="0"/>
            </w:tcBorders>
            <w:noWrap w:val="0"/>
            <w:vAlign w:val="center"/>
          </w:tcPr>
          <w:p>
            <w:pPr>
              <w:spacing w:line="360" w:lineRule="auto"/>
              <w:jc w:val="left"/>
              <w:rPr>
                <w:rFonts w:ascii="宋体" w:hAnsi="宋体"/>
                <w:b/>
                <w:bCs/>
              </w:rPr>
            </w:pPr>
            <w:r>
              <w:rPr>
                <w:rFonts w:hint="eastAsia" w:ascii="宋体" w:hAnsi="宋体"/>
              </w:rPr>
              <w:t>1项</w:t>
            </w:r>
          </w:p>
        </w:tc>
        <w:tc>
          <w:tcPr>
            <w:tcW w:w="6338" w:type="dxa"/>
            <w:tcBorders>
              <w:top w:val="single" w:color="auto" w:sz="8" w:space="0"/>
              <w:left w:val="single" w:color="auto" w:sz="8" w:space="0"/>
              <w:bottom w:val="single" w:color="auto" w:sz="8" w:space="0"/>
              <w:right w:val="single" w:color="000000" w:sz="8" w:space="0"/>
            </w:tcBorders>
            <w:noWrap w:val="0"/>
            <w:vAlign w:val="center"/>
          </w:tcPr>
          <w:p>
            <w:pPr>
              <w:spacing w:line="360" w:lineRule="auto"/>
              <w:jc w:val="left"/>
              <w:rPr>
                <w:rFonts w:hint="eastAsia" w:ascii="宋体" w:hAnsi="宋体"/>
                <w:highlight w:val="none"/>
              </w:rPr>
            </w:pPr>
            <w:r>
              <w:rPr>
                <w:rFonts w:hint="eastAsia" w:ascii="宋体" w:hAnsi="宋体"/>
                <w:highlight w:val="none"/>
                <w:lang w:eastAsia="zh-CN"/>
              </w:rPr>
              <w:t>提供网络安全</w:t>
            </w:r>
            <w:r>
              <w:rPr>
                <w:rFonts w:hint="eastAsia" w:ascii="宋体" w:hAnsi="宋体"/>
                <w:highlight w:val="none"/>
                <w:lang w:val="en-US" w:eastAsia="zh-CN"/>
              </w:rPr>
              <w:t>咨询检测</w:t>
            </w:r>
            <w:r>
              <w:rPr>
                <w:rFonts w:hint="eastAsia" w:ascii="宋体" w:hAnsi="宋体"/>
                <w:highlight w:val="none"/>
                <w:lang w:eastAsia="zh-CN"/>
              </w:rPr>
              <w:t>服务：</w:t>
            </w:r>
            <w:r>
              <w:rPr>
                <w:rFonts w:hint="eastAsia" w:ascii="宋体" w:hAnsi="宋体"/>
                <w:highlight w:val="none"/>
              </w:rPr>
              <w:t xml:space="preserve">根据《信息安全技术网络安全等级保护基本要求》（GB/T22239-2019）等信息安全标准和要求，从技术方面对目标系统进行安全检查，发现系统存在的威胁及安全隐患，分析目标系统与等保标准要求之间的差距，为系统后续的整改建设工作提供决策依据。 </w:t>
            </w:r>
          </w:p>
          <w:p>
            <w:pPr>
              <w:spacing w:line="360" w:lineRule="auto"/>
              <w:jc w:val="left"/>
              <w:rPr>
                <w:rFonts w:hint="eastAsia" w:ascii="宋体" w:hAnsi="宋体"/>
                <w:highlight w:val="none"/>
              </w:rPr>
            </w:pPr>
            <w:r>
              <w:rPr>
                <w:rFonts w:hint="eastAsia" w:ascii="宋体" w:hAnsi="宋体"/>
                <w:highlight w:val="none"/>
              </w:rPr>
              <w:t>包括：</w:t>
            </w:r>
          </w:p>
          <w:p>
            <w:pPr>
              <w:spacing w:line="360" w:lineRule="auto"/>
              <w:jc w:val="left"/>
              <w:rPr>
                <w:rFonts w:hint="eastAsia" w:ascii="宋体" w:hAnsi="宋体"/>
                <w:highlight w:val="none"/>
              </w:rPr>
            </w:pPr>
            <w:r>
              <w:rPr>
                <w:rFonts w:hint="eastAsia" w:ascii="宋体" w:hAnsi="宋体"/>
                <w:highlight w:val="none"/>
              </w:rPr>
              <w:t>1、安全物理环境</w:t>
            </w:r>
          </w:p>
          <w:p>
            <w:pPr>
              <w:spacing w:line="360" w:lineRule="auto"/>
              <w:jc w:val="left"/>
              <w:rPr>
                <w:rFonts w:hint="eastAsia" w:ascii="宋体" w:hAnsi="宋体"/>
                <w:highlight w:val="none"/>
              </w:rPr>
            </w:pPr>
            <w:r>
              <w:rPr>
                <w:rFonts w:hint="eastAsia" w:ascii="宋体" w:hAnsi="宋体"/>
                <w:highlight w:val="none"/>
              </w:rPr>
              <w:t xml:space="preserve">安全物理环境现场测评包括“物理位置选择”、“物理访问控制”、 “防盗窃和防破坏”、“防雷击”、“防火”、“防水和防潮”、“防静电”、 “温湿度控制”、“电力供应”和“电磁防护”等物理安全方面所采取的措施进行检查。 </w:t>
            </w:r>
          </w:p>
          <w:p>
            <w:pPr>
              <w:spacing w:line="360" w:lineRule="auto"/>
              <w:jc w:val="left"/>
              <w:rPr>
                <w:rFonts w:hint="eastAsia" w:ascii="宋体" w:hAnsi="宋体"/>
                <w:highlight w:val="none"/>
              </w:rPr>
            </w:pPr>
            <w:r>
              <w:rPr>
                <w:rFonts w:hint="eastAsia" w:ascii="宋体" w:hAnsi="宋体"/>
                <w:highlight w:val="none"/>
              </w:rPr>
              <w:t>2、安全通信网络</w:t>
            </w:r>
          </w:p>
          <w:p>
            <w:pPr>
              <w:spacing w:line="360" w:lineRule="auto"/>
              <w:jc w:val="left"/>
              <w:rPr>
                <w:rFonts w:hint="eastAsia" w:ascii="宋体" w:hAnsi="宋体"/>
                <w:highlight w:val="none"/>
              </w:rPr>
            </w:pPr>
            <w:r>
              <w:rPr>
                <w:rFonts w:hint="eastAsia" w:ascii="宋体" w:hAnsi="宋体"/>
                <w:highlight w:val="none"/>
              </w:rPr>
              <w:t xml:space="preserve">安全通信网络现场测评包括信息系统的各类通信设备，针对“网络结构”、“通信传输”、“可信验证”等方面所采取的措施进行检查。 </w:t>
            </w:r>
          </w:p>
          <w:p>
            <w:pPr>
              <w:spacing w:line="360" w:lineRule="auto"/>
              <w:jc w:val="left"/>
              <w:rPr>
                <w:rFonts w:hint="eastAsia" w:ascii="宋体" w:hAnsi="宋体"/>
                <w:highlight w:val="none"/>
              </w:rPr>
            </w:pPr>
            <w:r>
              <w:rPr>
                <w:rFonts w:hint="eastAsia" w:ascii="宋体" w:hAnsi="宋体"/>
                <w:highlight w:val="none"/>
              </w:rPr>
              <w:t>3、安全区域边界</w:t>
            </w:r>
          </w:p>
          <w:p>
            <w:pPr>
              <w:spacing w:line="360" w:lineRule="auto"/>
              <w:jc w:val="left"/>
              <w:rPr>
                <w:rFonts w:hint="eastAsia" w:ascii="宋体" w:hAnsi="宋体"/>
                <w:highlight w:val="none"/>
              </w:rPr>
            </w:pPr>
            <w:r>
              <w:rPr>
                <w:rFonts w:hint="eastAsia" w:ascii="宋体" w:hAnsi="宋体"/>
                <w:highlight w:val="none"/>
              </w:rPr>
              <w:t xml:space="preserve">安全区域边界现场测评包括“边界防护”、“访问控制”、“入侵防范”、“恶意代码防范”等方面所采取的的措施进行检查。 </w:t>
            </w:r>
          </w:p>
          <w:p>
            <w:pPr>
              <w:spacing w:line="360" w:lineRule="auto"/>
              <w:jc w:val="left"/>
              <w:rPr>
                <w:rFonts w:hint="eastAsia" w:ascii="宋体" w:hAnsi="宋体"/>
                <w:highlight w:val="none"/>
              </w:rPr>
            </w:pPr>
            <w:r>
              <w:rPr>
                <w:rFonts w:hint="eastAsia" w:ascii="宋体" w:hAnsi="宋体"/>
                <w:highlight w:val="none"/>
              </w:rPr>
              <w:t>4、安全计算环境</w:t>
            </w:r>
          </w:p>
          <w:p>
            <w:pPr>
              <w:spacing w:line="360" w:lineRule="auto"/>
              <w:jc w:val="left"/>
              <w:rPr>
                <w:rFonts w:hint="eastAsia" w:ascii="宋体" w:hAnsi="宋体"/>
                <w:highlight w:val="none"/>
              </w:rPr>
            </w:pPr>
            <w:r>
              <w:rPr>
                <w:rFonts w:hint="eastAsia" w:ascii="宋体" w:hAnsi="宋体"/>
                <w:highlight w:val="none"/>
              </w:rPr>
              <w:t xml:space="preserve">安全计算环境现场测评包括“身份鉴别”、“访问控制”、“安全审计”、 “入侵防护”、“恶意代码防防范”、“可信验证”、“数据完整性”、 “数据保密性”、“数据备份恢复”、“剩余信息保护”、“个人信息保护” 等方面所采取的的措施进行检查。 </w:t>
            </w:r>
          </w:p>
          <w:p>
            <w:pPr>
              <w:spacing w:line="360" w:lineRule="auto"/>
              <w:jc w:val="left"/>
              <w:rPr>
                <w:rFonts w:hint="eastAsia" w:ascii="宋体" w:hAnsi="宋体"/>
                <w:highlight w:val="none"/>
              </w:rPr>
            </w:pPr>
            <w:r>
              <w:rPr>
                <w:rFonts w:hint="eastAsia" w:ascii="宋体" w:hAnsi="宋体"/>
                <w:highlight w:val="none"/>
              </w:rPr>
              <w:t>5、安全管理中心</w:t>
            </w:r>
          </w:p>
          <w:p>
            <w:pPr>
              <w:spacing w:line="360" w:lineRule="auto"/>
              <w:jc w:val="left"/>
              <w:rPr>
                <w:rFonts w:hint="eastAsia" w:ascii="宋体" w:hAnsi="宋体"/>
                <w:highlight w:val="none"/>
              </w:rPr>
            </w:pPr>
            <w:r>
              <w:rPr>
                <w:rFonts w:hint="eastAsia" w:ascii="宋体" w:hAnsi="宋体"/>
                <w:highlight w:val="none"/>
              </w:rPr>
              <w:t>安全管理中心现场测评包括“系统管理”、“审计管理”、“安全管理”、“集中管控”等方面所采取的的措施进行检查。</w:t>
            </w:r>
          </w:p>
          <w:p>
            <w:pPr>
              <w:spacing w:line="360" w:lineRule="auto"/>
              <w:jc w:val="left"/>
              <w:rPr>
                <w:rFonts w:hint="eastAsia" w:ascii="宋体" w:hAnsi="宋体"/>
                <w:highlight w:val="none"/>
              </w:rPr>
            </w:pPr>
            <w:r>
              <w:rPr>
                <w:rFonts w:hint="eastAsia" w:ascii="宋体" w:hAnsi="宋体"/>
                <w:highlight w:val="none"/>
              </w:rPr>
              <w:t>6、安全渗透扫描</w:t>
            </w:r>
          </w:p>
          <w:p>
            <w:pPr>
              <w:spacing w:line="360" w:lineRule="auto"/>
              <w:jc w:val="left"/>
              <w:rPr>
                <w:rFonts w:hint="eastAsia" w:ascii="宋体" w:hAnsi="宋体"/>
                <w:highlight w:val="none"/>
              </w:rPr>
            </w:pPr>
            <w:r>
              <w:rPr>
                <w:rFonts w:hint="eastAsia" w:ascii="宋体" w:hAnsi="宋体"/>
                <w:highlight w:val="none"/>
              </w:rPr>
              <w:t>根据采购人需要，对目标网络进行安全扫描、渗透测试。</w:t>
            </w:r>
          </w:p>
          <w:p>
            <w:pPr>
              <w:spacing w:line="360" w:lineRule="auto"/>
              <w:jc w:val="left"/>
              <w:rPr>
                <w:rFonts w:hint="eastAsia" w:ascii="宋体" w:hAnsi="宋体"/>
                <w:highlight w:val="none"/>
              </w:rPr>
            </w:pPr>
            <w:r>
              <w:rPr>
                <w:rFonts w:hint="eastAsia" w:ascii="宋体" w:hAnsi="宋体"/>
                <w:highlight w:val="none"/>
              </w:rPr>
              <w:t>7、安全网站检测</w:t>
            </w:r>
          </w:p>
          <w:p>
            <w:pPr>
              <w:spacing w:line="360" w:lineRule="auto"/>
              <w:jc w:val="left"/>
              <w:rPr>
                <w:rFonts w:hint="eastAsia" w:ascii="宋体" w:hAnsi="宋体"/>
                <w:highlight w:val="none"/>
              </w:rPr>
            </w:pPr>
            <w:r>
              <w:rPr>
                <w:rFonts w:hint="eastAsia" w:ascii="宋体" w:hAnsi="宋体"/>
                <w:highlight w:val="none"/>
              </w:rPr>
              <w:t>包括检查用户注册功能可能涉及的安全问题；检查用户登录功能可能涉及的安全问题；检查用户修改密码功能可能涉及的安全问题。</w:t>
            </w:r>
          </w:p>
          <w:p>
            <w:pPr>
              <w:spacing w:line="360" w:lineRule="auto"/>
              <w:jc w:val="left"/>
              <w:rPr>
                <w:rFonts w:hint="eastAsia" w:ascii="宋体" w:hAnsi="宋体"/>
                <w:highlight w:val="none"/>
              </w:rPr>
            </w:pPr>
            <w:r>
              <w:rPr>
                <w:rFonts w:hint="eastAsia" w:ascii="宋体" w:hAnsi="宋体"/>
                <w:highlight w:val="none"/>
              </w:rPr>
              <w:t>8、安全应急服务</w:t>
            </w:r>
          </w:p>
          <w:p>
            <w:pPr>
              <w:spacing w:line="360" w:lineRule="auto"/>
              <w:jc w:val="left"/>
              <w:rPr>
                <w:rFonts w:hint="eastAsia" w:ascii="宋体" w:hAnsi="宋体"/>
                <w:highlight w:val="none"/>
              </w:rPr>
            </w:pPr>
            <w:r>
              <w:rPr>
                <w:rFonts w:hint="eastAsia" w:ascii="宋体" w:hAnsi="宋体"/>
                <w:highlight w:val="none"/>
              </w:rPr>
              <w:t>根据采购人需要，网络出现紧急情况时，协助采购人网站运维单位进行远程排查、修复处置。</w:t>
            </w:r>
          </w:p>
          <w:p>
            <w:pPr>
              <w:spacing w:line="360" w:lineRule="auto"/>
              <w:jc w:val="left"/>
              <w:rPr>
                <w:rFonts w:hint="eastAsia" w:ascii="宋体" w:hAnsi="宋体"/>
                <w:highlight w:val="none"/>
              </w:rPr>
            </w:pPr>
            <w:r>
              <w:rPr>
                <w:rFonts w:hint="eastAsia" w:ascii="宋体" w:hAnsi="宋体"/>
                <w:highlight w:val="none"/>
              </w:rPr>
              <w:t>9、安全网络咨询</w:t>
            </w:r>
          </w:p>
          <w:p>
            <w:pPr>
              <w:spacing w:line="360" w:lineRule="auto"/>
              <w:jc w:val="left"/>
              <w:rPr>
                <w:rFonts w:ascii="宋体" w:hAnsi="宋体"/>
                <w:highlight w:val="none"/>
              </w:rPr>
            </w:pPr>
            <w:r>
              <w:rPr>
                <w:rFonts w:hint="eastAsia" w:ascii="宋体" w:hAnsi="宋体"/>
                <w:highlight w:val="none"/>
              </w:rPr>
              <w:t>根据采购人需要，提供 QQ、微信、邮件、短信、手机、或是现场等多种方式的咨询与培训服务，包含：网络安全隐患发现能力规划、网络安全日常工作指引、管理机制保障、 应急处置流程建议等。</w:t>
            </w:r>
          </w:p>
        </w:tc>
        <w:tc>
          <w:tcPr>
            <w:tcW w:w="1113" w:type="dxa"/>
            <w:tcBorders>
              <w:top w:val="single" w:color="auto" w:sz="8" w:space="0"/>
              <w:left w:val="single" w:color="auto" w:sz="8" w:space="0"/>
              <w:bottom w:val="single" w:color="auto" w:sz="8" w:space="0"/>
              <w:right w:val="single" w:color="000000" w:sz="8" w:space="0"/>
            </w:tcBorders>
            <w:noWrap w:val="0"/>
            <w:vAlign w:val="center"/>
          </w:tcPr>
          <w:p>
            <w:pPr>
              <w:spacing w:line="360" w:lineRule="auto"/>
              <w:jc w:val="center"/>
              <w:rPr>
                <w:rFonts w:ascii="宋体" w:hAnsi="宋体"/>
                <w:highlight w:val="none"/>
              </w:rPr>
            </w:pPr>
            <w:r>
              <w:rPr>
                <w:rFonts w:hint="eastAsia" w:ascii="宋体" w:hAnsi="宋体"/>
                <w:highlight w:val="none"/>
              </w:rPr>
              <w:t>71</w:t>
            </w:r>
            <w:r>
              <w:rPr>
                <w:rFonts w:hint="eastAsia" w:ascii="宋体" w:hAnsi="宋体"/>
                <w:highlight w:val="none"/>
                <w:lang w:val="en-US" w:eastAsia="zh-CN"/>
              </w:rPr>
              <w:t>1</w:t>
            </w:r>
            <w:r>
              <w:rPr>
                <w:rFonts w:hint="eastAsia" w:ascii="宋体" w:hAnsi="宋体"/>
                <w:highlight w:val="none"/>
              </w:rPr>
              <w:t>00.00</w:t>
            </w:r>
          </w:p>
        </w:tc>
      </w:tr>
      <w:tr>
        <w:tblPrEx>
          <w:tblLayout w:type="fixed"/>
          <w:tblCellMar>
            <w:top w:w="0" w:type="dxa"/>
            <w:left w:w="108" w:type="dxa"/>
            <w:bottom w:w="0" w:type="dxa"/>
            <w:right w:w="108" w:type="dxa"/>
          </w:tblCellMar>
        </w:tblPrEx>
        <w:tc>
          <w:tcPr>
            <w:tcW w:w="1060" w:type="dxa"/>
            <w:tcBorders>
              <w:top w:val="single" w:color="auto" w:sz="8" w:space="0"/>
              <w:left w:val="single" w:color="auto" w:sz="8" w:space="0"/>
              <w:bottom w:val="single" w:color="auto" w:sz="8" w:space="0"/>
              <w:right w:val="single" w:color="000000" w:sz="8" w:space="0"/>
            </w:tcBorders>
            <w:noWrap w:val="0"/>
            <w:vAlign w:val="center"/>
          </w:tcPr>
          <w:p>
            <w:pPr>
              <w:spacing w:line="360" w:lineRule="auto"/>
              <w:jc w:val="left"/>
              <w:rPr>
                <w:rFonts w:hint="eastAsia" w:ascii="宋体" w:hAnsi="宋体"/>
                <w:b/>
                <w:bCs/>
              </w:rPr>
            </w:pPr>
            <w:r>
              <w:rPr>
                <w:rFonts w:hint="eastAsia" w:ascii="宋体" w:hAnsi="宋体"/>
                <w:b/>
                <w:bCs/>
              </w:rPr>
              <w:t>合计</w:t>
            </w:r>
          </w:p>
        </w:tc>
        <w:tc>
          <w:tcPr>
            <w:tcW w:w="8204" w:type="dxa"/>
            <w:gridSpan w:val="3"/>
            <w:tcBorders>
              <w:top w:val="single" w:color="auto" w:sz="8" w:space="0"/>
              <w:left w:val="single" w:color="auto" w:sz="8" w:space="0"/>
              <w:bottom w:val="single" w:color="auto" w:sz="8" w:space="0"/>
              <w:right w:val="single" w:color="000000" w:sz="8" w:space="0"/>
            </w:tcBorders>
            <w:noWrap w:val="0"/>
            <w:vAlign w:val="center"/>
          </w:tcPr>
          <w:p>
            <w:pPr>
              <w:spacing w:line="360" w:lineRule="auto"/>
              <w:jc w:val="center"/>
              <w:rPr>
                <w:rFonts w:ascii="宋体" w:hAnsi="宋体"/>
                <w:b/>
                <w:bCs/>
              </w:rPr>
            </w:pPr>
            <w:r>
              <w:rPr>
                <w:rFonts w:hint="eastAsia" w:ascii="宋体" w:hAnsi="宋体"/>
                <w:b/>
                <w:bCs/>
              </w:rPr>
              <w:t>18</w:t>
            </w:r>
            <w:r>
              <w:rPr>
                <w:rFonts w:hint="eastAsia" w:ascii="宋体" w:hAnsi="宋体"/>
                <w:b/>
                <w:bCs/>
                <w:lang w:val="en-US" w:eastAsia="zh-CN"/>
              </w:rPr>
              <w:t>16</w:t>
            </w:r>
            <w:r>
              <w:rPr>
                <w:rFonts w:hint="eastAsia" w:ascii="宋体" w:hAnsi="宋体"/>
                <w:b/>
                <w:bCs/>
              </w:rPr>
              <w:t>00.00</w:t>
            </w:r>
          </w:p>
        </w:tc>
      </w:tr>
      <w:tr>
        <w:tblPrEx>
          <w:tblLayout w:type="fixed"/>
          <w:tblCellMar>
            <w:top w:w="0" w:type="dxa"/>
            <w:left w:w="108" w:type="dxa"/>
            <w:bottom w:w="0" w:type="dxa"/>
            <w:right w:w="108" w:type="dxa"/>
          </w:tblCellMar>
        </w:tblPrEx>
        <w:tc>
          <w:tcPr>
            <w:tcW w:w="9264" w:type="dxa"/>
            <w:gridSpan w:val="4"/>
            <w:tcBorders>
              <w:top w:val="single" w:color="auto" w:sz="8" w:space="0"/>
              <w:left w:val="single" w:color="auto" w:sz="8" w:space="0"/>
              <w:bottom w:val="single" w:color="auto" w:sz="8" w:space="0"/>
              <w:right w:val="single" w:color="000000" w:sz="8" w:space="0"/>
            </w:tcBorders>
            <w:noWrap w:val="0"/>
            <w:vAlign w:val="center"/>
          </w:tcPr>
          <w:p>
            <w:pPr>
              <w:spacing w:line="360" w:lineRule="auto"/>
              <w:jc w:val="left"/>
              <w:rPr>
                <w:rFonts w:ascii="宋体" w:hAnsi="宋体"/>
                <w:b/>
                <w:bCs/>
              </w:rPr>
            </w:pPr>
            <w:r>
              <w:rPr>
                <w:rFonts w:hint="eastAsia" w:ascii="宋体" w:hAnsi="宋体"/>
                <w:b/>
                <w:bCs/>
              </w:rPr>
              <w:t>商务条款</w:t>
            </w:r>
          </w:p>
        </w:tc>
      </w:tr>
      <w:tr>
        <w:tblPrEx>
          <w:tblLayout w:type="fixed"/>
          <w:tblCellMar>
            <w:top w:w="0" w:type="dxa"/>
            <w:left w:w="108" w:type="dxa"/>
            <w:bottom w:w="0" w:type="dxa"/>
            <w:right w:w="108" w:type="dxa"/>
          </w:tblCellMar>
        </w:tblPrEx>
        <w:tc>
          <w:tcPr>
            <w:tcW w:w="9264" w:type="dxa"/>
            <w:gridSpan w:val="4"/>
            <w:tcBorders>
              <w:top w:val="single" w:color="auto" w:sz="8" w:space="0"/>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一、合同签订期：自成交通知书发出之日起5个工作日内。</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hint="default" w:ascii="宋体" w:hAnsi="宋体" w:eastAsia="宋体"/>
                <w:lang w:val="en-US" w:eastAsia="zh-CN"/>
              </w:rPr>
            </w:pPr>
            <w:r>
              <w:rPr>
                <w:rFonts w:hint="eastAsia" w:ascii="宋体" w:hAnsi="宋体"/>
                <w:highlight w:val="none"/>
              </w:rPr>
              <w:t>★二、交付使用期限：自签订合同之日起</w:t>
            </w:r>
            <w:r>
              <w:rPr>
                <w:rFonts w:hint="eastAsia" w:ascii="宋体" w:hAnsi="宋体"/>
                <w:highlight w:val="none"/>
                <w:lang w:val="en-US" w:eastAsia="zh-CN"/>
              </w:rPr>
              <w:t>5</w:t>
            </w:r>
            <w:r>
              <w:rPr>
                <w:rFonts w:hint="eastAsia" w:ascii="宋体" w:hAnsi="宋体"/>
                <w:highlight w:val="none"/>
              </w:rPr>
              <w:t>日（日历日）内交付使用</w:t>
            </w:r>
            <w:r>
              <w:rPr>
                <w:rFonts w:hint="eastAsia" w:ascii="宋体" w:hAnsi="宋体"/>
                <w:highlight w:val="none"/>
                <w:lang w:val="en-US" w:eastAsia="zh-CN"/>
              </w:rPr>
              <w:t>。</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三、交货地点：采购人指定地点；</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★四、服务期：1年（自提交服务成果验收合格并交付之日起至合同期满止）；</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五、售后服务要求</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★1.质保期：1年（自提交服务成果验收合格并交付之日起至合同期满止）；</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2.免费送货上门，免费安装调试。</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3.成交供应商提供的所有产品必须是具备厂家合法渠道的全新的原装正品，设备按厂家承诺实行“三包”，质保期内成交人免费提供维修服务：提供电话支持服务，保修期内设备出现故障，要求60分钟内做出响应，2个小时内赶往现场，8小时内解决问题。12小时内无法修复的，成交供应商必须提供必要的零配件或备件进行替换，以免影响整套系统的正常运行。</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4.在租用期内，成交人应严格遵守《中华人民共和国电信条例》，维护双方权益，按工信部颁布的《电信服务标准》的电路质量要求，保证采购人租用系统畅通及安全使用，以保证采购人网络的连续稳定运行。</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hint="eastAsia" w:ascii="宋体" w:hAnsi="宋体"/>
              </w:rPr>
            </w:pPr>
            <w:r>
              <w:rPr>
                <w:rFonts w:hint="eastAsia" w:ascii="宋体" w:hAnsi="宋体"/>
              </w:rPr>
              <w:t>5.竞标时提供报价明细表及偏离情况说明表，否则作无效响应处理。</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6.当用户网络需要扩展或升级时，负责免费提供相应解决方案。</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numPr>
                <w:ilvl w:val="0"/>
                <w:numId w:val="2"/>
              </w:numPr>
              <w:spacing w:line="360" w:lineRule="auto"/>
              <w:jc w:val="left"/>
              <w:rPr>
                <w:rFonts w:hint="eastAsia"/>
              </w:rPr>
            </w:pPr>
            <w:r>
              <w:rPr>
                <w:rFonts w:hint="eastAsia"/>
              </w:rPr>
              <w:t>对合同条款的调整： 由于成交供应商原因，未能按本合同规定的内容、时间及相关要求向采购人交付服务成果的，成交供应商承担违约责任，采购人有权解除合同。</w:t>
            </w:r>
          </w:p>
          <w:p>
            <w:pPr>
              <w:numPr>
                <w:ilvl w:val="0"/>
                <w:numId w:val="2"/>
              </w:numPr>
              <w:spacing w:line="360" w:lineRule="auto"/>
              <w:jc w:val="left"/>
              <w:rPr>
                <w:rFonts w:hint="eastAsia" w:eastAsia="宋体" w:cs="Times New Roman"/>
              </w:rPr>
            </w:pPr>
            <w:r>
              <w:rPr>
                <w:rFonts w:hint="eastAsia" w:eastAsia="宋体" w:cs="Times New Roman"/>
              </w:rPr>
              <w:t>供应商或其上级机构在南宁本地具备国际通信服务能力，在南宁市本地拥有区域性国际通信出口能力的通信局站者。（中标后提供相关纸质证明材料，如未提供取消中标人资格。）</w:t>
            </w:r>
          </w:p>
          <w:p>
            <w:pPr>
              <w:numPr>
                <w:ilvl w:val="0"/>
                <w:numId w:val="2"/>
              </w:numPr>
              <w:spacing w:line="360" w:lineRule="auto"/>
              <w:jc w:val="left"/>
            </w:pPr>
            <w:r>
              <w:rPr>
                <w:rFonts w:hint="eastAsia" w:eastAsia="宋体" w:cs="Times New Roman"/>
              </w:rPr>
              <w:t>拟投入的主要项目经理同时具备信息系统项目管理师</w:t>
            </w:r>
            <w:r>
              <w:rPr>
                <w:rFonts w:hint="eastAsia" w:eastAsia="宋体" w:cs="Times New Roman"/>
                <w:lang w:eastAsia="zh-CN"/>
              </w:rPr>
              <w:t>（</w:t>
            </w:r>
            <w:r>
              <w:rPr>
                <w:rFonts w:hint="eastAsia" w:eastAsia="宋体" w:cs="Times New Roman"/>
                <w:lang w:val="en-US" w:eastAsia="zh-CN"/>
              </w:rPr>
              <w:t>高级</w:t>
            </w:r>
            <w:r>
              <w:rPr>
                <w:rFonts w:hint="eastAsia" w:eastAsia="宋体" w:cs="Times New Roman"/>
                <w:lang w:eastAsia="zh-CN"/>
              </w:rPr>
              <w:t>）</w:t>
            </w:r>
            <w:r>
              <w:rPr>
                <w:rFonts w:hint="eastAsia" w:eastAsia="宋体" w:cs="Times New Roman"/>
              </w:rPr>
              <w:t>证书</w:t>
            </w:r>
            <w:r>
              <w:rPr>
                <w:rFonts w:hint="eastAsia" w:eastAsia="宋体" w:cs="Times New Roman"/>
                <w:lang w:eastAsia="zh-CN"/>
              </w:rPr>
              <w:t>、</w:t>
            </w:r>
            <w:r>
              <w:rPr>
                <w:rFonts w:hint="eastAsia" w:eastAsia="宋体" w:cs="Times New Roman"/>
              </w:rPr>
              <w:t>网络规划设计师</w:t>
            </w:r>
            <w:r>
              <w:rPr>
                <w:rFonts w:hint="eastAsia" w:eastAsia="宋体" w:cs="Times New Roman"/>
                <w:lang w:eastAsia="zh-CN"/>
              </w:rPr>
              <w:t>（</w:t>
            </w:r>
            <w:r>
              <w:rPr>
                <w:rFonts w:hint="eastAsia" w:eastAsia="宋体" w:cs="Times New Roman"/>
                <w:lang w:val="en-US" w:eastAsia="zh-CN"/>
              </w:rPr>
              <w:t>高级</w:t>
            </w:r>
            <w:r>
              <w:rPr>
                <w:rFonts w:hint="eastAsia" w:eastAsia="宋体" w:cs="Times New Roman"/>
                <w:lang w:eastAsia="zh-CN"/>
              </w:rPr>
              <w:t>）</w:t>
            </w:r>
            <w:r>
              <w:rPr>
                <w:rFonts w:hint="eastAsia" w:eastAsia="宋体" w:cs="Times New Roman"/>
              </w:rPr>
              <w:t>证书</w:t>
            </w:r>
            <w:r>
              <w:rPr>
                <w:rFonts w:hint="eastAsia" w:eastAsia="宋体" w:cs="Times New Roman"/>
                <w:lang w:eastAsia="zh-CN"/>
              </w:rPr>
              <w:t>、互联网工程师证</w:t>
            </w:r>
            <w:r>
              <w:rPr>
                <w:rFonts w:hint="eastAsia" w:eastAsia="宋体" w:cs="Times New Roman"/>
                <w:lang w:val="en-US" w:eastAsia="zh-CN"/>
              </w:rPr>
              <w:t>书</w:t>
            </w:r>
            <w:r>
              <w:rPr>
                <w:rFonts w:hint="eastAsia" w:eastAsia="宋体" w:cs="Times New Roman"/>
              </w:rPr>
              <w:t>。（中标后提供项目经理资质证书复印件及近期一个月的依法缴纳社会保障资金的缴费凭证复印件，如未提供取消中标人资格。）</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六、付款方式：本项目无预付款，自成交人提交服务成果验收合格并交付使用后，采购人支付</w:t>
            </w:r>
            <w:r>
              <w:rPr>
                <w:rFonts w:hint="eastAsia" w:ascii="宋体" w:hAnsi="宋体"/>
                <w:lang w:val="en-US" w:eastAsia="zh-CN"/>
              </w:rPr>
              <w:t>50%</w:t>
            </w:r>
            <w:r>
              <w:rPr>
                <w:rFonts w:hint="eastAsia" w:ascii="宋体" w:hAnsi="宋体"/>
              </w:rPr>
              <w:t>合同款</w:t>
            </w:r>
            <w:r>
              <w:rPr>
                <w:rFonts w:hint="eastAsia" w:ascii="宋体" w:hAnsi="宋体"/>
                <w:lang w:val="en-US" w:eastAsia="zh-CN"/>
              </w:rPr>
              <w:t>，剩余50%在当年年底</w:t>
            </w:r>
            <w:bookmarkStart w:id="0" w:name="_GoBack"/>
            <w:bookmarkEnd w:id="0"/>
            <w:r>
              <w:rPr>
                <w:rFonts w:hint="eastAsia" w:ascii="宋体" w:hAnsi="宋体"/>
                <w:lang w:val="en-US" w:eastAsia="zh-CN"/>
              </w:rPr>
              <w:t>支付</w:t>
            </w:r>
            <w:r>
              <w:rPr>
                <w:rFonts w:hint="eastAsia" w:ascii="宋体" w:hAnsi="宋体"/>
              </w:rPr>
              <w:t>。</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七、其他要求</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本项目为服务成果整体交付应用项目，按服务总价包干，为交钥匙工程，采购人不对项目达到成果水平报的服务、货物、施工等一切内容追加支付费用，而由成交供应商在合同价内全部提供或解决，竞标报价为采购人指定地点的现场交货价，包括：</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（1）服务的价格；</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（2）相关标准附件、备品备件、专用工具的价格；</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（3）运输、装卸、调试、培训、技术支持、售后服务等费用；</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（4）必要的保险费用和各项税费；</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（5）包括安装费用；</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（6）验收的费用；</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（7）包含所产生的采购代理服务费；</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nil"/>
              <w:right w:val="single" w:color="000000" w:sz="8" w:space="0"/>
            </w:tcBorders>
            <w:noWrap w:val="0"/>
            <w:vAlign w:val="center"/>
          </w:tcPr>
          <w:p>
            <w:pPr>
              <w:spacing w:line="360" w:lineRule="auto"/>
              <w:jc w:val="left"/>
              <w:rPr>
                <w:rFonts w:ascii="宋体" w:hAnsi="宋体"/>
              </w:rPr>
            </w:pPr>
            <w:r>
              <w:rPr>
                <w:rFonts w:hint="eastAsia" w:ascii="宋体" w:hAnsi="宋体"/>
              </w:rPr>
              <w:t>（8）招标文件所要求的相关服务，以及合同明示或暗示的所有责任、义务和一般风险等费用。</w:t>
            </w:r>
          </w:p>
        </w:tc>
      </w:tr>
      <w:tr>
        <w:tblPrEx>
          <w:tblLayout w:type="fixed"/>
          <w:tblCellMar>
            <w:top w:w="0" w:type="dxa"/>
            <w:left w:w="108" w:type="dxa"/>
            <w:bottom w:w="0" w:type="dxa"/>
            <w:right w:w="108" w:type="dxa"/>
          </w:tblCellMar>
        </w:tblPrEx>
        <w:tc>
          <w:tcPr>
            <w:tcW w:w="9264" w:type="dxa"/>
            <w:gridSpan w:val="4"/>
            <w:tcBorders>
              <w:top w:val="nil"/>
              <w:left w:val="single" w:color="auto" w:sz="8" w:space="0"/>
              <w:bottom w:val="single" w:color="auto" w:sz="8" w:space="0"/>
              <w:right w:val="single" w:color="000000" w:sz="8" w:space="0"/>
            </w:tcBorders>
            <w:noWrap w:val="0"/>
            <w:vAlign w:val="center"/>
          </w:tcPr>
          <w:p>
            <w:pPr>
              <w:spacing w:line="360" w:lineRule="auto"/>
              <w:jc w:val="left"/>
              <w:rPr>
                <w:rFonts w:ascii="宋体" w:hAnsi="宋体"/>
              </w:rPr>
            </w:pPr>
            <w:r>
              <w:rPr>
                <w:rFonts w:hint="eastAsia" w:ascii="宋体" w:hAnsi="宋体"/>
              </w:rPr>
              <w:t>八、其他说明：本项目不接受进口产品（即通过中国海关报关验放进入中国境内且产自关境外的产品）参与竞标，如有此类产品参与竞标的做无效标处理。</w:t>
            </w:r>
          </w:p>
        </w:tc>
      </w:tr>
    </w:tbl>
    <w:p>
      <w:pPr>
        <w:jc w:val="left"/>
        <w:rPr>
          <w:b/>
          <w:szCs w:val="21"/>
        </w:rPr>
      </w:pPr>
      <w:r>
        <w:rPr>
          <w:rFonts w:hint="eastAsia"/>
        </w:rPr>
        <w:br w:type="page"/>
      </w:r>
      <w:r>
        <w:rPr>
          <w:rFonts w:hint="eastAsia"/>
          <w:b/>
          <w:szCs w:val="21"/>
        </w:rPr>
        <w:t>附件1：</w:t>
      </w:r>
    </w:p>
    <w:p>
      <w:pPr>
        <w:jc w:val="center"/>
        <w:rPr>
          <w:rFonts w:ascii="宋体" w:hAnsi="宋体"/>
          <w:b/>
          <w:szCs w:val="21"/>
        </w:rPr>
      </w:pPr>
      <w:r>
        <w:rPr>
          <w:b/>
          <w:szCs w:val="21"/>
        </w:rPr>
        <w:t>报价明细表</w:t>
      </w:r>
      <w:r>
        <w:rPr>
          <w:rFonts w:hint="eastAsia" w:ascii="宋体" w:hAnsi="宋体"/>
          <w:b/>
          <w:szCs w:val="21"/>
        </w:rPr>
        <w:t>（必须提供）</w:t>
      </w:r>
    </w:p>
    <w:p>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pPr>
        <w:spacing w:line="300" w:lineRule="auto"/>
        <w:rPr>
          <w:rFonts w:ascii="宋体" w:hAnsi="宋体"/>
          <w:szCs w:val="21"/>
        </w:rPr>
      </w:pPr>
      <w:r>
        <w:rPr>
          <w:rFonts w:hint="eastAsia" w:ascii="宋体" w:hAnsi="宋体"/>
          <w:szCs w:val="21"/>
        </w:rPr>
        <w:t>采购项目编号:</w:t>
      </w:r>
      <w:r>
        <w:rPr>
          <w:rFonts w:hint="eastAsia" w:ascii="宋体" w:hAnsi="宋体"/>
          <w:szCs w:val="21"/>
          <w:u w:val="single"/>
        </w:rPr>
        <w:t xml:space="preserve">                 </w:t>
      </w:r>
      <w:r>
        <w:rPr>
          <w:rFonts w:hint="eastAsia" w:ascii="宋体" w:hAnsi="宋体"/>
          <w:szCs w:val="21"/>
        </w:rPr>
        <w:t xml:space="preserve"> </w:t>
      </w:r>
    </w:p>
    <w:p>
      <w:pPr>
        <w:ind w:firstLine="2415" w:firstLineChars="1150"/>
        <w:rPr>
          <w:szCs w:val="21"/>
        </w:rPr>
      </w:pPr>
      <w:r>
        <w:rPr>
          <w:szCs w:val="21"/>
        </w:rPr>
        <w:t xml:space="preserve">                            金额单位：人民币（元）</w:t>
      </w:r>
    </w:p>
    <w:tbl>
      <w:tblPr>
        <w:tblStyle w:val="9"/>
        <w:tblW w:w="8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734"/>
        <w:gridCol w:w="1026"/>
        <w:gridCol w:w="728"/>
        <w:gridCol w:w="3068"/>
        <w:gridCol w:w="730"/>
        <w:gridCol w:w="117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9" w:hRule="atLeast"/>
          <w:jc w:val="center"/>
        </w:trPr>
        <w:tc>
          <w:tcPr>
            <w:tcW w:w="459" w:type="dxa"/>
            <w:tcBorders>
              <w:bottom w:val="single" w:color="auto" w:sz="4" w:space="0"/>
            </w:tcBorders>
            <w:noWrap w:val="0"/>
            <w:vAlign w:val="center"/>
          </w:tcPr>
          <w:p>
            <w:pPr>
              <w:pStyle w:val="7"/>
              <w:jc w:val="center"/>
              <w:rPr>
                <w:rFonts w:hAnsi="宋体"/>
                <w:spacing w:val="-20"/>
              </w:rPr>
            </w:pPr>
            <w:r>
              <w:rPr>
                <w:rFonts w:hint="eastAsia" w:hAnsi="宋体"/>
                <w:spacing w:val="-20"/>
              </w:rPr>
              <w:t>序号</w:t>
            </w:r>
          </w:p>
        </w:tc>
        <w:tc>
          <w:tcPr>
            <w:tcW w:w="734" w:type="dxa"/>
            <w:tcBorders>
              <w:bottom w:val="single" w:color="auto" w:sz="4" w:space="0"/>
            </w:tcBorders>
            <w:noWrap w:val="0"/>
            <w:vAlign w:val="center"/>
          </w:tcPr>
          <w:p>
            <w:pPr>
              <w:tabs>
                <w:tab w:val="left" w:pos="180"/>
                <w:tab w:val="left" w:pos="1620"/>
              </w:tabs>
              <w:spacing w:line="500" w:lineRule="exact"/>
              <w:jc w:val="center"/>
              <w:rPr>
                <w:rFonts w:ascii="宋体" w:hAnsi="宋体"/>
                <w:szCs w:val="21"/>
              </w:rPr>
            </w:pPr>
            <w:r>
              <w:rPr>
                <w:rFonts w:hint="eastAsia" w:ascii="宋体" w:hAnsi="宋体"/>
                <w:szCs w:val="21"/>
              </w:rPr>
              <w:t>服务名称</w:t>
            </w:r>
          </w:p>
        </w:tc>
        <w:tc>
          <w:tcPr>
            <w:tcW w:w="1026" w:type="dxa"/>
            <w:tcBorders>
              <w:bottom w:val="single" w:color="auto" w:sz="4" w:space="0"/>
            </w:tcBorders>
            <w:noWrap w:val="0"/>
            <w:vAlign w:val="center"/>
          </w:tcPr>
          <w:p>
            <w:pPr>
              <w:tabs>
                <w:tab w:val="left" w:pos="180"/>
                <w:tab w:val="left" w:pos="1620"/>
              </w:tabs>
              <w:spacing w:line="500" w:lineRule="exact"/>
              <w:jc w:val="center"/>
              <w:rPr>
                <w:rFonts w:ascii="宋体" w:hAnsi="宋体"/>
                <w:szCs w:val="21"/>
              </w:rPr>
            </w:pPr>
            <w:r>
              <w:rPr>
                <w:rFonts w:hint="eastAsia" w:ascii="宋体" w:hAnsi="宋体"/>
                <w:szCs w:val="21"/>
              </w:rPr>
              <w:t>数量</w:t>
            </w:r>
            <w:r>
              <w:rPr>
                <w:rFonts w:hint="eastAsia" w:hAnsi="宋体"/>
              </w:rPr>
              <w:t>①</w:t>
            </w:r>
          </w:p>
        </w:tc>
        <w:tc>
          <w:tcPr>
            <w:tcW w:w="728" w:type="dxa"/>
            <w:tcBorders>
              <w:bottom w:val="single" w:color="auto" w:sz="4" w:space="0"/>
            </w:tcBorders>
            <w:noWrap w:val="0"/>
            <w:vAlign w:val="center"/>
          </w:tcPr>
          <w:p>
            <w:pPr>
              <w:tabs>
                <w:tab w:val="left" w:pos="180"/>
                <w:tab w:val="left" w:pos="1620"/>
              </w:tabs>
              <w:spacing w:line="500" w:lineRule="exact"/>
              <w:jc w:val="center"/>
              <w:rPr>
                <w:rFonts w:ascii="宋体" w:hAnsi="宋体"/>
                <w:szCs w:val="21"/>
              </w:rPr>
            </w:pPr>
            <w:r>
              <w:rPr>
                <w:rFonts w:hint="eastAsia" w:ascii="宋体" w:hAnsi="宋体"/>
                <w:szCs w:val="21"/>
              </w:rPr>
              <w:t>单位</w:t>
            </w:r>
          </w:p>
        </w:tc>
        <w:tc>
          <w:tcPr>
            <w:tcW w:w="3068" w:type="dxa"/>
            <w:tcBorders>
              <w:bottom w:val="single" w:color="auto" w:sz="4" w:space="0"/>
            </w:tcBorders>
            <w:noWrap w:val="0"/>
            <w:vAlign w:val="center"/>
          </w:tcPr>
          <w:p>
            <w:pPr>
              <w:tabs>
                <w:tab w:val="left" w:pos="180"/>
                <w:tab w:val="left" w:pos="1620"/>
              </w:tabs>
              <w:spacing w:line="500" w:lineRule="exact"/>
              <w:jc w:val="center"/>
              <w:rPr>
                <w:rFonts w:ascii="宋体" w:hAnsi="宋体"/>
                <w:szCs w:val="21"/>
              </w:rPr>
            </w:pPr>
            <w:r>
              <w:rPr>
                <w:rFonts w:hint="eastAsia" w:ascii="宋体" w:hAnsi="宋体"/>
                <w:szCs w:val="21"/>
              </w:rPr>
              <w:t>技术参数要求</w:t>
            </w:r>
          </w:p>
        </w:tc>
        <w:tc>
          <w:tcPr>
            <w:tcW w:w="730" w:type="dxa"/>
            <w:tcBorders>
              <w:bottom w:val="single" w:color="auto" w:sz="4" w:space="0"/>
            </w:tcBorders>
            <w:noWrap w:val="0"/>
            <w:vAlign w:val="center"/>
          </w:tcPr>
          <w:p>
            <w:pPr>
              <w:tabs>
                <w:tab w:val="left" w:pos="180"/>
                <w:tab w:val="left" w:pos="1620"/>
              </w:tabs>
              <w:spacing w:line="500" w:lineRule="exact"/>
              <w:jc w:val="center"/>
              <w:rPr>
                <w:rFonts w:ascii="宋体" w:hAnsi="宋体"/>
                <w:szCs w:val="21"/>
              </w:rPr>
            </w:pPr>
            <w:r>
              <w:rPr>
                <w:rFonts w:hint="eastAsia" w:ascii="宋体" w:hAnsi="宋体"/>
                <w:szCs w:val="21"/>
              </w:rPr>
              <w:t>单价</w:t>
            </w:r>
            <w:r>
              <w:rPr>
                <w:rFonts w:hint="eastAsia" w:hAnsi="宋体"/>
              </w:rPr>
              <w:t>②</w:t>
            </w:r>
          </w:p>
        </w:tc>
        <w:tc>
          <w:tcPr>
            <w:tcW w:w="1170" w:type="dxa"/>
            <w:tcBorders>
              <w:bottom w:val="single" w:color="auto" w:sz="4" w:space="0"/>
            </w:tcBorders>
            <w:noWrap w:val="0"/>
            <w:vAlign w:val="center"/>
          </w:tcPr>
          <w:p>
            <w:pPr>
              <w:pStyle w:val="7"/>
              <w:jc w:val="center"/>
              <w:rPr>
                <w:rFonts w:hAnsi="宋体"/>
              </w:rPr>
            </w:pPr>
            <w:r>
              <w:rPr>
                <w:rFonts w:hint="eastAsia" w:hAnsi="宋体"/>
              </w:rPr>
              <w:t>单项合价</w:t>
            </w:r>
          </w:p>
          <w:p>
            <w:pPr>
              <w:pStyle w:val="7"/>
              <w:jc w:val="center"/>
              <w:rPr>
                <w:rFonts w:hAnsi="宋体"/>
              </w:rPr>
            </w:pPr>
            <w:r>
              <w:rPr>
                <w:rFonts w:hint="eastAsia" w:hAnsi="宋体"/>
              </w:rPr>
              <w:t>（元）</w:t>
            </w:r>
          </w:p>
          <w:p>
            <w:pPr>
              <w:pStyle w:val="7"/>
              <w:jc w:val="center"/>
              <w:rPr>
                <w:rFonts w:hAnsi="宋体"/>
              </w:rPr>
            </w:pPr>
            <w:r>
              <w:rPr>
                <w:rFonts w:hint="eastAsia" w:hAnsi="宋体"/>
              </w:rPr>
              <w:t>③</w:t>
            </w:r>
            <w:r>
              <w:rPr>
                <w:rFonts w:hAnsi="宋体"/>
              </w:rPr>
              <w:t>=</w:t>
            </w:r>
            <w:r>
              <w:rPr>
                <w:rFonts w:hint="eastAsia" w:hAnsi="宋体"/>
              </w:rPr>
              <w:t>①×②</w:t>
            </w:r>
          </w:p>
        </w:tc>
        <w:tc>
          <w:tcPr>
            <w:tcW w:w="841" w:type="dxa"/>
            <w:tcBorders>
              <w:bottom w:val="single" w:color="auto" w:sz="4" w:space="0"/>
            </w:tcBorders>
            <w:noWrap w:val="0"/>
            <w:vAlign w:val="center"/>
          </w:tcPr>
          <w:p>
            <w:pPr>
              <w:pStyle w:val="7"/>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59" w:type="dxa"/>
            <w:noWrap w:val="0"/>
            <w:vAlign w:val="center"/>
          </w:tcPr>
          <w:p>
            <w:pPr>
              <w:jc w:val="center"/>
              <w:rPr>
                <w:rFonts w:ascii="宋体" w:hAnsi="宋体"/>
                <w:sz w:val="24"/>
              </w:rPr>
            </w:pPr>
            <w:r>
              <w:rPr>
                <w:rFonts w:hint="eastAsia" w:ascii="宋体" w:hAnsi="宋体"/>
                <w:sz w:val="24"/>
              </w:rPr>
              <w:t>1</w:t>
            </w:r>
          </w:p>
        </w:tc>
        <w:tc>
          <w:tcPr>
            <w:tcW w:w="734"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728" w:type="dxa"/>
            <w:noWrap w:val="0"/>
            <w:vAlign w:val="center"/>
          </w:tcPr>
          <w:p>
            <w:pPr>
              <w:pStyle w:val="7"/>
              <w:rPr>
                <w:rFonts w:hAnsi="宋体"/>
              </w:rPr>
            </w:pPr>
          </w:p>
        </w:tc>
        <w:tc>
          <w:tcPr>
            <w:tcW w:w="3068" w:type="dxa"/>
            <w:noWrap w:val="0"/>
            <w:vAlign w:val="center"/>
          </w:tcPr>
          <w:p>
            <w:pPr>
              <w:pStyle w:val="7"/>
              <w:rPr>
                <w:rFonts w:hAnsi="宋体"/>
              </w:rPr>
            </w:pPr>
          </w:p>
        </w:tc>
        <w:tc>
          <w:tcPr>
            <w:tcW w:w="730" w:type="dxa"/>
            <w:noWrap w:val="0"/>
            <w:vAlign w:val="center"/>
          </w:tcPr>
          <w:p>
            <w:pPr>
              <w:pStyle w:val="7"/>
              <w:rPr>
                <w:rFonts w:hAnsi="宋体"/>
              </w:rPr>
            </w:pPr>
          </w:p>
        </w:tc>
        <w:tc>
          <w:tcPr>
            <w:tcW w:w="1170" w:type="dxa"/>
            <w:noWrap w:val="0"/>
            <w:vAlign w:val="center"/>
          </w:tcPr>
          <w:p>
            <w:pPr>
              <w:pStyle w:val="7"/>
              <w:rPr>
                <w:rFonts w:hAnsi="宋体"/>
              </w:rPr>
            </w:pPr>
          </w:p>
        </w:tc>
        <w:tc>
          <w:tcPr>
            <w:tcW w:w="841" w:type="dxa"/>
            <w:noWrap w:val="0"/>
            <w:vAlign w:val="center"/>
          </w:tcPr>
          <w:p>
            <w:pPr>
              <w:pStyle w:val="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59" w:type="dxa"/>
            <w:noWrap w:val="0"/>
            <w:vAlign w:val="center"/>
          </w:tcPr>
          <w:p>
            <w:pPr>
              <w:jc w:val="center"/>
              <w:rPr>
                <w:rFonts w:ascii="宋体" w:hAnsi="宋体"/>
                <w:sz w:val="24"/>
              </w:rPr>
            </w:pPr>
            <w:r>
              <w:rPr>
                <w:rFonts w:hint="eastAsia" w:ascii="宋体" w:hAnsi="宋体"/>
                <w:sz w:val="24"/>
              </w:rPr>
              <w:t>…</w:t>
            </w:r>
          </w:p>
        </w:tc>
        <w:tc>
          <w:tcPr>
            <w:tcW w:w="734"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728" w:type="dxa"/>
            <w:noWrap w:val="0"/>
            <w:vAlign w:val="center"/>
          </w:tcPr>
          <w:p>
            <w:pPr>
              <w:pStyle w:val="7"/>
              <w:rPr>
                <w:rFonts w:hAnsi="宋体"/>
              </w:rPr>
            </w:pPr>
          </w:p>
        </w:tc>
        <w:tc>
          <w:tcPr>
            <w:tcW w:w="3068" w:type="dxa"/>
            <w:noWrap w:val="0"/>
            <w:vAlign w:val="center"/>
          </w:tcPr>
          <w:p>
            <w:pPr>
              <w:pStyle w:val="7"/>
              <w:rPr>
                <w:rFonts w:hAnsi="宋体"/>
              </w:rPr>
            </w:pPr>
          </w:p>
        </w:tc>
        <w:tc>
          <w:tcPr>
            <w:tcW w:w="730" w:type="dxa"/>
            <w:noWrap w:val="0"/>
            <w:vAlign w:val="center"/>
          </w:tcPr>
          <w:p>
            <w:pPr>
              <w:pStyle w:val="7"/>
              <w:rPr>
                <w:rFonts w:hAnsi="宋体"/>
              </w:rPr>
            </w:pPr>
          </w:p>
        </w:tc>
        <w:tc>
          <w:tcPr>
            <w:tcW w:w="1170" w:type="dxa"/>
            <w:noWrap w:val="0"/>
            <w:vAlign w:val="center"/>
          </w:tcPr>
          <w:p>
            <w:pPr>
              <w:pStyle w:val="7"/>
              <w:rPr>
                <w:rFonts w:hAnsi="宋体"/>
              </w:rPr>
            </w:pPr>
          </w:p>
        </w:tc>
        <w:tc>
          <w:tcPr>
            <w:tcW w:w="841" w:type="dxa"/>
            <w:noWrap w:val="0"/>
            <w:vAlign w:val="center"/>
          </w:tcPr>
          <w:p>
            <w:pPr>
              <w:pStyle w:val="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59" w:type="dxa"/>
            <w:noWrap w:val="0"/>
            <w:vAlign w:val="center"/>
          </w:tcPr>
          <w:p>
            <w:pPr>
              <w:jc w:val="center"/>
              <w:rPr>
                <w:rFonts w:ascii="宋体" w:hAnsi="宋体"/>
                <w:sz w:val="24"/>
              </w:rPr>
            </w:pPr>
            <w:r>
              <w:rPr>
                <w:rFonts w:ascii="宋体" w:hAnsi="宋体"/>
                <w:sz w:val="24"/>
              </w:rPr>
              <w:t>N</w:t>
            </w:r>
          </w:p>
        </w:tc>
        <w:tc>
          <w:tcPr>
            <w:tcW w:w="734"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728" w:type="dxa"/>
            <w:noWrap w:val="0"/>
            <w:vAlign w:val="center"/>
          </w:tcPr>
          <w:p>
            <w:pPr>
              <w:pStyle w:val="7"/>
              <w:rPr>
                <w:rFonts w:hAnsi="宋体"/>
              </w:rPr>
            </w:pPr>
          </w:p>
        </w:tc>
        <w:tc>
          <w:tcPr>
            <w:tcW w:w="3068" w:type="dxa"/>
            <w:noWrap w:val="0"/>
            <w:vAlign w:val="center"/>
          </w:tcPr>
          <w:p>
            <w:pPr>
              <w:pStyle w:val="7"/>
              <w:rPr>
                <w:rFonts w:hAnsi="宋体"/>
              </w:rPr>
            </w:pPr>
          </w:p>
        </w:tc>
        <w:tc>
          <w:tcPr>
            <w:tcW w:w="730" w:type="dxa"/>
            <w:noWrap w:val="0"/>
            <w:vAlign w:val="center"/>
          </w:tcPr>
          <w:p>
            <w:pPr>
              <w:pStyle w:val="7"/>
              <w:rPr>
                <w:rFonts w:hAnsi="宋体"/>
              </w:rPr>
            </w:pPr>
          </w:p>
        </w:tc>
        <w:tc>
          <w:tcPr>
            <w:tcW w:w="1170" w:type="dxa"/>
            <w:noWrap w:val="0"/>
            <w:vAlign w:val="center"/>
          </w:tcPr>
          <w:p>
            <w:pPr>
              <w:pStyle w:val="7"/>
              <w:rPr>
                <w:rFonts w:hAnsi="宋体"/>
              </w:rPr>
            </w:pPr>
          </w:p>
        </w:tc>
        <w:tc>
          <w:tcPr>
            <w:tcW w:w="841" w:type="dxa"/>
            <w:noWrap w:val="0"/>
            <w:vAlign w:val="center"/>
          </w:tcPr>
          <w:p>
            <w:pPr>
              <w:pStyle w:val="7"/>
              <w:rPr>
                <w:rFonts w:hAnsi="宋体"/>
                <w:spacing w:val="-6"/>
              </w:rPr>
            </w:pPr>
          </w:p>
        </w:tc>
      </w:tr>
    </w:tbl>
    <w:p>
      <w:pPr>
        <w:ind w:firstLine="2415" w:firstLineChars="1150"/>
        <w:rPr>
          <w:szCs w:val="21"/>
        </w:rPr>
      </w:pPr>
    </w:p>
    <w:p>
      <w:pPr>
        <w:rPr>
          <w:spacing w:val="20"/>
          <w:szCs w:val="21"/>
          <w:u w:val="single"/>
        </w:rPr>
      </w:pPr>
    </w:p>
    <w:p>
      <w:pPr>
        <w:spacing w:line="360" w:lineRule="auto"/>
        <w:rPr>
          <w:spacing w:val="20"/>
          <w:szCs w:val="21"/>
        </w:rPr>
      </w:pPr>
    </w:p>
    <w:p>
      <w:pPr>
        <w:spacing w:line="360" w:lineRule="auto"/>
        <w:jc w:val="left"/>
        <w:rPr>
          <w:szCs w:val="21"/>
        </w:rPr>
      </w:pPr>
      <w:r>
        <w:rPr>
          <w:szCs w:val="21"/>
        </w:rPr>
        <w:t>注：</w:t>
      </w:r>
    </w:p>
    <w:p>
      <w:pPr>
        <w:spacing w:line="360" w:lineRule="auto"/>
        <w:jc w:val="left"/>
        <w:rPr>
          <w:szCs w:val="21"/>
        </w:rPr>
      </w:pPr>
      <w:r>
        <w:rPr>
          <w:szCs w:val="21"/>
        </w:rPr>
        <w:t>1</w:t>
      </w:r>
      <w:r>
        <w:rPr>
          <w:rFonts w:hint="eastAsia"/>
          <w:szCs w:val="21"/>
        </w:rPr>
        <w:t>、</w:t>
      </w:r>
      <w:r>
        <w:rPr>
          <w:rFonts w:hint="eastAsia" w:ascii="宋体" w:hAnsi="宋体"/>
          <w:szCs w:val="21"/>
        </w:rPr>
        <w:t>供应商的首次报价与最后报价均不能超过采购预算，否则报价无效。</w:t>
      </w:r>
    </w:p>
    <w:p>
      <w:pPr>
        <w:spacing w:line="360" w:lineRule="auto"/>
        <w:rPr>
          <w:rFonts w:ascii="宋体" w:hAnsi="宋体"/>
          <w:szCs w:val="21"/>
        </w:rPr>
      </w:pPr>
      <w:r>
        <w:rPr>
          <w:rFonts w:hint="eastAsia"/>
          <w:szCs w:val="21"/>
        </w:rPr>
        <w:t>2、</w:t>
      </w:r>
      <w:r>
        <w:rPr>
          <w:rFonts w:hint="eastAsia" w:ascii="宋体" w:hAnsi="宋体"/>
          <w:szCs w:val="21"/>
        </w:rPr>
        <w:t>竞标报价指货物、服务、随配附件、备品备件、工具、货物运抵指定交货地点、安装调试的各种费用和售后服务、税金及其它所有成本、费用的总和。</w:t>
      </w:r>
    </w:p>
    <w:p>
      <w:pPr>
        <w:spacing w:line="360" w:lineRule="auto"/>
        <w:jc w:val="left"/>
        <w:rPr>
          <w:szCs w:val="21"/>
        </w:rPr>
      </w:pPr>
      <w:r>
        <w:rPr>
          <w:rFonts w:hint="eastAsia"/>
          <w:szCs w:val="21"/>
        </w:rPr>
        <w:t>3、</w:t>
      </w:r>
      <w:r>
        <w:rPr>
          <w:rFonts w:hint="eastAsia" w:ascii="宋体" w:hAnsi="宋体"/>
          <w:szCs w:val="21"/>
        </w:rPr>
        <w:t>自然人参加谈判的无需盖章，需要签字。</w:t>
      </w:r>
    </w:p>
    <w:p>
      <w:pPr>
        <w:spacing w:line="360" w:lineRule="auto"/>
        <w:jc w:val="left"/>
        <w:rPr>
          <w:szCs w:val="21"/>
        </w:rPr>
      </w:pPr>
      <w:r>
        <w:rPr>
          <w:rFonts w:hint="eastAsia"/>
          <w:szCs w:val="21"/>
        </w:rPr>
        <w:t>4、</w:t>
      </w:r>
      <w:r>
        <w:rPr>
          <w:szCs w:val="21"/>
        </w:rPr>
        <w:t>本表可扩展，并逐页签字及盖章</w:t>
      </w:r>
      <w:r>
        <w:rPr>
          <w:rFonts w:hint="eastAsia"/>
          <w:szCs w:val="21"/>
        </w:rPr>
        <w:t>，否则其报价无效并作无效响应处理。</w:t>
      </w:r>
    </w:p>
    <w:p>
      <w:pPr>
        <w:jc w:val="left"/>
        <w:rPr>
          <w:szCs w:val="21"/>
        </w:rPr>
      </w:pPr>
    </w:p>
    <w:p>
      <w:pPr>
        <w:spacing w:line="360" w:lineRule="auto"/>
        <w:rPr>
          <w:spacing w:val="20"/>
          <w:szCs w:val="21"/>
        </w:rPr>
      </w:pPr>
    </w:p>
    <w:p>
      <w:pPr>
        <w:spacing w:line="360" w:lineRule="auto"/>
        <w:rPr>
          <w:szCs w:val="21"/>
        </w:rPr>
      </w:pPr>
      <w:r>
        <w:rPr>
          <w:szCs w:val="21"/>
        </w:rPr>
        <w:t>供应商名称（公章）：</w:t>
      </w:r>
      <w:r>
        <w:rPr>
          <w:szCs w:val="21"/>
          <w:u w:val="single"/>
        </w:rPr>
        <w:t xml:space="preserve">                          </w:t>
      </w:r>
    </w:p>
    <w:p>
      <w:pPr>
        <w:spacing w:line="360" w:lineRule="auto"/>
        <w:rPr>
          <w:spacing w:val="20"/>
          <w:szCs w:val="21"/>
          <w:u w:val="single"/>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r>
        <w:br w:type="page"/>
      </w:r>
    </w:p>
    <w:p>
      <w:pPr>
        <w:jc w:val="left"/>
        <w:rPr>
          <w:b/>
          <w:szCs w:val="21"/>
        </w:rPr>
      </w:pPr>
      <w:r>
        <w:rPr>
          <w:rFonts w:hint="eastAsia"/>
          <w:b/>
          <w:szCs w:val="21"/>
        </w:rPr>
        <w:t>附件2：</w:t>
      </w:r>
    </w:p>
    <w:p>
      <w:pPr>
        <w:spacing w:line="300" w:lineRule="auto"/>
        <w:jc w:val="center"/>
        <w:rPr>
          <w:rFonts w:ascii="宋体" w:hAnsi="宋体"/>
          <w:b/>
          <w:szCs w:val="21"/>
        </w:rPr>
      </w:pPr>
      <w:r>
        <w:rPr>
          <w:rFonts w:hint="eastAsia" w:ascii="宋体" w:hAnsi="宋体"/>
          <w:b/>
          <w:szCs w:val="21"/>
        </w:rPr>
        <w:t>偏离情况说明表（必须提供）</w:t>
      </w: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pPr>
        <w:spacing w:line="300" w:lineRule="auto"/>
        <w:rPr>
          <w:rFonts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pPr>
        <w:spacing w:line="300" w:lineRule="auto"/>
        <w:rPr>
          <w:rFonts w:ascii="宋体" w:hAnsi="宋体"/>
          <w:szCs w:val="21"/>
        </w:rPr>
      </w:pPr>
    </w:p>
    <w:tbl>
      <w:tblPr>
        <w:tblStyle w:val="9"/>
        <w:tblW w:w="850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316"/>
        <w:gridCol w:w="2268"/>
        <w:gridCol w:w="3087"/>
        <w:gridCol w:w="11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35" w:type="dxa"/>
            <w:noWrap w:val="0"/>
            <w:vAlign w:val="top"/>
          </w:tcPr>
          <w:p>
            <w:pPr>
              <w:adjustRightInd w:val="0"/>
              <w:snapToGrid w:val="0"/>
              <w:spacing w:line="300" w:lineRule="auto"/>
              <w:jc w:val="center"/>
              <w:outlineLvl w:val="0"/>
              <w:rPr>
                <w:rFonts w:ascii="宋体" w:hAnsi="宋体"/>
                <w:szCs w:val="21"/>
              </w:rPr>
            </w:pPr>
            <w:r>
              <w:rPr>
                <w:rFonts w:hint="eastAsia" w:ascii="宋体" w:hAnsi="宋体"/>
                <w:szCs w:val="21"/>
              </w:rPr>
              <w:t>序号</w:t>
            </w:r>
          </w:p>
        </w:tc>
        <w:tc>
          <w:tcPr>
            <w:tcW w:w="1316" w:type="dxa"/>
            <w:noWrap w:val="0"/>
            <w:vAlign w:val="center"/>
          </w:tcPr>
          <w:p>
            <w:pPr>
              <w:adjustRightInd w:val="0"/>
              <w:snapToGrid w:val="0"/>
              <w:spacing w:line="300" w:lineRule="auto"/>
              <w:jc w:val="center"/>
              <w:outlineLvl w:val="0"/>
              <w:rPr>
                <w:rFonts w:ascii="宋体" w:hAnsi="宋体"/>
                <w:szCs w:val="21"/>
              </w:rPr>
            </w:pPr>
            <w:r>
              <w:rPr>
                <w:rFonts w:hint="eastAsia" w:ascii="宋体" w:hAnsi="宋体"/>
                <w:szCs w:val="21"/>
              </w:rPr>
              <w:t xml:space="preserve">服务名称                    </w:t>
            </w:r>
          </w:p>
        </w:tc>
        <w:tc>
          <w:tcPr>
            <w:tcW w:w="2268" w:type="dxa"/>
            <w:noWrap w:val="0"/>
            <w:vAlign w:val="center"/>
          </w:tcPr>
          <w:p>
            <w:pPr>
              <w:adjustRightInd w:val="0"/>
              <w:snapToGrid w:val="0"/>
              <w:spacing w:line="300" w:lineRule="auto"/>
              <w:jc w:val="center"/>
              <w:outlineLvl w:val="0"/>
              <w:rPr>
                <w:rFonts w:ascii="宋体" w:hAnsi="宋体"/>
                <w:szCs w:val="21"/>
              </w:rPr>
            </w:pPr>
            <w:r>
              <w:rPr>
                <w:rFonts w:hint="eastAsia" w:ascii="宋体" w:hAnsi="宋体"/>
                <w:szCs w:val="21"/>
              </w:rPr>
              <w:t>采购文件要求</w:t>
            </w:r>
          </w:p>
        </w:tc>
        <w:tc>
          <w:tcPr>
            <w:tcW w:w="3087" w:type="dxa"/>
            <w:noWrap w:val="0"/>
            <w:vAlign w:val="center"/>
          </w:tcPr>
          <w:p>
            <w:pPr>
              <w:adjustRightInd w:val="0"/>
              <w:snapToGrid w:val="0"/>
              <w:spacing w:line="300" w:lineRule="auto"/>
              <w:ind w:left="-107" w:leftChars="-51" w:firstLine="107" w:firstLineChars="51"/>
              <w:jc w:val="center"/>
              <w:outlineLvl w:val="0"/>
              <w:rPr>
                <w:rFonts w:ascii="宋体" w:hAnsi="宋体"/>
                <w:szCs w:val="21"/>
              </w:rPr>
            </w:pPr>
            <w:r>
              <w:rPr>
                <w:rFonts w:hint="eastAsia" w:ascii="宋体" w:hAnsi="宋体"/>
                <w:szCs w:val="21"/>
              </w:rPr>
              <w:t>报价响应文件具体响应</w:t>
            </w:r>
          </w:p>
        </w:tc>
        <w:tc>
          <w:tcPr>
            <w:tcW w:w="1198" w:type="dxa"/>
            <w:noWrap w:val="0"/>
            <w:vAlign w:val="center"/>
          </w:tcPr>
          <w:p>
            <w:pPr>
              <w:adjustRightInd w:val="0"/>
              <w:snapToGrid w:val="0"/>
              <w:spacing w:line="300" w:lineRule="auto"/>
              <w:jc w:val="center"/>
              <w:outlineLvl w:val="0"/>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8504" w:type="dxa"/>
            <w:gridSpan w:val="5"/>
            <w:noWrap w:val="0"/>
            <w:vAlign w:val="top"/>
          </w:tcPr>
          <w:p>
            <w:pPr>
              <w:adjustRightInd w:val="0"/>
              <w:snapToGrid w:val="0"/>
              <w:spacing w:line="300" w:lineRule="auto"/>
              <w:jc w:val="center"/>
              <w:outlineLvl w:val="0"/>
              <w:rPr>
                <w:rFonts w:hint="eastAsia" w:ascii="宋体" w:hAnsi="宋体"/>
                <w:szCs w:val="21"/>
              </w:rPr>
            </w:pPr>
            <w:r>
              <w:rPr>
                <w:rFonts w:hint="eastAsia" w:ascii="宋体" w:hAnsi="宋体"/>
                <w:szCs w:val="21"/>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635" w:type="dxa"/>
            <w:noWrap w:val="0"/>
            <w:vAlign w:val="center"/>
          </w:tcPr>
          <w:p>
            <w:pPr>
              <w:adjustRightInd w:val="0"/>
              <w:snapToGrid w:val="0"/>
              <w:spacing w:line="300" w:lineRule="auto"/>
              <w:jc w:val="center"/>
              <w:outlineLvl w:val="0"/>
              <w:rPr>
                <w:rFonts w:ascii="宋体" w:hAnsi="宋体"/>
                <w:szCs w:val="21"/>
              </w:rPr>
            </w:pPr>
            <w:r>
              <w:rPr>
                <w:rFonts w:hint="eastAsia" w:ascii="宋体" w:hAnsi="宋体"/>
                <w:szCs w:val="21"/>
              </w:rPr>
              <w:t>1</w:t>
            </w:r>
          </w:p>
        </w:tc>
        <w:tc>
          <w:tcPr>
            <w:tcW w:w="1316" w:type="dxa"/>
            <w:noWrap w:val="0"/>
            <w:vAlign w:val="center"/>
          </w:tcPr>
          <w:p>
            <w:pPr>
              <w:adjustRightInd w:val="0"/>
              <w:snapToGrid w:val="0"/>
              <w:spacing w:line="300" w:lineRule="auto"/>
              <w:jc w:val="center"/>
              <w:outlineLvl w:val="0"/>
              <w:rPr>
                <w:rFonts w:ascii="宋体" w:hAnsi="宋体"/>
                <w:szCs w:val="21"/>
              </w:rPr>
            </w:pPr>
          </w:p>
        </w:tc>
        <w:tc>
          <w:tcPr>
            <w:tcW w:w="2268" w:type="dxa"/>
            <w:noWrap w:val="0"/>
            <w:vAlign w:val="center"/>
          </w:tcPr>
          <w:p>
            <w:pPr>
              <w:adjustRightInd w:val="0"/>
              <w:snapToGrid w:val="0"/>
              <w:spacing w:line="300" w:lineRule="auto"/>
              <w:jc w:val="center"/>
              <w:outlineLvl w:val="0"/>
              <w:rPr>
                <w:rFonts w:ascii="宋体" w:hAnsi="宋体"/>
                <w:szCs w:val="21"/>
              </w:rPr>
            </w:pPr>
          </w:p>
        </w:tc>
        <w:tc>
          <w:tcPr>
            <w:tcW w:w="3087" w:type="dxa"/>
            <w:noWrap w:val="0"/>
            <w:vAlign w:val="center"/>
          </w:tcPr>
          <w:p>
            <w:pPr>
              <w:adjustRightInd w:val="0"/>
              <w:snapToGrid w:val="0"/>
              <w:spacing w:line="300" w:lineRule="auto"/>
              <w:jc w:val="center"/>
              <w:outlineLvl w:val="0"/>
              <w:rPr>
                <w:rFonts w:ascii="宋体" w:hAnsi="宋体"/>
                <w:szCs w:val="21"/>
              </w:rPr>
            </w:pPr>
          </w:p>
        </w:tc>
        <w:tc>
          <w:tcPr>
            <w:tcW w:w="1198" w:type="dxa"/>
            <w:noWrap w:val="0"/>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35" w:type="dxa"/>
            <w:noWrap w:val="0"/>
            <w:vAlign w:val="center"/>
          </w:tcPr>
          <w:p>
            <w:pPr>
              <w:adjustRightInd w:val="0"/>
              <w:snapToGrid w:val="0"/>
              <w:spacing w:line="300" w:lineRule="auto"/>
              <w:jc w:val="center"/>
              <w:outlineLvl w:val="0"/>
              <w:rPr>
                <w:rFonts w:ascii="宋体" w:hAnsi="宋体"/>
                <w:szCs w:val="21"/>
              </w:rPr>
            </w:pPr>
            <w:r>
              <w:rPr>
                <w:rFonts w:hint="eastAsia" w:ascii="宋体" w:hAnsi="宋体"/>
                <w:szCs w:val="21"/>
              </w:rPr>
              <w:t>2</w:t>
            </w:r>
          </w:p>
        </w:tc>
        <w:tc>
          <w:tcPr>
            <w:tcW w:w="1316" w:type="dxa"/>
            <w:noWrap w:val="0"/>
            <w:vAlign w:val="center"/>
          </w:tcPr>
          <w:p>
            <w:pPr>
              <w:adjustRightInd w:val="0"/>
              <w:snapToGrid w:val="0"/>
              <w:spacing w:line="300" w:lineRule="auto"/>
              <w:jc w:val="center"/>
              <w:outlineLvl w:val="0"/>
              <w:rPr>
                <w:rFonts w:ascii="宋体" w:hAnsi="宋体"/>
                <w:szCs w:val="21"/>
              </w:rPr>
            </w:pPr>
          </w:p>
        </w:tc>
        <w:tc>
          <w:tcPr>
            <w:tcW w:w="2268" w:type="dxa"/>
            <w:noWrap w:val="0"/>
            <w:vAlign w:val="center"/>
          </w:tcPr>
          <w:p>
            <w:pPr>
              <w:adjustRightInd w:val="0"/>
              <w:snapToGrid w:val="0"/>
              <w:spacing w:line="300" w:lineRule="auto"/>
              <w:jc w:val="center"/>
              <w:outlineLvl w:val="0"/>
              <w:rPr>
                <w:rFonts w:ascii="宋体" w:hAnsi="宋体"/>
                <w:szCs w:val="21"/>
              </w:rPr>
            </w:pPr>
          </w:p>
        </w:tc>
        <w:tc>
          <w:tcPr>
            <w:tcW w:w="3087" w:type="dxa"/>
            <w:noWrap w:val="0"/>
            <w:vAlign w:val="center"/>
          </w:tcPr>
          <w:p>
            <w:pPr>
              <w:adjustRightInd w:val="0"/>
              <w:snapToGrid w:val="0"/>
              <w:spacing w:line="300" w:lineRule="auto"/>
              <w:jc w:val="center"/>
              <w:outlineLvl w:val="0"/>
              <w:rPr>
                <w:rFonts w:ascii="宋体" w:hAnsi="宋体"/>
                <w:szCs w:val="21"/>
              </w:rPr>
            </w:pPr>
          </w:p>
        </w:tc>
        <w:tc>
          <w:tcPr>
            <w:tcW w:w="1198" w:type="dxa"/>
            <w:noWrap w:val="0"/>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35" w:type="dxa"/>
            <w:noWrap w:val="0"/>
            <w:vAlign w:val="center"/>
          </w:tcPr>
          <w:p>
            <w:pPr>
              <w:adjustRightInd w:val="0"/>
              <w:snapToGrid w:val="0"/>
              <w:spacing w:line="300" w:lineRule="auto"/>
              <w:jc w:val="center"/>
              <w:outlineLvl w:val="0"/>
              <w:rPr>
                <w:rFonts w:ascii="宋体" w:hAnsi="宋体"/>
                <w:szCs w:val="21"/>
              </w:rPr>
            </w:pPr>
            <w:r>
              <w:rPr>
                <w:rFonts w:hint="eastAsia" w:ascii="宋体" w:hAnsi="宋体"/>
                <w:szCs w:val="21"/>
              </w:rPr>
              <w:t>…</w:t>
            </w:r>
          </w:p>
        </w:tc>
        <w:tc>
          <w:tcPr>
            <w:tcW w:w="1316" w:type="dxa"/>
            <w:noWrap w:val="0"/>
            <w:vAlign w:val="center"/>
          </w:tcPr>
          <w:p>
            <w:pPr>
              <w:adjustRightInd w:val="0"/>
              <w:snapToGrid w:val="0"/>
              <w:spacing w:line="300" w:lineRule="auto"/>
              <w:jc w:val="center"/>
              <w:outlineLvl w:val="0"/>
              <w:rPr>
                <w:rFonts w:ascii="宋体" w:hAnsi="宋体"/>
                <w:szCs w:val="21"/>
              </w:rPr>
            </w:pPr>
          </w:p>
        </w:tc>
        <w:tc>
          <w:tcPr>
            <w:tcW w:w="2268" w:type="dxa"/>
            <w:noWrap w:val="0"/>
            <w:vAlign w:val="center"/>
          </w:tcPr>
          <w:p>
            <w:pPr>
              <w:adjustRightInd w:val="0"/>
              <w:snapToGrid w:val="0"/>
              <w:spacing w:line="300" w:lineRule="auto"/>
              <w:jc w:val="center"/>
              <w:outlineLvl w:val="0"/>
              <w:rPr>
                <w:rFonts w:ascii="宋体" w:hAnsi="宋体"/>
                <w:szCs w:val="21"/>
              </w:rPr>
            </w:pPr>
          </w:p>
        </w:tc>
        <w:tc>
          <w:tcPr>
            <w:tcW w:w="3087" w:type="dxa"/>
            <w:noWrap w:val="0"/>
            <w:vAlign w:val="center"/>
          </w:tcPr>
          <w:p>
            <w:pPr>
              <w:adjustRightInd w:val="0"/>
              <w:snapToGrid w:val="0"/>
              <w:spacing w:line="300" w:lineRule="auto"/>
              <w:jc w:val="center"/>
              <w:outlineLvl w:val="0"/>
              <w:rPr>
                <w:rFonts w:ascii="宋体" w:hAnsi="宋体"/>
                <w:szCs w:val="21"/>
              </w:rPr>
            </w:pPr>
          </w:p>
        </w:tc>
        <w:tc>
          <w:tcPr>
            <w:tcW w:w="1198" w:type="dxa"/>
            <w:noWrap w:val="0"/>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8504" w:type="dxa"/>
            <w:gridSpan w:val="5"/>
            <w:noWrap w:val="0"/>
            <w:vAlign w:val="center"/>
          </w:tcPr>
          <w:p>
            <w:pPr>
              <w:adjustRightInd w:val="0"/>
              <w:snapToGrid w:val="0"/>
              <w:spacing w:line="300" w:lineRule="auto"/>
              <w:jc w:val="center"/>
              <w:outlineLvl w:val="0"/>
              <w:rPr>
                <w:rFonts w:ascii="宋体" w:hAnsi="宋体"/>
                <w:szCs w:val="21"/>
              </w:rPr>
            </w:pPr>
            <w:r>
              <w:rPr>
                <w:rFonts w:hint="eastAsia" w:ascii="宋体" w:hAnsi="宋体"/>
                <w:szCs w:val="21"/>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35" w:type="dxa"/>
            <w:noWrap w:val="0"/>
            <w:vAlign w:val="top"/>
          </w:tcPr>
          <w:p>
            <w:pPr>
              <w:adjustRightInd w:val="0"/>
              <w:snapToGrid w:val="0"/>
              <w:spacing w:line="300" w:lineRule="auto"/>
              <w:jc w:val="center"/>
              <w:outlineLvl w:val="0"/>
              <w:rPr>
                <w:rFonts w:ascii="宋体" w:hAnsi="宋体"/>
                <w:szCs w:val="21"/>
              </w:rPr>
            </w:pPr>
            <w:r>
              <w:rPr>
                <w:rFonts w:hint="eastAsia" w:ascii="宋体" w:hAnsi="宋体"/>
                <w:szCs w:val="21"/>
              </w:rPr>
              <w:t>1</w:t>
            </w:r>
          </w:p>
        </w:tc>
        <w:tc>
          <w:tcPr>
            <w:tcW w:w="1316" w:type="dxa"/>
            <w:noWrap w:val="0"/>
            <w:vAlign w:val="top"/>
          </w:tcPr>
          <w:p>
            <w:pPr>
              <w:adjustRightInd w:val="0"/>
              <w:snapToGrid w:val="0"/>
              <w:spacing w:line="300" w:lineRule="auto"/>
              <w:jc w:val="center"/>
              <w:outlineLvl w:val="0"/>
              <w:rPr>
                <w:rFonts w:ascii="宋体" w:hAnsi="宋体"/>
                <w:szCs w:val="21"/>
              </w:rPr>
            </w:pPr>
          </w:p>
        </w:tc>
        <w:tc>
          <w:tcPr>
            <w:tcW w:w="2268" w:type="dxa"/>
            <w:noWrap w:val="0"/>
            <w:vAlign w:val="top"/>
          </w:tcPr>
          <w:p>
            <w:pPr>
              <w:adjustRightInd w:val="0"/>
              <w:snapToGrid w:val="0"/>
              <w:spacing w:line="300" w:lineRule="auto"/>
              <w:jc w:val="center"/>
              <w:outlineLvl w:val="0"/>
              <w:rPr>
                <w:rFonts w:ascii="宋体" w:hAnsi="宋体"/>
                <w:szCs w:val="21"/>
              </w:rPr>
            </w:pPr>
          </w:p>
        </w:tc>
        <w:tc>
          <w:tcPr>
            <w:tcW w:w="3087" w:type="dxa"/>
            <w:noWrap w:val="0"/>
            <w:vAlign w:val="top"/>
          </w:tcPr>
          <w:p>
            <w:pPr>
              <w:adjustRightInd w:val="0"/>
              <w:snapToGrid w:val="0"/>
              <w:spacing w:line="300" w:lineRule="auto"/>
              <w:jc w:val="center"/>
              <w:outlineLvl w:val="0"/>
              <w:rPr>
                <w:rFonts w:ascii="宋体" w:hAnsi="宋体"/>
                <w:szCs w:val="21"/>
              </w:rPr>
            </w:pPr>
          </w:p>
        </w:tc>
        <w:tc>
          <w:tcPr>
            <w:tcW w:w="1198" w:type="dxa"/>
            <w:noWrap w:val="0"/>
            <w:vAlign w:val="top"/>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35" w:type="dxa"/>
            <w:noWrap w:val="0"/>
            <w:vAlign w:val="top"/>
          </w:tcPr>
          <w:p>
            <w:pPr>
              <w:adjustRightInd w:val="0"/>
              <w:snapToGrid w:val="0"/>
              <w:spacing w:line="300" w:lineRule="auto"/>
              <w:jc w:val="center"/>
              <w:outlineLvl w:val="0"/>
              <w:rPr>
                <w:rFonts w:ascii="宋体" w:hAnsi="宋体"/>
                <w:szCs w:val="21"/>
              </w:rPr>
            </w:pPr>
            <w:r>
              <w:rPr>
                <w:rFonts w:hint="eastAsia" w:ascii="宋体" w:hAnsi="宋体"/>
                <w:szCs w:val="21"/>
              </w:rPr>
              <w:t>2</w:t>
            </w:r>
          </w:p>
        </w:tc>
        <w:tc>
          <w:tcPr>
            <w:tcW w:w="1316" w:type="dxa"/>
            <w:noWrap w:val="0"/>
            <w:vAlign w:val="top"/>
          </w:tcPr>
          <w:p>
            <w:pPr>
              <w:adjustRightInd w:val="0"/>
              <w:snapToGrid w:val="0"/>
              <w:spacing w:line="300" w:lineRule="auto"/>
              <w:jc w:val="center"/>
              <w:outlineLvl w:val="0"/>
              <w:rPr>
                <w:rFonts w:ascii="宋体" w:hAnsi="宋体"/>
                <w:szCs w:val="21"/>
              </w:rPr>
            </w:pPr>
          </w:p>
        </w:tc>
        <w:tc>
          <w:tcPr>
            <w:tcW w:w="2268" w:type="dxa"/>
            <w:noWrap w:val="0"/>
            <w:vAlign w:val="top"/>
          </w:tcPr>
          <w:p>
            <w:pPr>
              <w:adjustRightInd w:val="0"/>
              <w:snapToGrid w:val="0"/>
              <w:spacing w:line="300" w:lineRule="auto"/>
              <w:jc w:val="center"/>
              <w:outlineLvl w:val="0"/>
              <w:rPr>
                <w:rFonts w:ascii="宋体" w:hAnsi="宋体"/>
                <w:szCs w:val="21"/>
              </w:rPr>
            </w:pPr>
          </w:p>
        </w:tc>
        <w:tc>
          <w:tcPr>
            <w:tcW w:w="3087" w:type="dxa"/>
            <w:noWrap w:val="0"/>
            <w:vAlign w:val="top"/>
          </w:tcPr>
          <w:p>
            <w:pPr>
              <w:adjustRightInd w:val="0"/>
              <w:snapToGrid w:val="0"/>
              <w:spacing w:line="300" w:lineRule="auto"/>
              <w:jc w:val="center"/>
              <w:outlineLvl w:val="0"/>
              <w:rPr>
                <w:rFonts w:ascii="宋体" w:hAnsi="宋体"/>
                <w:szCs w:val="21"/>
              </w:rPr>
            </w:pPr>
          </w:p>
        </w:tc>
        <w:tc>
          <w:tcPr>
            <w:tcW w:w="1198" w:type="dxa"/>
            <w:noWrap w:val="0"/>
            <w:vAlign w:val="top"/>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635" w:type="dxa"/>
            <w:noWrap w:val="0"/>
            <w:vAlign w:val="center"/>
          </w:tcPr>
          <w:p>
            <w:pPr>
              <w:adjustRightInd w:val="0"/>
              <w:snapToGrid w:val="0"/>
              <w:spacing w:line="300" w:lineRule="auto"/>
              <w:jc w:val="center"/>
              <w:outlineLvl w:val="0"/>
              <w:rPr>
                <w:rFonts w:ascii="宋体" w:hAnsi="宋体"/>
                <w:szCs w:val="21"/>
              </w:rPr>
            </w:pPr>
            <w:r>
              <w:rPr>
                <w:rFonts w:hint="eastAsia" w:ascii="宋体" w:hAnsi="宋体"/>
                <w:szCs w:val="21"/>
              </w:rPr>
              <w:t>…</w:t>
            </w:r>
          </w:p>
        </w:tc>
        <w:tc>
          <w:tcPr>
            <w:tcW w:w="1316" w:type="dxa"/>
            <w:noWrap w:val="0"/>
            <w:vAlign w:val="center"/>
          </w:tcPr>
          <w:p>
            <w:pPr>
              <w:adjustRightInd w:val="0"/>
              <w:snapToGrid w:val="0"/>
              <w:spacing w:line="300" w:lineRule="auto"/>
              <w:jc w:val="center"/>
              <w:outlineLvl w:val="0"/>
              <w:rPr>
                <w:rFonts w:ascii="宋体" w:hAnsi="宋体"/>
                <w:szCs w:val="21"/>
              </w:rPr>
            </w:pPr>
          </w:p>
        </w:tc>
        <w:tc>
          <w:tcPr>
            <w:tcW w:w="2268" w:type="dxa"/>
            <w:noWrap w:val="0"/>
            <w:vAlign w:val="center"/>
          </w:tcPr>
          <w:p>
            <w:pPr>
              <w:adjustRightInd w:val="0"/>
              <w:snapToGrid w:val="0"/>
              <w:spacing w:line="300" w:lineRule="auto"/>
              <w:jc w:val="center"/>
              <w:outlineLvl w:val="0"/>
              <w:rPr>
                <w:rFonts w:ascii="宋体" w:hAnsi="宋体"/>
                <w:szCs w:val="21"/>
              </w:rPr>
            </w:pPr>
          </w:p>
        </w:tc>
        <w:tc>
          <w:tcPr>
            <w:tcW w:w="3087" w:type="dxa"/>
            <w:noWrap w:val="0"/>
            <w:vAlign w:val="center"/>
          </w:tcPr>
          <w:p>
            <w:pPr>
              <w:adjustRightInd w:val="0"/>
              <w:snapToGrid w:val="0"/>
              <w:spacing w:line="300" w:lineRule="auto"/>
              <w:jc w:val="center"/>
              <w:outlineLvl w:val="0"/>
              <w:rPr>
                <w:rFonts w:ascii="宋体" w:hAnsi="宋体"/>
                <w:szCs w:val="21"/>
              </w:rPr>
            </w:pPr>
          </w:p>
        </w:tc>
        <w:tc>
          <w:tcPr>
            <w:tcW w:w="1198" w:type="dxa"/>
            <w:tcBorders>
              <w:right w:val="single" w:color="auto" w:sz="4" w:space="0"/>
            </w:tcBorders>
            <w:noWrap w:val="0"/>
            <w:vAlign w:val="center"/>
          </w:tcPr>
          <w:p>
            <w:pPr>
              <w:adjustRightInd w:val="0"/>
              <w:snapToGrid w:val="0"/>
              <w:spacing w:line="300" w:lineRule="auto"/>
              <w:jc w:val="center"/>
              <w:outlineLvl w:val="0"/>
              <w:rPr>
                <w:rFonts w:ascii="宋体" w:hAnsi="宋体"/>
                <w:szCs w:val="21"/>
              </w:rPr>
            </w:pPr>
          </w:p>
        </w:tc>
      </w:tr>
    </w:tbl>
    <w:p>
      <w:pPr>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60" w:lineRule="exact"/>
        <w:rPr>
          <w:rFonts w:hAnsi="宋体"/>
          <w:szCs w:val="21"/>
        </w:rPr>
      </w:pPr>
      <w:r>
        <w:rPr>
          <w:rFonts w:hint="eastAsia" w:ascii="宋体" w:hAnsi="宋体"/>
          <w:szCs w:val="21"/>
        </w:rPr>
        <w:t>注：</w:t>
      </w:r>
      <w:r>
        <w:rPr>
          <w:rFonts w:hint="eastAsia" w:hAnsi="宋体"/>
        </w:rPr>
        <w:t>1、应写明响应文件对商务与技术要求的响应和偏离情况；</w:t>
      </w:r>
    </w:p>
    <w:p>
      <w:pPr>
        <w:pStyle w:val="6"/>
        <w:spacing w:line="500" w:lineRule="exact"/>
        <w:ind w:firstLine="420" w:firstLineChars="200"/>
        <w:rPr>
          <w:rFonts w:ascii="宋体" w:hAnsi="宋体" w:eastAsia="宋体"/>
          <w:b/>
          <w:sz w:val="21"/>
          <w:szCs w:val="21"/>
        </w:rPr>
      </w:pPr>
      <w:r>
        <w:rPr>
          <w:rFonts w:hint="eastAsia" w:ascii="宋体" w:hAnsi="宋体" w:eastAsia="宋体"/>
          <w:sz w:val="21"/>
          <w:szCs w:val="21"/>
        </w:rPr>
        <w:t>2、应对照询价文件</w:t>
      </w:r>
      <w:r>
        <w:rPr>
          <w:rFonts w:hint="eastAsia" w:ascii="宋体" w:hAnsi="宋体" w:eastAsia="宋体"/>
          <w:b/>
          <w:sz w:val="21"/>
          <w:szCs w:val="21"/>
          <w:u w:val="single"/>
        </w:rPr>
        <w:t xml:space="preserve">  “技术参数要求”及“商务条款”逐条说明 </w:t>
      </w:r>
      <w:r>
        <w:rPr>
          <w:rFonts w:hint="eastAsia" w:ascii="宋体" w:hAnsi="宋体" w:eastAsia="宋体"/>
          <w:sz w:val="21"/>
          <w:szCs w:val="21"/>
        </w:rPr>
        <w:t>所提供货物或服务已对询价文件的技术规格做出了实质性的响应，并写明具体响应和偏离情况。</w:t>
      </w:r>
    </w:p>
    <w:p>
      <w:pPr>
        <w:pStyle w:val="6"/>
        <w:spacing w:line="500" w:lineRule="exact"/>
        <w:ind w:firstLine="420" w:firstLineChars="200"/>
        <w:rPr>
          <w:rFonts w:ascii="宋体" w:hAnsi="宋体" w:eastAsia="宋体"/>
          <w:sz w:val="21"/>
          <w:szCs w:val="21"/>
        </w:rPr>
      </w:pPr>
      <w:r>
        <w:rPr>
          <w:rFonts w:hint="eastAsia" w:ascii="宋体" w:hAnsi="宋体" w:eastAsia="宋体"/>
          <w:sz w:val="21"/>
          <w:szCs w:val="21"/>
        </w:rPr>
        <w:t>3、自然人参加报价的无需盖章，需要签字。</w:t>
      </w:r>
    </w:p>
    <w:p>
      <w:pPr>
        <w:pStyle w:val="7"/>
        <w:spacing w:line="300" w:lineRule="auto"/>
        <w:rPr>
          <w:rFonts w:hAnsi="宋体"/>
        </w:rPr>
      </w:pPr>
    </w:p>
    <w:p>
      <w:pPr>
        <w:pStyle w:val="7"/>
        <w:spacing w:line="300" w:lineRule="auto"/>
        <w:rPr>
          <w:rFonts w:hAnsi="宋体"/>
        </w:rPr>
      </w:pPr>
    </w:p>
    <w:p>
      <w:pPr>
        <w:spacing w:line="360" w:lineRule="auto"/>
        <w:rPr>
          <w:szCs w:val="21"/>
        </w:rPr>
      </w:pPr>
      <w:r>
        <w:rPr>
          <w:szCs w:val="21"/>
        </w:rPr>
        <w:t>供应商名称（公章）：</w:t>
      </w:r>
      <w:r>
        <w:rPr>
          <w:szCs w:val="21"/>
          <w:u w:val="single"/>
        </w:rPr>
        <w:t xml:space="preserve">                          </w:t>
      </w:r>
    </w:p>
    <w:p>
      <w:pPr>
        <w:spacing w:line="360" w:lineRule="auto"/>
        <w:rPr>
          <w:spacing w:val="20"/>
          <w:szCs w:val="21"/>
          <w:u w:val="single"/>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
      <w:pPr>
        <w:pStyle w:val="2"/>
        <w:rPr>
          <w:rFonts w:ascii="宋体" w:hAnsi="宋体"/>
          <w:b/>
          <w:sz w:val="32"/>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015A8C"/>
    <w:multiLevelType w:val="multilevel"/>
    <w:tmpl w:val="CE015A8C"/>
    <w:lvl w:ilvl="0" w:tentative="0">
      <w:start w:val="1"/>
      <w:numFmt w:val="chineseCounting"/>
      <w:pStyle w:val="3"/>
      <w:suff w:val="nothing"/>
      <w:lvlText w:val="第%1章 "/>
      <w:lvlJc w:val="left"/>
      <w:pPr>
        <w:tabs>
          <w:tab w:val="left" w:pos="2381"/>
        </w:tabs>
        <w:ind w:left="432" w:hanging="432"/>
      </w:pPr>
      <w:rPr>
        <w:rFonts w:hint="eastAsia" w:ascii="宋体" w:hAnsi="宋体" w:eastAsia="宋体" w:cs="宋体"/>
      </w:rPr>
    </w:lvl>
    <w:lvl w:ilvl="1" w:tentative="0">
      <w:start w:val="1"/>
      <w:numFmt w:val="decimal"/>
      <w:isLgl/>
      <w:lvlText w:val="%1.%2"/>
      <w:lvlJc w:val="left"/>
      <w:pPr>
        <w:tabs>
          <w:tab w:val="left" w:pos="420"/>
        </w:tabs>
        <w:ind w:left="575" w:hanging="178"/>
      </w:pPr>
      <w:rPr>
        <w:rFonts w:hint="eastAsia" w:ascii="宋体" w:hAnsi="宋体" w:eastAsia="宋体" w:cs="宋体"/>
      </w:rPr>
    </w:lvl>
    <w:lvl w:ilvl="2" w:tentative="0">
      <w:start w:val="1"/>
      <w:numFmt w:val="decimal"/>
      <w:isLgl/>
      <w:lvlText w:val="%1.%2.%3"/>
      <w:lvlJc w:val="left"/>
      <w:pPr>
        <w:tabs>
          <w:tab w:val="left" w:pos="794"/>
        </w:tabs>
        <w:ind w:left="720" w:firstLine="74"/>
      </w:pPr>
      <w:rPr>
        <w:rFonts w:hint="eastAsia" w:ascii="宋体" w:hAnsi="宋体" w:eastAsia="宋体" w:cs="宋体"/>
      </w:rPr>
    </w:lvl>
    <w:lvl w:ilvl="3" w:tentative="0">
      <w:start w:val="1"/>
      <w:numFmt w:val="decimal"/>
      <w:isLgl/>
      <w:lvlText w:val="%1.%2.%3.%4"/>
      <w:lvlJc w:val="left"/>
      <w:pPr>
        <w:tabs>
          <w:tab w:val="left" w:pos="1191"/>
        </w:tabs>
        <w:ind w:left="864" w:hanging="70"/>
      </w:pPr>
      <w:rPr>
        <w:rFonts w:hint="eastAsia" w:ascii="宋体" w:hAnsi="宋体" w:eastAsia="宋体" w:cs="宋体"/>
      </w:rPr>
    </w:lvl>
    <w:lvl w:ilvl="4" w:tentative="0">
      <w:start w:val="1"/>
      <w:numFmt w:val="decimal"/>
      <w:isLgl/>
      <w:lvlText w:val="%1.%2.%3.%4.%5"/>
      <w:lvlJc w:val="left"/>
      <w:pPr>
        <w:tabs>
          <w:tab w:val="left" w:pos="2268"/>
        </w:tabs>
        <w:ind w:left="1008" w:hanging="214"/>
      </w:pPr>
      <w:rPr>
        <w:rFonts w:hint="eastAsia" w:ascii="宋体" w:hAnsi="宋体" w:eastAsia="宋体" w:cs="宋体"/>
      </w:rPr>
    </w:lvl>
    <w:lvl w:ilvl="5" w:tentative="0">
      <w:start w:val="1"/>
      <w:numFmt w:val="decimal"/>
      <w:isLgl/>
      <w:lvlText w:val="%1.%2.%3.%4.%5.%6"/>
      <w:lvlJc w:val="left"/>
      <w:pPr>
        <w:tabs>
          <w:tab w:val="left" w:pos="1984"/>
        </w:tabs>
        <w:ind w:left="1151" w:hanging="357"/>
      </w:pPr>
      <w:rPr>
        <w:rFonts w:hint="eastAsia" w:ascii="宋体" w:hAnsi="宋体" w:eastAsia="宋体" w:cs="宋体"/>
      </w:rPr>
    </w:lvl>
    <w:lvl w:ilvl="6" w:tentative="0">
      <w:start w:val="1"/>
      <w:numFmt w:val="decimal"/>
      <w:isLgl/>
      <w:lvlText w:val="%1.%2.%3.%4.%5.%6.%7"/>
      <w:lvlJc w:val="left"/>
      <w:pPr>
        <w:tabs>
          <w:tab w:val="left" w:pos="2381"/>
        </w:tabs>
        <w:ind w:left="1296" w:hanging="502"/>
      </w:pPr>
      <w:rPr>
        <w:rFonts w:hint="eastAsia" w:ascii="宋体" w:hAnsi="宋体" w:eastAsia="宋体" w:cs="宋体"/>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E40C7A58"/>
    <w:multiLevelType w:val="singleLevel"/>
    <w:tmpl w:val="E40C7A58"/>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wNTM5NzYwMDRjMzkwZTVkZjY2ODkwMGIxNGU0OTUifQ=="/>
  </w:docVars>
  <w:rsids>
    <w:rsidRoot w:val="007E7DFB"/>
    <w:rsid w:val="00033B08"/>
    <w:rsid w:val="00115C95"/>
    <w:rsid w:val="001756E1"/>
    <w:rsid w:val="00200FFE"/>
    <w:rsid w:val="00284E29"/>
    <w:rsid w:val="002C5597"/>
    <w:rsid w:val="00421E5C"/>
    <w:rsid w:val="004318E9"/>
    <w:rsid w:val="00492269"/>
    <w:rsid w:val="0068194E"/>
    <w:rsid w:val="006D05AD"/>
    <w:rsid w:val="0070410F"/>
    <w:rsid w:val="007E7DFB"/>
    <w:rsid w:val="009345EB"/>
    <w:rsid w:val="00A42E6B"/>
    <w:rsid w:val="00B03A55"/>
    <w:rsid w:val="00BB45AD"/>
    <w:rsid w:val="00C96850"/>
    <w:rsid w:val="00F56BFA"/>
    <w:rsid w:val="085F7B47"/>
    <w:rsid w:val="096B7D90"/>
    <w:rsid w:val="0B951126"/>
    <w:rsid w:val="0C01398D"/>
    <w:rsid w:val="1149458E"/>
    <w:rsid w:val="114A472F"/>
    <w:rsid w:val="12182BBC"/>
    <w:rsid w:val="1266673E"/>
    <w:rsid w:val="140C4900"/>
    <w:rsid w:val="154E1149"/>
    <w:rsid w:val="15CD5DFC"/>
    <w:rsid w:val="19BA4743"/>
    <w:rsid w:val="1CAB35DF"/>
    <w:rsid w:val="1D2828BF"/>
    <w:rsid w:val="1D436406"/>
    <w:rsid w:val="1DFE6FCD"/>
    <w:rsid w:val="1DFF037E"/>
    <w:rsid w:val="1E9D6E95"/>
    <w:rsid w:val="20094FC7"/>
    <w:rsid w:val="21E949C3"/>
    <w:rsid w:val="22463397"/>
    <w:rsid w:val="23C37214"/>
    <w:rsid w:val="243D7784"/>
    <w:rsid w:val="25333A00"/>
    <w:rsid w:val="25717390"/>
    <w:rsid w:val="2B9E0D39"/>
    <w:rsid w:val="2BDB3593"/>
    <w:rsid w:val="2C6D2EF1"/>
    <w:rsid w:val="2E642B9E"/>
    <w:rsid w:val="30B125B6"/>
    <w:rsid w:val="30B74AFA"/>
    <w:rsid w:val="32110815"/>
    <w:rsid w:val="359955FD"/>
    <w:rsid w:val="376F483A"/>
    <w:rsid w:val="39C536E6"/>
    <w:rsid w:val="39DA5E57"/>
    <w:rsid w:val="3A2907F7"/>
    <w:rsid w:val="3A9313A4"/>
    <w:rsid w:val="3BBF4428"/>
    <w:rsid w:val="3D1F69CB"/>
    <w:rsid w:val="3DA1373C"/>
    <w:rsid w:val="3F195970"/>
    <w:rsid w:val="3F697DC5"/>
    <w:rsid w:val="3FDD4662"/>
    <w:rsid w:val="41313685"/>
    <w:rsid w:val="41FA1ECF"/>
    <w:rsid w:val="42413965"/>
    <w:rsid w:val="436F06B1"/>
    <w:rsid w:val="4469128D"/>
    <w:rsid w:val="44866F02"/>
    <w:rsid w:val="454B14C2"/>
    <w:rsid w:val="4588384A"/>
    <w:rsid w:val="45AA5648"/>
    <w:rsid w:val="463830C3"/>
    <w:rsid w:val="490F65AE"/>
    <w:rsid w:val="4A631DE2"/>
    <w:rsid w:val="4A772BE9"/>
    <w:rsid w:val="50036AD7"/>
    <w:rsid w:val="519F143A"/>
    <w:rsid w:val="52311972"/>
    <w:rsid w:val="560F18FC"/>
    <w:rsid w:val="57AE7967"/>
    <w:rsid w:val="57F36C10"/>
    <w:rsid w:val="59D7627C"/>
    <w:rsid w:val="5A7664FC"/>
    <w:rsid w:val="5ABD0186"/>
    <w:rsid w:val="5AF87457"/>
    <w:rsid w:val="5B427A6A"/>
    <w:rsid w:val="62161D49"/>
    <w:rsid w:val="636B028F"/>
    <w:rsid w:val="63B472ED"/>
    <w:rsid w:val="641A154E"/>
    <w:rsid w:val="64353686"/>
    <w:rsid w:val="669B2BD8"/>
    <w:rsid w:val="6B9E1F8B"/>
    <w:rsid w:val="6CAB0F9C"/>
    <w:rsid w:val="6E282DAB"/>
    <w:rsid w:val="7280277B"/>
    <w:rsid w:val="73023D3C"/>
    <w:rsid w:val="747B2275"/>
    <w:rsid w:val="747B4833"/>
    <w:rsid w:val="76941967"/>
    <w:rsid w:val="76CC231B"/>
    <w:rsid w:val="76E650A7"/>
    <w:rsid w:val="77BF2045"/>
    <w:rsid w:val="78D224FC"/>
    <w:rsid w:val="7A383BCB"/>
    <w:rsid w:val="7B4B0AB8"/>
    <w:rsid w:val="7CF62F8E"/>
    <w:rsid w:val="7D872221"/>
    <w:rsid w:val="7FF83B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4">
    <w:name w:val="annotation text"/>
    <w:basedOn w:val="1"/>
    <w:uiPriority w:val="0"/>
    <w:pPr>
      <w:jc w:val="left"/>
    </w:pPr>
  </w:style>
  <w:style w:type="paragraph" w:styleId="5">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6">
    <w:name w:val="Body Text Indent"/>
    <w:basedOn w:val="1"/>
    <w:qFormat/>
    <w:uiPriority w:val="0"/>
    <w:pPr>
      <w:ind w:firstLine="830" w:firstLineChars="352"/>
    </w:pPr>
    <w:rPr>
      <w:rFonts w:ascii="仿宋_GB2312" w:hAnsi="Calibri" w:eastAsia="仿宋_GB2312"/>
      <w:sz w:val="32"/>
      <w:szCs w:val="20"/>
    </w:rPr>
  </w:style>
  <w:style w:type="paragraph" w:styleId="7">
    <w:name w:val="Plain Text"/>
    <w:basedOn w:val="1"/>
    <w:qFormat/>
    <w:uiPriority w:val="0"/>
    <w:rPr>
      <w:rFonts w:ascii="宋体" w:hAnsi="Courier New" w:eastAsia="宋体" w:cs="宋体"/>
    </w:rPr>
  </w:style>
  <w:style w:type="paragraph" w:styleId="8">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customStyle="1" w:styleId="11">
    <w:name w:val="页脚 Char"/>
    <w:link w:val="2"/>
    <w:uiPriority w:val="0"/>
    <w:rPr>
      <w:rFonts w:ascii="Calibri" w:hAnsi="Calibri"/>
      <w:kern w:val="2"/>
      <w:sz w:val="18"/>
      <w:szCs w:val="18"/>
    </w:rPr>
  </w:style>
  <w:style w:type="character" w:customStyle="1" w:styleId="12">
    <w:name w:val="页眉 Char"/>
    <w:link w:val="8"/>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2801</Words>
  <Characters>2927</Characters>
  <Lines>24</Lines>
  <Paragraphs>6</Paragraphs>
  <TotalTime>11</TotalTime>
  <ScaleCrop>false</ScaleCrop>
  <LinksUpToDate>false</LinksUpToDate>
  <CharactersWithSpaces>3217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Administrator</dc:creator>
  <cp:lastModifiedBy>WPS_1623918270</cp:lastModifiedBy>
  <dcterms:modified xsi:type="dcterms:W3CDTF">2024-10-15T09:27:56Z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30586B4AFE1C426D8B9834CF4ABFDE42</vt:lpwstr>
  </property>
</Properties>
</file>