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3F6AE">
      <w:pPr>
        <w:spacing w:line="360" w:lineRule="auto"/>
      </w:pPr>
      <w:bookmarkStart w:id="0" w:name="_GoBack"/>
      <w:bookmarkEnd w:id="0"/>
    </w:p>
    <w:tbl>
      <w:tblPr>
        <w:tblStyle w:val="7"/>
        <w:tblW w:w="105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545"/>
        <w:gridCol w:w="842"/>
        <w:gridCol w:w="810"/>
        <w:gridCol w:w="405"/>
        <w:gridCol w:w="825"/>
        <w:gridCol w:w="4364"/>
        <w:gridCol w:w="2034"/>
      </w:tblGrid>
      <w:tr w14:paraId="2BC09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10573" w:type="dxa"/>
            <w:gridSpan w:val="8"/>
            <w:tcBorders>
              <w:top w:val="single" w:color="auto" w:sz="4" w:space="0"/>
              <w:left w:val="single" w:color="auto" w:sz="4" w:space="0"/>
              <w:right w:val="single" w:color="auto" w:sz="4" w:space="0"/>
            </w:tcBorders>
            <w:vAlign w:val="center"/>
          </w:tcPr>
          <w:p w14:paraId="190D97DC">
            <w:pPr>
              <w:spacing w:line="360" w:lineRule="auto"/>
              <w:jc w:val="center"/>
              <w:rPr>
                <w:rFonts w:ascii="宋体" w:hAnsi="宋体" w:cs="宋体"/>
                <w:b/>
                <w:szCs w:val="21"/>
              </w:rPr>
            </w:pPr>
            <w:r>
              <w:rPr>
                <w:rFonts w:hint="eastAsia" w:asciiTheme="majorEastAsia" w:hAnsiTheme="majorEastAsia" w:eastAsiaTheme="majorEastAsia" w:cstheme="majorEastAsia"/>
                <w:b/>
                <w:sz w:val="44"/>
                <w:szCs w:val="44"/>
              </w:rPr>
              <w:t>货物需求一览表</w:t>
            </w:r>
          </w:p>
        </w:tc>
      </w:tr>
      <w:tr w14:paraId="5ED57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35" w:type="dxa"/>
            <w:gridSpan w:val="3"/>
            <w:tcBorders>
              <w:top w:val="single" w:color="auto" w:sz="4" w:space="0"/>
              <w:left w:val="single" w:color="auto" w:sz="4" w:space="0"/>
              <w:right w:val="single" w:color="auto" w:sz="4" w:space="0"/>
            </w:tcBorders>
            <w:vAlign w:val="center"/>
          </w:tcPr>
          <w:p w14:paraId="37FF5050">
            <w:pPr>
              <w:spacing w:line="320" w:lineRule="exact"/>
              <w:jc w:val="center"/>
              <w:rPr>
                <w:rFonts w:ascii="仿宋_GB2312" w:hAnsi="宋体" w:eastAsia="仿宋_GB2312" w:cs="Arial"/>
                <w:szCs w:val="21"/>
              </w:rPr>
            </w:pPr>
            <w:r>
              <w:rPr>
                <w:rFonts w:hint="eastAsia" w:asciiTheme="majorEastAsia" w:hAnsiTheme="majorEastAsia" w:eastAsiaTheme="majorEastAsia" w:cstheme="majorEastAsia"/>
                <w:szCs w:val="21"/>
              </w:rPr>
              <w:t>标段</w:t>
            </w:r>
          </w:p>
        </w:tc>
        <w:tc>
          <w:tcPr>
            <w:tcW w:w="8438" w:type="dxa"/>
            <w:gridSpan w:val="5"/>
            <w:tcBorders>
              <w:top w:val="single" w:color="auto" w:sz="4" w:space="0"/>
              <w:left w:val="single" w:color="auto" w:sz="4" w:space="0"/>
              <w:right w:val="single" w:color="auto" w:sz="4" w:space="0"/>
            </w:tcBorders>
            <w:vAlign w:val="center"/>
          </w:tcPr>
          <w:p w14:paraId="132EC4CD">
            <w:pPr>
              <w:spacing w:line="320" w:lineRule="exact"/>
              <w:jc w:val="left"/>
              <w:rPr>
                <w:rFonts w:hAnsi="宋体"/>
                <w:b/>
                <w:bCs/>
                <w:szCs w:val="21"/>
              </w:rPr>
            </w:pPr>
          </w:p>
        </w:tc>
      </w:tr>
      <w:tr w14:paraId="5AD30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48" w:type="dxa"/>
            <w:vMerge w:val="restart"/>
            <w:tcBorders>
              <w:top w:val="single" w:color="auto" w:sz="4" w:space="0"/>
              <w:left w:val="single" w:color="auto" w:sz="4" w:space="0"/>
              <w:right w:val="single" w:color="auto" w:sz="4" w:space="0"/>
            </w:tcBorders>
          </w:tcPr>
          <w:p w14:paraId="1162BB6F">
            <w:pPr>
              <w:jc w:val="center"/>
              <w:rPr>
                <w:rFonts w:ascii="宋体" w:hAnsi="宋体" w:cs="宋体"/>
                <w:szCs w:val="21"/>
              </w:rPr>
            </w:pPr>
            <w:r>
              <w:rPr>
                <w:rFonts w:hint="eastAsia" w:ascii="宋体" w:hAnsi="宋体" w:cs="宋体"/>
                <w:szCs w:val="21"/>
              </w:rPr>
              <w:t>采购清单及货物参数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5E3F6E3">
            <w:pPr>
              <w:jc w:val="center"/>
              <w:rPr>
                <w:rFonts w:ascii="宋体" w:hAnsi="宋体" w:cs="宋体"/>
                <w:szCs w:val="21"/>
              </w:rPr>
            </w:pPr>
            <w:r>
              <w:rPr>
                <w:rFonts w:hint="eastAsia" w:ascii="宋体" w:hAnsi="宋体" w:cs="宋体"/>
                <w:szCs w:val="21"/>
              </w:rPr>
              <w:t>序号</w:t>
            </w:r>
          </w:p>
        </w:tc>
        <w:tc>
          <w:tcPr>
            <w:tcW w:w="842" w:type="dxa"/>
            <w:tcBorders>
              <w:top w:val="single" w:color="auto" w:sz="4" w:space="0"/>
              <w:left w:val="single" w:color="auto" w:sz="4" w:space="0"/>
              <w:bottom w:val="single" w:color="auto" w:sz="4" w:space="0"/>
              <w:right w:val="single" w:color="auto" w:sz="4" w:space="0"/>
            </w:tcBorders>
            <w:vAlign w:val="center"/>
          </w:tcPr>
          <w:p w14:paraId="7B291ED0">
            <w:pPr>
              <w:jc w:val="center"/>
              <w:rPr>
                <w:rFonts w:ascii="宋体" w:hAnsi="宋体" w:cs="宋体"/>
                <w:szCs w:val="21"/>
              </w:rPr>
            </w:pPr>
            <w:r>
              <w:rPr>
                <w:rFonts w:hint="eastAsia" w:ascii="宋体" w:hAnsi="宋体" w:cs="宋体"/>
                <w:szCs w:val="21"/>
              </w:rPr>
              <w:t>采购货物名称</w:t>
            </w:r>
          </w:p>
        </w:tc>
        <w:tc>
          <w:tcPr>
            <w:tcW w:w="810" w:type="dxa"/>
            <w:tcBorders>
              <w:top w:val="single" w:color="auto" w:sz="4" w:space="0"/>
              <w:left w:val="single" w:color="auto" w:sz="4" w:space="0"/>
              <w:bottom w:val="single" w:color="auto" w:sz="4" w:space="0"/>
              <w:right w:val="single" w:color="auto" w:sz="4" w:space="0"/>
            </w:tcBorders>
            <w:vAlign w:val="center"/>
          </w:tcPr>
          <w:p w14:paraId="22731976">
            <w:pPr>
              <w:jc w:val="center"/>
              <w:rPr>
                <w:rFonts w:hint="default" w:ascii="宋体" w:hAnsi="宋体" w:eastAsia="宋体" w:cs="宋体"/>
                <w:szCs w:val="21"/>
                <w:lang w:val="en-US" w:eastAsia="zh-CN"/>
              </w:rPr>
            </w:pPr>
            <w:r>
              <w:rPr>
                <w:rFonts w:hint="eastAsia" w:ascii="宋体" w:hAnsi="宋体" w:cs="宋体"/>
                <w:szCs w:val="21"/>
                <w:lang w:val="en-US" w:eastAsia="zh-CN"/>
              </w:rPr>
              <w:t>意向品牌/型号</w:t>
            </w:r>
          </w:p>
        </w:tc>
        <w:tc>
          <w:tcPr>
            <w:tcW w:w="405" w:type="dxa"/>
            <w:tcBorders>
              <w:top w:val="single" w:color="auto" w:sz="4" w:space="0"/>
              <w:left w:val="single" w:color="auto" w:sz="4" w:space="0"/>
              <w:bottom w:val="single" w:color="auto" w:sz="4" w:space="0"/>
              <w:right w:val="single" w:color="auto" w:sz="4" w:space="0"/>
            </w:tcBorders>
            <w:vAlign w:val="center"/>
          </w:tcPr>
          <w:p w14:paraId="09E99499">
            <w:pPr>
              <w:jc w:val="center"/>
              <w:rPr>
                <w:rFonts w:hint="eastAsia" w:ascii="宋体" w:hAnsi="宋体" w:cs="宋体"/>
                <w:szCs w:val="21"/>
              </w:rPr>
            </w:pPr>
            <w:r>
              <w:rPr>
                <w:rFonts w:hint="eastAsia" w:ascii="宋体" w:hAnsi="宋体" w:cs="宋体"/>
                <w:szCs w:val="21"/>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5A68670E">
            <w:pPr>
              <w:jc w:val="center"/>
              <w:rPr>
                <w:rFonts w:ascii="宋体" w:hAnsi="宋体" w:cs="宋体"/>
                <w:szCs w:val="21"/>
              </w:rPr>
            </w:pPr>
            <w:r>
              <w:rPr>
                <w:rFonts w:hint="eastAsia" w:ascii="宋体" w:hAnsi="宋体" w:cs="宋体"/>
                <w:szCs w:val="21"/>
              </w:rPr>
              <w:t>数量</w:t>
            </w:r>
          </w:p>
        </w:tc>
        <w:tc>
          <w:tcPr>
            <w:tcW w:w="4364" w:type="dxa"/>
            <w:tcBorders>
              <w:top w:val="single" w:color="auto" w:sz="4" w:space="0"/>
              <w:left w:val="single" w:color="auto" w:sz="4" w:space="0"/>
              <w:bottom w:val="single" w:color="auto" w:sz="4" w:space="0"/>
              <w:right w:val="single" w:color="auto" w:sz="4" w:space="0"/>
            </w:tcBorders>
            <w:vAlign w:val="center"/>
          </w:tcPr>
          <w:p w14:paraId="639444DC">
            <w:pPr>
              <w:jc w:val="center"/>
              <w:rPr>
                <w:rFonts w:ascii="宋体" w:hAnsi="宋体" w:cs="宋体"/>
                <w:szCs w:val="21"/>
              </w:rPr>
            </w:pPr>
            <w:r>
              <w:rPr>
                <w:rFonts w:hint="eastAsia" w:ascii="宋体" w:hAnsi="宋体" w:cs="宋体"/>
                <w:szCs w:val="21"/>
              </w:rPr>
              <w:t>货物参数</w:t>
            </w:r>
          </w:p>
        </w:tc>
        <w:tc>
          <w:tcPr>
            <w:tcW w:w="2034" w:type="dxa"/>
            <w:tcBorders>
              <w:top w:val="single" w:color="auto" w:sz="4" w:space="0"/>
              <w:left w:val="single" w:color="auto" w:sz="4" w:space="0"/>
              <w:bottom w:val="single" w:color="auto" w:sz="4" w:space="0"/>
              <w:right w:val="single" w:color="auto" w:sz="4" w:space="0"/>
            </w:tcBorders>
            <w:vAlign w:val="center"/>
          </w:tcPr>
          <w:p w14:paraId="01EFF115">
            <w:pPr>
              <w:jc w:val="center"/>
              <w:rPr>
                <w:rFonts w:ascii="宋体" w:hAnsi="宋体" w:cs="宋体"/>
                <w:szCs w:val="21"/>
              </w:rPr>
            </w:pPr>
            <w:r>
              <w:rPr>
                <w:rFonts w:hint="eastAsia"/>
                <w:szCs w:val="21"/>
              </w:rPr>
              <w:t>中小企业划分标准所属行业名称</w:t>
            </w:r>
          </w:p>
        </w:tc>
      </w:tr>
      <w:tr w14:paraId="409F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8" w:type="dxa"/>
            <w:vMerge w:val="continue"/>
            <w:tcBorders>
              <w:left w:val="single" w:color="auto" w:sz="4" w:space="0"/>
              <w:right w:val="single" w:color="auto" w:sz="4" w:space="0"/>
            </w:tcBorders>
          </w:tcPr>
          <w:p w14:paraId="63BD8B83">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1EBED385">
            <w:pPr>
              <w:spacing w:line="240" w:lineRule="exact"/>
              <w:jc w:val="center"/>
              <w:rPr>
                <w:rFonts w:hint="eastAsia" w:ascii="宋体" w:hAnsi="宋体"/>
                <w:szCs w:val="21"/>
              </w:rPr>
            </w:pPr>
            <w:r>
              <w:rPr>
                <w:rFonts w:hint="eastAsia" w:ascii="宋体" w:hAnsi="宋体"/>
                <w:szCs w:val="21"/>
              </w:rPr>
              <w:t>1</w:t>
            </w:r>
          </w:p>
        </w:tc>
        <w:tc>
          <w:tcPr>
            <w:tcW w:w="842" w:type="dxa"/>
            <w:tcBorders>
              <w:top w:val="single" w:color="auto" w:sz="4" w:space="0"/>
              <w:left w:val="single" w:color="auto" w:sz="4" w:space="0"/>
              <w:bottom w:val="single" w:color="auto" w:sz="4" w:space="0"/>
              <w:right w:val="single" w:color="auto" w:sz="4" w:space="0"/>
            </w:tcBorders>
            <w:vAlign w:val="center"/>
          </w:tcPr>
          <w:p w14:paraId="20FE72F3">
            <w:pPr>
              <w:spacing w:line="260" w:lineRule="exact"/>
              <w:jc w:val="center"/>
              <w:rPr>
                <w:rFonts w:hint="eastAsia" w:asciiTheme="minorEastAsia" w:hAnsiTheme="minorEastAsia" w:eastAsiaTheme="minorEastAsia" w:cstheme="minorEastAsia"/>
                <w:b/>
                <w:szCs w:val="21"/>
              </w:rPr>
            </w:pPr>
            <w:r>
              <w:rPr>
                <w:rFonts w:hint="eastAsia" w:ascii="宋体" w:hAnsi="宋体" w:eastAsia="宋体" w:cs="宋体"/>
                <w:sz w:val="21"/>
                <w:szCs w:val="21"/>
              </w:rPr>
              <w:t>单体</w:t>
            </w:r>
            <w:r>
              <w:rPr>
                <w:rFonts w:hint="eastAsia" w:ascii="宋体" w:hAnsi="宋体" w:eastAsia="宋体" w:cs="宋体"/>
                <w:sz w:val="21"/>
                <w:szCs w:val="21"/>
                <w:lang w:val="en-US" w:eastAsia="zh-CN"/>
              </w:rPr>
              <w:t>床架</w:t>
            </w:r>
          </w:p>
        </w:tc>
        <w:tc>
          <w:tcPr>
            <w:tcW w:w="810" w:type="dxa"/>
            <w:tcBorders>
              <w:top w:val="single" w:color="auto" w:sz="4" w:space="0"/>
              <w:left w:val="single" w:color="auto" w:sz="4" w:space="0"/>
              <w:bottom w:val="single" w:color="auto" w:sz="4" w:space="0"/>
              <w:right w:val="single" w:color="auto" w:sz="4" w:space="0"/>
            </w:tcBorders>
            <w:vAlign w:val="center"/>
          </w:tcPr>
          <w:p w14:paraId="2EFA2AFF">
            <w:pPr>
              <w:spacing w:line="2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懿德轩、菲木森、桂红光/定制</w:t>
            </w:r>
          </w:p>
        </w:tc>
        <w:tc>
          <w:tcPr>
            <w:tcW w:w="405" w:type="dxa"/>
            <w:tcBorders>
              <w:top w:val="single" w:color="auto" w:sz="4" w:space="0"/>
              <w:left w:val="single" w:color="auto" w:sz="4" w:space="0"/>
              <w:bottom w:val="single" w:color="auto" w:sz="4" w:space="0"/>
              <w:right w:val="single" w:color="auto" w:sz="4" w:space="0"/>
            </w:tcBorders>
            <w:vAlign w:val="center"/>
          </w:tcPr>
          <w:p w14:paraId="12BCA5E9">
            <w:pPr>
              <w:spacing w:line="2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825" w:type="dxa"/>
            <w:tcBorders>
              <w:top w:val="single" w:color="auto" w:sz="4" w:space="0"/>
              <w:left w:val="single" w:color="auto" w:sz="4" w:space="0"/>
              <w:bottom w:val="single" w:color="auto" w:sz="4" w:space="0"/>
              <w:right w:val="single" w:color="auto" w:sz="4" w:space="0"/>
            </w:tcBorders>
            <w:vAlign w:val="center"/>
          </w:tcPr>
          <w:p w14:paraId="280C37E1">
            <w:pPr>
              <w:spacing w:line="2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136</w:t>
            </w:r>
          </w:p>
        </w:tc>
        <w:tc>
          <w:tcPr>
            <w:tcW w:w="4364" w:type="dxa"/>
            <w:tcBorders>
              <w:top w:val="single" w:color="auto" w:sz="4" w:space="0"/>
              <w:left w:val="single" w:color="auto" w:sz="4" w:space="0"/>
              <w:bottom w:val="single" w:color="auto" w:sz="4" w:space="0"/>
              <w:right w:val="single" w:color="auto" w:sz="4" w:space="0"/>
            </w:tcBorders>
          </w:tcPr>
          <w:p w14:paraId="5F58F968">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单体</w:t>
            </w:r>
            <w:r>
              <w:rPr>
                <w:rFonts w:hint="eastAsia" w:ascii="宋体" w:hAnsi="宋体" w:eastAsia="宋体" w:cs="宋体"/>
                <w:sz w:val="21"/>
                <w:szCs w:val="21"/>
                <w:lang w:val="en-US" w:eastAsia="zh-CN"/>
              </w:rPr>
              <w:t>床架</w:t>
            </w:r>
            <w:r>
              <w:rPr>
                <w:rFonts w:hint="eastAsia" w:ascii="宋体" w:hAnsi="宋体" w:eastAsia="宋体" w:cs="宋体"/>
                <w:sz w:val="21"/>
                <w:szCs w:val="21"/>
              </w:rPr>
              <w:t>：规格：（长×宽×高）2000（长）×</w:t>
            </w:r>
            <w:r>
              <w:rPr>
                <w:rFonts w:hint="eastAsia" w:ascii="宋体" w:hAnsi="宋体" w:eastAsia="宋体" w:cs="宋体"/>
                <w:sz w:val="21"/>
                <w:szCs w:val="21"/>
                <w:lang w:val="en-US" w:eastAsia="zh-CN"/>
              </w:rPr>
              <w:t>12</w:t>
            </w:r>
            <w:r>
              <w:rPr>
                <w:rFonts w:hint="eastAsia" w:ascii="宋体" w:hAnsi="宋体" w:eastAsia="宋体" w:cs="宋体"/>
                <w:sz w:val="21"/>
                <w:szCs w:val="21"/>
              </w:rPr>
              <w:t>00（宽）×2050（高）mm</w:t>
            </w:r>
          </w:p>
          <w:p w14:paraId="76B4017F">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▲一、技术参数要求：</w:t>
            </w:r>
          </w:p>
          <w:p w14:paraId="4C565E09">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1．材质要求：钢材横截面尺寸最大允许误差范围（±</w:t>
            </w:r>
            <w:r>
              <w:rPr>
                <w:rFonts w:hint="eastAsia" w:ascii="宋体" w:hAnsi="宋体" w:eastAsia="宋体" w:cs="宋体"/>
                <w:sz w:val="21"/>
                <w:szCs w:val="21"/>
                <w:lang w:val="en-US" w:eastAsia="zh-CN"/>
              </w:rPr>
              <w:t>2</w:t>
            </w:r>
            <w:r>
              <w:rPr>
                <w:rFonts w:hint="eastAsia" w:ascii="宋体" w:hAnsi="宋体" w:eastAsia="宋体" w:cs="宋体"/>
                <w:sz w:val="21"/>
                <w:szCs w:val="21"/>
              </w:rPr>
              <w:t>mm），选用优质冷轧钢材，经除油、酸洗、磷化、除锈处理，表面静电喷塑处理，灰白色，表面光滑无毛刺，无漏喷及留痕，具有耐腐蚀、防水抗老化等性能。</w:t>
            </w:r>
          </w:p>
          <w:p w14:paraId="2341FF3F">
            <w:pPr>
              <w:keepNext w:val="0"/>
              <w:keepLines w:val="0"/>
              <w:pageBreakBefore w:val="0"/>
              <w:widowControl/>
              <w:suppressLineNumbers w:val="0"/>
              <w:kinsoku w:val="0"/>
              <w:wordWrap/>
              <w:topLinePunct w:val="0"/>
              <w:autoSpaceDE w:val="0"/>
              <w:autoSpaceDN w:val="0"/>
              <w:bidi w:val="0"/>
              <w:adjustRightInd w:val="0"/>
              <w:snapToGrid w:val="0"/>
              <w:spacing w:before="0" w:beforeAutospacing="0" w:after="0" w:afterAutospacing="0" w:line="360" w:lineRule="auto"/>
              <w:ind w:right="0"/>
              <w:jc w:val="both"/>
              <w:textAlignment w:val="auto"/>
              <w:rPr>
                <w:rFonts w:hint="eastAsia" w:ascii="宋体" w:hAnsi="宋体" w:eastAsia="宋体" w:cs="宋体"/>
                <w:snapToGrid/>
                <w:color w:val="000000"/>
                <w:kern w:val="0"/>
                <w:sz w:val="21"/>
                <w:szCs w:val="21"/>
                <w:highlight w:val="none"/>
                <w:lang w:val="en-US" w:eastAsia="zh-CN" w:bidi="ar"/>
              </w:rPr>
            </w:pPr>
            <w:r>
              <w:rPr>
                <w:rFonts w:hint="eastAsia" w:ascii="宋体" w:hAnsi="宋体" w:eastAsia="宋体" w:cs="宋体"/>
                <w:sz w:val="21"/>
                <w:szCs w:val="21"/>
              </w:rPr>
              <w:t>(1)床立柱：采用型材不小于</w:t>
            </w:r>
            <w:r>
              <w:rPr>
                <w:rFonts w:hint="eastAsia" w:ascii="宋体" w:hAnsi="宋体" w:eastAsia="宋体" w:cs="宋体"/>
                <w:sz w:val="21"/>
                <w:szCs w:val="21"/>
                <w:lang w:val="en-US" w:eastAsia="zh-CN"/>
              </w:rPr>
              <w:t>75</w:t>
            </w:r>
            <w:r>
              <w:rPr>
                <w:rFonts w:hint="eastAsia" w:ascii="宋体" w:hAnsi="宋体" w:eastAsia="宋体" w:cs="宋体"/>
                <w:sz w:val="21"/>
                <w:szCs w:val="21"/>
              </w:rPr>
              <w:t>*</w:t>
            </w:r>
            <w:r>
              <w:rPr>
                <w:rFonts w:hint="eastAsia" w:ascii="宋体" w:hAnsi="宋体" w:eastAsia="宋体" w:cs="宋体"/>
                <w:sz w:val="21"/>
                <w:szCs w:val="21"/>
                <w:lang w:val="en-US" w:eastAsia="zh-CN"/>
              </w:rPr>
              <w:t>75</w:t>
            </w:r>
            <w:r>
              <w:rPr>
                <w:rFonts w:hint="eastAsia" w:ascii="宋体" w:hAnsi="宋体" w:eastAsia="宋体" w:cs="宋体"/>
                <w:sz w:val="21"/>
                <w:szCs w:val="21"/>
              </w:rPr>
              <w:t>*1.2mm、</w:t>
            </w:r>
            <w:r>
              <w:rPr>
                <w:rFonts w:hint="eastAsia" w:ascii="宋体" w:hAnsi="宋体" w:eastAsia="宋体" w:cs="宋体"/>
                <w:snapToGrid/>
                <w:color w:val="000000"/>
                <w:kern w:val="0"/>
                <w:sz w:val="21"/>
                <w:szCs w:val="21"/>
                <w:highlight w:val="none"/>
                <w:lang w:val="en-US" w:eastAsia="zh-CN" w:bidi="ar"/>
              </w:rPr>
              <w:t>经轧压线辊压成闭口，外侧为圆弧形，管材厚度≥1.2mm，圆弧面上有4条加强筋，具有现代宿舍家具简洁立体风格，增强床立柱的抗扭力。立柱底部有防水胶套，防止水腐蚀，床立柱顶端有套与蚊帐架紧密结合，不易脱落。</w:t>
            </w:r>
          </w:p>
          <w:p w14:paraId="2C39A733">
            <w:pPr>
              <w:keepNext w:val="0"/>
              <w:keepLines w:val="0"/>
              <w:pageBreakBefore w:val="0"/>
              <w:widowControl/>
              <w:suppressLineNumbers w:val="0"/>
              <w:kinsoku w:val="0"/>
              <w:wordWrap/>
              <w:topLinePunct w:val="0"/>
              <w:autoSpaceDE w:val="0"/>
              <w:autoSpaceDN w:val="0"/>
              <w:bidi w:val="0"/>
              <w:adjustRightInd w:val="0"/>
              <w:snapToGrid w:val="0"/>
              <w:spacing w:before="0" w:beforeAutospacing="0" w:after="0" w:afterAutospacing="0" w:line="360" w:lineRule="auto"/>
              <w:ind w:left="109" w:right="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drawing>
                <wp:inline distT="0" distB="0" distL="114300" distR="114300">
                  <wp:extent cx="1211580" cy="1311275"/>
                  <wp:effectExtent l="0" t="0" r="7620" b="3175"/>
                  <wp:docPr id="2" name="图片 2" descr="微信图片编辑_2025052620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编辑_20250526201627"/>
                          <pic:cNvPicPr>
                            <a:picLocks noChangeAspect="1"/>
                          </pic:cNvPicPr>
                        </pic:nvPicPr>
                        <pic:blipFill>
                          <a:blip r:embed="rId4"/>
                          <a:stretch>
                            <a:fillRect/>
                          </a:stretch>
                        </pic:blipFill>
                        <pic:spPr>
                          <a:xfrm>
                            <a:off x="0" y="0"/>
                            <a:ext cx="1211580" cy="1311275"/>
                          </a:xfrm>
                          <a:prstGeom prst="rect">
                            <a:avLst/>
                          </a:prstGeom>
                        </pic:spPr>
                      </pic:pic>
                    </a:graphicData>
                  </a:graphic>
                </wp:inline>
              </w:drawing>
            </w:r>
          </w:p>
          <w:p w14:paraId="78ADAAD6">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)床横梁 ：采用型材不小于</w:t>
            </w:r>
            <w:r>
              <w:rPr>
                <w:rFonts w:hint="eastAsia" w:ascii="宋体" w:hAnsi="宋体" w:eastAsia="宋体" w:cs="宋体"/>
                <w:sz w:val="21"/>
                <w:szCs w:val="21"/>
                <w:lang w:val="en-US" w:eastAsia="zh-CN"/>
              </w:rPr>
              <w:t>100</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41 </w:t>
            </w:r>
            <w:r>
              <w:rPr>
                <w:rFonts w:hint="eastAsia" w:ascii="宋体" w:hAnsi="宋体" w:eastAsia="宋体" w:cs="宋体"/>
                <w:sz w:val="21"/>
                <w:szCs w:val="21"/>
              </w:rPr>
              <w:t xml:space="preserve">*1.2mm ， </w:t>
            </w:r>
            <w:r>
              <w:rPr>
                <w:rFonts w:hint="eastAsia" w:ascii="宋体" w:hAnsi="宋体" w:eastAsia="宋体" w:cs="宋体"/>
                <w:snapToGrid/>
                <w:color w:val="000000"/>
                <w:kern w:val="0"/>
                <w:sz w:val="21"/>
                <w:szCs w:val="21"/>
                <w:highlight w:val="none"/>
                <w:lang w:val="en-US" w:eastAsia="zh-CN" w:bidi="ar"/>
              </w:rPr>
              <w:t xml:space="preserve">管材厚度≥1.2mm；经轧压线辊压成闭口P型管，床边有两条19.5mm宽加强筋 </w:t>
            </w:r>
            <w:r>
              <w:rPr>
                <w:rFonts w:hint="eastAsia" w:ascii="宋体" w:hAnsi="宋体" w:eastAsia="宋体" w:cs="宋体"/>
                <w:sz w:val="21"/>
                <w:szCs w:val="21"/>
              </w:rPr>
              <w:t>截面配置两条以上凹形筋加固，增强其承重力 ；</w:t>
            </w:r>
          </w:p>
          <w:p w14:paraId="3A8DFC8B">
            <w:pPr>
              <w:keepNext w:val="0"/>
              <w:keepLines w:val="0"/>
              <w:pageBreakBefore w:val="0"/>
              <w:widowControl/>
              <w:numPr>
                <w:ilvl w:val="0"/>
                <w:numId w:val="0"/>
              </w:numPr>
              <w:suppressLineNumbers w:val="0"/>
              <w:kinsoku w:val="0"/>
              <w:wordWrap/>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snapToGrid/>
                <w:color w:val="000000"/>
                <w:kern w:val="0"/>
                <w:sz w:val="21"/>
                <w:szCs w:val="21"/>
                <w:highlight w:val="none"/>
                <w:lang w:val="en-US" w:eastAsia="zh-CN" w:bidi="ar"/>
              </w:rPr>
            </w:pPr>
            <w:r>
              <w:rPr>
                <w:rFonts w:hint="eastAsia" w:ascii="宋体" w:hAnsi="宋体" w:eastAsia="宋体" w:cs="宋体"/>
                <w:snapToGrid/>
                <w:color w:val="000000"/>
                <w:kern w:val="0"/>
                <w:sz w:val="21"/>
                <w:szCs w:val="21"/>
                <w:highlight w:val="none"/>
                <w:lang w:val="en-US" w:eastAsia="zh-CN" w:bidi="ar"/>
              </w:rPr>
              <w:t>管材底部多边型，可有效防撞；要求侧短横梁内外面与床立柱内外两面满焊，床长横梁内外面与连接挂件两面焊接，提高床架稳固度和使用安全性。</w:t>
            </w:r>
          </w:p>
          <w:p w14:paraId="71596391">
            <w:pPr>
              <w:keepNext w:val="0"/>
              <w:keepLines w:val="0"/>
              <w:pageBreakBefore w:val="0"/>
              <w:widowControl/>
              <w:numPr>
                <w:ilvl w:val="0"/>
                <w:numId w:val="0"/>
              </w:numPr>
              <w:suppressLineNumbers w:val="0"/>
              <w:kinsoku w:val="0"/>
              <w:wordWrap/>
              <w:topLinePunct w:val="0"/>
              <w:autoSpaceDE w:val="0"/>
              <w:autoSpaceDN w:val="0"/>
              <w:bidi w:val="0"/>
              <w:adjustRightInd w:val="0"/>
              <w:snapToGrid w:val="0"/>
              <w:spacing w:before="0" w:beforeAutospacing="0" w:after="0" w:afterAutospacing="0" w:line="360" w:lineRule="auto"/>
              <w:ind w:left="214" w:leftChars="0" w:right="0" w:rightChars="0"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drawing>
                <wp:inline distT="0" distB="0" distL="114300" distR="114300">
                  <wp:extent cx="1932940" cy="990600"/>
                  <wp:effectExtent l="0" t="0" r="10160" b="0"/>
                  <wp:docPr id="9" name="图片 9" descr="微信图片编辑_20250526202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编辑_20250526202134"/>
                          <pic:cNvPicPr>
                            <a:picLocks noChangeAspect="1"/>
                          </pic:cNvPicPr>
                        </pic:nvPicPr>
                        <pic:blipFill>
                          <a:blip r:embed="rId5"/>
                          <a:stretch>
                            <a:fillRect/>
                          </a:stretch>
                        </pic:blipFill>
                        <pic:spPr>
                          <a:xfrm>
                            <a:off x="0" y="0"/>
                            <a:ext cx="1932940" cy="990600"/>
                          </a:xfrm>
                          <a:prstGeom prst="rect">
                            <a:avLst/>
                          </a:prstGeom>
                        </pic:spPr>
                      </pic:pic>
                    </a:graphicData>
                  </a:graphic>
                </wp:inline>
              </w:drawing>
            </w:r>
          </w:p>
          <w:p w14:paraId="5690BF45">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)上下横梁 ：采用30*60*1.2mm 矩形钢管； </w:t>
            </w:r>
          </w:p>
          <w:p w14:paraId="7475896C">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)床连接扣件：采用2.0mm厚钢板冲压成型，成型尺寸不小于30*30*195mm ；</w:t>
            </w:r>
          </w:p>
          <w:p w14:paraId="4FE44286">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)床横担：采用20*40*1.2mm 矩形钢管； </w:t>
            </w:r>
          </w:p>
          <w:p w14:paraId="544BDE5F">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)床安全护栏：采用 25*25*1.2mm钢管，配置</w:t>
            </w:r>
            <w:r>
              <w:rPr>
                <w:rFonts w:hint="eastAsia" w:ascii="宋体" w:hAnsi="宋体" w:eastAsia="宋体" w:cs="宋体"/>
                <w:color w:val="auto"/>
                <w:sz w:val="21"/>
                <w:szCs w:val="21"/>
                <w:highlight w:val="none"/>
                <w:lang w:eastAsia="zh-CN"/>
              </w:rPr>
              <w:t>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w:t>
            </w:r>
            <w:r>
              <w:rPr>
                <w:rFonts w:hint="eastAsia" w:ascii="宋体" w:hAnsi="宋体" w:eastAsia="宋体" w:cs="宋体"/>
                <w:sz w:val="21"/>
                <w:szCs w:val="21"/>
              </w:rPr>
              <w:t>板密封，整体结构配置美观大方。</w:t>
            </w:r>
          </w:p>
          <w:p w14:paraId="35F166E7">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)床头立管：（Φ19）*1.0mm 圆管；</w:t>
            </w:r>
          </w:p>
          <w:p w14:paraId="64549850">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)蚊帐杆：采用Φ</w:t>
            </w:r>
            <w:r>
              <w:rPr>
                <w:rFonts w:hint="eastAsia" w:ascii="宋体" w:hAnsi="宋体" w:eastAsia="宋体" w:cs="宋体"/>
                <w:sz w:val="21"/>
                <w:szCs w:val="21"/>
                <w:lang w:val="en-US" w:eastAsia="zh-CN"/>
              </w:rPr>
              <w:t>19</w:t>
            </w:r>
            <w:r>
              <w:rPr>
                <w:rFonts w:hint="eastAsia" w:ascii="宋体" w:hAnsi="宋体" w:eastAsia="宋体" w:cs="宋体"/>
                <w:sz w:val="21"/>
                <w:szCs w:val="21"/>
              </w:rPr>
              <w:t xml:space="preserve">*1.0mm圆管，伸缩式隐藏床立柱内部，蚊帐架高1000㎜，蚊帐杆长2000㎜。 </w:t>
            </w:r>
          </w:p>
          <w:p w14:paraId="55AF16A3">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)床板：采用15mm厚的杉木床板，长宽尺寸按实际空间加工，不多于7快杉木板拼接而成，经干燥、防腐、防蛀处理，板底加固4根30×30mm杉木条为支撑点，制作牢固可靠，双面平整。</w:t>
            </w:r>
          </w:p>
          <w:p w14:paraId="6A3A1F8A">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2．金属件材质加工要求：</w:t>
            </w:r>
          </w:p>
          <w:p w14:paraId="36BA2A99">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材料：钢材采用优质钢材，焊接后成品架床的质量按照轻工行业标准《金属家具质量检验及质量评定》的规定执行，采用二氧化碳保护焊，应满焊、均匀、牢固、平整、无毛刺。要求柜体与床立柱相连接，安装后应牢固可靠，无摇摆现，使用时床板与金属件无摩擦声。</w:t>
            </w:r>
          </w:p>
          <w:p w14:paraId="2079691D">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金属件涂饰工艺要求：涂饰前零、部件的表面应光滑、平整，无开裂、脱焊、漏焊、焊渣或飞边、尖角、毛刺等可能造成机械伤害的缺陷。涂饰前零、部件表面工艺处理必须符合环保要求，表面经过：喷砂除锈→水洗→预脱脂→主脱脂→水洗→水洗→陶化→水洗→封闭洗→预烘干的10工位处理，预备处理后表面无氧化皮、锈蚀、粘砂等其他杂质，工件陶化镀膜层达到工艺要求，预备处理后及时进行涂饰，预备处理后表面无氧化皮、锈蚀、粘砂等其他杂质，工件陶化镀膜层达到工艺要求，预备处理后及时进行涂饰；</w:t>
            </w:r>
          </w:p>
          <w:p w14:paraId="106E15EF">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▲3．喷涂处理：</w:t>
            </w:r>
          </w:p>
          <w:p w14:paraId="55378637">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(1)采用(“阿克苏”、杜邦、上海幻影）知名品牌塑粉静电喷塑，使用环保塑粉；涂层表面色泽均匀一致，不允许有流挂、起粒、皱皮、露底、剥落、伤痕等缺陷，颜色：灰白色，</w:t>
            </w:r>
          </w:p>
          <w:p w14:paraId="3E4887F3">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表面涂层：架表面喷涂塑粉，不能有毒害气味气挥发、以免书库房环境有污染，造成对人体伤害，甲醛含量必须小于1.5mg/kg,不能超标。涂层表面应色泽均匀一致，工件的各部位不应有起粒、皱皮、露底、剥落、伤痕或漏喷等现象。塑粉的外观、筛余物、涂膜外观、附着力（干附着力、沸水附着力、湿附着力）、铅笔硬度、耐冲击性、杯突试验、弯曲试验、耐磨性、耐酸性（240h）、耐碱性（168h）、耐沸水性、耐中性盐雾性、耐湿性、抗细菌率99%等要求符合HG/T 2006-2022《热固性和热塑性粉末涂料》的标准。</w:t>
            </w:r>
          </w:p>
          <w:p w14:paraId="43BE045B">
            <w:pPr>
              <w:keepNext w:val="0"/>
              <w:keepLines w:val="0"/>
              <w:pageBreakBefore w:val="0"/>
              <w:wordWrap/>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(3)安装要求：铁床安装形式，床柱3挂扣连接方式，连接后组合牢固，长期使用不会出现松动、无安全隐患。</w:t>
            </w:r>
          </w:p>
          <w:p w14:paraId="35590C2C">
            <w:pPr>
              <w:spacing w:line="260" w:lineRule="exact"/>
              <w:rPr>
                <w:rFonts w:hint="eastAsia" w:asciiTheme="minorEastAsia" w:hAnsiTheme="minorEastAsia" w:eastAsiaTheme="minorEastAsia" w:cstheme="minorEastAsia"/>
                <w:szCs w:val="21"/>
              </w:rPr>
            </w:pPr>
          </w:p>
        </w:tc>
        <w:tc>
          <w:tcPr>
            <w:tcW w:w="2034" w:type="dxa"/>
            <w:tcBorders>
              <w:top w:val="single" w:color="auto" w:sz="4" w:space="0"/>
              <w:left w:val="single" w:color="auto" w:sz="4" w:space="0"/>
              <w:bottom w:val="single" w:color="auto" w:sz="4" w:space="0"/>
              <w:right w:val="single" w:color="auto" w:sz="4" w:space="0"/>
            </w:tcBorders>
            <w:vAlign w:val="center"/>
          </w:tcPr>
          <w:p w14:paraId="1844B042">
            <w:pPr>
              <w:spacing w:line="260" w:lineRule="exact"/>
              <w:jc w:val="center"/>
              <w:rPr>
                <w:rFonts w:hint="default" w:asciiTheme="minorEastAsia" w:hAnsiTheme="minorEastAsia" w:eastAsiaTheme="minorEastAsia" w:cstheme="minorEastAsia"/>
                <w:szCs w:val="21"/>
                <w:lang w:val="en-US" w:eastAsia="zh-CN"/>
              </w:rPr>
            </w:pPr>
          </w:p>
        </w:tc>
      </w:tr>
      <w:tr w14:paraId="59512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8" w:type="dxa"/>
            <w:tcBorders>
              <w:left w:val="single" w:color="auto" w:sz="4" w:space="0"/>
              <w:right w:val="single" w:color="auto" w:sz="4" w:space="0"/>
            </w:tcBorders>
          </w:tcPr>
          <w:p w14:paraId="484CB5C6">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0A947E51">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842" w:type="dxa"/>
            <w:tcBorders>
              <w:top w:val="single" w:color="auto" w:sz="4" w:space="0"/>
              <w:left w:val="single" w:color="auto" w:sz="4" w:space="0"/>
              <w:bottom w:val="single" w:color="auto" w:sz="4" w:space="0"/>
              <w:right w:val="single" w:color="auto" w:sz="4" w:space="0"/>
            </w:tcBorders>
            <w:vAlign w:val="center"/>
          </w:tcPr>
          <w:p w14:paraId="6B45961F">
            <w:pPr>
              <w:spacing w:line="260" w:lineRule="exact"/>
              <w:jc w:val="center"/>
              <w:rPr>
                <w:rFonts w:hint="default"/>
                <w:vertAlign w:val="baseline"/>
                <w:lang w:val="en-US" w:eastAsia="zh-CN"/>
              </w:rPr>
            </w:pPr>
            <w:r>
              <w:rPr>
                <w:rFonts w:hint="eastAsia"/>
                <w:vertAlign w:val="baseline"/>
                <w:lang w:val="en-US" w:eastAsia="zh-CN"/>
              </w:rPr>
              <w:t>衣柜</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00FA22E">
            <w:pPr>
              <w:spacing w:line="26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懿德轩、菲木森、桂红光/定制</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3B6BBDD8">
            <w:pPr>
              <w:spacing w:line="2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组</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FA0BEF4">
            <w:pPr>
              <w:spacing w:line="2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136</w:t>
            </w:r>
          </w:p>
        </w:tc>
        <w:tc>
          <w:tcPr>
            <w:tcW w:w="4364" w:type="dxa"/>
            <w:tcBorders>
              <w:top w:val="single" w:color="auto" w:sz="4" w:space="0"/>
              <w:left w:val="single" w:color="auto" w:sz="4" w:space="0"/>
              <w:bottom w:val="single" w:color="auto" w:sz="4" w:space="0"/>
              <w:right w:val="single" w:color="auto" w:sz="4" w:space="0"/>
            </w:tcBorders>
          </w:tcPr>
          <w:p w14:paraId="54CED5FB">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lang w:val="en-US" w:eastAsia="zh-CN"/>
              </w:rPr>
              <w:t>衣柜</w:t>
            </w:r>
            <w:r>
              <w:rPr>
                <w:rFonts w:hint="eastAsia" w:ascii="宋体" w:hAnsi="宋体" w:eastAsia="宋体" w:cs="宋体"/>
                <w:color w:val="auto"/>
                <w:sz w:val="21"/>
                <w:szCs w:val="21"/>
                <w:highlight w:val="none"/>
                <w:lang w:eastAsia="zh-CN"/>
              </w:rPr>
              <w:t>规格：6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0L*</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eastAsia="zh-CN"/>
              </w:rPr>
              <w:t>0W*1</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0Hmm。</w:t>
            </w:r>
          </w:p>
          <w:p w14:paraId="13E12D6E">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1、主体材质：</w:t>
            </w:r>
            <w:r>
              <w:rPr>
                <w:rFonts w:hint="eastAsia" w:ascii="宋体" w:hAnsi="宋体" w:eastAsia="宋体" w:cs="宋体"/>
                <w:color w:val="auto"/>
                <w:sz w:val="21"/>
                <w:szCs w:val="21"/>
                <w:highlight w:val="none"/>
                <w:lang w:eastAsia="zh-CN"/>
              </w:rPr>
              <w:t>衣柜主</w:t>
            </w:r>
            <w:r>
              <w:rPr>
                <w:rFonts w:hint="eastAsia" w:ascii="宋体" w:hAnsi="宋体" w:eastAsia="宋体" w:cs="宋体"/>
                <w:color w:val="auto"/>
                <w:sz w:val="21"/>
                <w:szCs w:val="21"/>
                <w:highlight w:val="none"/>
                <w:lang w:val="en-US" w:eastAsia="zh-CN"/>
              </w:rPr>
              <w:t>体基材</w:t>
            </w:r>
            <w:r>
              <w:rPr>
                <w:rFonts w:hint="eastAsia" w:ascii="宋体" w:hAnsi="宋体" w:eastAsia="宋体" w:cs="宋体"/>
                <w:color w:val="auto"/>
                <w:sz w:val="21"/>
                <w:szCs w:val="21"/>
                <w:highlight w:val="none"/>
                <w:lang w:eastAsia="zh-CN"/>
              </w:rPr>
              <w:t>采用1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mm厚E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级多层实木板制作，背板采用1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mm厚E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级多层实木板制作。板材的甲醛释放量须满足GB 18580-2017《室内装饰装修材料 人造板及其制品中甲醛释放限量》的要求，按GB/T 39600-2021《人造板及其制品甲醛释放量分级》达到</w:t>
            </w:r>
            <w:r>
              <w:rPr>
                <w:rFonts w:hint="eastAsia" w:ascii="宋体" w:hAnsi="宋体" w:eastAsia="宋体" w:cs="宋体"/>
                <w:color w:val="auto"/>
                <w:sz w:val="21"/>
                <w:szCs w:val="21"/>
                <w:highlight w:val="none"/>
                <w:lang w:val="en-US" w:eastAsia="zh-CN"/>
              </w:rPr>
              <w:t>ENF</w:t>
            </w:r>
            <w:r>
              <w:rPr>
                <w:rFonts w:hint="eastAsia" w:ascii="宋体" w:hAnsi="宋体" w:eastAsia="宋体" w:cs="宋体"/>
                <w:color w:val="auto"/>
                <w:sz w:val="21"/>
                <w:szCs w:val="21"/>
                <w:highlight w:val="none"/>
                <w:lang w:eastAsia="zh-CN"/>
              </w:rPr>
              <w:t>级。</w:t>
            </w:r>
          </w:p>
          <w:p w14:paraId="3C985BEB">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2、封边：可视面封边采用1.2mm厚环保PVC塑封条、高温热熔胶经全自动封边机封边，粘接牢固，无脱胶、无鼓泡。符合QB/T 4463-2013《家具用封边条技术要求》标准。</w:t>
            </w:r>
          </w:p>
          <w:p w14:paraId="4A6D1D86">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3、门板：</w:t>
            </w:r>
            <w:r>
              <w:rPr>
                <w:rFonts w:hint="eastAsia" w:ascii="宋体" w:hAnsi="宋体" w:eastAsia="宋体" w:cs="宋体"/>
                <w:color w:val="auto"/>
                <w:sz w:val="21"/>
                <w:szCs w:val="21"/>
                <w:highlight w:val="none"/>
                <w:lang w:eastAsia="zh-CN"/>
              </w:rPr>
              <w:t>衣柜门板采用1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mm厚E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color w:val="auto"/>
                <w:sz w:val="21"/>
                <w:szCs w:val="21"/>
                <w:highlight w:val="none"/>
                <w:lang w:val="en-US" w:eastAsia="zh-CN"/>
              </w:rPr>
              <w:t>经注塑设备通过模具</w:t>
            </w:r>
            <w:r>
              <w:rPr>
                <w:rFonts w:hint="eastAsia" w:ascii="宋体" w:hAnsi="宋体" w:eastAsia="宋体" w:cs="宋体"/>
                <w:color w:val="auto"/>
                <w:sz w:val="21"/>
                <w:szCs w:val="21"/>
                <w:highlight w:val="none"/>
                <w:lang w:eastAsia="zh-CN"/>
              </w:rPr>
              <w:t>一次模压注塑成型，四周无接缝</w:t>
            </w:r>
            <w:r>
              <w:rPr>
                <w:rFonts w:hint="eastAsia" w:ascii="宋体" w:hAnsi="宋体" w:eastAsia="宋体" w:cs="宋体"/>
                <w:color w:val="auto"/>
                <w:sz w:val="21"/>
                <w:szCs w:val="21"/>
                <w:highlight w:val="none"/>
                <w:lang w:val="en-US" w:eastAsia="zh-CN"/>
              </w:rPr>
              <w:t>刃口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边框成型厚度约17mm。门板</w:t>
            </w:r>
            <w:r>
              <w:rPr>
                <w:rFonts w:hint="eastAsia" w:ascii="宋体" w:hAnsi="宋体" w:eastAsia="宋体" w:cs="宋体"/>
                <w:color w:val="auto"/>
                <w:sz w:val="21"/>
                <w:szCs w:val="21"/>
                <w:highlight w:val="none"/>
                <w:lang w:eastAsia="zh-CN"/>
              </w:rPr>
              <w:t>铰链安装位置采用一次模压注塑成型杯孔，</w:t>
            </w:r>
            <w:r>
              <w:rPr>
                <w:rFonts w:hint="eastAsia" w:ascii="宋体" w:hAnsi="宋体" w:eastAsia="宋体" w:cs="宋体"/>
                <w:color w:val="auto"/>
                <w:sz w:val="21"/>
                <w:szCs w:val="21"/>
                <w:highlight w:val="none"/>
                <w:lang w:val="en-US" w:eastAsia="zh-CN"/>
              </w:rPr>
              <w:t>握钉力更强，增加使用寿命</w:t>
            </w:r>
            <w:r>
              <w:rPr>
                <w:rFonts w:hint="eastAsia" w:ascii="宋体" w:hAnsi="宋体" w:eastAsia="宋体" w:cs="宋体"/>
                <w:color w:val="auto"/>
                <w:sz w:val="21"/>
                <w:szCs w:val="21"/>
                <w:highlight w:val="none"/>
                <w:lang w:eastAsia="zh-CN"/>
              </w:rPr>
              <w:t>。</w:t>
            </w:r>
          </w:p>
          <w:p w14:paraId="4F045EB8">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4、结构：衣柜内部分上下两层结构，下层为叠衣区，上层配有≥φ19mm*0.8mm厚不锈钢挂衣杆为挂衣区。</w:t>
            </w:r>
          </w:p>
          <w:p w14:paraId="02BD1175">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5、五金配件：采用优质三合一连接件、铰链、导轨，三合一连接件符合GB/T28203-2011《家具用连接件技术要求及试验方法》、铰链符合QB/T2189-2013《家具五金 杯状暗铰链》。</w:t>
            </w:r>
          </w:p>
          <w:p w14:paraId="10009944">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▲6、整体组合</w:t>
            </w:r>
            <w:r>
              <w:rPr>
                <w:rFonts w:hint="eastAsia" w:ascii="宋体" w:hAnsi="宋体" w:cs="宋体"/>
                <w:color w:val="auto"/>
                <w:kern w:val="0"/>
                <w:szCs w:val="21"/>
                <w:highlight w:val="none"/>
              </w:rPr>
              <w:t>柜底部配备</w:t>
            </w:r>
            <w:r>
              <w:rPr>
                <w:rFonts w:hint="eastAsia" w:ascii="宋体" w:hAnsi="宋体" w:cs="宋体"/>
                <w:color w:val="auto"/>
                <w:kern w:val="0"/>
                <w:szCs w:val="21"/>
                <w:highlight w:val="none"/>
                <w:lang w:val="en-US" w:eastAsia="zh-CN"/>
              </w:rPr>
              <w:t>钢制脚框架达到</w:t>
            </w:r>
            <w:r>
              <w:rPr>
                <w:rFonts w:hint="eastAsia" w:ascii="宋体" w:hAnsi="宋体" w:cs="宋体"/>
                <w:color w:val="auto"/>
                <w:kern w:val="0"/>
                <w:szCs w:val="21"/>
                <w:highlight w:val="none"/>
              </w:rPr>
              <w:t>可防潮措施，得到有效的防潮作用，增长产品使用时间</w:t>
            </w:r>
            <w:r>
              <w:rPr>
                <w:rFonts w:hint="eastAsia" w:ascii="宋体" w:hAnsi="宋体" w:eastAsia="宋体" w:cs="宋体"/>
                <w:color w:val="auto"/>
                <w:sz w:val="21"/>
                <w:szCs w:val="21"/>
                <w:highlight w:val="none"/>
                <w:lang w:val="en-US" w:eastAsia="zh-CN"/>
              </w:rPr>
              <w:t xml:space="preserve">。能够有效使物体远离地面，具有较好的防潮效果。  </w:t>
            </w:r>
          </w:p>
          <w:p w14:paraId="28C23C2B">
            <w:pPr>
              <w:keepNext w:val="0"/>
              <w:keepLines w:val="0"/>
              <w:pageBreakBefore w:val="0"/>
              <w:wordWrap/>
              <w:overflowPunct w:val="0"/>
              <w:topLinePunct w:val="0"/>
              <w:bidi w:val="0"/>
              <w:spacing w:line="360" w:lineRule="auto"/>
              <w:textAlignment w:val="auto"/>
              <w:rPr>
                <w:rFonts w:hint="eastAsia" w:ascii="宋体" w:hAnsi="宋体" w:cs="宋体" w:eastAsiaTheme="minorEastAsia"/>
                <w:sz w:val="21"/>
                <w:szCs w:val="21"/>
                <w:lang w:val="en-US" w:eastAsia="zh-CN"/>
              </w:rPr>
            </w:pPr>
            <w:r>
              <w:rPr>
                <w:rFonts w:hint="eastAsia"/>
                <w:lang w:val="en-US" w:eastAsia="zh-CN"/>
              </w:rPr>
              <w:t xml:space="preserve">  </w:t>
            </w:r>
          </w:p>
          <w:p w14:paraId="04F88C9A">
            <w:pPr>
              <w:spacing w:line="260" w:lineRule="exact"/>
              <w:rPr>
                <w:rFonts w:hint="eastAsia" w:ascii="宋体" w:hAnsi="宋体" w:eastAsia="宋体" w:cs="宋体"/>
                <w:sz w:val="21"/>
                <w:szCs w:val="21"/>
              </w:rPr>
            </w:pPr>
          </w:p>
        </w:tc>
        <w:tc>
          <w:tcPr>
            <w:tcW w:w="2034" w:type="dxa"/>
            <w:tcBorders>
              <w:top w:val="single" w:color="auto" w:sz="4" w:space="0"/>
              <w:left w:val="single" w:color="auto" w:sz="4" w:space="0"/>
              <w:bottom w:val="single" w:color="auto" w:sz="4" w:space="0"/>
              <w:right w:val="single" w:color="auto" w:sz="4" w:space="0"/>
            </w:tcBorders>
            <w:vAlign w:val="center"/>
          </w:tcPr>
          <w:p w14:paraId="7A44492F">
            <w:pPr>
              <w:spacing w:line="260" w:lineRule="exact"/>
              <w:jc w:val="center"/>
              <w:rPr>
                <w:rFonts w:hint="default" w:asciiTheme="minorEastAsia" w:hAnsiTheme="minorEastAsia" w:eastAsiaTheme="minorEastAsia" w:cstheme="minorEastAsia"/>
                <w:szCs w:val="21"/>
                <w:lang w:val="en-US" w:eastAsia="zh-CN"/>
              </w:rPr>
            </w:pPr>
          </w:p>
        </w:tc>
      </w:tr>
      <w:tr w14:paraId="60F1F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748" w:type="dxa"/>
            <w:tcBorders>
              <w:left w:val="single" w:color="auto" w:sz="4" w:space="0"/>
              <w:right w:val="single" w:color="auto" w:sz="4" w:space="0"/>
            </w:tcBorders>
          </w:tcPr>
          <w:p w14:paraId="10B79AE7">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033E0E7D">
            <w:pPr>
              <w:spacing w:line="240" w:lineRule="exact"/>
              <w:jc w:val="center"/>
              <w:rPr>
                <w:rFonts w:hint="default" w:ascii="宋体" w:hAnsi="宋体"/>
                <w:szCs w:val="21"/>
                <w:lang w:val="en-US" w:eastAsia="zh-CN"/>
              </w:rPr>
            </w:pPr>
            <w:r>
              <w:rPr>
                <w:rFonts w:hint="eastAsia" w:ascii="宋体" w:hAnsi="宋体"/>
                <w:szCs w:val="21"/>
                <w:lang w:val="en-US" w:eastAsia="zh-CN"/>
              </w:rPr>
              <w:t>3</w:t>
            </w:r>
          </w:p>
        </w:tc>
        <w:tc>
          <w:tcPr>
            <w:tcW w:w="842" w:type="dxa"/>
            <w:tcBorders>
              <w:top w:val="single" w:color="auto" w:sz="4" w:space="0"/>
              <w:left w:val="single" w:color="auto" w:sz="4" w:space="0"/>
              <w:bottom w:val="single" w:color="auto" w:sz="4" w:space="0"/>
              <w:right w:val="single" w:color="auto" w:sz="4" w:space="0"/>
            </w:tcBorders>
            <w:vAlign w:val="center"/>
          </w:tcPr>
          <w:p w14:paraId="736930EE">
            <w:pPr>
              <w:spacing w:line="260" w:lineRule="exact"/>
              <w:jc w:val="center"/>
              <w:rPr>
                <w:rFonts w:hint="default"/>
                <w:vertAlign w:val="baseline"/>
                <w:lang w:val="en-US" w:eastAsia="zh-CN"/>
              </w:rPr>
            </w:pPr>
            <w:r>
              <w:rPr>
                <w:rFonts w:hint="eastAsia"/>
                <w:vertAlign w:val="baseline"/>
                <w:lang w:val="en-US" w:eastAsia="zh-CN"/>
              </w:rPr>
              <w:t>学习桌</w:t>
            </w:r>
          </w:p>
        </w:tc>
        <w:tc>
          <w:tcPr>
            <w:tcW w:w="810" w:type="dxa"/>
            <w:tcBorders>
              <w:top w:val="single" w:color="auto" w:sz="4" w:space="0"/>
              <w:left w:val="single" w:color="auto" w:sz="4" w:space="0"/>
              <w:bottom w:val="single" w:color="auto" w:sz="4" w:space="0"/>
              <w:right w:val="single" w:color="auto" w:sz="4" w:space="0"/>
            </w:tcBorders>
            <w:vAlign w:val="center"/>
          </w:tcPr>
          <w:p w14:paraId="28BFE880">
            <w:pPr>
              <w:spacing w:line="26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懿德轩、菲木森、桂红光/定制</w:t>
            </w:r>
          </w:p>
        </w:tc>
        <w:tc>
          <w:tcPr>
            <w:tcW w:w="405" w:type="dxa"/>
            <w:tcBorders>
              <w:top w:val="single" w:color="auto" w:sz="4" w:space="0"/>
              <w:left w:val="single" w:color="auto" w:sz="4" w:space="0"/>
              <w:bottom w:val="single" w:color="auto" w:sz="4" w:space="0"/>
              <w:right w:val="single" w:color="auto" w:sz="4" w:space="0"/>
            </w:tcBorders>
            <w:vAlign w:val="center"/>
          </w:tcPr>
          <w:p w14:paraId="20F1CDA9">
            <w:pPr>
              <w:spacing w:line="2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组</w:t>
            </w:r>
          </w:p>
        </w:tc>
        <w:tc>
          <w:tcPr>
            <w:tcW w:w="825" w:type="dxa"/>
            <w:tcBorders>
              <w:top w:val="single" w:color="auto" w:sz="4" w:space="0"/>
              <w:left w:val="single" w:color="auto" w:sz="4" w:space="0"/>
              <w:bottom w:val="single" w:color="auto" w:sz="4" w:space="0"/>
              <w:right w:val="single" w:color="auto" w:sz="4" w:space="0"/>
            </w:tcBorders>
            <w:vAlign w:val="center"/>
          </w:tcPr>
          <w:p w14:paraId="753A5580">
            <w:pPr>
              <w:spacing w:line="26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136</w:t>
            </w:r>
          </w:p>
        </w:tc>
        <w:tc>
          <w:tcPr>
            <w:tcW w:w="4364" w:type="dxa"/>
            <w:tcBorders>
              <w:top w:val="single" w:color="auto" w:sz="4" w:space="0"/>
              <w:left w:val="single" w:color="auto" w:sz="4" w:space="0"/>
              <w:bottom w:val="single" w:color="auto" w:sz="4" w:space="0"/>
              <w:right w:val="single" w:color="auto" w:sz="4" w:space="0"/>
            </w:tcBorders>
          </w:tcPr>
          <w:p w14:paraId="2A3165D7">
            <w:pPr>
              <w:keepNext w:val="0"/>
              <w:keepLines w:val="0"/>
              <w:pageBreakBefore w:val="0"/>
              <w:numPr>
                <w:ilvl w:val="0"/>
                <w:numId w:val="0"/>
              </w:numPr>
              <w:wordWrap/>
              <w:topLinePunct w:val="0"/>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学习桌带书架整体规格尺寸：1300mm*600mm*1690mm</w:t>
            </w:r>
          </w:p>
          <w:p w14:paraId="5FD9BE63">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▲1.桌面：规格</w:t>
            </w:r>
            <w:r>
              <w:rPr>
                <w:rFonts w:hint="eastAsia" w:ascii="宋体" w:hAnsi="宋体" w:eastAsia="宋体" w:cs="宋体"/>
                <w:color w:val="auto"/>
                <w:sz w:val="21"/>
                <w:szCs w:val="21"/>
                <w:highlight w:val="none"/>
                <w:lang w:val="en" w:eastAsia="zh-CN"/>
              </w:rPr>
              <w:t>≥</w:t>
            </w:r>
            <w:r>
              <w:rPr>
                <w:rFonts w:hint="eastAsia" w:ascii="宋体" w:hAnsi="宋体" w:eastAsia="宋体" w:cs="宋体"/>
                <w:color w:val="auto"/>
                <w:sz w:val="21"/>
                <w:szCs w:val="21"/>
                <w:highlight w:val="none"/>
                <w:lang w:val="en-US" w:eastAsia="zh-CN"/>
              </w:rPr>
              <w:t>1000mm*600mm*25mm，多功能桌面板采用25mm</w:t>
            </w:r>
            <w:r>
              <w:rPr>
                <w:rFonts w:hint="eastAsia" w:ascii="宋体" w:hAnsi="宋体" w:eastAsia="宋体" w:cs="宋体"/>
                <w:color w:val="auto"/>
                <w:sz w:val="21"/>
                <w:szCs w:val="21"/>
                <w:highlight w:val="none"/>
                <w:lang w:eastAsia="zh-CN"/>
              </w:rPr>
              <w:t>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color w:val="auto"/>
                <w:sz w:val="21"/>
                <w:szCs w:val="21"/>
                <w:highlight w:val="none"/>
                <w:lang w:val="en-US" w:eastAsia="zh-CN"/>
              </w:rPr>
              <w:t>制作，</w:t>
            </w:r>
            <w:r>
              <w:rPr>
                <w:rFonts w:hint="eastAsia" w:ascii="宋体" w:hAnsi="宋体" w:eastAsia="宋体" w:cs="宋体"/>
                <w:color w:val="auto"/>
                <w:sz w:val="21"/>
                <w:szCs w:val="21"/>
                <w:highlight w:val="none"/>
                <w:lang w:eastAsia="zh-CN"/>
              </w:rPr>
              <w:t>板材的甲醛释放量须满足GB 18580-2017《室内装饰装修材料 人造板及其制品中甲醛释放限量》的要求，按GB/T 39600-2021《人造板及其制品甲醛释放量分级》达到</w:t>
            </w:r>
            <w:r>
              <w:rPr>
                <w:rFonts w:hint="eastAsia" w:ascii="宋体" w:hAnsi="宋体" w:eastAsia="宋体" w:cs="宋体"/>
                <w:color w:val="auto"/>
                <w:sz w:val="21"/>
                <w:szCs w:val="21"/>
                <w:highlight w:val="none"/>
                <w:lang w:val="en-US" w:eastAsia="zh-CN"/>
              </w:rPr>
              <w:t>ENF</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四周边部整体一次注塑成型且无接缝，前端设计为符合人体工程学的舒适弧形边，防止桌面板与人体发生磕碰。产品外形美观人性化设计使用更舒适，增加产品使用寿命，使整个产品更具立体感和人性化设计。表面耐磨，耐污抗老化，耐碰撞等诸多优点。桌面板设计线孔。</w:t>
            </w:r>
          </w:p>
          <w:p w14:paraId="09AD7EA7">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2.封边：可视面封边采用1.2mm厚环保PVC塑封条、高温热熔胶经全自动封边机封边，粘接牢固，无脱胶、无鼓泡。符合QB/T 4463-2013《家具用封边条技术要求》标准。</w:t>
            </w:r>
          </w:p>
          <w:p w14:paraId="1ECD5912">
            <w:pPr>
              <w:keepNext w:val="0"/>
              <w:keepLines w:val="0"/>
              <w:pageBreakBefore w:val="0"/>
              <w:wordWrap/>
              <w:overflowPunct w:val="0"/>
              <w:topLinePunct w:val="0"/>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3.结构：桌面上方设有两格书架（书架整体规格尺寸：1000mm*250mm*322mm），书架主材采用15mm厚ENF级多层实木板制作，背板采用不少于15mm厚ENF级多层实木板制作</w:t>
            </w:r>
            <w:r>
              <w:rPr>
                <w:rFonts w:hint="eastAsia" w:ascii="宋体" w:hAnsi="宋体" w:eastAsia="宋体" w:cs="宋体"/>
                <w:color w:val="auto"/>
                <w:sz w:val="21"/>
                <w:szCs w:val="21"/>
                <w:highlight w:val="none"/>
                <w:lang w:eastAsia="zh-CN"/>
              </w:rPr>
              <w:t>板材的甲醛释放量须满足GB 18580-2017《室内装饰装修材料 人造板及其制品中甲醛释放限量》的要求，按GB/T 39600-2021《人造板及其制品甲醛释放量分级》达到</w:t>
            </w:r>
            <w:r>
              <w:rPr>
                <w:rFonts w:hint="eastAsia" w:ascii="宋体" w:hAnsi="宋体" w:eastAsia="宋体" w:cs="宋体"/>
                <w:color w:val="auto"/>
                <w:sz w:val="21"/>
                <w:szCs w:val="21"/>
                <w:highlight w:val="none"/>
                <w:lang w:val="en-US" w:eastAsia="zh-CN"/>
              </w:rPr>
              <w:t>ENF</w:t>
            </w:r>
            <w:r>
              <w:rPr>
                <w:rFonts w:hint="eastAsia" w:ascii="宋体" w:hAnsi="宋体" w:eastAsia="宋体" w:cs="宋体"/>
                <w:color w:val="auto"/>
                <w:sz w:val="21"/>
                <w:szCs w:val="21"/>
                <w:highlight w:val="none"/>
                <w:lang w:eastAsia="zh-CN"/>
              </w:rPr>
              <w:t>级</w:t>
            </w:r>
            <w:r>
              <w:rPr>
                <w:rFonts w:hint="eastAsia" w:ascii="宋体" w:hAnsi="宋体" w:eastAsia="宋体" w:cs="宋体"/>
                <w:color w:val="auto"/>
                <w:sz w:val="21"/>
                <w:szCs w:val="21"/>
                <w:highlight w:val="none"/>
                <w:lang w:val="en-US" w:eastAsia="zh-CN"/>
              </w:rPr>
              <w:t>。书架采用背条设计，方便墙面插座使用。</w:t>
            </w:r>
          </w:p>
          <w:p w14:paraId="0C4C5FB9">
            <w:pPr>
              <w:keepNext w:val="0"/>
              <w:keepLines w:val="0"/>
              <w:pageBreakBefore w:val="0"/>
              <w:wordWrap/>
              <w:overflowPunct w:val="0"/>
              <w:topLinePunct w:val="0"/>
              <w:bidi w:val="0"/>
              <w:spacing w:line="36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kern w:val="0"/>
                <w:szCs w:val="21"/>
                <w:highlight w:val="none"/>
              </w:rPr>
              <w:t>学习桌侧面配置有书架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侧面书架整体规格尺寸：长300mm*深600mm*高1690mm）</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书架整体设为5格，4块层板。</w:t>
            </w:r>
            <w:r>
              <w:rPr>
                <w:rFonts w:hint="eastAsia" w:ascii="宋体" w:hAnsi="宋体" w:cs="宋体"/>
                <w:color w:val="auto"/>
                <w:kern w:val="0"/>
                <w:szCs w:val="21"/>
                <w:highlight w:val="none"/>
              </w:rPr>
              <w:t>书架深度约</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00mm，宽约300mm，高度与衣柜顶端平齐，竖向有固定横隔板，横隔板横向长度方向中间有加强筋支撑上方承重，且在下方配三角支架增加承重效果，书架</w:t>
            </w:r>
            <w:r>
              <w:rPr>
                <w:rFonts w:hint="eastAsia" w:ascii="宋体" w:hAnsi="宋体" w:eastAsia="宋体" w:cs="宋体"/>
                <w:b w:val="0"/>
                <w:bCs w:val="0"/>
                <w:i w:val="0"/>
                <w:iCs w:val="0"/>
                <w:smallCaps w:val="0"/>
                <w:strike w:val="0"/>
                <w:color w:val="auto"/>
                <w:sz w:val="21"/>
                <w:szCs w:val="21"/>
                <w:highlight w:val="none"/>
                <w:u w:val="none"/>
                <w:lang w:val="en-US" w:eastAsia="zh-CN" w:bidi="ar-SA"/>
              </w:rPr>
              <w:t>主材</w:t>
            </w:r>
            <w:r>
              <w:rPr>
                <w:rFonts w:hint="eastAsia" w:ascii="宋体" w:hAnsi="宋体" w:eastAsia="宋体" w:cs="宋体"/>
                <w:color w:val="auto"/>
                <w:sz w:val="21"/>
                <w:szCs w:val="21"/>
                <w:highlight w:val="none"/>
                <w:lang w:eastAsia="zh-CN"/>
              </w:rPr>
              <w:t>采用</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mm厚E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b w:val="0"/>
                <w:bCs w:val="0"/>
                <w:i w:val="0"/>
                <w:iCs w:val="0"/>
                <w:smallCaps w:val="0"/>
                <w:strike w:val="0"/>
                <w:color w:val="auto"/>
                <w:sz w:val="21"/>
                <w:szCs w:val="21"/>
                <w:highlight w:val="none"/>
                <w:u w:val="none"/>
                <w:lang w:val="en-US" w:eastAsia="zh-CN" w:bidi="ar-SA"/>
              </w:rPr>
              <w:t>制作</w:t>
            </w:r>
            <w:r>
              <w:rPr>
                <w:rFonts w:hint="eastAsia" w:ascii="宋体" w:hAnsi="宋体" w:eastAsia="宋体" w:cs="宋体"/>
                <w:color w:val="auto"/>
                <w:sz w:val="21"/>
                <w:szCs w:val="21"/>
                <w:highlight w:val="none"/>
                <w:lang w:val="en-US" w:eastAsia="zh-CN"/>
              </w:rPr>
              <w:t>，背板采用不少于15mm厚</w:t>
            </w:r>
            <w:r>
              <w:rPr>
                <w:rFonts w:hint="eastAsia" w:ascii="宋体" w:hAnsi="宋体" w:eastAsia="宋体" w:cs="宋体"/>
                <w:color w:val="auto"/>
                <w:sz w:val="21"/>
                <w:szCs w:val="21"/>
                <w:highlight w:val="none"/>
                <w:lang w:eastAsia="zh-CN"/>
              </w:rPr>
              <w:t>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color w:val="auto"/>
                <w:sz w:val="21"/>
                <w:szCs w:val="21"/>
                <w:highlight w:val="none"/>
                <w:lang w:val="en-US" w:eastAsia="zh-CN"/>
              </w:rPr>
              <w:t>制作。板材的甲醛释放量须满足GB 18580-2017《室内装饰装修材料 人造板及其制品中甲醛释放限量》的要求，按GB/T 39600-2021《人造板及其制品甲醛释放量分级》达到ENF级。</w:t>
            </w:r>
            <w:r>
              <w:rPr>
                <w:rFonts w:hint="eastAsia" w:ascii="宋体" w:hAnsi="宋体" w:cs="宋体"/>
                <w:color w:val="auto"/>
                <w:kern w:val="0"/>
                <w:szCs w:val="21"/>
                <w:highlight w:val="none"/>
              </w:rPr>
              <w:t>柜底部配备</w:t>
            </w:r>
            <w:r>
              <w:rPr>
                <w:rFonts w:hint="eastAsia" w:ascii="宋体" w:hAnsi="宋体" w:cs="宋体"/>
                <w:color w:val="auto"/>
                <w:kern w:val="0"/>
                <w:szCs w:val="21"/>
                <w:highlight w:val="none"/>
                <w:lang w:val="en-US" w:eastAsia="zh-CN"/>
              </w:rPr>
              <w:t>钢制脚框架达到</w:t>
            </w:r>
            <w:r>
              <w:rPr>
                <w:rFonts w:hint="eastAsia" w:ascii="宋体" w:hAnsi="宋体" w:cs="宋体"/>
                <w:color w:val="auto"/>
                <w:kern w:val="0"/>
                <w:szCs w:val="21"/>
                <w:highlight w:val="none"/>
              </w:rPr>
              <w:t>可防潮措施，得到有效的防潮作用，增长产品使用时间</w:t>
            </w:r>
            <w:r>
              <w:rPr>
                <w:rFonts w:hint="eastAsia" w:ascii="宋体" w:hAnsi="宋体" w:eastAsia="宋体" w:cs="宋体"/>
                <w:color w:val="auto"/>
                <w:sz w:val="21"/>
                <w:szCs w:val="21"/>
                <w:highlight w:val="none"/>
                <w:lang w:val="en-US" w:eastAsia="zh-CN"/>
              </w:rPr>
              <w:t xml:space="preserve">。能够有效使物体远离地面，具有较好的防潮效果。 </w:t>
            </w:r>
          </w:p>
        </w:tc>
        <w:tc>
          <w:tcPr>
            <w:tcW w:w="2034" w:type="dxa"/>
            <w:tcBorders>
              <w:top w:val="single" w:color="auto" w:sz="4" w:space="0"/>
              <w:left w:val="single" w:color="auto" w:sz="4" w:space="0"/>
              <w:bottom w:val="single" w:color="auto" w:sz="4" w:space="0"/>
              <w:right w:val="single" w:color="auto" w:sz="4" w:space="0"/>
            </w:tcBorders>
            <w:vAlign w:val="center"/>
          </w:tcPr>
          <w:p w14:paraId="16E839DA">
            <w:pPr>
              <w:spacing w:line="260" w:lineRule="exact"/>
              <w:jc w:val="center"/>
              <w:rPr>
                <w:rFonts w:hint="default" w:asciiTheme="minorEastAsia" w:hAnsiTheme="minorEastAsia" w:eastAsiaTheme="minorEastAsia" w:cstheme="minorEastAsia"/>
                <w:szCs w:val="21"/>
                <w:lang w:val="en-US" w:eastAsia="zh-CN"/>
              </w:rPr>
            </w:pPr>
          </w:p>
        </w:tc>
      </w:tr>
      <w:tr w14:paraId="3CEBB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8" w:type="dxa"/>
            <w:tcBorders>
              <w:left w:val="single" w:color="auto" w:sz="4" w:space="0"/>
              <w:right w:val="single" w:color="auto" w:sz="4" w:space="0"/>
            </w:tcBorders>
          </w:tcPr>
          <w:p w14:paraId="20589009">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2A1EFF1E">
            <w:pPr>
              <w:spacing w:line="240" w:lineRule="exact"/>
              <w:jc w:val="center"/>
              <w:rPr>
                <w:rFonts w:hint="default" w:ascii="宋体" w:hAnsi="宋体"/>
                <w:szCs w:val="21"/>
                <w:lang w:val="en-US" w:eastAsia="zh-CN"/>
              </w:rPr>
            </w:pPr>
            <w:r>
              <w:rPr>
                <w:rFonts w:hint="eastAsia" w:ascii="宋体" w:hAnsi="宋体"/>
                <w:szCs w:val="21"/>
                <w:lang w:val="en-US" w:eastAsia="zh-CN"/>
              </w:rPr>
              <w:t>4</w:t>
            </w:r>
          </w:p>
        </w:tc>
        <w:tc>
          <w:tcPr>
            <w:tcW w:w="842" w:type="dxa"/>
            <w:tcBorders>
              <w:top w:val="single" w:color="auto" w:sz="4" w:space="0"/>
              <w:left w:val="single" w:color="auto" w:sz="4" w:space="0"/>
              <w:bottom w:val="single" w:color="auto" w:sz="4" w:space="0"/>
              <w:right w:val="single" w:color="auto" w:sz="4" w:space="0"/>
            </w:tcBorders>
            <w:vAlign w:val="center"/>
          </w:tcPr>
          <w:p w14:paraId="59029A31">
            <w:pPr>
              <w:spacing w:line="260" w:lineRule="exact"/>
              <w:jc w:val="center"/>
              <w:rPr>
                <w:rFonts w:hint="default"/>
                <w:vertAlign w:val="baseline"/>
                <w:lang w:val="en-US" w:eastAsia="zh-CN"/>
              </w:rPr>
            </w:pPr>
            <w:r>
              <w:rPr>
                <w:rFonts w:hint="eastAsia"/>
                <w:vertAlign w:val="baseline"/>
                <w:lang w:val="en-US" w:eastAsia="zh-CN"/>
              </w:rPr>
              <w:t>储物柜式爬梯</w:t>
            </w:r>
          </w:p>
        </w:tc>
        <w:tc>
          <w:tcPr>
            <w:tcW w:w="810" w:type="dxa"/>
            <w:tcBorders>
              <w:top w:val="single" w:color="auto" w:sz="4" w:space="0"/>
              <w:left w:val="single" w:color="auto" w:sz="4" w:space="0"/>
              <w:bottom w:val="single" w:color="auto" w:sz="4" w:space="0"/>
              <w:right w:val="single" w:color="auto" w:sz="4" w:space="0"/>
            </w:tcBorders>
            <w:vAlign w:val="center"/>
          </w:tcPr>
          <w:p w14:paraId="1A6A3B2C">
            <w:pPr>
              <w:spacing w:line="26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懿德轩、菲木森、桂红光/定制</w:t>
            </w:r>
          </w:p>
        </w:tc>
        <w:tc>
          <w:tcPr>
            <w:tcW w:w="405" w:type="dxa"/>
            <w:tcBorders>
              <w:top w:val="single" w:color="auto" w:sz="4" w:space="0"/>
              <w:left w:val="single" w:color="auto" w:sz="4" w:space="0"/>
              <w:bottom w:val="single" w:color="auto" w:sz="4" w:space="0"/>
              <w:right w:val="single" w:color="auto" w:sz="4" w:space="0"/>
            </w:tcBorders>
            <w:vAlign w:val="center"/>
          </w:tcPr>
          <w:p w14:paraId="500FF5E9">
            <w:pPr>
              <w:spacing w:line="2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组</w:t>
            </w:r>
          </w:p>
        </w:tc>
        <w:tc>
          <w:tcPr>
            <w:tcW w:w="825" w:type="dxa"/>
            <w:tcBorders>
              <w:top w:val="single" w:color="auto" w:sz="4" w:space="0"/>
              <w:left w:val="single" w:color="auto" w:sz="4" w:space="0"/>
              <w:bottom w:val="single" w:color="auto" w:sz="4" w:space="0"/>
              <w:right w:val="single" w:color="auto" w:sz="4" w:space="0"/>
            </w:tcBorders>
            <w:vAlign w:val="center"/>
          </w:tcPr>
          <w:p w14:paraId="65F7A828">
            <w:pPr>
              <w:spacing w:line="26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136</w:t>
            </w:r>
          </w:p>
        </w:tc>
        <w:tc>
          <w:tcPr>
            <w:tcW w:w="4364" w:type="dxa"/>
            <w:tcBorders>
              <w:top w:val="single" w:color="auto" w:sz="4" w:space="0"/>
              <w:left w:val="single" w:color="auto" w:sz="4" w:space="0"/>
              <w:bottom w:val="single" w:color="auto" w:sz="4" w:space="0"/>
              <w:right w:val="single" w:color="auto" w:sz="4" w:space="0"/>
            </w:tcBorders>
          </w:tcPr>
          <w:p w14:paraId="3977F29A">
            <w:pPr>
              <w:keepNext w:val="0"/>
              <w:keepLines w:val="0"/>
              <w:pageBreakBefore w:val="0"/>
              <w:numPr>
                <w:ilvl w:val="0"/>
                <w:numId w:val="0"/>
              </w:numPr>
              <w:wordWrap/>
              <w:topLinePunct w:val="0"/>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储物柜式爬梯整体高度为1400mm，设有4个方形储物柜，单个储物柜规格尺寸为：长400mm*宽420mm*高350mm。</w:t>
            </w:r>
          </w:p>
          <w:p w14:paraId="17F4B20B">
            <w:pPr>
              <w:keepNext w:val="0"/>
              <w:keepLines w:val="0"/>
              <w:pageBreakBefore w:val="0"/>
              <w:numPr>
                <w:ilvl w:val="0"/>
                <w:numId w:val="0"/>
              </w:numPr>
              <w:wordWrap/>
              <w:topLinePunct w:val="0"/>
              <w:bidi w:val="0"/>
              <w:spacing w:line="360" w:lineRule="auto"/>
              <w:textAlignment w:val="auto"/>
              <w:rPr>
                <w:rFonts w:hint="eastAsia" w:ascii="宋体" w:hAnsi="宋体" w:eastAsia="宋体" w:cs="宋体"/>
                <w:snapToGrid/>
                <w:color w:val="000000"/>
                <w:kern w:val="0"/>
                <w:sz w:val="21"/>
                <w:szCs w:val="21"/>
                <w:highlight w:val="none"/>
                <w:lang w:val="en-US" w:eastAsia="zh-CN" w:bidi="ar"/>
              </w:rPr>
            </w:pPr>
            <w:r>
              <w:rPr>
                <w:rFonts w:hint="eastAsia" w:ascii="宋体" w:hAnsi="宋体" w:eastAsia="宋体" w:cs="宋体"/>
                <w:sz w:val="21"/>
                <w:szCs w:val="21"/>
                <w:lang w:val="en-US" w:eastAsia="zh-CN"/>
              </w:rPr>
              <w:t>1、爬梯</w:t>
            </w:r>
            <w:r>
              <w:rPr>
                <w:rFonts w:hint="eastAsia" w:ascii="宋体" w:hAnsi="宋体" w:eastAsia="宋体" w:cs="宋体"/>
                <w:sz w:val="21"/>
                <w:szCs w:val="21"/>
              </w:rPr>
              <w:t>立柱：采用型材不小于</w:t>
            </w:r>
            <w:r>
              <w:rPr>
                <w:rFonts w:hint="eastAsia" w:ascii="宋体" w:hAnsi="宋体" w:eastAsia="宋体" w:cs="宋体"/>
                <w:sz w:val="21"/>
                <w:szCs w:val="21"/>
                <w:lang w:val="en-US" w:eastAsia="zh-CN"/>
              </w:rPr>
              <w:t>75</w:t>
            </w:r>
            <w:r>
              <w:rPr>
                <w:rFonts w:hint="eastAsia" w:ascii="宋体" w:hAnsi="宋体" w:eastAsia="宋体" w:cs="宋体"/>
                <w:sz w:val="21"/>
                <w:szCs w:val="21"/>
              </w:rPr>
              <w:t>*</w:t>
            </w:r>
            <w:r>
              <w:rPr>
                <w:rFonts w:hint="eastAsia" w:ascii="宋体" w:hAnsi="宋体" w:eastAsia="宋体" w:cs="宋体"/>
                <w:sz w:val="21"/>
                <w:szCs w:val="21"/>
                <w:lang w:val="en-US" w:eastAsia="zh-CN"/>
              </w:rPr>
              <w:t>75</w:t>
            </w:r>
            <w:r>
              <w:rPr>
                <w:rFonts w:hint="eastAsia" w:ascii="宋体" w:hAnsi="宋体" w:eastAsia="宋体" w:cs="宋体"/>
                <w:sz w:val="21"/>
                <w:szCs w:val="21"/>
              </w:rPr>
              <w:t>*1.2mm、</w:t>
            </w:r>
            <w:r>
              <w:rPr>
                <w:rFonts w:hint="eastAsia" w:ascii="宋体" w:hAnsi="宋体" w:eastAsia="宋体" w:cs="宋体"/>
                <w:snapToGrid/>
                <w:color w:val="000000"/>
                <w:kern w:val="0"/>
                <w:sz w:val="21"/>
                <w:szCs w:val="21"/>
                <w:highlight w:val="none"/>
                <w:lang w:val="en-US" w:eastAsia="zh-CN" w:bidi="ar"/>
              </w:rPr>
              <w:t>经轧压线辊压成闭口，外侧为圆弧形，管材厚度≥1.2mm，圆弧面上有4条加强筋，具有现代宿舍家具简洁立体风格，增强爬梯立柱的抗扭力。</w:t>
            </w:r>
          </w:p>
          <w:p w14:paraId="2458CB99">
            <w:pPr>
              <w:keepNext w:val="0"/>
              <w:keepLines w:val="0"/>
              <w:pageBreakBefore w:val="0"/>
              <w:wordWrap/>
              <w:overflowPunct w:val="0"/>
              <w:topLinePunct w:val="0"/>
              <w:bidi w:val="0"/>
              <w:spacing w:line="360" w:lineRule="auto"/>
              <w:textAlignment w:val="auto"/>
              <w:rPr>
                <w:rFonts w:hint="eastAsia" w:ascii="宋体" w:hAnsi="宋体" w:eastAsia="宋体" w:cs="宋体"/>
                <w:snapToGrid/>
                <w:color w:val="000000"/>
                <w:kern w:val="0"/>
                <w:sz w:val="21"/>
                <w:szCs w:val="21"/>
                <w:highlight w:val="none"/>
                <w:lang w:val="en-US" w:eastAsia="zh-CN" w:bidi="ar"/>
              </w:rPr>
            </w:pPr>
            <w:r>
              <w:rPr>
                <w:rFonts w:hint="eastAsia" w:ascii="宋体" w:hAnsi="宋体" w:cs="宋体"/>
                <w:color w:val="auto"/>
                <w:kern w:val="0"/>
                <w:szCs w:val="21"/>
                <w:highlight w:val="none"/>
                <w:lang w:val="en-US" w:eastAsia="zh-CN"/>
              </w:rPr>
              <w:t>2、储物柜</w:t>
            </w:r>
            <w:r>
              <w:rPr>
                <w:rFonts w:hint="eastAsia" w:ascii="宋体" w:hAnsi="宋体" w:eastAsia="宋体" w:cs="宋体"/>
                <w:b w:val="0"/>
                <w:bCs w:val="0"/>
                <w:i w:val="0"/>
                <w:iCs w:val="0"/>
                <w:smallCaps w:val="0"/>
                <w:strike w:val="0"/>
                <w:color w:val="auto"/>
                <w:sz w:val="21"/>
                <w:szCs w:val="21"/>
                <w:highlight w:val="none"/>
                <w:u w:val="none"/>
                <w:lang w:val="en-US" w:eastAsia="zh-CN" w:bidi="ar-SA"/>
              </w:rPr>
              <w:t>主材</w:t>
            </w:r>
            <w:r>
              <w:rPr>
                <w:rFonts w:hint="eastAsia" w:ascii="宋体" w:hAnsi="宋体" w:eastAsia="宋体" w:cs="宋体"/>
                <w:color w:val="auto"/>
                <w:sz w:val="21"/>
                <w:szCs w:val="21"/>
                <w:highlight w:val="none"/>
                <w:lang w:eastAsia="zh-CN"/>
              </w:rPr>
              <w:t>采用</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mm厚E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b w:val="0"/>
                <w:bCs w:val="0"/>
                <w:i w:val="0"/>
                <w:iCs w:val="0"/>
                <w:smallCaps w:val="0"/>
                <w:strike w:val="0"/>
                <w:color w:val="auto"/>
                <w:sz w:val="21"/>
                <w:szCs w:val="21"/>
                <w:highlight w:val="none"/>
                <w:u w:val="none"/>
                <w:lang w:val="en-US" w:eastAsia="zh-CN" w:bidi="ar-SA"/>
              </w:rPr>
              <w:t>制作</w:t>
            </w:r>
            <w:r>
              <w:rPr>
                <w:rFonts w:hint="eastAsia" w:ascii="宋体" w:hAnsi="宋体" w:eastAsia="宋体" w:cs="宋体"/>
                <w:color w:val="auto"/>
                <w:sz w:val="21"/>
                <w:szCs w:val="21"/>
                <w:highlight w:val="none"/>
                <w:lang w:val="en-US" w:eastAsia="zh-CN"/>
              </w:rPr>
              <w:t>，背板采用不少于15mm厚</w:t>
            </w:r>
            <w:r>
              <w:rPr>
                <w:rFonts w:hint="eastAsia" w:ascii="宋体" w:hAnsi="宋体" w:eastAsia="宋体" w:cs="宋体"/>
                <w:color w:val="auto"/>
                <w:sz w:val="21"/>
                <w:szCs w:val="21"/>
                <w:highlight w:val="none"/>
                <w:lang w:eastAsia="zh-CN"/>
              </w:rPr>
              <w:t>E</w:t>
            </w:r>
            <w:r>
              <w:rPr>
                <w:rFonts w:hint="eastAsia" w:ascii="宋体" w:hAnsi="宋体" w:eastAsia="宋体" w:cs="宋体"/>
                <w:color w:val="auto"/>
                <w:sz w:val="21"/>
                <w:szCs w:val="21"/>
                <w:highlight w:val="none"/>
                <w:lang w:val="en-US" w:eastAsia="zh-CN"/>
              </w:rPr>
              <w:t>NF</w:t>
            </w:r>
            <w:r>
              <w:rPr>
                <w:rFonts w:hint="eastAsia" w:ascii="宋体" w:hAnsi="宋体" w:eastAsia="宋体" w:cs="宋体"/>
                <w:color w:val="auto"/>
                <w:sz w:val="21"/>
                <w:szCs w:val="21"/>
                <w:highlight w:val="none"/>
                <w:lang w:eastAsia="zh-CN"/>
              </w:rPr>
              <w:t>级多层实木板</w:t>
            </w:r>
            <w:r>
              <w:rPr>
                <w:rFonts w:hint="eastAsia" w:ascii="宋体" w:hAnsi="宋体" w:eastAsia="宋体" w:cs="宋体"/>
                <w:color w:val="auto"/>
                <w:sz w:val="21"/>
                <w:szCs w:val="21"/>
                <w:highlight w:val="none"/>
                <w:lang w:val="en-US" w:eastAsia="zh-CN"/>
              </w:rPr>
              <w:t>制作，板材的甲醛释放量须满足GB 18580-2017《室内装饰装修材料 人造板及其制品中甲醛释放限量》的要求，按GB/T 39600-2021《人造板及其制品甲醛释放量分级》达到ENF级。</w:t>
            </w:r>
            <w:r>
              <w:rPr>
                <w:rFonts w:hint="eastAsia" w:ascii="宋体" w:hAnsi="宋体" w:cs="宋体"/>
                <w:color w:val="auto"/>
                <w:kern w:val="0"/>
                <w:szCs w:val="21"/>
                <w:highlight w:val="none"/>
              </w:rPr>
              <w:t>柜底部配备</w:t>
            </w:r>
            <w:r>
              <w:rPr>
                <w:rFonts w:hint="eastAsia" w:ascii="宋体" w:hAnsi="宋体" w:cs="宋体"/>
                <w:color w:val="auto"/>
                <w:kern w:val="0"/>
                <w:szCs w:val="21"/>
                <w:highlight w:val="none"/>
                <w:lang w:val="en-US" w:eastAsia="zh-CN"/>
              </w:rPr>
              <w:t>钢制脚框架达到</w:t>
            </w:r>
            <w:r>
              <w:rPr>
                <w:rFonts w:hint="eastAsia" w:ascii="宋体" w:hAnsi="宋体" w:cs="宋体"/>
                <w:color w:val="auto"/>
                <w:kern w:val="0"/>
                <w:szCs w:val="21"/>
                <w:highlight w:val="none"/>
              </w:rPr>
              <w:t>可防潮措施，得到有效的防潮作用，增长产品使用时间</w:t>
            </w:r>
            <w:r>
              <w:rPr>
                <w:rFonts w:hint="eastAsia" w:ascii="宋体" w:hAnsi="宋体" w:eastAsia="宋体" w:cs="宋体"/>
                <w:color w:val="auto"/>
                <w:sz w:val="21"/>
                <w:szCs w:val="21"/>
                <w:highlight w:val="none"/>
                <w:lang w:val="en-US" w:eastAsia="zh-CN"/>
              </w:rPr>
              <w:t xml:space="preserve">。能够有效使物体远离地面，具有较好的防潮效果。  </w:t>
            </w:r>
          </w:p>
        </w:tc>
        <w:tc>
          <w:tcPr>
            <w:tcW w:w="2034" w:type="dxa"/>
            <w:tcBorders>
              <w:top w:val="single" w:color="auto" w:sz="4" w:space="0"/>
              <w:left w:val="single" w:color="auto" w:sz="4" w:space="0"/>
              <w:bottom w:val="single" w:color="auto" w:sz="4" w:space="0"/>
              <w:right w:val="single" w:color="auto" w:sz="4" w:space="0"/>
            </w:tcBorders>
            <w:vAlign w:val="center"/>
          </w:tcPr>
          <w:p w14:paraId="4866FEC8">
            <w:pPr>
              <w:spacing w:line="260" w:lineRule="exact"/>
              <w:jc w:val="center"/>
              <w:rPr>
                <w:rFonts w:hint="default" w:asciiTheme="minorEastAsia" w:hAnsiTheme="minorEastAsia" w:eastAsiaTheme="minorEastAsia" w:cstheme="minorEastAsia"/>
                <w:szCs w:val="21"/>
                <w:lang w:val="en-US" w:eastAsia="zh-CN"/>
              </w:rPr>
            </w:pPr>
          </w:p>
        </w:tc>
      </w:tr>
      <w:tr w14:paraId="457B3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8" w:type="dxa"/>
            <w:tcBorders>
              <w:left w:val="single" w:color="auto" w:sz="4" w:space="0"/>
              <w:right w:val="single" w:color="auto" w:sz="4" w:space="0"/>
            </w:tcBorders>
          </w:tcPr>
          <w:p w14:paraId="6DA0451A">
            <w:pPr>
              <w:spacing w:line="240" w:lineRule="exact"/>
              <w:jc w:val="center"/>
              <w:rPr>
                <w:rFonts w:ascii="宋体" w:hAnsi="宋体"/>
                <w:b/>
                <w:bCs/>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66015835">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5</w:t>
            </w:r>
          </w:p>
        </w:tc>
        <w:tc>
          <w:tcPr>
            <w:tcW w:w="842" w:type="dxa"/>
            <w:tcBorders>
              <w:top w:val="single" w:color="auto" w:sz="4" w:space="0"/>
              <w:left w:val="single" w:color="auto" w:sz="4" w:space="0"/>
              <w:bottom w:val="single" w:color="auto" w:sz="4" w:space="0"/>
              <w:right w:val="single" w:color="auto" w:sz="4" w:space="0"/>
            </w:tcBorders>
            <w:vAlign w:val="center"/>
          </w:tcPr>
          <w:p w14:paraId="393CC66D">
            <w:pPr>
              <w:spacing w:line="260" w:lineRule="exact"/>
              <w:jc w:val="center"/>
              <w:rPr>
                <w:rFonts w:hint="default"/>
                <w:vertAlign w:val="baseline"/>
                <w:lang w:val="en-US" w:eastAsia="zh-CN"/>
              </w:rPr>
            </w:pPr>
            <w:r>
              <w:rPr>
                <w:rFonts w:hint="eastAsia"/>
                <w:vertAlign w:val="baseline"/>
                <w:lang w:val="en-US" w:eastAsia="zh-CN"/>
              </w:rPr>
              <w:t>椅子</w:t>
            </w:r>
          </w:p>
        </w:tc>
        <w:tc>
          <w:tcPr>
            <w:tcW w:w="810" w:type="dxa"/>
            <w:tcBorders>
              <w:top w:val="single" w:color="auto" w:sz="4" w:space="0"/>
              <w:left w:val="single" w:color="auto" w:sz="4" w:space="0"/>
              <w:bottom w:val="single" w:color="auto" w:sz="4" w:space="0"/>
              <w:right w:val="single" w:color="auto" w:sz="4" w:space="0"/>
            </w:tcBorders>
            <w:vAlign w:val="center"/>
          </w:tcPr>
          <w:p w14:paraId="381DF494">
            <w:pPr>
              <w:spacing w:line="26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懿德轩、菲木森、桂红光/定制</w:t>
            </w:r>
          </w:p>
        </w:tc>
        <w:tc>
          <w:tcPr>
            <w:tcW w:w="405" w:type="dxa"/>
            <w:tcBorders>
              <w:top w:val="single" w:color="auto" w:sz="4" w:space="0"/>
              <w:left w:val="single" w:color="auto" w:sz="4" w:space="0"/>
              <w:bottom w:val="single" w:color="auto" w:sz="4" w:space="0"/>
              <w:right w:val="single" w:color="auto" w:sz="4" w:space="0"/>
            </w:tcBorders>
            <w:vAlign w:val="center"/>
          </w:tcPr>
          <w:p w14:paraId="0E64C84C">
            <w:pPr>
              <w:spacing w:line="2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张</w:t>
            </w:r>
          </w:p>
        </w:tc>
        <w:tc>
          <w:tcPr>
            <w:tcW w:w="825" w:type="dxa"/>
            <w:tcBorders>
              <w:top w:val="single" w:color="auto" w:sz="4" w:space="0"/>
              <w:left w:val="single" w:color="auto" w:sz="4" w:space="0"/>
              <w:bottom w:val="single" w:color="auto" w:sz="4" w:space="0"/>
              <w:right w:val="single" w:color="auto" w:sz="4" w:space="0"/>
            </w:tcBorders>
            <w:vAlign w:val="center"/>
          </w:tcPr>
          <w:p w14:paraId="77258518">
            <w:pPr>
              <w:spacing w:line="2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136</w:t>
            </w:r>
          </w:p>
        </w:tc>
        <w:tc>
          <w:tcPr>
            <w:tcW w:w="4364" w:type="dxa"/>
            <w:tcBorders>
              <w:top w:val="single" w:color="auto" w:sz="4" w:space="0"/>
              <w:left w:val="single" w:color="auto" w:sz="4" w:space="0"/>
              <w:bottom w:val="single" w:color="auto" w:sz="4" w:space="0"/>
              <w:right w:val="single" w:color="auto" w:sz="4" w:space="0"/>
            </w:tcBorders>
          </w:tcPr>
          <w:p w14:paraId="294B2844">
            <w:pPr>
              <w:keepNext w:val="0"/>
              <w:keepLines w:val="0"/>
              <w:widowControl/>
              <w:suppressLineNumbers w:val="0"/>
              <w:spacing w:line="360" w:lineRule="auto"/>
              <w:jc w:val="left"/>
              <w:rPr>
                <w:rFonts w:hint="default"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常规</w:t>
            </w:r>
          </w:p>
          <w:p w14:paraId="061F2D4F">
            <w:pPr>
              <w:keepNext w:val="0"/>
              <w:keepLines w:val="0"/>
              <w:widowControl/>
              <w:suppressLineNumbers w:val="0"/>
              <w:spacing w:line="36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color w:val="000000"/>
                <w:kern w:val="0"/>
                <w:sz w:val="21"/>
                <w:szCs w:val="21"/>
                <w:lang w:val="en-US" w:eastAsia="zh-CN" w:bidi="ar"/>
              </w:rPr>
              <w:t>面料：优质面料，耐磨性强，透气性好；尼龙背架 。</w:t>
            </w:r>
          </w:p>
          <w:p w14:paraId="6F8F425F">
            <w:pPr>
              <w:keepNext w:val="0"/>
              <w:keepLines w:val="0"/>
              <w:widowControl/>
              <w:suppressLineNumbers w:val="0"/>
              <w:spacing w:line="36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2、海绵:环保弹力海棉，环保，无异味，符合GB/T 10802-2023《通用软质聚氨酯泡沫塑料》标准 。</w:t>
            </w:r>
          </w:p>
          <w:p w14:paraId="44E0FCE4">
            <w:pPr>
              <w:keepNext w:val="0"/>
              <w:keepLines w:val="0"/>
              <w:widowControl/>
              <w:suppressLineNumbers w:val="0"/>
              <w:spacing w:line="360" w:lineRule="auto"/>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3、气棒：85黑色气杆，2.0mm厚蝴蝶底盘 。</w:t>
            </w:r>
          </w:p>
          <w:p w14:paraId="06D4C742">
            <w:pPr>
              <w:keepNext w:val="0"/>
              <w:keepLines w:val="0"/>
              <w:widowControl/>
              <w:suppressLineNumbers w:val="0"/>
              <w:spacing w:line="360" w:lineRule="auto"/>
              <w:jc w:val="left"/>
              <w:rPr>
                <w:rFonts w:hint="eastAsia" w:ascii="宋体" w:hAnsi="宋体" w:eastAsia="宋体" w:cs="宋体"/>
                <w:sz w:val="21"/>
                <w:szCs w:val="21"/>
              </w:rPr>
            </w:pPr>
            <w:r>
              <w:rPr>
                <w:rFonts w:hint="eastAsia" w:asciiTheme="majorEastAsia" w:hAnsiTheme="majorEastAsia" w:eastAsiaTheme="majorEastAsia" w:cstheme="majorEastAsia"/>
                <w:color w:val="000000"/>
                <w:kern w:val="0"/>
                <w:sz w:val="21"/>
                <w:szCs w:val="21"/>
                <w:lang w:val="en-US" w:eastAsia="zh-CN" w:bidi="ar"/>
              </w:rPr>
              <w:t>4、配件：PU扶手，310黑色尼龙脚+60mm黑色尼轮逍遥自由锁定。</w:t>
            </w:r>
          </w:p>
        </w:tc>
        <w:tc>
          <w:tcPr>
            <w:tcW w:w="2034" w:type="dxa"/>
            <w:tcBorders>
              <w:top w:val="single" w:color="auto" w:sz="4" w:space="0"/>
              <w:left w:val="single" w:color="auto" w:sz="4" w:space="0"/>
              <w:bottom w:val="single" w:color="auto" w:sz="4" w:space="0"/>
              <w:right w:val="single" w:color="auto" w:sz="4" w:space="0"/>
            </w:tcBorders>
            <w:vAlign w:val="center"/>
          </w:tcPr>
          <w:p w14:paraId="64485A35">
            <w:pPr>
              <w:spacing w:line="260" w:lineRule="exact"/>
              <w:jc w:val="center"/>
              <w:rPr>
                <w:rFonts w:hint="default" w:asciiTheme="minorEastAsia" w:hAnsiTheme="minorEastAsia" w:eastAsiaTheme="minorEastAsia" w:cstheme="minorEastAsia"/>
                <w:szCs w:val="21"/>
                <w:lang w:val="en-US" w:eastAsia="zh-CN"/>
              </w:rPr>
            </w:pPr>
          </w:p>
        </w:tc>
      </w:tr>
    </w:tbl>
    <w:p w14:paraId="14BF332B"/>
    <w:p w14:paraId="5425A9DD"/>
    <w:p w14:paraId="308E92A3"/>
    <w:p w14:paraId="442F38EC"/>
    <w:p w14:paraId="76BB8B0A"/>
    <w:p w14:paraId="42C21B7E"/>
    <w:p w14:paraId="582C21FF"/>
    <w:p w14:paraId="47FBDFB2"/>
    <w:p w14:paraId="5FE4CF6B"/>
    <w:p w14:paraId="76F67B0A"/>
    <w:p w14:paraId="5C7B2591"/>
    <w:p w14:paraId="3277008A"/>
    <w:p w14:paraId="3D85B71F"/>
    <w:p w14:paraId="65E06F01"/>
    <w:p w14:paraId="1E7AC5F8"/>
    <w:p w14:paraId="59318A1A"/>
    <w:p w14:paraId="4CE0E4F1"/>
    <w:p w14:paraId="608D3E47"/>
    <w:p w14:paraId="2EAEFB5D"/>
    <w:p w14:paraId="7BF8BBBF"/>
    <w:tbl>
      <w:tblPr>
        <w:tblStyle w:val="7"/>
        <w:tblW w:w="10212" w:type="dxa"/>
        <w:jc w:val="center"/>
        <w:tblLayout w:type="fixed"/>
        <w:tblCellMar>
          <w:top w:w="0" w:type="dxa"/>
          <w:left w:w="108" w:type="dxa"/>
          <w:bottom w:w="0" w:type="dxa"/>
          <w:right w:w="108" w:type="dxa"/>
        </w:tblCellMar>
      </w:tblPr>
      <w:tblGrid>
        <w:gridCol w:w="1367"/>
        <w:gridCol w:w="8845"/>
      </w:tblGrid>
      <w:tr w14:paraId="63DA8F65">
        <w:tblPrEx>
          <w:tblCellMar>
            <w:top w:w="0" w:type="dxa"/>
            <w:left w:w="108" w:type="dxa"/>
            <w:bottom w:w="0" w:type="dxa"/>
            <w:right w:w="108" w:type="dxa"/>
          </w:tblCellMar>
        </w:tblPrEx>
        <w:trPr>
          <w:trHeight w:val="469" w:hRule="atLeast"/>
          <w:jc w:val="center"/>
        </w:trPr>
        <w:tc>
          <w:tcPr>
            <w:tcW w:w="10212" w:type="dxa"/>
            <w:gridSpan w:val="2"/>
            <w:tcBorders>
              <w:top w:val="single" w:color="000000" w:sz="2" w:space="0"/>
              <w:left w:val="single" w:color="000000" w:sz="2" w:space="0"/>
              <w:bottom w:val="single" w:color="auto" w:sz="4" w:space="0"/>
              <w:right w:val="single" w:color="000000" w:sz="2" w:space="0"/>
            </w:tcBorders>
            <w:shd w:val="clear" w:color="000000" w:fill="FFFFFF"/>
            <w:noWrap w:val="0"/>
            <w:vAlign w:val="center"/>
          </w:tcPr>
          <w:p w14:paraId="7CCA92FF">
            <w:pPr>
              <w:pStyle w:val="6"/>
              <w:jc w:val="both"/>
              <w:rPr>
                <w:rFonts w:hint="eastAsia" w:ascii="宋体" w:hAnsi="宋体" w:eastAsia="宋体" w:cs="宋体"/>
                <w:sz w:val="24"/>
                <w:szCs w:val="24"/>
                <w:highlight w:val="none"/>
              </w:rPr>
            </w:pPr>
            <w:r>
              <w:rPr>
                <w:rFonts w:hint="eastAsia" w:ascii="宋体" w:hAnsi="宋体" w:eastAsia="宋体" w:cs="宋体"/>
                <w:b/>
                <w:bCs/>
                <w:sz w:val="28"/>
                <w:szCs w:val="28"/>
                <w:highlight w:val="none"/>
              </w:rPr>
              <w:t>商务要求</w:t>
            </w:r>
          </w:p>
        </w:tc>
      </w:tr>
      <w:tr w14:paraId="3FF9C36A">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C2ADD6">
            <w:pPr>
              <w:spacing w:line="360" w:lineRule="auto"/>
              <w:rPr>
                <w:rFonts w:hint="eastAsia" w:ascii="宋体" w:hAnsi="宋体" w:eastAsia="宋体" w:cs="宋体"/>
                <w:sz w:val="24"/>
                <w:szCs w:val="24"/>
                <w:highlight w:val="none"/>
              </w:rPr>
            </w:pPr>
            <w:r>
              <w:rPr>
                <w:rFonts w:hint="eastAsia" w:ascii="宋体" w:hAnsi="宋体" w:eastAsia="宋体" w:cs="宋体"/>
                <w:color w:val="auto"/>
                <w:szCs w:val="21"/>
                <w:highlight w:val="none"/>
              </w:rPr>
              <w:t>竞标报价要求</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E64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报价为采购人指定地点的现场交货价，包括：</w:t>
            </w:r>
          </w:p>
          <w:p w14:paraId="25747F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货物的价格；</w:t>
            </w:r>
          </w:p>
          <w:p w14:paraId="611CB2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货物的标准附件、备品备件、专用工具的价格；</w:t>
            </w:r>
          </w:p>
          <w:p w14:paraId="6CFBDA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运输、装卸、调试、技术支持、售后服务等费用；</w:t>
            </w:r>
          </w:p>
          <w:p w14:paraId="7BEE689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必要的保险费用和各项税费；</w:t>
            </w:r>
          </w:p>
          <w:p w14:paraId="4BBADE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安装、送货上门的费用。</w:t>
            </w:r>
          </w:p>
          <w:p w14:paraId="53D9BF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安装、开展培训（含教材费、场地租用费）、送货上门的费用；</w:t>
            </w:r>
          </w:p>
          <w:p w14:paraId="483D2A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到现场验收的费用。</w:t>
            </w:r>
          </w:p>
          <w:p w14:paraId="36F2A4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FD0215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竞标供应商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总报价</w:t>
            </w:r>
            <w:r>
              <w:rPr>
                <w:rFonts w:hint="eastAsia" w:ascii="宋体" w:hAnsi="宋体" w:eastAsia="宋体" w:cs="宋体"/>
                <w:color w:val="auto"/>
                <w:szCs w:val="21"/>
                <w:highlight w:val="none"/>
                <w:lang w:val="en-US" w:eastAsia="zh-CN"/>
              </w:rPr>
              <w:t>必须</w:t>
            </w:r>
            <w:r>
              <w:rPr>
                <w:rFonts w:hint="eastAsia" w:ascii="宋体" w:hAnsi="宋体" w:eastAsia="宋体" w:cs="宋体"/>
                <w:color w:val="auto"/>
                <w:szCs w:val="21"/>
                <w:highlight w:val="none"/>
              </w:rPr>
              <w:t>≤采购预算</w:t>
            </w:r>
            <w:r>
              <w:rPr>
                <w:rFonts w:hint="eastAsia" w:ascii="宋体" w:hAnsi="宋体" w:eastAsia="宋体" w:cs="宋体"/>
                <w:color w:val="auto"/>
                <w:szCs w:val="21"/>
                <w:highlight w:val="none"/>
                <w:lang w:val="en-US" w:eastAsia="zh-CN"/>
              </w:rPr>
              <w:t>总价</w:t>
            </w:r>
            <w:r>
              <w:rPr>
                <w:rFonts w:hint="eastAsia" w:ascii="宋体" w:hAnsi="宋体" w:eastAsia="宋体" w:cs="宋体"/>
                <w:color w:val="auto"/>
                <w:szCs w:val="21"/>
                <w:highlight w:val="none"/>
              </w:rPr>
              <w:t>。</w:t>
            </w:r>
          </w:p>
          <w:p w14:paraId="5A421951">
            <w:pPr>
              <w:spacing w:line="360" w:lineRule="auto"/>
              <w:rPr>
                <w:rFonts w:hint="eastAsia" w:ascii="宋体" w:hAnsi="宋体" w:eastAsia="宋体" w:cs="宋体"/>
                <w:sz w:val="24"/>
                <w:szCs w:val="24"/>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常用的、容易损坏的配件的优惠价格清单须在响应文件中列出。</w:t>
            </w:r>
          </w:p>
        </w:tc>
      </w:tr>
      <w:tr w14:paraId="71D7CFE9">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2FB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合同签订期及地点</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879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合同签订期：自</w:t>
            </w:r>
            <w:r>
              <w:rPr>
                <w:rFonts w:hint="eastAsia" w:ascii="宋体" w:hAnsi="宋体" w:eastAsia="宋体" w:cs="宋体"/>
                <w:color w:val="auto"/>
                <w:szCs w:val="21"/>
                <w:highlight w:val="none"/>
                <w:lang w:val="en-US" w:eastAsia="zh-CN"/>
              </w:rPr>
              <w:t>成交通知书</w:t>
            </w:r>
            <w:r>
              <w:rPr>
                <w:rFonts w:hint="eastAsia" w:ascii="宋体" w:hAnsi="宋体" w:eastAsia="宋体" w:cs="宋体"/>
                <w:color w:val="auto"/>
                <w:szCs w:val="21"/>
                <w:highlight w:val="none"/>
              </w:rPr>
              <w:t>发出之日起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个日内。</w:t>
            </w:r>
          </w:p>
          <w:p w14:paraId="0BB7ADF9">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合同签订地点：采购人指定地点。</w:t>
            </w:r>
          </w:p>
        </w:tc>
      </w:tr>
      <w:tr w14:paraId="5E90AF43">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C4C2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交付使用期及交货地点</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1B51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交付使用期：自合同签订之日起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日内交货并安装调试完毕。</w:t>
            </w:r>
          </w:p>
          <w:p w14:paraId="7C4A9D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交货地点：采购人指定地点。</w:t>
            </w:r>
          </w:p>
          <w:p w14:paraId="72F36F7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交货方式：现场交货。</w:t>
            </w:r>
          </w:p>
        </w:tc>
      </w:tr>
      <w:tr w14:paraId="723B0595">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B04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实施和安装要求</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C2BD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必须服从甲方现场负责人的指挥，按指定地点进行安装；</w:t>
            </w:r>
          </w:p>
          <w:p w14:paraId="4A5F94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安装过程中的所有安全保障由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自行负责；</w:t>
            </w:r>
          </w:p>
          <w:p w14:paraId="65B8C44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严格按</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产品的安装规范要求进行安装，确保安全</w:t>
            </w:r>
            <w:r>
              <w:rPr>
                <w:rFonts w:hint="eastAsia" w:ascii="宋体" w:hAnsi="宋体" w:eastAsia="宋体" w:cs="宋体"/>
                <w:color w:val="auto"/>
                <w:szCs w:val="21"/>
                <w:highlight w:val="none"/>
                <w:lang w:eastAsia="zh-CN"/>
              </w:rPr>
              <w:t>。</w:t>
            </w:r>
          </w:p>
        </w:tc>
      </w:tr>
      <w:tr w14:paraId="74DC2949">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4D11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4A061">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1.质量保证期</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年，技术参数中有明确质保要求的以技术参数要求为准（自交货并验收合格之日起计）。</w:t>
            </w:r>
          </w:p>
          <w:p w14:paraId="4C4D122C">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2.故障响应时间：</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262B60A">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3.免费送货上门、安装、调试，免费培训使用人员和维护人员，培训内容主要为：家具正确使用、维护、保养等。</w:t>
            </w:r>
          </w:p>
          <w:p w14:paraId="1A580C1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4.在质量保证期内设备非因人为及不可抗拒因素的原因而引起损坏或质量问题，</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应免费予以技术服务、维修或设备更换，并承担相应费用和零部件的费用，因人为因素出现的故障不在免费保修范围内，</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也要积极帮助采购人修理，并提供优惠价格的配件和服务。</w:t>
            </w:r>
          </w:p>
          <w:p w14:paraId="255F5B67">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5.超过质量保证期的货物，</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提供终生维修、保养服务，维修时只收部件成本费。</w:t>
            </w:r>
          </w:p>
          <w:p w14:paraId="7DF028BC">
            <w:pPr>
              <w:numPr>
                <w:ilvl w:val="0"/>
                <w:numId w:val="0"/>
              </w:numPr>
              <w:spacing w:line="360" w:lineRule="auto"/>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随时优惠提供备品备件，优惠提供产品更新、改造服务。</w:t>
            </w:r>
          </w:p>
        </w:tc>
      </w:tr>
      <w:tr w14:paraId="112FE84E">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B8F9D">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付款条件（付款方式）</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BED938">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本项目无预付款。待</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交货安装完毕，</w:t>
            </w:r>
            <w:r>
              <w:rPr>
                <w:rFonts w:hint="eastAsia" w:ascii="宋体" w:hAnsi="宋体" w:eastAsia="宋体" w:cs="宋体"/>
                <w:color w:val="auto"/>
                <w:highlight w:val="none"/>
                <w:lang w:val="en-US" w:eastAsia="zh-CN"/>
              </w:rPr>
              <w:t>采购人和成交供应商</w:t>
            </w:r>
            <w:r>
              <w:rPr>
                <w:rFonts w:hint="eastAsia" w:ascii="宋体" w:hAnsi="宋体" w:eastAsia="宋体" w:cs="宋体"/>
                <w:color w:val="auto"/>
                <w:highlight w:val="none"/>
              </w:rPr>
              <w:t>双方和监理方现场验收合格后，</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供应商开具至合同价款100%的合法增值税专用发票给采购人，采购人收到发票后在1</w:t>
            </w:r>
            <w:r>
              <w:rPr>
                <w:rFonts w:hint="eastAsia" w:ascii="宋体" w:hAnsi="宋体" w:cs="宋体"/>
                <w:color w:val="auto"/>
                <w:highlight w:val="none"/>
                <w:lang w:val="en-US" w:eastAsia="zh-CN"/>
              </w:rPr>
              <w:t>5</w:t>
            </w:r>
            <w:r>
              <w:rPr>
                <w:rFonts w:hint="eastAsia" w:ascii="宋体" w:hAnsi="宋体" w:eastAsia="宋体" w:cs="宋体"/>
                <w:color w:val="auto"/>
                <w:highlight w:val="none"/>
              </w:rPr>
              <w:t>个工作日内一次性付清合同款。</w:t>
            </w:r>
          </w:p>
        </w:tc>
      </w:tr>
      <w:tr w14:paraId="7DAD16C9">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3E6469">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备品备件及耗材等要求</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6568F">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应按</w:t>
            </w:r>
            <w:r>
              <w:rPr>
                <w:rFonts w:hint="eastAsia" w:ascii="宋体" w:hAnsi="宋体" w:eastAsia="宋体" w:cs="宋体"/>
                <w:color w:val="auto"/>
                <w:highlight w:val="none"/>
                <w:lang w:val="en-US" w:eastAsia="zh-CN"/>
              </w:rPr>
              <w:t>成交单</w:t>
            </w:r>
            <w:r>
              <w:rPr>
                <w:rFonts w:hint="eastAsia" w:ascii="宋体" w:hAnsi="宋体" w:eastAsia="宋体" w:cs="宋体"/>
                <w:color w:val="auto"/>
                <w:highlight w:val="none"/>
              </w:rPr>
              <w:t>价或优于市场价提供相关配件和服务。</w:t>
            </w:r>
          </w:p>
        </w:tc>
      </w:tr>
      <w:tr w14:paraId="5DFCEDD5">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EDC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验收条件及标准</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8B89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符合合同要求及国家相关标准；</w:t>
            </w:r>
          </w:p>
          <w:p w14:paraId="1C4A05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参数配置符合</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要求及</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承诺，无任何变动；</w:t>
            </w:r>
          </w:p>
          <w:p w14:paraId="1472BE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提供所招标采购的货物、配套设备、所属装置等有关技术资料作为验收的参考依据。</w:t>
            </w:r>
          </w:p>
        </w:tc>
      </w:tr>
      <w:tr w14:paraId="487FE706">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A555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验收方法及方案</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153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验收方式：采取现场验收方法。由采购单位组织组织相关人员进行验收，提供购置清单、发票、合同等逐一清点，仔细检查数量、材质、规格型号、外观及内在质量是否符合采购需求；</w:t>
            </w:r>
          </w:p>
          <w:p w14:paraId="0D118B72">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交付验收应按本项目约定的时间进行，如因采购人的原因而导致不能按时交付，将按延期时间顺延交付时间。</w:t>
            </w:r>
          </w:p>
        </w:tc>
      </w:tr>
      <w:tr w14:paraId="630CCBAD">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9071A">
            <w:pPr>
              <w:numPr>
                <w:ilvl w:val="0"/>
                <w:numId w:val="0"/>
              </w:numPr>
              <w:spacing w:line="360" w:lineRule="auto"/>
              <w:rPr>
                <w:rFonts w:hint="default" w:ascii="宋体" w:hAnsi="宋体" w:eastAsia="宋体" w:cs="宋体"/>
                <w:b/>
                <w:bCs w:val="0"/>
                <w:color w:val="auto"/>
                <w:sz w:val="21"/>
                <w:szCs w:val="21"/>
                <w:lang w:val="en-US" w:eastAsia="zh-CN"/>
              </w:rPr>
            </w:pPr>
            <w:r>
              <w:rPr>
                <w:rFonts w:hint="eastAsia" w:ascii="宋体" w:hAnsi="宋体" w:eastAsia="宋体" w:cs="宋体"/>
                <w:sz w:val="21"/>
                <w:szCs w:val="21"/>
              </w:rPr>
              <w:t>▲</w:t>
            </w:r>
            <w:r>
              <w:rPr>
                <w:rFonts w:hint="eastAsia" w:ascii="宋体" w:hAnsi="宋体" w:eastAsia="宋体" w:cs="宋体"/>
                <w:b/>
                <w:bCs w:val="0"/>
                <w:color w:val="auto"/>
                <w:sz w:val="21"/>
                <w:szCs w:val="21"/>
                <w:lang w:val="en-US" w:eastAsia="zh-CN"/>
              </w:rPr>
              <w:t>竞价人资质要求</w:t>
            </w:r>
          </w:p>
          <w:p w14:paraId="5CBFCDD3">
            <w:pPr>
              <w:spacing w:line="360" w:lineRule="auto"/>
              <w:rPr>
                <w:rFonts w:hint="eastAsia" w:ascii="宋体" w:hAnsi="宋体" w:eastAsia="宋体" w:cs="宋体"/>
                <w:color w:val="auto"/>
                <w:szCs w:val="21"/>
                <w:highlight w:val="none"/>
              </w:rPr>
            </w:pP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ABAA5">
            <w:pPr>
              <w:numPr>
                <w:ilvl w:val="0"/>
                <w:numId w:val="0"/>
              </w:numPr>
              <w:spacing w:line="360" w:lineRule="auto"/>
              <w:rPr>
                <w:rFonts w:hint="eastAsia" w:ascii="宋体" w:hAnsi="宋体" w:eastAsia="宋体" w:cs="宋体"/>
                <w:b w:val="0"/>
                <w:bCs/>
                <w:i w:val="0"/>
                <w:caps w:val="0"/>
                <w:color w:val="auto"/>
                <w:spacing w:val="0"/>
                <w:sz w:val="21"/>
                <w:szCs w:val="21"/>
                <w:shd w:val="clear" w:color="auto" w:fill="FFFFFF"/>
                <w:lang w:val="en-US" w:eastAsia="zh-CN"/>
              </w:rPr>
            </w:pPr>
            <w:r>
              <w:rPr>
                <w:rFonts w:hint="eastAsia" w:ascii="宋体" w:hAnsi="宋体" w:eastAsia="宋体" w:cs="宋体"/>
                <w:b w:val="0"/>
                <w:bCs/>
                <w:i w:val="0"/>
                <w:caps w:val="0"/>
                <w:color w:val="auto"/>
                <w:spacing w:val="0"/>
                <w:sz w:val="21"/>
                <w:szCs w:val="21"/>
                <w:shd w:val="clear" w:color="auto" w:fill="FFFFFF"/>
                <w:lang w:val="en-US" w:eastAsia="zh-CN"/>
              </w:rPr>
              <w:t>1.竞价供应商应为为有生产或销售家具资质的独立法人；如投标单位为代理商，则需生产厂家正式出具的授权委托书。</w:t>
            </w:r>
          </w:p>
          <w:p w14:paraId="739A4AB6">
            <w:pPr>
              <w:spacing w:line="360" w:lineRule="auto"/>
              <w:rPr>
                <w:rFonts w:hint="eastAsia" w:ascii="宋体" w:hAnsi="宋体" w:eastAsia="宋体" w:cs="宋体"/>
                <w:color w:val="auto"/>
                <w:szCs w:val="21"/>
                <w:highlight w:val="none"/>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kern w:val="2"/>
                <w:sz w:val="21"/>
                <w:szCs w:val="21"/>
                <w:highlight w:val="none"/>
                <w:lang w:val="en-US" w:eastAsia="zh-CN" w:bidi="ar-SA"/>
              </w:rPr>
              <w:t>竞价供应商必须完全响应或优于参数附件，产品必须要提供</w:t>
            </w:r>
            <w:r>
              <w:rPr>
                <w:rFonts w:hint="eastAsia" w:ascii="宋体" w:hAnsi="宋体" w:cs="宋体"/>
                <w:b w:val="0"/>
                <w:bCs/>
                <w:color w:val="auto"/>
                <w:kern w:val="2"/>
                <w:sz w:val="21"/>
                <w:szCs w:val="21"/>
                <w:highlight w:val="none"/>
                <w:lang w:val="en-US" w:eastAsia="zh-CN" w:bidi="ar-SA"/>
              </w:rPr>
              <w:t>“</w:t>
            </w:r>
            <w:r>
              <w:rPr>
                <w:rFonts w:hint="eastAsia" w:asciiTheme="minorEastAsia" w:hAnsiTheme="minorEastAsia" w:cstheme="minorEastAsia"/>
                <w:szCs w:val="21"/>
                <w:lang w:val="en-US" w:eastAsia="zh-CN"/>
              </w:rPr>
              <w:t>懿德轩、菲木森、桂红光</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厂家授权书、生产厂家的供货证明和售后服务承诺函原件，并加盖原厂公章，</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并随报价文件一起上传，否则报价无效</w:t>
            </w:r>
            <w:r>
              <w:rPr>
                <w:rFonts w:hint="eastAsia" w:asciiTheme="majorEastAsia" w:hAnsiTheme="majorEastAsia" w:eastAsiaTheme="majorEastAsia" w:cstheme="majorEastAsia"/>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auto"/>
                <w:kern w:val="2"/>
                <w:sz w:val="21"/>
                <w:szCs w:val="21"/>
                <w:highlight w:val="none"/>
                <w:lang w:val="en-US" w:eastAsia="zh-CN" w:bidi="ar-SA"/>
              </w:rPr>
              <w:t>避免伪劣产品，影响业主方使用。</w:t>
            </w:r>
          </w:p>
        </w:tc>
      </w:tr>
      <w:tr w14:paraId="4DA414A5">
        <w:tblPrEx>
          <w:tblCellMar>
            <w:top w:w="0" w:type="dxa"/>
            <w:left w:w="108" w:type="dxa"/>
            <w:bottom w:w="0" w:type="dxa"/>
            <w:right w:w="108" w:type="dxa"/>
          </w:tblCellMar>
        </w:tblPrEx>
        <w:trPr>
          <w:trHeight w:val="1375" w:hRule="atLeast"/>
          <w:jc w:val="center"/>
        </w:trPr>
        <w:tc>
          <w:tcPr>
            <w:tcW w:w="13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217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88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5F3A4">
            <w:pPr>
              <w:spacing w:line="360" w:lineRule="auto"/>
              <w:rPr>
                <w:rFonts w:hint="eastAsia"/>
              </w:rPr>
            </w:pPr>
            <w:r>
              <w:rPr>
                <w:rFonts w:hint="eastAsia"/>
              </w:rPr>
              <w:t>1</w:t>
            </w:r>
            <w:r>
              <w:rPr>
                <w:rFonts w:hint="eastAsia"/>
                <w:lang w:val="en-US" w:eastAsia="zh-CN"/>
              </w:rPr>
              <w:t>.</w:t>
            </w:r>
            <w:r>
              <w:rPr>
                <w:rFonts w:hint="eastAsia"/>
              </w:rPr>
              <w:t>本项目所拟采购货物不接受进口产品竞标（即通过中国海关报关验放进入中国境内且产自关境外的产品）。</w:t>
            </w:r>
          </w:p>
          <w:p w14:paraId="615DCFE5">
            <w:pPr>
              <w:spacing w:line="360" w:lineRule="auto"/>
              <w:rPr>
                <w:rFonts w:hint="eastAsia"/>
              </w:rPr>
            </w:pPr>
            <w:r>
              <w:rPr>
                <w:rFonts w:hint="eastAsia"/>
              </w:rPr>
              <w:t>2</w:t>
            </w:r>
            <w:r>
              <w:rPr>
                <w:rFonts w:hint="eastAsia"/>
                <w:lang w:val="en-US" w:eastAsia="zh-CN"/>
              </w:rPr>
              <w:t>.</w:t>
            </w:r>
            <w:r>
              <w:rPr>
                <w:rFonts w:hint="eastAsia"/>
              </w:rPr>
              <w:t>中标供应商在收到成交通知之日起24小时内签订合同，签订合同时必须提供生产厂家针对本项目供货证明原件，及售后服务承诺书原件加盖生产厂家公章，提供本次项目产品的生产厂家相应参数产品检测报告，如不能提供本次产品检测报告的情况下确认成交，将依法向政采云平台及政府采购管理部门进行举报并予以禁止报价、扣除诚信分等处罚，政采云全平台各区划联动生效。</w:t>
            </w:r>
          </w:p>
          <w:p w14:paraId="2162834B">
            <w:pPr>
              <w:spacing w:line="360" w:lineRule="auto"/>
              <w:rPr>
                <w:rFonts w:hint="eastAsia"/>
              </w:rPr>
            </w:pPr>
            <w:r>
              <w:rPr>
                <w:rFonts w:hint="eastAsia"/>
              </w:rPr>
              <w:t>3</w:t>
            </w:r>
            <w:r>
              <w:rPr>
                <w:rFonts w:hint="eastAsia"/>
                <w:lang w:val="en-US" w:eastAsia="zh-CN"/>
              </w:rPr>
              <w:t>.</w:t>
            </w:r>
            <w:r>
              <w:rPr>
                <w:rFonts w:hint="eastAsia"/>
              </w:rPr>
              <w:t>成交供应商提供的货物及服务不满足采购要求而导致验收不合格的，采购人有权解除合同并追究成交供应商的法律责任。</w:t>
            </w:r>
          </w:p>
          <w:p w14:paraId="7C809C4B">
            <w:pPr>
              <w:spacing w:line="360" w:lineRule="auto"/>
              <w:rPr>
                <w:rFonts w:hint="eastAsia"/>
              </w:rPr>
            </w:pPr>
            <w:r>
              <w:rPr>
                <w:rFonts w:hint="eastAsia"/>
                <w:lang w:val="en-US" w:eastAsia="zh-CN"/>
              </w:rPr>
              <w:t>4.</w:t>
            </w:r>
            <w:r>
              <w:rPr>
                <w:rFonts w:hint="eastAsia"/>
              </w:rPr>
              <w:t>在</w:t>
            </w:r>
            <w:r>
              <w:rPr>
                <w:rFonts w:hint="eastAsia"/>
                <w:lang w:eastAsia="zh-CN"/>
              </w:rPr>
              <w:t>成交供应商</w:t>
            </w:r>
            <w:r>
              <w:rPr>
                <w:rFonts w:hint="eastAsia"/>
              </w:rPr>
              <w:t>承诺的保修期内，设备保修包换所需要的配件均是原厂原装，不得使用兼容产品。</w:t>
            </w:r>
          </w:p>
          <w:p w14:paraId="1F23148F">
            <w:pPr>
              <w:spacing w:line="360" w:lineRule="auto"/>
              <w:rPr>
                <w:rFonts w:hint="eastAsia"/>
              </w:rPr>
            </w:pPr>
            <w:r>
              <w:rPr>
                <w:rFonts w:hint="eastAsia"/>
                <w:lang w:val="en-US" w:eastAsia="zh-CN"/>
              </w:rPr>
              <w:t>5.</w:t>
            </w:r>
            <w:r>
              <w:rPr>
                <w:rFonts w:hint="eastAsia"/>
                <w:lang w:eastAsia="zh-CN"/>
              </w:rPr>
              <w:t>竞标供应商</w:t>
            </w:r>
            <w:r>
              <w:rPr>
                <w:rFonts w:hint="eastAsia"/>
              </w:rPr>
              <w:t>应</w:t>
            </w:r>
            <w:r>
              <w:rPr>
                <w:rFonts w:hint="eastAsia"/>
                <w:lang w:val="en-US" w:eastAsia="zh-CN"/>
              </w:rPr>
              <w:t>保证参与本次政府采购项目时其按要求所</w:t>
            </w:r>
            <w:r>
              <w:rPr>
                <w:rFonts w:hint="eastAsia"/>
              </w:rPr>
              <w:t>提供的</w:t>
            </w:r>
            <w:r>
              <w:rPr>
                <w:rFonts w:hint="eastAsia"/>
                <w:lang w:val="en-US" w:eastAsia="zh-CN"/>
              </w:rPr>
              <w:t>所有</w:t>
            </w:r>
            <w:r>
              <w:rPr>
                <w:rFonts w:hint="eastAsia"/>
              </w:rPr>
              <w:t>证明材料和资质文件真实，如出现虚假应标情况，</w:t>
            </w:r>
            <w:r>
              <w:rPr>
                <w:rFonts w:hint="eastAsia"/>
                <w:lang w:eastAsia="zh-CN"/>
              </w:rPr>
              <w:t>竞标供应商</w:t>
            </w:r>
            <w:r>
              <w:rPr>
                <w:rFonts w:hint="eastAsia"/>
              </w:rPr>
              <w:t>除了应接受有关部门的处罚外，还应依据《中华人民共和国政府采购法》及其实施条例的相关条款来确定赔偿金额。</w:t>
            </w:r>
          </w:p>
          <w:p w14:paraId="471990C1">
            <w:pPr>
              <w:spacing w:line="360" w:lineRule="auto"/>
              <w:rPr>
                <w:rFonts w:hint="eastAsia"/>
                <w:lang w:eastAsia="zh-CN"/>
              </w:rPr>
            </w:pPr>
            <w:r>
              <w:rPr>
                <w:rFonts w:hint="eastAsia"/>
                <w:lang w:val="en-US" w:eastAsia="zh-CN"/>
              </w:rPr>
              <w:t>6.成交供应商在制作前应联系使用科室确定货品的尺寸、型号、款式及颜色等。</w:t>
            </w:r>
          </w:p>
          <w:p w14:paraId="75EA9765">
            <w:pPr>
              <w:spacing w:line="360" w:lineRule="auto"/>
              <w:rPr>
                <w:rFonts w:hint="eastAsia"/>
              </w:rPr>
            </w:pPr>
            <w:r>
              <w:rPr>
                <w:rFonts w:hint="eastAsia"/>
                <w:lang w:val="en-US" w:eastAsia="zh-CN"/>
              </w:rPr>
              <w:t>7.产品</w:t>
            </w:r>
            <w:r>
              <w:rPr>
                <w:rFonts w:hint="eastAsia"/>
              </w:rPr>
              <w:t>到货后，</w:t>
            </w:r>
            <w:r>
              <w:rPr>
                <w:rFonts w:hint="eastAsia"/>
                <w:lang w:eastAsia="zh-CN"/>
              </w:rPr>
              <w:t>成交供应商</w:t>
            </w:r>
            <w:r>
              <w:rPr>
                <w:rFonts w:hint="eastAsia"/>
              </w:rPr>
              <w:t>和采购人应在现场进行清点，清点过程中如果发现因包装或运输不当引起的产品外观或内部的损坏，</w:t>
            </w:r>
            <w:r>
              <w:rPr>
                <w:rFonts w:hint="eastAsia"/>
                <w:lang w:eastAsia="zh-CN"/>
              </w:rPr>
              <w:t>成交供应商</w:t>
            </w:r>
            <w:r>
              <w:rPr>
                <w:rFonts w:hint="eastAsia"/>
              </w:rPr>
              <w:t>应负责更换，若发现错发/漏发情况，</w:t>
            </w:r>
            <w:r>
              <w:rPr>
                <w:rFonts w:hint="eastAsia"/>
                <w:lang w:eastAsia="zh-CN"/>
              </w:rPr>
              <w:t>成交供应商</w:t>
            </w:r>
            <w:r>
              <w:rPr>
                <w:rFonts w:hint="eastAsia"/>
              </w:rPr>
              <w:t>应负责更换和补发</w:t>
            </w:r>
            <w:r>
              <w:rPr>
                <w:rFonts w:hint="eastAsia"/>
                <w:lang w:eastAsia="zh-CN"/>
              </w:rPr>
              <w:t>。</w:t>
            </w:r>
          </w:p>
          <w:p w14:paraId="222B4C89">
            <w:pPr>
              <w:spacing w:line="360" w:lineRule="auto"/>
              <w:rPr>
                <w:rFonts w:hint="eastAsia"/>
              </w:rPr>
            </w:pPr>
            <w:r>
              <w:rPr>
                <w:rFonts w:hint="eastAsia"/>
                <w:lang w:val="en-US" w:eastAsia="zh-CN"/>
              </w:rPr>
              <w:t>8.</w:t>
            </w:r>
            <w:r>
              <w:rPr>
                <w:rFonts w:hint="eastAsia"/>
                <w:lang w:eastAsia="zh-CN"/>
              </w:rPr>
              <w:t>竞标供应商</w:t>
            </w:r>
            <w:r>
              <w:rPr>
                <w:rFonts w:hint="eastAsia"/>
              </w:rPr>
              <w:t>应保证针对本项目的货物和服务涉及到的知识产权和所提供的相关技术资料是合法取得，并享有完整的知识产权，不会因为采购人的使用而被责令停止使用、追偿或要求赔偿损失，如出现此情况，一切经济和法律责任均由</w:t>
            </w:r>
            <w:r>
              <w:rPr>
                <w:rFonts w:hint="eastAsia"/>
                <w:lang w:eastAsia="zh-CN"/>
              </w:rPr>
              <w:t>竞标供应商</w:t>
            </w:r>
            <w:r>
              <w:rPr>
                <w:rFonts w:hint="eastAsia"/>
              </w:rPr>
              <w:t>承担。</w:t>
            </w:r>
            <w:r>
              <w:rPr>
                <w:rFonts w:hint="eastAsia"/>
                <w:lang w:eastAsia="zh-CN"/>
              </w:rPr>
              <w:t>成交供应商</w:t>
            </w:r>
            <w:r>
              <w:rPr>
                <w:rFonts w:hint="eastAsia"/>
              </w:rPr>
              <w:t>需在</w:t>
            </w:r>
            <w:r>
              <w:rPr>
                <w:rFonts w:hint="eastAsia"/>
                <w:lang w:val="en-US" w:eastAsia="zh-CN"/>
              </w:rPr>
              <w:t>采购合同</w:t>
            </w:r>
            <w:r>
              <w:rPr>
                <w:rFonts w:hint="eastAsia"/>
              </w:rPr>
              <w:t>中书面承诺采购方免受第三方提出侵犯其著作权、专利权、商标权或设计权的纠纷。</w:t>
            </w:r>
          </w:p>
          <w:p w14:paraId="48EF485A">
            <w:pPr>
              <w:widowControl/>
              <w:shd w:val="clear" w:color="auto" w:fill="FFFFFF"/>
              <w:spacing w:line="360" w:lineRule="auto"/>
              <w:jc w:val="left"/>
              <w:rPr>
                <w:rFonts w:hint="eastAsia" w:ascii="宋体" w:hAnsi="宋体" w:eastAsia="宋体" w:cs="宋体"/>
                <w:b/>
                <w:bCs/>
                <w:color w:val="auto"/>
                <w:szCs w:val="21"/>
                <w:highlight w:val="none"/>
              </w:rPr>
            </w:pPr>
            <w:r>
              <w:rPr>
                <w:rFonts w:hint="eastAsia"/>
                <w:lang w:val="en-US" w:eastAsia="zh-CN"/>
              </w:rPr>
              <w:t>▲9.本次采购方式为反向竞价，已指定品牌、型号，为确保采购人的合法权益，采购人有权要求中标供应商提供所投品牌产品的商标注册证复印件及商品合格证，并加盖原厂家公章，</w:t>
            </w:r>
            <w:r>
              <w:rPr>
                <w:rFonts w:hint="eastAsia" w:ascii="宋体" w:hAnsi="宋体" w:cs="宋体"/>
                <w:szCs w:val="21"/>
              </w:rPr>
              <w:t>在竞价前须上传提供货物原厂商的品牌针对本项目产品的品牌授权书、供货证明和产品售后服务承诺函原件加盖厂家公章</w:t>
            </w:r>
            <w:r>
              <w:rPr>
                <w:rFonts w:hint="eastAsia" w:ascii="宋体" w:hAnsi="宋体" w:cs="宋体"/>
                <w:szCs w:val="21"/>
                <w:lang w:eastAsia="zh-CN"/>
              </w:rPr>
              <w:t>，</w:t>
            </w:r>
            <w:r>
              <w:rPr>
                <w:rFonts w:hint="eastAsia" w:ascii="宋体" w:hAnsi="宋体" w:cs="宋体"/>
                <w:szCs w:val="21"/>
              </w:rPr>
              <w:t>避免假冒伪劣产品，报价方有效，否则按投标无效处理；</w:t>
            </w:r>
            <w:r>
              <w:rPr>
                <w:rFonts w:hint="eastAsia"/>
                <w:lang w:val="en-US" w:eastAsia="zh-CN"/>
              </w:rPr>
              <w:t>如中标供应商未提供或者提供不全，则视为虚假应标，采购人有权拒签采购合同，并</w:t>
            </w:r>
            <w:r>
              <w:rPr>
                <w:rFonts w:hint="eastAsia"/>
              </w:rPr>
              <w:t>依法向政采云平台及政府采购管理部门进行举报并予以禁止报价、扣除诚信分等处罚，政采云全平台各区划联动生效。</w:t>
            </w:r>
          </w:p>
        </w:tc>
      </w:tr>
    </w:tbl>
    <w:p w14:paraId="07267BCC"/>
    <w:p w14:paraId="462DA1AC"/>
    <w:p w14:paraId="259E2AA3"/>
    <w:p w14:paraId="3C6C9E8E"/>
    <w:p w14:paraId="42BD5907"/>
    <w:p w14:paraId="693464D9"/>
    <w:p w14:paraId="36FFCB76">
      <w:pPr>
        <w:rPr>
          <w:rFonts w:hint="eastAsia"/>
          <w:b/>
          <w:bCs/>
          <w:sz w:val="28"/>
          <w:szCs w:val="28"/>
          <w:lang w:val="en-US" w:eastAsia="zh-CN"/>
        </w:rPr>
      </w:pPr>
    </w:p>
    <w:p w14:paraId="3ACFF578">
      <w:pPr>
        <w:rPr>
          <w:rFonts w:hint="eastAsia"/>
          <w:b/>
          <w:bCs/>
          <w:sz w:val="28"/>
          <w:szCs w:val="28"/>
          <w:lang w:val="en-US" w:eastAsia="zh-CN"/>
        </w:rPr>
      </w:pPr>
    </w:p>
    <w:p w14:paraId="57B0C9D6">
      <w:pPr>
        <w:rPr>
          <w:rFonts w:hint="eastAsia"/>
          <w:b/>
          <w:bCs/>
          <w:sz w:val="28"/>
          <w:szCs w:val="28"/>
          <w:lang w:val="en-US" w:eastAsia="zh-CN"/>
        </w:rPr>
      </w:pPr>
      <w:r>
        <w:rPr>
          <w:rFonts w:hint="eastAsia"/>
          <w:b/>
          <w:bCs/>
          <w:sz w:val="28"/>
          <w:szCs w:val="28"/>
          <w:lang w:val="en-US" w:eastAsia="zh-CN"/>
        </w:rPr>
        <w:t>附件：拟采购产品整体款式示意图</w:t>
      </w:r>
    </w:p>
    <w:p w14:paraId="548F20CA">
      <w:pPr>
        <w:rPr>
          <w:rFonts w:hint="eastAsia"/>
          <w:b/>
          <w:bCs/>
          <w:sz w:val="28"/>
          <w:szCs w:val="28"/>
          <w:lang w:val="en-US" w:eastAsia="zh-CN"/>
        </w:rPr>
      </w:pPr>
    </w:p>
    <w:p w14:paraId="35810351">
      <w:pPr>
        <w:rPr>
          <w:rFonts w:hint="eastAsia"/>
          <w:lang w:val="en-US" w:eastAsia="zh-CN"/>
        </w:rPr>
      </w:pPr>
      <w:r>
        <w:drawing>
          <wp:inline distT="0" distB="0" distL="114300" distR="114300">
            <wp:extent cx="5581650" cy="5848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81650" cy="58483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D617D"/>
    <w:rsid w:val="01347FD4"/>
    <w:rsid w:val="05104339"/>
    <w:rsid w:val="0524365E"/>
    <w:rsid w:val="07FE491D"/>
    <w:rsid w:val="0C37664F"/>
    <w:rsid w:val="0EDB59B8"/>
    <w:rsid w:val="12D7302B"/>
    <w:rsid w:val="16E17E23"/>
    <w:rsid w:val="186B1B5B"/>
    <w:rsid w:val="1B110599"/>
    <w:rsid w:val="2369138D"/>
    <w:rsid w:val="24D80578"/>
    <w:rsid w:val="25CB1E8B"/>
    <w:rsid w:val="29FB7AE8"/>
    <w:rsid w:val="2DD517ED"/>
    <w:rsid w:val="31523460"/>
    <w:rsid w:val="32142696"/>
    <w:rsid w:val="331704BD"/>
    <w:rsid w:val="33AD617D"/>
    <w:rsid w:val="3589141A"/>
    <w:rsid w:val="39595C7D"/>
    <w:rsid w:val="3AE55345"/>
    <w:rsid w:val="3B6C15C2"/>
    <w:rsid w:val="3D4F2F4A"/>
    <w:rsid w:val="3E47204B"/>
    <w:rsid w:val="3E483C8F"/>
    <w:rsid w:val="3FD634AE"/>
    <w:rsid w:val="40682165"/>
    <w:rsid w:val="448E178F"/>
    <w:rsid w:val="482F7CA8"/>
    <w:rsid w:val="4AC9433B"/>
    <w:rsid w:val="4C6F2CC0"/>
    <w:rsid w:val="4C83676C"/>
    <w:rsid w:val="50D94BAC"/>
    <w:rsid w:val="52F23F3C"/>
    <w:rsid w:val="53DE4064"/>
    <w:rsid w:val="54A83213"/>
    <w:rsid w:val="552B602D"/>
    <w:rsid w:val="55A4138C"/>
    <w:rsid w:val="57AE0B41"/>
    <w:rsid w:val="5D0C6EBF"/>
    <w:rsid w:val="5D7E2271"/>
    <w:rsid w:val="5D8E51C8"/>
    <w:rsid w:val="6060496E"/>
    <w:rsid w:val="6527795A"/>
    <w:rsid w:val="679B09B6"/>
    <w:rsid w:val="6B07083C"/>
    <w:rsid w:val="6CAC7CA4"/>
    <w:rsid w:val="730E7C74"/>
    <w:rsid w:val="73D70FC8"/>
    <w:rsid w:val="7A923E9A"/>
    <w:rsid w:val="7C042B76"/>
    <w:rsid w:val="7D717D97"/>
    <w:rsid w:val="7F38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spacing w:before="260" w:beforeLines="0" w:after="260" w:afterLines="0" w:line="416" w:lineRule="auto"/>
      <w:outlineLvl w:val="2"/>
    </w:pPr>
    <w:rPr>
      <w:b/>
      <w:bCs/>
      <w:kern w:val="0"/>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line="360" w:lineRule="auto"/>
      <w:ind w:firstLine="200" w:firstLineChars="200"/>
    </w:pPr>
    <w:rPr>
      <w:rFonts w:ascii="宋体" w:hAnsi="Times New Roman" w:eastAsia="宋体" w:cs="Times New Roman"/>
      <w:szCs w:val="20"/>
    </w:rPr>
  </w:style>
  <w:style w:type="paragraph" w:styleId="3">
    <w:name w:val="Body Text Indent"/>
    <w:basedOn w:val="1"/>
    <w:next w:val="4"/>
    <w:qFormat/>
    <w:uiPriority w:val="0"/>
    <w:pPr>
      <w:ind w:firstLine="830" w:firstLineChars="352"/>
    </w:pPr>
    <w:rPr>
      <w:rFonts w:ascii="仿宋_GB2312" w:hAnsi="Times New Roman" w:eastAsia="仿宋_GB2312" w:cs="Times New Roman"/>
      <w:sz w:val="32"/>
      <w:szCs w:val="20"/>
    </w:rPr>
  </w:style>
  <w:style w:type="paragraph" w:styleId="4">
    <w:name w:val="envelope return"/>
    <w:basedOn w:val="1"/>
    <w:qFormat/>
    <w:uiPriority w:val="0"/>
    <w:pPr>
      <w:snapToGrid w:val="0"/>
    </w:pPr>
    <w:rPr>
      <w:rFonts w:ascii="Arial" w:hAnsi="Arial" w:eastAsia="宋体" w:cs="Times New Roman"/>
    </w:rPr>
  </w:style>
  <w:style w:type="paragraph" w:styleId="6">
    <w:name w:val="toc 1"/>
    <w:basedOn w:val="1"/>
    <w:next w:val="1"/>
    <w:qFormat/>
    <w:uiPriority w:val="0"/>
    <w:pPr>
      <w:spacing w:line="360" w:lineRule="auto"/>
    </w:pPr>
    <w:rPr>
      <w:rFonts w:ascii="Times New Roman" w:hAnsi="Times New Roman" w:eastAsia="宋体"/>
      <w:b/>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5357</Words>
  <Characters>5978</Characters>
  <Lines>0</Lines>
  <Paragraphs>0</Paragraphs>
  <TotalTime>0</TotalTime>
  <ScaleCrop>false</ScaleCrop>
  <LinksUpToDate>false</LinksUpToDate>
  <CharactersWithSpaces>6023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2025-06-20T03:16:00Z</dcterms:created>
  <dc:creator>天 阴雨湿声啾啾</dc:creator>
  <cp:lastModifiedBy>WPS_1678257653</cp:lastModifiedBy>
  <dcterms:modified xsi:type="dcterms:W3CDTF">2025-06-24T00:34:16Z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F46D305D6C22467DBC00768E22BD1916_13</vt:lpwstr>
  </property>
  <property fmtid="{D5CDD505-2E9C-101B-9397-08002B2CF9AE}" pid="4" name="KSOTemplateDocerSaveRecord">
    <vt:lpwstr>eyJoZGlkIjoiZDFlYWNiY2ZhY2E0MGNlZDE3N2NhOGViMjdkNmE0MDQiLCJ1c2VySWQiOiI3MjAyMjkwOTAifQ==</vt:lpwstr>
  </property>
</Properties>
</file>