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FC4DF">
      <w:pPr>
        <w:jc w:val="center"/>
        <w:rPr>
          <w:sz w:val="32"/>
          <w:szCs w:val="32"/>
        </w:rPr>
      </w:pPr>
      <w:r>
        <w:rPr>
          <w:sz w:val="32"/>
          <w:szCs w:val="32"/>
        </w:rPr>
        <w:t>采购需求书</w:t>
      </w:r>
    </w:p>
    <w:p w14:paraId="023073AF">
      <w:pPr>
        <w:jc w:val="left"/>
        <w:rPr>
          <w:color w:val="auto"/>
          <w:sz w:val="28"/>
          <w:szCs w:val="28"/>
        </w:rPr>
      </w:pPr>
      <w:r>
        <w:rPr>
          <w:sz w:val="28"/>
          <w:szCs w:val="28"/>
        </w:rPr>
        <w:t>一、</w:t>
      </w:r>
      <w:r>
        <w:rPr>
          <w:color w:val="auto"/>
          <w:sz w:val="28"/>
          <w:szCs w:val="28"/>
        </w:rPr>
        <w:t>采购内容：</w:t>
      </w:r>
    </w:p>
    <w:tbl>
      <w:tblPr>
        <w:tblStyle w:val="9"/>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80"/>
        <w:gridCol w:w="1401"/>
        <w:gridCol w:w="4959"/>
      </w:tblGrid>
      <w:tr w14:paraId="3608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7D2BDCB">
            <w:pPr>
              <w:jc w:val="center"/>
              <w:rPr>
                <w:color w:val="auto"/>
              </w:rPr>
            </w:pPr>
            <w:r>
              <w:rPr>
                <w:rFonts w:hint="eastAsia"/>
                <w:color w:val="auto"/>
              </w:rPr>
              <w:t>序号</w:t>
            </w:r>
          </w:p>
        </w:tc>
        <w:tc>
          <w:tcPr>
            <w:tcW w:w="1380" w:type="dxa"/>
            <w:vAlign w:val="center"/>
          </w:tcPr>
          <w:p w14:paraId="0AC7D797">
            <w:pPr>
              <w:jc w:val="center"/>
              <w:rPr>
                <w:color w:val="auto"/>
              </w:rPr>
            </w:pPr>
            <w:r>
              <w:rPr>
                <w:rFonts w:hint="eastAsia"/>
                <w:color w:val="auto"/>
              </w:rPr>
              <w:t>货物名称</w:t>
            </w:r>
          </w:p>
        </w:tc>
        <w:tc>
          <w:tcPr>
            <w:tcW w:w="1401" w:type="dxa"/>
            <w:vAlign w:val="center"/>
          </w:tcPr>
          <w:p w14:paraId="2FA660DF">
            <w:pPr>
              <w:jc w:val="center"/>
              <w:rPr>
                <w:color w:val="auto"/>
              </w:rPr>
            </w:pPr>
            <w:r>
              <w:rPr>
                <w:rFonts w:hint="eastAsia"/>
                <w:color w:val="auto"/>
              </w:rPr>
              <w:t>意向品牌</w:t>
            </w:r>
          </w:p>
        </w:tc>
        <w:tc>
          <w:tcPr>
            <w:tcW w:w="4959" w:type="dxa"/>
            <w:vAlign w:val="center"/>
          </w:tcPr>
          <w:p w14:paraId="1CDF1A83">
            <w:pPr>
              <w:jc w:val="center"/>
              <w:rPr>
                <w:color w:val="auto"/>
              </w:rPr>
            </w:pPr>
            <w:r>
              <w:rPr>
                <w:rFonts w:hint="eastAsia"/>
                <w:color w:val="auto"/>
              </w:rPr>
              <w:t>注意事项</w:t>
            </w:r>
          </w:p>
        </w:tc>
      </w:tr>
      <w:tr w14:paraId="4FA1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DEE5921">
            <w:pPr>
              <w:jc w:val="center"/>
              <w:rPr>
                <w:color w:val="auto"/>
              </w:rPr>
            </w:pPr>
            <w:r>
              <w:rPr>
                <w:rFonts w:hint="eastAsia"/>
                <w:color w:val="auto"/>
              </w:rPr>
              <w:t>1</w:t>
            </w:r>
          </w:p>
        </w:tc>
        <w:tc>
          <w:tcPr>
            <w:tcW w:w="1380" w:type="dxa"/>
            <w:vAlign w:val="center"/>
          </w:tcPr>
          <w:p w14:paraId="0BDE07E1">
            <w:pPr>
              <w:jc w:val="center"/>
              <w:rPr>
                <w:color w:val="auto"/>
              </w:rPr>
            </w:pPr>
            <w:r>
              <w:rPr>
                <w:rFonts w:hint="eastAsia"/>
                <w:color w:val="auto"/>
              </w:rPr>
              <w:t>数据采集器</w:t>
            </w:r>
          </w:p>
        </w:tc>
        <w:tc>
          <w:tcPr>
            <w:tcW w:w="1401" w:type="dxa"/>
            <w:vAlign w:val="center"/>
          </w:tcPr>
          <w:p w14:paraId="5FE101C0">
            <w:pPr>
              <w:jc w:val="center"/>
              <w:rPr>
                <w:color w:val="auto"/>
              </w:rPr>
            </w:pPr>
            <w:r>
              <w:rPr>
                <w:rFonts w:hint="eastAsia"/>
                <w:color w:val="auto"/>
                <w:lang w:val="en-US" w:eastAsia="zh-CN"/>
              </w:rPr>
              <w:t>南京名都</w:t>
            </w:r>
          </w:p>
        </w:tc>
        <w:tc>
          <w:tcPr>
            <w:tcW w:w="4959" w:type="dxa"/>
            <w:vAlign w:val="center"/>
          </w:tcPr>
          <w:p w14:paraId="560D19BC">
            <w:pPr>
              <w:jc w:val="left"/>
              <w:rPr>
                <w:color w:val="auto"/>
              </w:rPr>
            </w:pPr>
            <w:r>
              <w:rPr>
                <w:rFonts w:hint="eastAsia"/>
                <w:color w:val="auto"/>
              </w:rPr>
              <w:t>请潜在供应商在确保可以供货的前提下参与竞价，如果出现盲目竞价而无法供货的情况，因此给采购人造成的损失由该成交人全权负责，并承担因此造成的一切损失。</w:t>
            </w:r>
          </w:p>
        </w:tc>
      </w:tr>
    </w:tbl>
    <w:p w14:paraId="752A41E6">
      <w:pPr>
        <w:jc w:val="left"/>
        <w:rPr>
          <w:color w:val="auto"/>
          <w:sz w:val="28"/>
          <w:szCs w:val="28"/>
        </w:rPr>
      </w:pPr>
      <w:r>
        <w:rPr>
          <w:color w:val="auto"/>
          <w:sz w:val="28"/>
          <w:szCs w:val="28"/>
        </w:rPr>
        <w:t>产品清单表：</w:t>
      </w:r>
    </w:p>
    <w:tbl>
      <w:tblPr>
        <w:tblStyle w:val="9"/>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915"/>
        <w:gridCol w:w="3010"/>
        <w:gridCol w:w="780"/>
        <w:gridCol w:w="1325"/>
      </w:tblGrid>
      <w:tr w14:paraId="1F31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432" w:type="dxa"/>
            <w:vAlign w:val="center"/>
          </w:tcPr>
          <w:p w14:paraId="712F016C">
            <w:pPr>
              <w:jc w:val="center"/>
              <w:rPr>
                <w:rFonts w:ascii="宋体" w:hAnsi="宋体" w:eastAsia="宋体" w:cs="宋体"/>
                <w:color w:val="auto"/>
                <w:sz w:val="24"/>
              </w:rPr>
            </w:pPr>
            <w:r>
              <w:rPr>
                <w:rFonts w:ascii="宋体" w:hAnsi="宋体" w:eastAsia="宋体" w:cs="宋体"/>
                <w:color w:val="auto"/>
                <w:sz w:val="24"/>
              </w:rPr>
              <w:t>序号</w:t>
            </w:r>
          </w:p>
        </w:tc>
        <w:tc>
          <w:tcPr>
            <w:tcW w:w="1915" w:type="dxa"/>
            <w:vAlign w:val="center"/>
          </w:tcPr>
          <w:p w14:paraId="33568997">
            <w:pPr>
              <w:jc w:val="center"/>
              <w:rPr>
                <w:rFonts w:ascii="宋体" w:hAnsi="宋体" w:eastAsia="宋体" w:cs="宋体"/>
                <w:color w:val="auto"/>
                <w:sz w:val="24"/>
              </w:rPr>
            </w:pPr>
            <w:r>
              <w:rPr>
                <w:rFonts w:ascii="宋体" w:hAnsi="宋体" w:eastAsia="宋体" w:cs="宋体"/>
                <w:color w:val="auto"/>
                <w:sz w:val="24"/>
              </w:rPr>
              <w:t>货物名称</w:t>
            </w:r>
          </w:p>
        </w:tc>
        <w:tc>
          <w:tcPr>
            <w:tcW w:w="3010" w:type="dxa"/>
            <w:vAlign w:val="center"/>
          </w:tcPr>
          <w:p w14:paraId="2396A8D7">
            <w:pPr>
              <w:jc w:val="center"/>
              <w:rPr>
                <w:rFonts w:ascii="宋体" w:hAnsi="宋体" w:eastAsia="宋体" w:cs="宋体"/>
                <w:color w:val="auto"/>
                <w:sz w:val="24"/>
              </w:rPr>
            </w:pPr>
            <w:r>
              <w:rPr>
                <w:rFonts w:ascii="宋体" w:hAnsi="宋体" w:eastAsia="宋体" w:cs="宋体"/>
                <w:color w:val="auto"/>
                <w:sz w:val="24"/>
              </w:rPr>
              <w:t>型号</w:t>
            </w:r>
          </w:p>
        </w:tc>
        <w:tc>
          <w:tcPr>
            <w:tcW w:w="780" w:type="dxa"/>
            <w:vAlign w:val="center"/>
          </w:tcPr>
          <w:p w14:paraId="65D7FBF9">
            <w:pPr>
              <w:jc w:val="center"/>
              <w:rPr>
                <w:rFonts w:ascii="宋体" w:hAnsi="宋体" w:eastAsia="宋体" w:cs="宋体"/>
                <w:color w:val="auto"/>
                <w:sz w:val="24"/>
              </w:rPr>
            </w:pPr>
            <w:r>
              <w:rPr>
                <w:rFonts w:ascii="宋体" w:hAnsi="宋体" w:eastAsia="宋体" w:cs="宋体"/>
                <w:color w:val="auto"/>
                <w:sz w:val="24"/>
              </w:rPr>
              <w:t>单位</w:t>
            </w:r>
          </w:p>
        </w:tc>
        <w:tc>
          <w:tcPr>
            <w:tcW w:w="1325" w:type="dxa"/>
            <w:vAlign w:val="center"/>
          </w:tcPr>
          <w:p w14:paraId="29EA5E51">
            <w:pPr>
              <w:jc w:val="center"/>
              <w:rPr>
                <w:rFonts w:ascii="宋体" w:hAnsi="宋体" w:eastAsia="宋体" w:cs="宋体"/>
                <w:color w:val="auto"/>
                <w:sz w:val="24"/>
              </w:rPr>
            </w:pPr>
            <w:r>
              <w:rPr>
                <w:rFonts w:ascii="宋体" w:hAnsi="宋体" w:eastAsia="宋体" w:cs="宋体"/>
                <w:color w:val="auto"/>
                <w:sz w:val="24"/>
              </w:rPr>
              <w:t>数量</w:t>
            </w:r>
          </w:p>
        </w:tc>
      </w:tr>
      <w:tr w14:paraId="2581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432" w:type="dxa"/>
            <w:vAlign w:val="center"/>
          </w:tcPr>
          <w:p w14:paraId="3AE37C39">
            <w:pPr>
              <w:widowControl/>
              <w:jc w:val="center"/>
              <w:rPr>
                <w:color w:val="auto"/>
              </w:rPr>
            </w:pPr>
            <w:r>
              <w:rPr>
                <w:rFonts w:ascii="宋体" w:hAnsi="宋体" w:eastAsia="宋体" w:cs="宋体"/>
                <w:color w:val="auto"/>
                <w:kern w:val="0"/>
                <w:sz w:val="22"/>
                <w:szCs w:val="22"/>
                <w:lang w:bidi="ar"/>
              </w:rPr>
              <w:t>1</w:t>
            </w:r>
          </w:p>
        </w:tc>
        <w:tc>
          <w:tcPr>
            <w:tcW w:w="1915" w:type="dxa"/>
            <w:vAlign w:val="center"/>
          </w:tcPr>
          <w:p w14:paraId="442157AC">
            <w:pPr>
              <w:widowControl/>
              <w:jc w:val="center"/>
              <w:rPr>
                <w:rFonts w:ascii="宋体" w:hAnsi="宋体" w:eastAsia="宋体" w:cs="宋体"/>
                <w:color w:val="auto"/>
                <w:kern w:val="0"/>
                <w:sz w:val="22"/>
                <w:szCs w:val="22"/>
                <w:lang w:bidi="ar"/>
              </w:rPr>
            </w:pPr>
            <w:r>
              <w:rPr>
                <w:rFonts w:hint="eastAsia"/>
                <w:color w:val="auto"/>
              </w:rPr>
              <w:t>数据采集器</w:t>
            </w:r>
          </w:p>
        </w:tc>
        <w:tc>
          <w:tcPr>
            <w:tcW w:w="3010" w:type="dxa"/>
            <w:vAlign w:val="center"/>
          </w:tcPr>
          <w:p w14:paraId="354FF319">
            <w:pPr>
              <w:widowControl/>
              <w:jc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ZCS-MDRL6</w:t>
            </w:r>
          </w:p>
        </w:tc>
        <w:tc>
          <w:tcPr>
            <w:tcW w:w="780" w:type="dxa"/>
            <w:vAlign w:val="center"/>
          </w:tcPr>
          <w:p w14:paraId="572DCB04">
            <w:pPr>
              <w:widowControl/>
              <w:jc w:val="center"/>
              <w:rPr>
                <w:rFonts w:eastAsia="宋体"/>
                <w:color w:val="auto"/>
              </w:rPr>
            </w:pPr>
            <w:r>
              <w:rPr>
                <w:rFonts w:hint="eastAsia" w:ascii="宋体" w:hAnsi="宋体" w:eastAsia="宋体" w:cs="宋体"/>
                <w:color w:val="auto"/>
                <w:kern w:val="0"/>
                <w:sz w:val="22"/>
                <w:szCs w:val="22"/>
                <w:lang w:bidi="ar"/>
              </w:rPr>
              <w:t>套</w:t>
            </w:r>
          </w:p>
        </w:tc>
        <w:tc>
          <w:tcPr>
            <w:tcW w:w="1325" w:type="dxa"/>
            <w:vAlign w:val="center"/>
          </w:tcPr>
          <w:p w14:paraId="12D2367E">
            <w:pPr>
              <w:widowControl/>
              <w:jc w:val="center"/>
              <w:rPr>
                <w:color w:val="auto"/>
              </w:rPr>
            </w:pPr>
            <w:r>
              <w:rPr>
                <w:rFonts w:hint="eastAsia"/>
                <w:color w:val="auto"/>
              </w:rPr>
              <w:t>2208</w:t>
            </w:r>
          </w:p>
        </w:tc>
      </w:tr>
      <w:tr w14:paraId="349C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462" w:type="dxa"/>
            <w:gridSpan w:val="5"/>
            <w:vAlign w:val="center"/>
          </w:tcPr>
          <w:p w14:paraId="1FC3C654">
            <w:pPr>
              <w:rPr>
                <w:color w:val="auto"/>
              </w:rPr>
            </w:pPr>
            <w:r>
              <w:rPr>
                <w:color w:val="auto"/>
              </w:rPr>
              <w:t>1、供应商</w:t>
            </w:r>
            <w:r>
              <w:rPr>
                <w:rFonts w:hint="eastAsia"/>
                <w:color w:val="auto"/>
                <w:lang w:val="en-US" w:eastAsia="zh-CN"/>
              </w:rPr>
              <w:t>在</w:t>
            </w:r>
            <w:r>
              <w:rPr>
                <w:color w:val="auto"/>
              </w:rPr>
              <w:t>供货时</w:t>
            </w:r>
            <w:r>
              <w:rPr>
                <w:color w:val="auto"/>
              </w:rPr>
              <w:t>，须提供</w:t>
            </w:r>
            <w:r>
              <w:rPr>
                <w:rFonts w:hint="eastAsia"/>
                <w:color w:val="auto"/>
              </w:rPr>
              <w:t>数据采集器</w:t>
            </w:r>
            <w:r>
              <w:rPr>
                <w:color w:val="auto"/>
                <w:lang w:bidi="ar"/>
              </w:rPr>
              <w:t>生产厂</w:t>
            </w:r>
            <w:r>
              <w:rPr>
                <w:color w:val="auto"/>
              </w:rPr>
              <w:t>厂家</w:t>
            </w:r>
            <w:r>
              <w:rPr>
                <w:rFonts w:hint="eastAsia"/>
                <w:color w:val="auto"/>
              </w:rPr>
              <w:t>证明</w:t>
            </w:r>
            <w:r>
              <w:rPr>
                <w:color w:val="auto"/>
              </w:rPr>
              <w:t>材料</w:t>
            </w:r>
            <w:r>
              <w:rPr>
                <w:rFonts w:hint="eastAsia"/>
                <w:color w:val="auto"/>
              </w:rPr>
              <w:t>复印件并加盖公章，</w:t>
            </w:r>
            <w:r>
              <w:rPr>
                <w:rFonts w:hint="eastAsia"/>
                <w:color w:val="auto"/>
              </w:rPr>
              <w:t>确保产品质量和合规性，</w:t>
            </w:r>
            <w:r>
              <w:rPr>
                <w:color w:val="auto"/>
                <w:lang w:bidi="ar"/>
              </w:rPr>
              <w:t>否则做无效标处理（原件备查）</w:t>
            </w:r>
          </w:p>
        </w:tc>
      </w:tr>
    </w:tbl>
    <w:p w14:paraId="69DD48C5">
      <w:pPr>
        <w:numPr>
          <w:ilvl w:val="255"/>
          <w:numId w:val="0"/>
        </w:numPr>
        <w:jc w:val="left"/>
        <w:rPr>
          <w:color w:val="auto"/>
          <w:sz w:val="28"/>
          <w:szCs w:val="28"/>
        </w:rPr>
      </w:pPr>
      <w:r>
        <w:rPr>
          <w:color w:val="auto"/>
          <w:sz w:val="28"/>
          <w:szCs w:val="28"/>
        </w:rPr>
        <w:t>二、技术要求：</w:t>
      </w:r>
    </w:p>
    <w:p w14:paraId="693D903F">
      <w:pPr>
        <w:spacing w:line="312" w:lineRule="auto"/>
        <w:rPr>
          <w:color w:val="auto"/>
        </w:rPr>
      </w:pPr>
      <w:r>
        <w:rPr>
          <w:rFonts w:ascii="Calibri" w:hAnsi="Calibri"/>
          <w:color w:val="auto"/>
          <w:lang w:val="en-GB"/>
        </w:rPr>
        <w:t>产品参数中标“</w:t>
      </w:r>
      <w:r>
        <w:rPr>
          <w:rFonts w:ascii="Calibri" w:hAnsi="Calibri"/>
          <w:color w:val="auto"/>
        </w:rPr>
        <w:t>▲</w:t>
      </w:r>
      <w:r>
        <w:rPr>
          <w:rFonts w:ascii="Calibri" w:hAnsi="Calibri"/>
          <w:color w:val="auto"/>
          <w:lang w:val="en-GB"/>
        </w:rPr>
        <w:t>”号条款为</w:t>
      </w:r>
      <w:r>
        <w:rPr>
          <w:rFonts w:hint="eastAsia" w:ascii="Calibri" w:hAnsi="Calibri"/>
          <w:color w:val="auto"/>
        </w:rPr>
        <w:t>实质性</w:t>
      </w:r>
      <w:r>
        <w:rPr>
          <w:rFonts w:ascii="Calibri" w:hAnsi="Calibri"/>
          <w:color w:val="auto"/>
          <w:lang w:val="en-GB"/>
        </w:rPr>
        <w:t>条款，投标人所投产品应不低于技术参数中具体规定的要求，</w:t>
      </w:r>
      <w:r>
        <w:rPr>
          <w:rFonts w:hint="eastAsia" w:ascii="Calibri" w:hAnsi="Calibri"/>
          <w:color w:val="auto"/>
        </w:rPr>
        <w:t>否则</w:t>
      </w:r>
      <w:r>
        <w:rPr>
          <w:rFonts w:ascii="Calibri" w:hAnsi="Calibri"/>
          <w:color w:val="auto"/>
        </w:rPr>
        <w:t>按竞标无效处理</w:t>
      </w:r>
      <w:r>
        <w:rPr>
          <w:rFonts w:ascii="Calibri" w:hAnsi="Calibri"/>
          <w:color w:val="auto"/>
          <w:lang w:val="en-GB"/>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110"/>
        <w:gridCol w:w="6436"/>
      </w:tblGrid>
      <w:tr w14:paraId="3C30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79D3A330">
            <w:pPr>
              <w:jc w:val="left"/>
              <w:rPr>
                <w:color w:val="auto"/>
              </w:rPr>
            </w:pPr>
            <w:r>
              <w:rPr>
                <w:color w:val="auto"/>
              </w:rPr>
              <w:t>序号</w:t>
            </w:r>
          </w:p>
        </w:tc>
        <w:tc>
          <w:tcPr>
            <w:tcW w:w="1110" w:type="dxa"/>
            <w:vAlign w:val="center"/>
          </w:tcPr>
          <w:p w14:paraId="472874A1">
            <w:pPr>
              <w:jc w:val="left"/>
              <w:rPr>
                <w:color w:val="auto"/>
              </w:rPr>
            </w:pPr>
            <w:r>
              <w:rPr>
                <w:color w:val="auto"/>
              </w:rPr>
              <w:t>货物名称</w:t>
            </w:r>
          </w:p>
        </w:tc>
        <w:tc>
          <w:tcPr>
            <w:tcW w:w="6436" w:type="dxa"/>
            <w:vAlign w:val="center"/>
          </w:tcPr>
          <w:p w14:paraId="760F18A1">
            <w:pPr>
              <w:jc w:val="left"/>
              <w:rPr>
                <w:color w:val="auto"/>
              </w:rPr>
            </w:pPr>
            <w:r>
              <w:rPr>
                <w:color w:val="auto"/>
              </w:rPr>
              <w:t>主要技术参数</w:t>
            </w:r>
          </w:p>
        </w:tc>
      </w:tr>
      <w:tr w14:paraId="5E52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38DBF14A">
            <w:pPr>
              <w:widowControl/>
              <w:jc w:val="left"/>
              <w:rPr>
                <w:color w:val="auto"/>
              </w:rPr>
            </w:pPr>
            <w:r>
              <w:rPr>
                <w:color w:val="auto"/>
                <w:lang w:bidi="ar"/>
              </w:rPr>
              <w:t>1</w:t>
            </w:r>
          </w:p>
        </w:tc>
        <w:tc>
          <w:tcPr>
            <w:tcW w:w="1110" w:type="dxa"/>
            <w:vAlign w:val="center"/>
          </w:tcPr>
          <w:p w14:paraId="68C46392">
            <w:pPr>
              <w:widowControl/>
              <w:jc w:val="left"/>
              <w:rPr>
                <w:color w:val="auto"/>
                <w:lang w:bidi="ar"/>
              </w:rPr>
            </w:pPr>
            <w:r>
              <w:rPr>
                <w:rFonts w:hint="eastAsia"/>
                <w:color w:val="auto"/>
              </w:rPr>
              <w:t>数据采集器</w:t>
            </w:r>
          </w:p>
        </w:tc>
        <w:tc>
          <w:tcPr>
            <w:tcW w:w="6436" w:type="dxa"/>
            <w:vAlign w:val="center"/>
          </w:tcPr>
          <w:p w14:paraId="512CC103">
            <w:pPr>
              <w:rPr>
                <w:color w:val="auto"/>
              </w:rPr>
            </w:pPr>
            <w:r>
              <w:rPr>
                <w:rFonts w:hint="eastAsia" w:ascii="宋体" w:hAnsi="宋体" w:cs="宋体"/>
                <w:color w:val="auto"/>
                <w:szCs w:val="21"/>
              </w:rPr>
              <w:t>▲</w:t>
            </w:r>
            <w:r>
              <w:rPr>
                <w:rFonts w:hint="eastAsia"/>
                <w:color w:val="auto"/>
              </w:rPr>
              <w:t>型号：</w:t>
            </w:r>
            <w:r>
              <w:rPr>
                <w:rFonts w:hint="eastAsia" w:ascii="宋体" w:hAnsi="宋体" w:eastAsia="宋体" w:cs="宋体"/>
                <w:color w:val="auto"/>
                <w:kern w:val="0"/>
                <w:sz w:val="22"/>
                <w:szCs w:val="22"/>
                <w:lang w:bidi="ar"/>
              </w:rPr>
              <w:t>ZCS-MDRL6</w:t>
            </w:r>
          </w:p>
          <w:p w14:paraId="3CF57C49">
            <w:pPr>
              <w:rPr>
                <w:color w:val="auto"/>
              </w:rPr>
            </w:pPr>
            <w:bookmarkStart w:id="0" w:name="_GoBack"/>
            <w:bookmarkEnd w:id="0"/>
          </w:p>
          <w:p w14:paraId="30ADE173">
            <w:pPr>
              <w:rPr>
                <w:color w:val="auto"/>
              </w:rPr>
            </w:pPr>
            <w:r>
              <w:rPr>
                <w:rFonts w:hint="eastAsia" w:ascii="宋体" w:hAnsi="宋体" w:cs="宋体"/>
                <w:color w:val="auto"/>
                <w:szCs w:val="21"/>
              </w:rPr>
              <w:t>▲</w:t>
            </w:r>
            <w:r>
              <w:rPr>
                <w:rFonts w:hint="eastAsia"/>
                <w:color w:val="auto"/>
              </w:rPr>
              <w:t>品牌：</w:t>
            </w:r>
            <w:r>
              <w:rPr>
                <w:rFonts w:hint="eastAsia"/>
                <w:color w:val="auto"/>
                <w:lang w:val="en-US" w:eastAsia="zh-CN"/>
              </w:rPr>
              <w:t>南京名都</w:t>
            </w:r>
          </w:p>
          <w:p w14:paraId="384E9914">
            <w:pPr>
              <w:rPr>
                <w:rFonts w:hint="eastAsia"/>
                <w:color w:val="auto"/>
              </w:rPr>
            </w:pPr>
            <w:r>
              <w:rPr>
                <w:rFonts w:hint="eastAsia"/>
                <w:color w:val="auto"/>
              </w:rPr>
              <w:t>1．外观结构要求：表面不应有明显的凹痕、划伤、裂缝、变形和污染。表面涂层均匀，不起泡、龟裂、脱落和磨损，金属零部件无锈蚀及其他机械损伤，具有安全锁定装置，防止未经授权的拆卸。</w:t>
            </w:r>
          </w:p>
          <w:p w14:paraId="135E69BE">
            <w:pPr>
              <w:rPr>
                <w:rFonts w:hint="eastAsia"/>
                <w:color w:val="auto"/>
              </w:rPr>
            </w:pPr>
            <w:r>
              <w:rPr>
                <w:rFonts w:hint="eastAsia"/>
                <w:color w:val="auto"/>
              </w:rPr>
              <w:t>2．数据接口：当管理服务器与其他公安业务系统具有对接功能时，其数据接口应符合GA/T947.4-2015中5.3的要求。</w:t>
            </w:r>
          </w:p>
          <w:p w14:paraId="3B198DDC">
            <w:pPr>
              <w:rPr>
                <w:rFonts w:hint="eastAsia"/>
                <w:color w:val="auto"/>
              </w:rPr>
            </w:pPr>
            <w:r>
              <w:rPr>
                <w:rFonts w:hint="eastAsia"/>
                <w:color w:val="auto"/>
              </w:rPr>
              <w:t>3．具有执法记录仪接入注册功能、数据采集功能、数据浏览功能、数据上传功能、数据清空功能、数据自动删除功能、时间校正功能。</w:t>
            </w:r>
          </w:p>
          <w:p w14:paraId="3B967024">
            <w:pPr>
              <w:rPr>
                <w:rFonts w:hint="eastAsia"/>
                <w:color w:val="auto"/>
              </w:rPr>
            </w:pPr>
            <w:r>
              <w:rPr>
                <w:rFonts w:hint="eastAsia"/>
                <w:color w:val="auto"/>
              </w:rPr>
              <w:t>▲4．故障报警功能：当执法数据采集设备产生网络中断、存储器溢出等异常情况时，应3s内在本地同时发出可听和可见报警指示，可听报警指示的声压应≥80dB(A)，持续时间不小于5min，报警期间应可通过人工干预撤除可听报警指示。当有新的报警产生时，应能重新发出可听报警提示。可见报警指示应保持到故障完全恢复后才可消失。</w:t>
            </w:r>
          </w:p>
          <w:p w14:paraId="6B2410AF">
            <w:pPr>
              <w:rPr>
                <w:rFonts w:hint="eastAsia"/>
                <w:color w:val="auto"/>
              </w:rPr>
            </w:pPr>
            <w:r>
              <w:rPr>
                <w:rFonts w:hint="eastAsia"/>
                <w:color w:val="auto"/>
              </w:rPr>
              <w:t>▲5．数据存储：系统盘不低于120G，存储容量不低于24T。（以实际供货为准）</w:t>
            </w:r>
          </w:p>
          <w:p w14:paraId="643A87CA">
            <w:pPr>
              <w:rPr>
                <w:rFonts w:hint="eastAsia"/>
                <w:color w:val="auto"/>
              </w:rPr>
            </w:pPr>
            <w:r>
              <w:rPr>
                <w:rFonts w:hint="eastAsia"/>
                <w:color w:val="auto"/>
              </w:rPr>
              <w:t>▲6．接入能力：可同时接入20台执法记录仪，且支持mini usb/type-C接口。</w:t>
            </w:r>
          </w:p>
          <w:p w14:paraId="673A2928">
            <w:pPr>
              <w:rPr>
                <w:rFonts w:hint="eastAsia"/>
                <w:color w:val="auto"/>
              </w:rPr>
            </w:pPr>
            <w:r>
              <w:rPr>
                <w:rFonts w:hint="eastAsia"/>
                <w:color w:val="auto"/>
              </w:rPr>
              <w:t>▲7．充电电流：在接入能力满负荷条件下采集接口充电电流≥1300mA。</w:t>
            </w:r>
          </w:p>
          <w:p w14:paraId="74452335">
            <w:pPr>
              <w:rPr>
                <w:rFonts w:hint="eastAsia"/>
                <w:color w:val="auto"/>
              </w:rPr>
            </w:pPr>
            <w:r>
              <w:rPr>
                <w:rFonts w:hint="eastAsia"/>
                <w:color w:val="auto"/>
              </w:rPr>
              <w:t>8．数据采集速率：在接入能力满负荷条件下的平均单路数据采集速率应≥15MB/s。</w:t>
            </w:r>
          </w:p>
          <w:p w14:paraId="4A9C0912">
            <w:pPr>
              <w:rPr>
                <w:rFonts w:hint="eastAsia"/>
                <w:color w:val="auto"/>
              </w:rPr>
            </w:pPr>
            <w:r>
              <w:rPr>
                <w:rFonts w:hint="eastAsia"/>
                <w:color w:val="auto"/>
              </w:rPr>
              <w:t>9．静电放电抗扰度试验：接触放电±8kV,空气放电±15kV，试验中无任何状态改变，工作正常。</w:t>
            </w:r>
          </w:p>
          <w:p w14:paraId="50BDBB81">
            <w:pPr>
              <w:rPr>
                <w:rFonts w:hint="eastAsia"/>
                <w:color w:val="auto"/>
              </w:rPr>
            </w:pPr>
            <w:r>
              <w:rPr>
                <w:rFonts w:hint="eastAsia"/>
                <w:color w:val="auto"/>
              </w:rPr>
              <w:t>10．工作噪声：在正常工作条件下的工作站噪声应≤40dB(A)。</w:t>
            </w:r>
          </w:p>
          <w:p w14:paraId="33E54295">
            <w:pPr>
              <w:rPr>
                <w:rFonts w:hint="eastAsia"/>
                <w:color w:val="auto"/>
              </w:rPr>
            </w:pPr>
            <w:r>
              <w:rPr>
                <w:rFonts w:hint="eastAsia"/>
                <w:color w:val="auto"/>
              </w:rPr>
              <w:t>11．异常状态监控：执法数据采集设备中的存储空间、CPU使用率、内存使用率达到设定阈值时，应能进行告警。</w:t>
            </w:r>
          </w:p>
          <w:p w14:paraId="7BE7F169">
            <w:pPr>
              <w:rPr>
                <w:rFonts w:hint="eastAsia"/>
                <w:color w:val="auto"/>
              </w:rPr>
            </w:pPr>
            <w:r>
              <w:rPr>
                <w:rFonts w:hint="eastAsia"/>
                <w:color w:val="auto"/>
              </w:rPr>
              <w:t>12．操作系统登录安全性检验：数据采集管理软件登录密码应具有复杂性要求，密码长度至少8位，并且密码不能为连续数字或同一个数字。</w:t>
            </w:r>
          </w:p>
          <w:p w14:paraId="69B295B7">
            <w:pPr>
              <w:rPr>
                <w:rFonts w:hint="eastAsia"/>
                <w:color w:val="auto"/>
              </w:rPr>
            </w:pPr>
            <w:r>
              <w:rPr>
                <w:rFonts w:hint="eastAsia"/>
                <w:color w:val="auto"/>
              </w:rPr>
              <w:t>13．USB外设管控功能：具有对使用USB接口的移动硬盘、U盘、移动光驱等外部接入的存储设备的启用或禁用功能。</w:t>
            </w:r>
          </w:p>
          <w:p w14:paraId="779F95E3">
            <w:pPr>
              <w:rPr>
                <w:rFonts w:hint="eastAsia"/>
                <w:color w:val="auto"/>
              </w:rPr>
            </w:pPr>
            <w:r>
              <w:rPr>
                <w:rFonts w:hint="eastAsia"/>
                <w:color w:val="auto"/>
              </w:rPr>
              <w:t>14．文件操作管控功能：对移动存储介质的文件数据拷贝操作包括拷入和拷出进行监控和审计。</w:t>
            </w:r>
          </w:p>
          <w:p w14:paraId="2B512FA4">
            <w:pPr>
              <w:rPr>
                <w:rFonts w:hint="eastAsia"/>
                <w:color w:val="auto"/>
              </w:rPr>
            </w:pPr>
            <w:r>
              <w:rPr>
                <w:rFonts w:hint="eastAsia"/>
                <w:color w:val="auto"/>
              </w:rPr>
              <w:t>▲15．网络连接管控功能：具有禁止“一机两用”功能，应限制样机只能访问指定的服务器IP地址和端口，禁止其访问其他设备。</w:t>
            </w:r>
          </w:p>
          <w:p w14:paraId="7FB7A8BF">
            <w:pPr>
              <w:rPr>
                <w:rFonts w:hint="eastAsia"/>
                <w:color w:val="auto"/>
              </w:rPr>
            </w:pPr>
            <w:r>
              <w:rPr>
                <w:rFonts w:hint="eastAsia"/>
                <w:color w:val="auto"/>
              </w:rPr>
              <w:t>16．视音频播放功能：支持4K（3840×2160）超高清视频播放，支持播放最高分辨率为4K（3840×2160）的H.264、H.265、MPEG-4格式的视频文件。</w:t>
            </w:r>
          </w:p>
          <w:p w14:paraId="65BF5443">
            <w:pPr>
              <w:rPr>
                <w:rFonts w:hint="eastAsia"/>
                <w:color w:val="auto"/>
              </w:rPr>
            </w:pPr>
            <w:r>
              <w:rPr>
                <w:rFonts w:hint="eastAsia"/>
                <w:color w:val="auto"/>
              </w:rPr>
              <w:t>17．飞行模式功能试验：支持执法记录仪接入后自动切换为飞行模式，断开外部网络连接。</w:t>
            </w:r>
          </w:p>
          <w:p w14:paraId="5837E7C3">
            <w:pPr>
              <w:rPr>
                <w:rFonts w:hint="eastAsia"/>
                <w:color w:val="auto"/>
              </w:rPr>
            </w:pPr>
            <w:r>
              <w:rPr>
                <w:rFonts w:hint="eastAsia"/>
                <w:color w:val="auto"/>
              </w:rPr>
              <w:t>▲18．所投产品必须具有公安部特种警用装备质量监督检验中心或国家安全防范报警系统产品质量监督检验中心出具的检验报告复印件加盖公章。</w:t>
            </w:r>
          </w:p>
          <w:p w14:paraId="274A022E">
            <w:pPr>
              <w:rPr>
                <w:rFonts w:hint="eastAsia"/>
                <w:color w:val="auto"/>
              </w:rPr>
            </w:pPr>
            <w:r>
              <w:rPr>
                <w:rFonts w:hint="eastAsia"/>
                <w:color w:val="auto"/>
              </w:rPr>
              <w:t>▲19．必须无缝接入我单位现有执法音视频管理平台，实现设备的统一管理、统一配置、视频调阅；可兼容现有执法记录仪设备接入，实现自动采集、自动充电、自动校时、自动上传、音视频数据自动推送、自动关联、存储分配等功能，不影响我单位业务连续性。提供现有执法记录仪管理系统开发商出具的</w:t>
            </w:r>
            <w:r>
              <w:rPr>
                <w:rFonts w:hint="eastAsia"/>
                <w:color w:val="auto"/>
                <w:lang w:val="en-US" w:eastAsia="zh-CN"/>
              </w:rPr>
              <w:t>数据</w:t>
            </w:r>
            <w:r>
              <w:rPr>
                <w:rFonts w:hint="eastAsia"/>
                <w:color w:val="auto"/>
              </w:rPr>
              <w:t>采集</w:t>
            </w:r>
            <w:r>
              <w:rPr>
                <w:rFonts w:hint="eastAsia"/>
                <w:color w:val="auto"/>
                <w:lang w:val="en-US" w:eastAsia="zh-CN"/>
              </w:rPr>
              <w:t>器</w:t>
            </w:r>
            <w:r>
              <w:rPr>
                <w:rFonts w:hint="eastAsia"/>
                <w:color w:val="auto"/>
              </w:rPr>
              <w:t>及记录仪数据正常接入平台承诺函。</w:t>
            </w:r>
          </w:p>
          <w:p w14:paraId="0CCAE227">
            <w:pPr>
              <w:tabs>
                <w:tab w:val="left" w:pos="737"/>
                <w:tab w:val="left" w:pos="2718"/>
              </w:tabs>
              <w:rPr>
                <w:rFonts w:ascii="宋体" w:hAnsi="宋体" w:eastAsia="宋体" w:cs="宋体"/>
                <w:color w:val="auto"/>
                <w:szCs w:val="21"/>
              </w:rPr>
            </w:pPr>
            <w:r>
              <w:rPr>
                <w:rFonts w:hint="eastAsia"/>
                <w:color w:val="auto"/>
              </w:rPr>
              <w:t>▲20．承诺所提供的资料真实有效，如提供虚假材料视为无效投标，报财政监管部门进行处罚并承担相应责任。（投标人提供承诺函）</w:t>
            </w:r>
          </w:p>
        </w:tc>
      </w:tr>
      <w:tr w14:paraId="3093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shd w:val="clear" w:color="auto" w:fill="auto"/>
            <w:vAlign w:val="center"/>
          </w:tcPr>
          <w:p w14:paraId="06831967">
            <w:pPr>
              <w:rPr>
                <w:color w:val="auto"/>
                <w:lang w:val="en-GB"/>
              </w:rPr>
            </w:pPr>
            <w:r>
              <w:rPr>
                <w:rFonts w:hint="eastAsia"/>
                <w:color w:val="auto"/>
              </w:rPr>
              <w:t>▲1、产品要求：</w:t>
            </w:r>
            <w:r>
              <w:rPr>
                <w:color w:val="auto"/>
                <w:lang w:val="en-GB"/>
              </w:rPr>
              <w:t>必须按意向品牌/型号提交产品、所供产品为原</w:t>
            </w:r>
            <w:r>
              <w:rPr>
                <w:rFonts w:hint="eastAsia"/>
                <w:color w:val="auto"/>
              </w:rPr>
              <w:t>厂</w:t>
            </w:r>
            <w:r>
              <w:rPr>
                <w:color w:val="auto"/>
                <w:lang w:val="en-GB"/>
              </w:rPr>
              <w:t>生产的全新的、未</w:t>
            </w:r>
            <w:r>
              <w:rPr>
                <w:rFonts w:hint="eastAsia"/>
                <w:color w:val="auto"/>
                <w:lang w:val="en-US" w:eastAsia="zh-CN"/>
              </w:rPr>
              <w:t>使</w:t>
            </w:r>
            <w:r>
              <w:rPr>
                <w:color w:val="auto"/>
                <w:lang w:val="en-GB"/>
              </w:rPr>
              <w:t xml:space="preserve">用过的产品。 </w:t>
            </w:r>
          </w:p>
          <w:p w14:paraId="6E724288">
            <w:pPr>
              <w:rPr>
                <w:color w:val="auto"/>
                <w:lang w:val="en-GB"/>
              </w:rPr>
            </w:pPr>
            <w:r>
              <w:rPr>
                <w:rFonts w:hint="eastAsia"/>
                <w:color w:val="auto"/>
              </w:rPr>
              <w:t>▲</w:t>
            </w:r>
            <w:r>
              <w:rPr>
                <w:color w:val="auto"/>
                <w:lang w:val="en-GB"/>
              </w:rPr>
              <w:t>2、</w:t>
            </w:r>
            <w:r>
              <w:rPr>
                <w:rFonts w:hint="eastAsia"/>
                <w:color w:val="auto"/>
              </w:rPr>
              <w:t>交货时间：</w:t>
            </w:r>
            <w:r>
              <w:rPr>
                <w:color w:val="auto"/>
                <w:lang w:val="en-GB"/>
              </w:rPr>
              <w:t>成交的商家要在</w:t>
            </w:r>
            <w:r>
              <w:rPr>
                <w:rFonts w:hint="eastAsia"/>
                <w:color w:val="auto"/>
              </w:rPr>
              <w:t>3</w:t>
            </w:r>
            <w:r>
              <w:rPr>
                <w:color w:val="auto"/>
                <w:lang w:val="en-GB"/>
              </w:rPr>
              <w:t>日内完成合同签订，合同签订之后</w:t>
            </w:r>
            <w:r>
              <w:rPr>
                <w:rFonts w:hint="eastAsia"/>
                <w:color w:val="auto"/>
                <w:lang w:val="en-US" w:eastAsia="zh-CN"/>
              </w:rPr>
              <w:t>10工作</w:t>
            </w:r>
            <w:r>
              <w:rPr>
                <w:color w:val="auto"/>
                <w:lang w:val="en-GB"/>
              </w:rPr>
              <w:t>日内完成货物供应，否则按违约进行处理。</w:t>
            </w:r>
          </w:p>
          <w:p w14:paraId="306F4B80">
            <w:pPr>
              <w:rPr>
                <w:color w:val="auto"/>
                <w:lang w:val="en-GB"/>
              </w:rPr>
            </w:pPr>
            <w:r>
              <w:rPr>
                <w:rFonts w:hint="eastAsia"/>
                <w:color w:val="auto"/>
              </w:rPr>
              <w:t>▲</w:t>
            </w:r>
            <w:r>
              <w:rPr>
                <w:color w:val="auto"/>
                <w:lang w:val="en-GB"/>
              </w:rPr>
              <w:t>3、</w:t>
            </w:r>
            <w:r>
              <w:rPr>
                <w:rFonts w:hint="eastAsia"/>
                <w:color w:val="auto"/>
              </w:rPr>
              <w:t>质保期：所有货物</w:t>
            </w:r>
            <w:r>
              <w:rPr>
                <w:color w:val="auto"/>
                <w:lang w:val="en-GB"/>
              </w:rPr>
              <w:t>质保期不少于</w:t>
            </w:r>
            <w:r>
              <w:rPr>
                <w:rFonts w:hint="eastAsia"/>
                <w:color w:val="auto"/>
                <w:lang w:val="en-US" w:eastAsia="zh-CN"/>
              </w:rPr>
              <w:t>2</w:t>
            </w:r>
            <w:r>
              <w:rPr>
                <w:color w:val="auto"/>
                <w:lang w:val="en-GB"/>
              </w:rPr>
              <w:t>年。</w:t>
            </w:r>
          </w:p>
          <w:p w14:paraId="38B03D26">
            <w:pPr>
              <w:rPr>
                <w:color w:val="auto"/>
              </w:rPr>
            </w:pPr>
            <w:r>
              <w:rPr>
                <w:rFonts w:hint="eastAsia"/>
                <w:color w:val="auto"/>
              </w:rPr>
              <w:t>▲4、</w:t>
            </w:r>
            <w:r>
              <w:rPr>
                <w:color w:val="auto"/>
              </w:rPr>
              <w:t>交货地点：按客户要求送达指定的地址（包含广西区内乡镇）</w:t>
            </w:r>
          </w:p>
          <w:p w14:paraId="5C26B7DD">
            <w:pPr>
              <w:rPr>
                <w:color w:val="auto"/>
                <w:lang w:val="en-GB"/>
              </w:rPr>
            </w:pPr>
            <w:r>
              <w:rPr>
                <w:rFonts w:hint="eastAsia"/>
                <w:color w:val="auto"/>
              </w:rPr>
              <w:t>5</w:t>
            </w:r>
            <w:r>
              <w:rPr>
                <w:color w:val="auto"/>
                <w:lang w:val="en-GB"/>
              </w:rPr>
              <w:t>、</w:t>
            </w:r>
            <w:r>
              <w:rPr>
                <w:color w:val="auto"/>
              </w:rPr>
              <w:t>付款条件：本项目无预付款，货到交货地点且经过采购人确认后验收合格后，成交人开具发票给采购人，采购人收到发票后20个工作日内支付100%的合同价款（无息）</w:t>
            </w:r>
          </w:p>
          <w:p w14:paraId="54688A0D">
            <w:pPr>
              <w:rPr>
                <w:color w:val="auto"/>
                <w:lang w:val="en-GB"/>
              </w:rPr>
            </w:pPr>
            <w:r>
              <w:rPr>
                <w:rFonts w:hint="eastAsia"/>
                <w:color w:val="auto"/>
              </w:rPr>
              <w:t>▲6、</w:t>
            </w:r>
            <w:r>
              <w:rPr>
                <w:color w:val="auto"/>
                <w:lang w:val="en-GB"/>
              </w:rPr>
              <w:t>验收要求：</w:t>
            </w:r>
          </w:p>
          <w:p w14:paraId="4984FCB9">
            <w:pPr>
              <w:rPr>
                <w:color w:val="auto"/>
              </w:rPr>
            </w:pPr>
            <w:r>
              <w:rPr>
                <w:color w:val="auto"/>
                <w:lang w:val="en-GB"/>
              </w:rPr>
              <w:t>（1）验收时，采购人将根据采购文件中的货物技术规格、数量及质量要求对成交人所供货品组织验收。采购人可要求将货物抽样封存，送至国家认可的第三方检测机构进行检验。封存送检过程中，须采购人与成交人同时在场。若检测结果表明，抽样送检的货物不能达到采购文件中的货物技术规格、数量及质量要求或由于设计、工艺或材料等货物本身存在缺陷，采购人有权要求成交人在十个自然日内更换所有货物，其损失全部由成交人承担。货物送检检测费用由成交人承担。</w:t>
            </w:r>
          </w:p>
          <w:p w14:paraId="0DE0238C">
            <w:pPr>
              <w:rPr>
                <w:color w:val="auto"/>
                <w:lang w:val="en-GB"/>
              </w:rPr>
            </w:pPr>
            <w:r>
              <w:rPr>
                <w:color w:val="auto"/>
                <w:lang w:val="en-GB"/>
              </w:rPr>
              <w:t>（</w:t>
            </w:r>
            <w:r>
              <w:rPr>
                <w:rFonts w:hint="eastAsia"/>
                <w:color w:val="auto"/>
              </w:rPr>
              <w:t>2</w:t>
            </w:r>
            <w:r>
              <w:rPr>
                <w:color w:val="auto"/>
                <w:lang w:val="en-GB"/>
              </w:rPr>
              <w:t>）验收不合格的货物，成交人应保证返工或重做时间不超过15天，逾期按交货延误予以处罚，每逾期1日扣成交总额的1%。</w:t>
            </w:r>
          </w:p>
          <w:p w14:paraId="6AC05945">
            <w:pPr>
              <w:rPr>
                <w:color w:val="auto"/>
              </w:rPr>
            </w:pPr>
            <w:r>
              <w:rPr>
                <w:rFonts w:hint="eastAsia"/>
                <w:color w:val="auto"/>
              </w:rPr>
              <w:t>▲7</w:t>
            </w:r>
            <w:r>
              <w:rPr>
                <w:color w:val="auto"/>
                <w:lang w:val="en-GB"/>
              </w:rPr>
              <w:t>、</w:t>
            </w:r>
            <w:r>
              <w:rPr>
                <w:color w:val="auto"/>
              </w:rPr>
              <w:t xml:space="preserve">售后服务：质保期内产品有质量问题的，供应商须上门免费更换（注：小配件须8小时上门免费更换，大配件须24小时上门免费更换）。 </w:t>
            </w:r>
          </w:p>
          <w:p w14:paraId="702D9ABC">
            <w:pPr>
              <w:widowControl/>
              <w:numPr>
                <w:ilvl w:val="255"/>
                <w:numId w:val="0"/>
              </w:numPr>
              <w:jc w:val="left"/>
              <w:rPr>
                <w:color w:val="auto"/>
              </w:rPr>
            </w:pPr>
            <w:r>
              <w:rPr>
                <w:rFonts w:hint="eastAsia"/>
                <w:color w:val="auto"/>
                <w:szCs w:val="21"/>
              </w:rPr>
              <w:t>▲8</w:t>
            </w:r>
            <w:r>
              <w:rPr>
                <w:color w:val="auto"/>
                <w:szCs w:val="21"/>
              </w:rPr>
              <w:t>、其他要求：</w:t>
            </w:r>
          </w:p>
          <w:p w14:paraId="20960301">
            <w:pPr>
              <w:widowControl/>
              <w:jc w:val="left"/>
              <w:rPr>
                <w:color w:val="auto"/>
              </w:rPr>
            </w:pPr>
            <w:r>
              <w:rPr>
                <w:rFonts w:hint="eastAsia"/>
                <w:color w:val="auto"/>
              </w:rPr>
              <w:t>（1）</w:t>
            </w:r>
            <w:r>
              <w:rPr>
                <w:color w:val="auto"/>
              </w:rPr>
              <w:t>供应商应充分考虑供货成本及参数要求再进行报价，如供应商低价恶意竞价、且</w:t>
            </w:r>
            <w:r>
              <w:rPr>
                <w:rFonts w:hint="eastAsia"/>
                <w:color w:val="auto"/>
              </w:rPr>
              <w:t>成交</w:t>
            </w:r>
            <w:r>
              <w:rPr>
                <w:color w:val="auto"/>
              </w:rPr>
              <w:t>后无法按要求提供货物或者所供货物型号与要求不符的，采购人将按虚假竞标处理，并保留因耽误采购人使用时间造成的损失进行赔偿的权利，故在报价前请仔细评估自身履约能力，谢绝恶意竞价、不按要求报价、成交后无故放弃、不按合同履行等违约行为。对出现此类行为的预成交供应商，采购人将根据竞价询价违约处理规则，依法依规提请政采云平台进行处理，由此引发的一切后果由投标人承担。</w:t>
            </w:r>
          </w:p>
          <w:p w14:paraId="35FDF5A3">
            <w:pPr>
              <w:jc w:val="left"/>
              <w:rPr>
                <w:color w:val="auto"/>
              </w:rPr>
            </w:pPr>
            <w:r>
              <w:rPr>
                <w:rFonts w:hint="eastAsia"/>
                <w:color w:val="auto"/>
              </w:rPr>
              <w:t>（2）</w:t>
            </w:r>
            <w:r>
              <w:rPr>
                <w:color w:val="auto"/>
              </w:rPr>
              <w:t>本次采购已指定品牌、型号及性能指标，为保障采购人的合法权益，供货时请提供</w:t>
            </w:r>
            <w:r>
              <w:rPr>
                <w:rFonts w:hint="eastAsia" w:ascii="Calibri" w:hAnsi="Calibri"/>
                <w:color w:val="auto"/>
                <w:lang w:bidi="ar"/>
              </w:rPr>
              <w:t>生产厂家针对本项目</w:t>
            </w:r>
            <w:r>
              <w:rPr>
                <w:rFonts w:hint="eastAsia"/>
                <w:color w:val="auto"/>
              </w:rPr>
              <w:t>加盖制造商公章</w:t>
            </w:r>
            <w:r>
              <w:rPr>
                <w:rFonts w:hint="eastAsia" w:ascii="Calibri" w:hAnsi="Calibri"/>
                <w:color w:val="auto"/>
                <w:lang w:bidi="ar"/>
              </w:rPr>
              <w:t>的授权书、</w:t>
            </w:r>
            <w:r>
              <w:rPr>
                <w:rFonts w:hint="eastAsia"/>
                <w:color w:val="auto"/>
              </w:rPr>
              <w:t>供货证明函及售后服务承诺书。</w:t>
            </w:r>
            <w:r>
              <w:rPr>
                <w:color w:val="auto"/>
              </w:rPr>
              <w:t>报价时以附件上传pdf文件，并提供原件备查；如无法提供则视为无效报价。</w:t>
            </w:r>
          </w:p>
          <w:p w14:paraId="6AC53180">
            <w:pPr>
              <w:jc w:val="left"/>
              <w:rPr>
                <w:color w:val="auto"/>
              </w:rPr>
            </w:pPr>
            <w:r>
              <w:rPr>
                <w:rFonts w:hint="eastAsia"/>
                <w:color w:val="auto"/>
              </w:rPr>
              <w:t>（3）</w:t>
            </w:r>
            <w:r>
              <w:rPr>
                <w:color w:val="auto"/>
              </w:rPr>
              <w:t>为确保所供产品为全新原厂产品并具备原厂质保，签订供货合同</w:t>
            </w:r>
            <w:r>
              <w:rPr>
                <w:rFonts w:hint="eastAsia"/>
                <w:color w:val="auto"/>
                <w:lang w:val="en-US" w:eastAsia="zh-CN"/>
              </w:rPr>
              <w:t>后</w:t>
            </w:r>
            <w:r>
              <w:rPr>
                <w:color w:val="auto"/>
              </w:rPr>
              <w:t>请提供生产厂家针对此项目的供货证明原件（加盖厂家公章）、售后服务承诺函原件（加盖厂家公章）作为验收材料。未能有效提供相关材料的，不予</w:t>
            </w:r>
            <w:r>
              <w:rPr>
                <w:rFonts w:hint="eastAsia"/>
                <w:color w:val="auto"/>
                <w:lang w:val="en-US" w:eastAsia="zh-CN"/>
              </w:rPr>
              <w:t>验收通过</w:t>
            </w:r>
            <w:r>
              <w:rPr>
                <w:color w:val="auto"/>
              </w:rPr>
              <w:t>并提请采购云平台进行处理，由此引发的一切后果</w:t>
            </w:r>
            <w:r>
              <w:rPr>
                <w:rFonts w:hint="eastAsia"/>
                <w:color w:val="auto"/>
                <w:lang w:val="en-US" w:eastAsia="zh-CN"/>
              </w:rPr>
              <w:t>及经济损失</w:t>
            </w:r>
            <w:r>
              <w:rPr>
                <w:color w:val="auto"/>
              </w:rPr>
              <w:t>由投标人承担。</w:t>
            </w:r>
          </w:p>
          <w:p w14:paraId="2A08D9B0">
            <w:pPr>
              <w:rPr>
                <w:color w:val="auto"/>
                <w:lang w:val="en-GB"/>
              </w:rPr>
            </w:pPr>
            <w:r>
              <w:rPr>
                <w:rFonts w:hint="eastAsia"/>
                <w:color w:val="auto"/>
              </w:rPr>
              <w:t>（4）</w:t>
            </w:r>
            <w:r>
              <w:rPr>
                <w:rFonts w:hint="eastAsia"/>
                <w:color w:val="auto"/>
                <w:lang w:val="en-GB"/>
              </w:rPr>
              <w:t>供应商</w:t>
            </w:r>
            <w:r>
              <w:rPr>
                <w:color w:val="auto"/>
                <w:lang w:val="en-GB"/>
              </w:rPr>
              <w:t>在</w:t>
            </w:r>
            <w:r>
              <w:rPr>
                <w:rFonts w:hint="eastAsia"/>
                <w:color w:val="auto"/>
                <w:lang w:val="en-GB"/>
              </w:rPr>
              <w:t>响应</w:t>
            </w:r>
            <w:r>
              <w:rPr>
                <w:color w:val="auto"/>
                <w:lang w:val="en-GB"/>
              </w:rPr>
              <w:t>文件中应明确承诺在承接此项目后不得转包</w:t>
            </w:r>
            <w:r>
              <w:rPr>
                <w:rFonts w:hint="eastAsia"/>
                <w:color w:val="auto"/>
              </w:rPr>
              <w:t>或分包</w:t>
            </w:r>
            <w:r>
              <w:rPr>
                <w:color w:val="auto"/>
                <w:lang w:val="en-GB"/>
              </w:rPr>
              <w:t>他人来实施，否则视为无效</w:t>
            </w:r>
            <w:r>
              <w:rPr>
                <w:rFonts w:hint="eastAsia"/>
                <w:color w:val="auto"/>
                <w:lang w:val="en-GB"/>
              </w:rPr>
              <w:t>竞标</w:t>
            </w:r>
            <w:r>
              <w:rPr>
                <w:color w:val="auto"/>
                <w:lang w:val="en-GB"/>
              </w:rPr>
              <w:t>。</w:t>
            </w:r>
          </w:p>
        </w:tc>
      </w:tr>
    </w:tbl>
    <w:p w14:paraId="372526B6">
      <w:pPr>
        <w:jc w:val="left"/>
        <w:sectPr>
          <w:pgSz w:w="11906" w:h="16838"/>
          <w:pgMar w:top="1440" w:right="1800" w:bottom="1440" w:left="1800" w:header="851" w:footer="992" w:gutter="0"/>
          <w:cols w:space="425" w:num="1"/>
          <w:docGrid w:type="lines" w:linePitch="312" w:charSpace="0"/>
        </w:sectPr>
      </w:pPr>
    </w:p>
    <w:p w14:paraId="274AF3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NzJiMGRhMzJlN2U4OTQzNWI4ZGI0M2UyNTk1NWEifQ=="/>
  </w:docVars>
  <w:rsids>
    <w:rsidRoot w:val="16FF0991"/>
    <w:rsid w:val="000C6094"/>
    <w:rsid w:val="002540E8"/>
    <w:rsid w:val="002D481D"/>
    <w:rsid w:val="002D5782"/>
    <w:rsid w:val="00326CB0"/>
    <w:rsid w:val="007E6C2B"/>
    <w:rsid w:val="00A41054"/>
    <w:rsid w:val="013D58DA"/>
    <w:rsid w:val="050B27D2"/>
    <w:rsid w:val="06422F13"/>
    <w:rsid w:val="065E6BF3"/>
    <w:rsid w:val="07EF1922"/>
    <w:rsid w:val="084F6F27"/>
    <w:rsid w:val="09DC4891"/>
    <w:rsid w:val="0B387D16"/>
    <w:rsid w:val="0F0E6763"/>
    <w:rsid w:val="161C5EB3"/>
    <w:rsid w:val="16D879E9"/>
    <w:rsid w:val="16FF0991"/>
    <w:rsid w:val="1A7D0F1D"/>
    <w:rsid w:val="1AE35FDC"/>
    <w:rsid w:val="1CBC54D6"/>
    <w:rsid w:val="25332977"/>
    <w:rsid w:val="33B466E1"/>
    <w:rsid w:val="348744BB"/>
    <w:rsid w:val="361274BE"/>
    <w:rsid w:val="386A088E"/>
    <w:rsid w:val="3D837E32"/>
    <w:rsid w:val="40A94111"/>
    <w:rsid w:val="44E103A7"/>
    <w:rsid w:val="540147D3"/>
    <w:rsid w:val="54183C3E"/>
    <w:rsid w:val="549F0FE1"/>
    <w:rsid w:val="54F9581D"/>
    <w:rsid w:val="57FB2CAA"/>
    <w:rsid w:val="58B56A6D"/>
    <w:rsid w:val="5DD420B7"/>
    <w:rsid w:val="5E652666"/>
    <w:rsid w:val="5EB207EC"/>
    <w:rsid w:val="61CE3F5E"/>
    <w:rsid w:val="6AFD2823"/>
    <w:rsid w:val="6E020665"/>
    <w:rsid w:val="6E193F29"/>
    <w:rsid w:val="6F0B5DD0"/>
    <w:rsid w:val="701208EE"/>
    <w:rsid w:val="735E173C"/>
    <w:rsid w:val="74D12FF4"/>
    <w:rsid w:val="77151B31"/>
    <w:rsid w:val="774F7A70"/>
    <w:rsid w:val="77F5255B"/>
    <w:rsid w:val="7ACA04FD"/>
    <w:rsid w:val="7CA90A46"/>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0"/>
    <w:pPr>
      <w:jc w:val="left"/>
    </w:pPr>
  </w:style>
  <w:style w:type="paragraph" w:styleId="3">
    <w:name w:val="Body Text Indent 2"/>
    <w:basedOn w:val="1"/>
    <w:unhideWhenUsed/>
    <w:qFormat/>
    <w:uiPriority w:val="99"/>
    <w:pPr>
      <w:ind w:firstLine="630"/>
    </w:pPr>
    <w:rPr>
      <w:rFonts w:ascii="Times New Roman" w:hAnsi="Times New Roman"/>
      <w:sz w:val="32"/>
      <w:szCs w:val="32"/>
    </w:rPr>
  </w:style>
  <w:style w:type="paragraph" w:styleId="4">
    <w:name w:val="Balloon Text"/>
    <w:basedOn w:val="1"/>
    <w:link w:val="15"/>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paragraph" w:styleId="12">
    <w:name w:val="List Paragraph"/>
    <w:basedOn w:val="1"/>
    <w:qFormat/>
    <w:uiPriority w:val="34"/>
    <w:pPr>
      <w:ind w:firstLine="420" w:firstLineChars="200"/>
    </w:pPr>
    <w:rPr>
      <w:rFonts w:ascii="Calibri" w:hAnsi="Calibri"/>
    </w:rPr>
  </w:style>
  <w:style w:type="character" w:customStyle="1" w:styleId="13">
    <w:name w:val="批注文字 Char"/>
    <w:basedOn w:val="10"/>
    <w:link w:val="2"/>
    <w:semiHidden/>
    <w:qFormat/>
    <w:uiPriority w:val="0"/>
    <w:rPr>
      <w:kern w:val="2"/>
      <w:sz w:val="21"/>
      <w:szCs w:val="24"/>
    </w:rPr>
  </w:style>
  <w:style w:type="character" w:customStyle="1" w:styleId="14">
    <w:name w:val="批注主题 Char"/>
    <w:basedOn w:val="13"/>
    <w:link w:val="7"/>
    <w:qFormat/>
    <w:uiPriority w:val="0"/>
    <w:rPr>
      <w:b/>
      <w:bCs/>
      <w:kern w:val="2"/>
      <w:sz w:val="21"/>
      <w:szCs w:val="24"/>
    </w:rPr>
  </w:style>
  <w:style w:type="character" w:customStyle="1" w:styleId="15">
    <w:name w:val="批注框文本 Char"/>
    <w:basedOn w:val="10"/>
    <w:link w:val="4"/>
    <w:qFormat/>
    <w:uiPriority w:val="0"/>
    <w:rPr>
      <w:kern w:val="2"/>
      <w:sz w:val="18"/>
      <w:szCs w:val="18"/>
    </w:rPr>
  </w:style>
  <w:style w:type="character" w:customStyle="1" w:styleId="16">
    <w:name w:val="页眉 Char"/>
    <w:basedOn w:val="10"/>
    <w:link w:val="6"/>
    <w:qFormat/>
    <w:uiPriority w:val="0"/>
    <w:rPr>
      <w:kern w:val="2"/>
      <w:sz w:val="18"/>
      <w:szCs w:val="18"/>
    </w:rPr>
  </w:style>
  <w:style w:type="character" w:customStyle="1" w:styleId="17">
    <w:name w:val="页脚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Dianaless</Company>
  <Pages>4</Pages>
  <Words>1826</Words>
  <Characters>2060</Characters>
  <Lines>18</Lines>
  <Paragraphs>5</Paragraphs>
  <TotalTime>35</TotalTime>
  <ScaleCrop>false</ScaleCrop>
  <LinksUpToDate>false</LinksUpToDate>
  <CharactersWithSpaces>2075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2024-10-23T07:03:00Z</dcterms:created>
  <dc:creator>她</dc:creator>
  <cp:lastModifiedBy>WPS_1207165140</cp:lastModifiedBy>
  <dcterms:modified xsi:type="dcterms:W3CDTF">2025-06-06T01:14:12Z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9FB86A803B4B44C0B6B9FB254FBCFEF4_13</vt:lpwstr>
  </property>
  <property fmtid="{D5CDD505-2E9C-101B-9397-08002B2CF9AE}" pid="4" name="KSOTemplateDocerSaveRecord">
    <vt:lpwstr>eyJoZGlkIjoiMGY1NzJiMGRhMzJlN2U4OTQzNWI4ZGI0M2UyNTk1NWEiLCJ1c2VySWQiOiIxMjA3MTY1MTQwIn0=</vt:lpwstr>
  </property>
</Properties>
</file>