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2AEE">
      <w:pPr>
        <w:jc w:val="center"/>
        <w:rPr>
          <w:sz w:val="32"/>
          <w:szCs w:val="32"/>
        </w:rPr>
      </w:pPr>
      <w:r>
        <w:rPr>
          <w:sz w:val="32"/>
          <w:szCs w:val="32"/>
        </w:rPr>
        <w:t>采购需求书</w:t>
      </w:r>
    </w:p>
    <w:p w14:paraId="771957E6">
      <w:pPr>
        <w:jc w:val="left"/>
        <w:rPr>
          <w:sz w:val="28"/>
          <w:szCs w:val="28"/>
        </w:rPr>
      </w:pPr>
      <w:r>
        <w:rPr>
          <w:sz w:val="28"/>
          <w:szCs w:val="28"/>
        </w:rPr>
        <w:t>一、采购内容：</w:t>
      </w:r>
    </w:p>
    <w:tbl>
      <w:tblPr>
        <w:tblStyle w:val="8"/>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80"/>
        <w:gridCol w:w="1401"/>
        <w:gridCol w:w="4959"/>
      </w:tblGrid>
      <w:tr w14:paraId="7725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37DD4F2">
            <w:pPr>
              <w:jc w:val="center"/>
            </w:pPr>
            <w:r>
              <w:rPr>
                <w:rFonts w:hint="eastAsia"/>
              </w:rPr>
              <w:t>序号</w:t>
            </w:r>
          </w:p>
        </w:tc>
        <w:tc>
          <w:tcPr>
            <w:tcW w:w="1380" w:type="dxa"/>
            <w:vAlign w:val="center"/>
          </w:tcPr>
          <w:p w14:paraId="52DA4C91">
            <w:pPr>
              <w:jc w:val="center"/>
            </w:pPr>
            <w:r>
              <w:rPr>
                <w:rFonts w:hint="eastAsia"/>
              </w:rPr>
              <w:t>货物名称</w:t>
            </w:r>
          </w:p>
        </w:tc>
        <w:tc>
          <w:tcPr>
            <w:tcW w:w="1401" w:type="dxa"/>
            <w:vAlign w:val="center"/>
          </w:tcPr>
          <w:p w14:paraId="4DA69795">
            <w:pPr>
              <w:jc w:val="center"/>
            </w:pPr>
            <w:r>
              <w:rPr>
                <w:rFonts w:hint="eastAsia"/>
              </w:rPr>
              <w:t>意向品牌</w:t>
            </w:r>
          </w:p>
        </w:tc>
        <w:tc>
          <w:tcPr>
            <w:tcW w:w="4959" w:type="dxa"/>
            <w:vAlign w:val="center"/>
          </w:tcPr>
          <w:p w14:paraId="74CF2C10">
            <w:pPr>
              <w:jc w:val="center"/>
            </w:pPr>
            <w:r>
              <w:rPr>
                <w:rFonts w:hint="eastAsia"/>
              </w:rPr>
              <w:t>注意事项</w:t>
            </w:r>
          </w:p>
        </w:tc>
      </w:tr>
      <w:tr w14:paraId="55E3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CAE72C9">
            <w:pPr>
              <w:jc w:val="center"/>
            </w:pPr>
            <w:r>
              <w:rPr>
                <w:rFonts w:hint="eastAsia"/>
              </w:rPr>
              <w:t>1</w:t>
            </w:r>
          </w:p>
        </w:tc>
        <w:tc>
          <w:tcPr>
            <w:tcW w:w="1380" w:type="dxa"/>
            <w:vAlign w:val="center"/>
          </w:tcPr>
          <w:p w14:paraId="3DDA3342">
            <w:pPr>
              <w:jc w:val="center"/>
            </w:pPr>
            <w:r>
              <w:rPr>
                <w:rFonts w:hint="eastAsia"/>
              </w:rPr>
              <w:t>发光式道路交通指挥棒</w:t>
            </w:r>
          </w:p>
        </w:tc>
        <w:tc>
          <w:tcPr>
            <w:tcW w:w="1401" w:type="dxa"/>
            <w:vAlign w:val="center"/>
          </w:tcPr>
          <w:p w14:paraId="2A130329">
            <w:pPr>
              <w:jc w:val="center"/>
            </w:pPr>
            <w:r>
              <w:rPr>
                <w:rFonts w:hint="eastAsia"/>
              </w:rPr>
              <w:t>戈泰</w:t>
            </w:r>
          </w:p>
        </w:tc>
        <w:tc>
          <w:tcPr>
            <w:tcW w:w="4959" w:type="dxa"/>
            <w:vAlign w:val="center"/>
          </w:tcPr>
          <w:p w14:paraId="3DBD8295">
            <w:pPr>
              <w:jc w:val="left"/>
            </w:pPr>
            <w:r>
              <w:rPr>
                <w:rFonts w:hint="eastAsia"/>
              </w:rPr>
              <w:t>请潜在供应商在确保可以供货的前提下参与竞价，如果出现盲目竞价而无法供货的情况，因此给采购人造成的损失由该成交人全权负责，并承担因此造成的一切损失。</w:t>
            </w:r>
          </w:p>
        </w:tc>
      </w:tr>
    </w:tbl>
    <w:p w14:paraId="4A815712">
      <w:pPr>
        <w:jc w:val="left"/>
        <w:rPr>
          <w:sz w:val="28"/>
          <w:szCs w:val="28"/>
        </w:rPr>
      </w:pPr>
      <w:r>
        <w:rPr>
          <w:sz w:val="28"/>
          <w:szCs w:val="28"/>
        </w:rPr>
        <w:t>产品清单表：</w:t>
      </w:r>
    </w:p>
    <w:tbl>
      <w:tblPr>
        <w:tblStyle w:val="8"/>
        <w:tblpPr w:leftFromText="180" w:rightFromText="180" w:vertAnchor="text" w:horzAnchor="page" w:tblpXSpec="center" w:tblpY="401"/>
        <w:tblOverlap w:val="never"/>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210"/>
        <w:gridCol w:w="1894"/>
        <w:gridCol w:w="1345"/>
        <w:gridCol w:w="780"/>
        <w:gridCol w:w="1325"/>
      </w:tblGrid>
      <w:tr w14:paraId="0E5C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08" w:type="dxa"/>
            <w:vAlign w:val="center"/>
          </w:tcPr>
          <w:p w14:paraId="711D35A2">
            <w:pPr>
              <w:jc w:val="center"/>
              <w:rPr>
                <w:rFonts w:ascii="宋体" w:hAnsi="宋体" w:eastAsia="宋体" w:cs="宋体"/>
                <w:sz w:val="24"/>
              </w:rPr>
            </w:pPr>
            <w:r>
              <w:rPr>
                <w:rFonts w:ascii="宋体" w:hAnsi="宋体" w:eastAsia="宋体" w:cs="宋体"/>
                <w:sz w:val="24"/>
              </w:rPr>
              <w:t>序号</w:t>
            </w:r>
          </w:p>
        </w:tc>
        <w:tc>
          <w:tcPr>
            <w:tcW w:w="2210" w:type="dxa"/>
            <w:vAlign w:val="center"/>
          </w:tcPr>
          <w:p w14:paraId="6A7DC37D">
            <w:pPr>
              <w:jc w:val="center"/>
              <w:rPr>
                <w:rFonts w:ascii="宋体" w:hAnsi="宋体" w:eastAsia="宋体" w:cs="宋体"/>
                <w:sz w:val="24"/>
              </w:rPr>
            </w:pPr>
            <w:r>
              <w:rPr>
                <w:rFonts w:ascii="宋体" w:hAnsi="宋体" w:eastAsia="宋体" w:cs="宋体"/>
                <w:sz w:val="24"/>
              </w:rPr>
              <w:t>货物名称</w:t>
            </w:r>
          </w:p>
        </w:tc>
        <w:tc>
          <w:tcPr>
            <w:tcW w:w="1894" w:type="dxa"/>
            <w:vAlign w:val="center"/>
          </w:tcPr>
          <w:p w14:paraId="574D5D9F">
            <w:pPr>
              <w:jc w:val="center"/>
              <w:rPr>
                <w:rFonts w:ascii="宋体" w:hAnsi="宋体" w:eastAsia="宋体" w:cs="宋体"/>
                <w:sz w:val="24"/>
              </w:rPr>
            </w:pPr>
            <w:r>
              <w:rPr>
                <w:rFonts w:ascii="宋体" w:hAnsi="宋体" w:eastAsia="宋体" w:cs="宋体"/>
                <w:sz w:val="24"/>
              </w:rPr>
              <w:t>规格</w:t>
            </w:r>
          </w:p>
        </w:tc>
        <w:tc>
          <w:tcPr>
            <w:tcW w:w="1345" w:type="dxa"/>
            <w:vAlign w:val="center"/>
          </w:tcPr>
          <w:p w14:paraId="0502303F">
            <w:pPr>
              <w:jc w:val="center"/>
              <w:rPr>
                <w:rFonts w:ascii="宋体" w:hAnsi="宋体" w:eastAsia="宋体" w:cs="宋体"/>
                <w:sz w:val="24"/>
              </w:rPr>
            </w:pPr>
            <w:r>
              <w:rPr>
                <w:rFonts w:ascii="宋体" w:hAnsi="宋体" w:eastAsia="宋体" w:cs="宋体"/>
                <w:sz w:val="24"/>
              </w:rPr>
              <w:t>型号</w:t>
            </w:r>
          </w:p>
        </w:tc>
        <w:tc>
          <w:tcPr>
            <w:tcW w:w="780" w:type="dxa"/>
            <w:vAlign w:val="center"/>
          </w:tcPr>
          <w:p w14:paraId="53E8079D">
            <w:pPr>
              <w:jc w:val="center"/>
              <w:rPr>
                <w:rFonts w:ascii="宋体" w:hAnsi="宋体" w:eastAsia="宋体" w:cs="宋体"/>
                <w:sz w:val="24"/>
              </w:rPr>
            </w:pPr>
            <w:r>
              <w:rPr>
                <w:rFonts w:ascii="宋体" w:hAnsi="宋体" w:eastAsia="宋体" w:cs="宋体"/>
                <w:sz w:val="24"/>
              </w:rPr>
              <w:t>单位</w:t>
            </w:r>
          </w:p>
        </w:tc>
        <w:tc>
          <w:tcPr>
            <w:tcW w:w="1325" w:type="dxa"/>
            <w:vAlign w:val="center"/>
          </w:tcPr>
          <w:p w14:paraId="1C952874">
            <w:pPr>
              <w:jc w:val="center"/>
              <w:rPr>
                <w:rFonts w:ascii="宋体" w:hAnsi="宋体" w:eastAsia="宋体" w:cs="宋体"/>
                <w:sz w:val="24"/>
              </w:rPr>
            </w:pPr>
            <w:r>
              <w:rPr>
                <w:rFonts w:ascii="宋体" w:hAnsi="宋体" w:eastAsia="宋体" w:cs="宋体"/>
                <w:sz w:val="24"/>
              </w:rPr>
              <w:t>数量</w:t>
            </w:r>
          </w:p>
        </w:tc>
      </w:tr>
      <w:tr w14:paraId="1359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08" w:type="dxa"/>
            <w:vAlign w:val="center"/>
          </w:tcPr>
          <w:p w14:paraId="39E1F661">
            <w:pPr>
              <w:widowControl/>
              <w:jc w:val="center"/>
            </w:pPr>
            <w:r>
              <w:rPr>
                <w:rFonts w:ascii="宋体" w:hAnsi="宋体" w:eastAsia="宋体" w:cs="宋体"/>
                <w:color w:val="000000"/>
                <w:kern w:val="0"/>
                <w:sz w:val="22"/>
                <w:szCs w:val="22"/>
                <w:lang w:bidi="ar"/>
              </w:rPr>
              <w:t>1</w:t>
            </w:r>
          </w:p>
        </w:tc>
        <w:tc>
          <w:tcPr>
            <w:tcW w:w="2210" w:type="dxa"/>
            <w:vAlign w:val="center"/>
          </w:tcPr>
          <w:p w14:paraId="71844FB5">
            <w:pPr>
              <w:widowControl/>
              <w:jc w:val="center"/>
              <w:rPr>
                <w:rFonts w:ascii="宋体" w:hAnsi="宋体" w:eastAsia="宋体" w:cs="宋体"/>
                <w:color w:val="000000"/>
                <w:kern w:val="0"/>
                <w:sz w:val="22"/>
                <w:szCs w:val="22"/>
                <w:lang w:bidi="ar"/>
              </w:rPr>
            </w:pPr>
            <w:r>
              <w:rPr>
                <w:rFonts w:hint="eastAsia"/>
              </w:rPr>
              <w:t>发光式道路交通指挥棒</w:t>
            </w:r>
          </w:p>
        </w:tc>
        <w:tc>
          <w:tcPr>
            <w:tcW w:w="1894" w:type="dxa"/>
            <w:vAlign w:val="center"/>
          </w:tcPr>
          <w:p w14:paraId="76B8B8B5">
            <w:pPr>
              <w:widowControl/>
              <w:jc w:val="center"/>
              <w:rPr>
                <w:rFonts w:ascii="宋体" w:hAnsi="宋体" w:eastAsia="宋体" w:cs="宋体"/>
                <w:color w:val="000000"/>
                <w:kern w:val="0"/>
                <w:sz w:val="22"/>
                <w:szCs w:val="22"/>
                <w:lang w:bidi="ar"/>
              </w:rPr>
            </w:pPr>
            <w:r>
              <w:rPr>
                <w:rFonts w:hint="eastAsia"/>
              </w:rPr>
              <w:t>245mm*38.1mm</w:t>
            </w:r>
          </w:p>
        </w:tc>
        <w:tc>
          <w:tcPr>
            <w:tcW w:w="1345" w:type="dxa"/>
            <w:vAlign w:val="center"/>
          </w:tcPr>
          <w:p w14:paraId="19ED7969">
            <w:pPr>
              <w:widowControl/>
              <w:jc w:val="center"/>
              <w:rPr>
                <w:rFonts w:ascii="宋体" w:hAnsi="宋体" w:eastAsia="宋体" w:cs="宋体"/>
                <w:color w:val="000000"/>
                <w:kern w:val="0"/>
                <w:sz w:val="22"/>
                <w:szCs w:val="22"/>
                <w:lang w:bidi="ar"/>
              </w:rPr>
            </w:pPr>
            <w:r>
              <w:rPr>
                <w:rFonts w:hint="eastAsia"/>
              </w:rPr>
              <w:t>指挥二号/ZHB-A02-GT</w:t>
            </w:r>
          </w:p>
        </w:tc>
        <w:tc>
          <w:tcPr>
            <w:tcW w:w="780" w:type="dxa"/>
            <w:vAlign w:val="center"/>
          </w:tcPr>
          <w:p w14:paraId="3FD1AB68">
            <w:pPr>
              <w:widowControl/>
              <w:jc w:val="center"/>
              <w:rPr>
                <w:rFonts w:eastAsia="宋体"/>
              </w:rPr>
            </w:pPr>
            <w:r>
              <w:rPr>
                <w:rFonts w:hint="eastAsia" w:ascii="宋体" w:hAnsi="宋体" w:eastAsia="宋体" w:cs="宋体"/>
                <w:color w:val="000000"/>
                <w:kern w:val="0"/>
                <w:sz w:val="22"/>
                <w:szCs w:val="22"/>
                <w:lang w:bidi="ar"/>
              </w:rPr>
              <w:t>套</w:t>
            </w:r>
          </w:p>
        </w:tc>
        <w:tc>
          <w:tcPr>
            <w:tcW w:w="1325" w:type="dxa"/>
            <w:vAlign w:val="center"/>
          </w:tcPr>
          <w:p w14:paraId="1C9C2D9D">
            <w:pPr>
              <w:widowControl/>
              <w:jc w:val="center"/>
            </w:pPr>
            <w:r>
              <w:rPr>
                <w:rFonts w:hint="eastAsia"/>
              </w:rPr>
              <w:t>2886</w:t>
            </w:r>
          </w:p>
        </w:tc>
      </w:tr>
      <w:tr w14:paraId="2533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2" w:type="dxa"/>
            <w:gridSpan w:val="6"/>
            <w:vAlign w:val="center"/>
          </w:tcPr>
          <w:p w14:paraId="07DE1511">
            <w:r>
              <w:t>1、供应商</w:t>
            </w:r>
            <w:r>
              <w:rPr>
                <w:rFonts w:hint="eastAsia"/>
              </w:rPr>
              <w:t>在</w:t>
            </w:r>
            <w:r>
              <w:t>供货时，须提供</w:t>
            </w:r>
            <w:r>
              <w:rPr>
                <w:rFonts w:hint="eastAsia"/>
              </w:rPr>
              <w:t>发光式道路交通指挥棒</w:t>
            </w:r>
            <w:r>
              <w:rPr>
                <w:color w:val="000000"/>
                <w:lang w:bidi="ar"/>
              </w:rPr>
              <w:t>生产厂</w:t>
            </w:r>
            <w:r>
              <w:t>厂家</w:t>
            </w:r>
            <w:r>
              <w:rPr>
                <w:rFonts w:hint="eastAsia"/>
              </w:rPr>
              <w:t>证明</w:t>
            </w:r>
            <w:r>
              <w:t>材料</w:t>
            </w:r>
            <w:r>
              <w:rPr>
                <w:rFonts w:hint="eastAsia"/>
              </w:rPr>
              <w:t>复印件并加盖公章，确保产品质量和合规性，</w:t>
            </w:r>
            <w:r>
              <w:rPr>
                <w:color w:val="000000"/>
                <w:lang w:bidi="ar"/>
              </w:rPr>
              <w:t>否则做无效标处理（原件备查）</w:t>
            </w:r>
          </w:p>
        </w:tc>
      </w:tr>
    </w:tbl>
    <w:p w14:paraId="0DDC3393">
      <w:pPr>
        <w:numPr>
          <w:ilvl w:val="255"/>
          <w:numId w:val="0"/>
        </w:numPr>
        <w:jc w:val="left"/>
        <w:rPr>
          <w:sz w:val="28"/>
          <w:szCs w:val="28"/>
        </w:rPr>
      </w:pPr>
      <w:r>
        <w:rPr>
          <w:sz w:val="28"/>
          <w:szCs w:val="28"/>
        </w:rPr>
        <w:t>二、技术要求：</w:t>
      </w:r>
    </w:p>
    <w:p w14:paraId="11408DFD">
      <w:pPr>
        <w:spacing w:line="312" w:lineRule="auto"/>
      </w:pPr>
      <w:r>
        <w:rPr>
          <w:rFonts w:ascii="Calibri" w:hAnsi="Calibri"/>
          <w:lang w:val="en-GB"/>
        </w:rPr>
        <w:t>产品参数中标“</w:t>
      </w:r>
      <w:r>
        <w:rPr>
          <w:rFonts w:ascii="Calibri" w:hAnsi="Calibri"/>
        </w:rPr>
        <w:t>▲</w:t>
      </w:r>
      <w:r>
        <w:rPr>
          <w:rFonts w:ascii="Calibri" w:hAnsi="Calibri"/>
          <w:lang w:val="en-GB"/>
        </w:rPr>
        <w:t>”号条款为</w:t>
      </w:r>
      <w:r>
        <w:rPr>
          <w:rFonts w:hint="eastAsia" w:ascii="Calibri" w:hAnsi="Calibri"/>
        </w:rPr>
        <w:t>实质性</w:t>
      </w:r>
      <w:r>
        <w:rPr>
          <w:rFonts w:ascii="Calibri" w:hAnsi="Calibri"/>
          <w:lang w:val="en-GB"/>
        </w:rPr>
        <w:t>条款，投标人所投产品应不低于技术参数中具体规定的要求，</w:t>
      </w:r>
      <w:r>
        <w:rPr>
          <w:rFonts w:hint="eastAsia" w:ascii="Calibri" w:hAnsi="Calibri"/>
        </w:rPr>
        <w:t>否则</w:t>
      </w:r>
      <w:r>
        <w:rPr>
          <w:rFonts w:ascii="Calibri" w:hAnsi="Calibri"/>
        </w:rPr>
        <w:t>按竞标无效处理</w:t>
      </w:r>
      <w:r>
        <w:rPr>
          <w:rFonts w:ascii="Calibri" w:hAnsi="Calibri"/>
          <w:lang w:val="en-GB"/>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110"/>
        <w:gridCol w:w="6436"/>
      </w:tblGrid>
      <w:tr w14:paraId="2F8A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2B2677C">
            <w:pPr>
              <w:jc w:val="left"/>
            </w:pPr>
            <w:r>
              <w:t>序号</w:t>
            </w:r>
          </w:p>
        </w:tc>
        <w:tc>
          <w:tcPr>
            <w:tcW w:w="1110" w:type="dxa"/>
            <w:vAlign w:val="center"/>
          </w:tcPr>
          <w:p w14:paraId="06FF9380">
            <w:pPr>
              <w:jc w:val="left"/>
            </w:pPr>
            <w:r>
              <w:t>货物名称</w:t>
            </w:r>
          </w:p>
        </w:tc>
        <w:tc>
          <w:tcPr>
            <w:tcW w:w="6436" w:type="dxa"/>
            <w:vAlign w:val="center"/>
          </w:tcPr>
          <w:p w14:paraId="0CF8827C">
            <w:pPr>
              <w:jc w:val="left"/>
            </w:pPr>
            <w:r>
              <w:t>主要技术参数</w:t>
            </w:r>
          </w:p>
        </w:tc>
      </w:tr>
      <w:tr w14:paraId="7EE4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6B8BB0F2">
            <w:pPr>
              <w:widowControl/>
              <w:jc w:val="left"/>
            </w:pPr>
            <w:r>
              <w:rPr>
                <w:lang w:bidi="ar"/>
              </w:rPr>
              <w:t>1</w:t>
            </w:r>
          </w:p>
        </w:tc>
        <w:tc>
          <w:tcPr>
            <w:tcW w:w="1110" w:type="dxa"/>
            <w:vAlign w:val="center"/>
          </w:tcPr>
          <w:p w14:paraId="0EA68384">
            <w:pPr>
              <w:widowControl/>
              <w:jc w:val="left"/>
              <w:rPr>
                <w:lang w:bidi="ar"/>
              </w:rPr>
            </w:pPr>
            <w:r>
              <w:rPr>
                <w:rFonts w:hint="eastAsia"/>
              </w:rPr>
              <w:t>发光式道路交通指挥棒</w:t>
            </w:r>
          </w:p>
        </w:tc>
        <w:tc>
          <w:tcPr>
            <w:tcW w:w="6436" w:type="dxa"/>
            <w:vAlign w:val="center"/>
          </w:tcPr>
          <w:p w14:paraId="50F8F670">
            <w:pPr>
              <w:tabs>
                <w:tab w:val="left" w:pos="737"/>
                <w:tab w:val="left" w:pos="2718"/>
              </w:tabs>
              <w:rPr>
                <w:rFonts w:ascii="宋体" w:hAnsi="宋体" w:eastAsia="宋体" w:cs="宋体"/>
                <w:szCs w:val="21"/>
              </w:rPr>
            </w:pPr>
            <w:r>
              <w:rPr>
                <w:rFonts w:hint="eastAsia" w:ascii="宋体" w:hAnsi="宋体" w:eastAsia="宋体" w:cs="宋体"/>
                <w:szCs w:val="21"/>
              </w:rPr>
              <w:t>1.组成：由发光部分、手柄部分(含控制部分)、可充电电池(组)、DC3.5充电接口和挂绳(或挂钩等其他携带配件)等组成。</w:t>
            </w:r>
          </w:p>
          <w:p w14:paraId="33C801D3">
            <w:pPr>
              <w:tabs>
                <w:tab w:val="left" w:pos="737"/>
                <w:tab w:val="left" w:pos="2718"/>
              </w:tabs>
              <w:rPr>
                <w:rFonts w:ascii="宋体" w:hAnsi="宋体" w:eastAsia="宋体" w:cs="宋体"/>
                <w:szCs w:val="21"/>
              </w:rPr>
            </w:pPr>
            <w:r>
              <w:rPr>
                <w:rFonts w:hint="eastAsia" w:ascii="宋体" w:hAnsi="宋体" w:eastAsia="宋体" w:cs="宋体"/>
                <w:szCs w:val="21"/>
              </w:rPr>
              <w:t>2.外观: 成品外观表面应光滑，无划痕、磨损、毛刺和污渍。</w:t>
            </w:r>
          </w:p>
          <w:p w14:paraId="1D4E763B">
            <w:pPr>
              <w:tabs>
                <w:tab w:val="left" w:pos="737"/>
                <w:tab w:val="left" w:pos="2718"/>
              </w:tabs>
              <w:rPr>
                <w:rFonts w:ascii="宋体" w:hAnsi="宋体" w:eastAsia="宋体" w:cs="宋体"/>
                <w:szCs w:val="21"/>
              </w:rPr>
            </w:pPr>
            <w:r>
              <w:rPr>
                <w:rFonts w:hint="eastAsia" w:ascii="宋体" w:hAnsi="宋体" w:eastAsia="宋体" w:cs="宋体"/>
                <w:szCs w:val="21"/>
              </w:rPr>
              <w:t>发光部分为透明色，可通过有色LED灯珠实现红蓝双色频闪。</w:t>
            </w:r>
          </w:p>
          <w:p w14:paraId="58C81920">
            <w:pPr>
              <w:tabs>
                <w:tab w:val="left" w:pos="737"/>
                <w:tab w:val="left" w:pos="2718"/>
              </w:tabs>
              <w:rPr>
                <w:rFonts w:ascii="宋体" w:hAnsi="宋体" w:eastAsia="宋体" w:cs="宋体"/>
                <w:szCs w:val="21"/>
              </w:rPr>
            </w:pPr>
            <w:r>
              <w:rPr>
                <w:rFonts w:hint="eastAsia" w:ascii="宋体" w:hAnsi="宋体" w:eastAsia="宋体" w:cs="宋体"/>
                <w:szCs w:val="21"/>
              </w:rPr>
              <w:t>发光部分端面和手柄部分为黑色。</w:t>
            </w:r>
          </w:p>
          <w:p w14:paraId="5E537574">
            <w:pPr>
              <w:tabs>
                <w:tab w:val="left" w:pos="737"/>
                <w:tab w:val="left" w:pos="2718"/>
              </w:tabs>
              <w:rPr>
                <w:rFonts w:ascii="宋体" w:hAnsi="宋体" w:eastAsia="宋体" w:cs="宋体"/>
                <w:szCs w:val="21"/>
              </w:rPr>
            </w:pPr>
            <w:r>
              <w:rPr>
                <w:rFonts w:hint="eastAsia" w:ascii="宋体" w:hAnsi="宋体" w:eastAsia="宋体" w:cs="宋体"/>
                <w:szCs w:val="21"/>
              </w:rPr>
              <w:t>▲3.发光式道路交通指挥棒:全长245mm土2mm，发光部分总长度为90mm土2mm,发光部分外径30mm土2mm,手柄长度为125mm土2mm。</w:t>
            </w:r>
          </w:p>
          <w:p w14:paraId="661BBD39">
            <w:pPr>
              <w:tabs>
                <w:tab w:val="left" w:pos="737"/>
                <w:tab w:val="left" w:pos="2718"/>
              </w:tabs>
              <w:rPr>
                <w:rFonts w:ascii="宋体" w:hAnsi="宋体" w:eastAsia="宋体" w:cs="宋体"/>
                <w:szCs w:val="21"/>
              </w:rPr>
            </w:pPr>
            <w:r>
              <w:rPr>
                <w:rFonts w:hint="eastAsia" w:ascii="宋体" w:hAnsi="宋体" w:eastAsia="宋体" w:cs="宋体"/>
                <w:szCs w:val="21"/>
              </w:rPr>
              <w:t>4.质量：总质量(含电池、挂绳等工作必备附件)应小于或等于350g。</w:t>
            </w:r>
          </w:p>
          <w:p w14:paraId="09E228F0">
            <w:pPr>
              <w:tabs>
                <w:tab w:val="left" w:pos="737"/>
                <w:tab w:val="left" w:pos="2718"/>
              </w:tabs>
              <w:rPr>
                <w:rFonts w:ascii="宋体" w:hAnsi="宋体" w:eastAsia="宋体" w:cs="宋体"/>
                <w:szCs w:val="21"/>
              </w:rPr>
            </w:pPr>
            <w:r>
              <w:rPr>
                <w:rFonts w:hint="eastAsia" w:ascii="宋体" w:hAnsi="宋体" w:eastAsia="宋体" w:cs="宋体"/>
                <w:szCs w:val="21"/>
              </w:rPr>
              <w:t>▲5.功能:发光式道路交通指挥棒应具有快速频闪、中速频闪、慢速频闪、照明、爆闪、警哨、双激光指挥灯功能。</w:t>
            </w:r>
          </w:p>
          <w:p w14:paraId="4F66814B">
            <w:pPr>
              <w:tabs>
                <w:tab w:val="left" w:pos="737"/>
                <w:tab w:val="left" w:pos="2718"/>
              </w:tabs>
              <w:rPr>
                <w:rFonts w:ascii="宋体" w:hAnsi="宋体" w:eastAsia="宋体" w:cs="宋体"/>
                <w:szCs w:val="21"/>
              </w:rPr>
            </w:pPr>
            <w:r>
              <w:rPr>
                <w:rFonts w:hint="eastAsia" w:ascii="宋体" w:hAnsi="宋体" w:eastAsia="宋体" w:cs="宋体"/>
                <w:szCs w:val="21"/>
              </w:rPr>
              <w:t>6.性能：频闪频率: 频闪频率应在3Hz士1Hz范围内。</w:t>
            </w:r>
          </w:p>
          <w:p w14:paraId="50D9923E">
            <w:pPr>
              <w:tabs>
                <w:tab w:val="left" w:pos="737"/>
                <w:tab w:val="left" w:pos="2718"/>
              </w:tabs>
              <w:rPr>
                <w:rFonts w:ascii="宋体" w:hAnsi="宋体" w:eastAsia="宋体" w:cs="宋体"/>
                <w:szCs w:val="21"/>
              </w:rPr>
            </w:pPr>
            <w:r>
              <w:rPr>
                <w:rFonts w:hint="eastAsia" w:ascii="宋体" w:hAnsi="宋体" w:eastAsia="宋体" w:cs="宋体"/>
                <w:szCs w:val="21"/>
              </w:rPr>
              <w:t>7.照明初始照度: 照明模式时，据光源300mm处初始照度应大于或等于350lx。</w:t>
            </w:r>
          </w:p>
          <w:p w14:paraId="64A37926">
            <w:pPr>
              <w:tabs>
                <w:tab w:val="left" w:pos="737"/>
                <w:tab w:val="left" w:pos="2718"/>
              </w:tabs>
              <w:rPr>
                <w:rFonts w:ascii="宋体" w:hAnsi="宋体" w:eastAsia="宋体" w:cs="宋体"/>
                <w:szCs w:val="21"/>
              </w:rPr>
            </w:pPr>
            <w:r>
              <w:rPr>
                <w:rFonts w:hint="eastAsia" w:ascii="宋体" w:hAnsi="宋体" w:eastAsia="宋体" w:cs="宋体"/>
                <w:szCs w:val="21"/>
              </w:rPr>
              <w:t>8.警哨：警哨模式下，警哨发声量应大于等于120dB(A)。</w:t>
            </w:r>
          </w:p>
          <w:p w14:paraId="7763FA02">
            <w:pPr>
              <w:tabs>
                <w:tab w:val="left" w:pos="737"/>
                <w:tab w:val="left" w:pos="2718"/>
              </w:tabs>
              <w:rPr>
                <w:rFonts w:ascii="宋体" w:hAnsi="宋体" w:eastAsia="宋体" w:cs="宋体"/>
                <w:szCs w:val="21"/>
              </w:rPr>
            </w:pPr>
            <w:r>
              <w:rPr>
                <w:rFonts w:hint="eastAsia" w:ascii="宋体" w:hAnsi="宋体" w:eastAsia="宋体" w:cs="宋体"/>
                <w:szCs w:val="21"/>
              </w:rPr>
              <w:t>▲9.双激光指挥灯: 激光束应为红色，在任何工作模式下长按频闪键可直接切换到激光指示模式，也可由单一警哨按键一键进行声音和激光同步警示。</w:t>
            </w:r>
          </w:p>
          <w:p w14:paraId="116E6A69">
            <w:pPr>
              <w:tabs>
                <w:tab w:val="left" w:pos="737"/>
                <w:tab w:val="left" w:pos="2718"/>
              </w:tabs>
              <w:rPr>
                <w:rFonts w:ascii="宋体" w:hAnsi="宋体" w:eastAsia="宋体" w:cs="宋体"/>
                <w:szCs w:val="21"/>
              </w:rPr>
            </w:pPr>
            <w:r>
              <w:rPr>
                <w:rFonts w:hint="eastAsia" w:ascii="宋体" w:hAnsi="宋体" w:eastAsia="宋体" w:cs="宋体"/>
                <w:szCs w:val="21"/>
              </w:rPr>
              <w:t>▲10.连续工作时间:</w:t>
            </w:r>
          </w:p>
          <w:p w14:paraId="1F1F9A41">
            <w:pPr>
              <w:tabs>
                <w:tab w:val="left" w:pos="737"/>
                <w:tab w:val="left" w:pos="2718"/>
              </w:tabs>
              <w:rPr>
                <w:rFonts w:ascii="宋体" w:hAnsi="宋体" w:eastAsia="宋体" w:cs="宋体"/>
                <w:szCs w:val="21"/>
              </w:rPr>
            </w:pPr>
            <w:r>
              <w:rPr>
                <w:rFonts w:hint="eastAsia" w:ascii="宋体" w:hAnsi="宋体" w:eastAsia="宋体" w:cs="宋体"/>
                <w:szCs w:val="21"/>
              </w:rPr>
              <w:t>快速频闪连续工作时间应大于或等于14h；</w:t>
            </w:r>
          </w:p>
          <w:p w14:paraId="15FC9258">
            <w:pPr>
              <w:tabs>
                <w:tab w:val="left" w:pos="737"/>
                <w:tab w:val="left" w:pos="2718"/>
              </w:tabs>
              <w:rPr>
                <w:rFonts w:ascii="宋体" w:hAnsi="宋体" w:eastAsia="宋体" w:cs="宋体"/>
                <w:szCs w:val="21"/>
              </w:rPr>
            </w:pPr>
            <w:r>
              <w:rPr>
                <w:rFonts w:hint="eastAsia" w:ascii="宋体" w:hAnsi="宋体" w:eastAsia="宋体" w:cs="宋体"/>
                <w:szCs w:val="21"/>
              </w:rPr>
              <w:t>中速频闪连续工作时间应大于或等于11h；</w:t>
            </w:r>
          </w:p>
          <w:p w14:paraId="753BCC73">
            <w:pPr>
              <w:tabs>
                <w:tab w:val="left" w:pos="737"/>
                <w:tab w:val="left" w:pos="2718"/>
              </w:tabs>
              <w:rPr>
                <w:rFonts w:ascii="宋体" w:hAnsi="宋体" w:eastAsia="宋体" w:cs="宋体"/>
                <w:szCs w:val="21"/>
              </w:rPr>
            </w:pPr>
            <w:r>
              <w:rPr>
                <w:rFonts w:hint="eastAsia" w:ascii="宋体" w:hAnsi="宋体" w:eastAsia="宋体" w:cs="宋体"/>
                <w:szCs w:val="21"/>
              </w:rPr>
              <w:t>慢速频闪连续工作时间应大于或等于11h；</w:t>
            </w:r>
          </w:p>
          <w:p w14:paraId="1F00D1E5">
            <w:pPr>
              <w:tabs>
                <w:tab w:val="left" w:pos="737"/>
                <w:tab w:val="left" w:pos="2718"/>
              </w:tabs>
              <w:rPr>
                <w:rFonts w:ascii="宋体" w:hAnsi="宋体" w:eastAsia="宋体" w:cs="宋体"/>
                <w:szCs w:val="21"/>
              </w:rPr>
            </w:pPr>
            <w:r>
              <w:rPr>
                <w:rFonts w:hint="eastAsia" w:ascii="宋体" w:hAnsi="宋体" w:eastAsia="宋体" w:cs="宋体"/>
                <w:szCs w:val="21"/>
              </w:rPr>
              <w:t>爆闪连续工作时间应大于或等于9h。"</w:t>
            </w:r>
          </w:p>
          <w:p w14:paraId="4FBEDFE6">
            <w:pPr>
              <w:tabs>
                <w:tab w:val="left" w:pos="737"/>
                <w:tab w:val="left" w:pos="2718"/>
              </w:tabs>
              <w:rPr>
                <w:rFonts w:ascii="宋体" w:hAnsi="宋体" w:eastAsia="宋体" w:cs="宋体"/>
                <w:szCs w:val="21"/>
              </w:rPr>
            </w:pPr>
            <w:r>
              <w:rPr>
                <w:rFonts w:hint="eastAsia" w:ascii="宋体" w:hAnsi="宋体" w:eastAsia="宋体" w:cs="宋体"/>
                <w:szCs w:val="21"/>
              </w:rPr>
              <w:t>11.警示距离:发光式道路交通指挥棒在1000m外应能看到警示效果。</w:t>
            </w:r>
          </w:p>
          <w:p w14:paraId="0BD51275">
            <w:pPr>
              <w:tabs>
                <w:tab w:val="left" w:pos="737"/>
                <w:tab w:val="left" w:pos="2718"/>
              </w:tabs>
              <w:rPr>
                <w:rFonts w:ascii="宋体" w:hAnsi="宋体" w:eastAsia="宋体" w:cs="宋体"/>
                <w:szCs w:val="21"/>
              </w:rPr>
            </w:pPr>
            <w:r>
              <w:rPr>
                <w:rFonts w:hint="eastAsia" w:ascii="宋体" w:hAnsi="宋体" w:eastAsia="宋体" w:cs="宋体"/>
                <w:szCs w:val="21"/>
              </w:rPr>
              <w:t>12.手绳强度：手绳应能承受100N拉力无断裂。</w:t>
            </w:r>
          </w:p>
          <w:p w14:paraId="39ABA00F">
            <w:pPr>
              <w:tabs>
                <w:tab w:val="left" w:pos="737"/>
                <w:tab w:val="left" w:pos="2718"/>
              </w:tabs>
              <w:rPr>
                <w:rFonts w:ascii="宋体" w:hAnsi="宋体" w:eastAsia="宋体" w:cs="宋体"/>
                <w:szCs w:val="21"/>
              </w:rPr>
            </w:pPr>
            <w:r>
              <w:rPr>
                <w:rFonts w:hint="eastAsia" w:ascii="宋体" w:hAnsi="宋体" w:eastAsia="宋体" w:cs="宋体"/>
                <w:szCs w:val="21"/>
              </w:rPr>
              <w:t>13.开关可靠性:触压开关31000次，开关功能应正常。</w:t>
            </w:r>
          </w:p>
          <w:p w14:paraId="67DDBF23">
            <w:pPr>
              <w:tabs>
                <w:tab w:val="left" w:pos="737"/>
                <w:tab w:val="left" w:pos="2718"/>
              </w:tabs>
              <w:rPr>
                <w:rFonts w:ascii="宋体" w:hAnsi="宋体" w:eastAsia="宋体" w:cs="宋体"/>
                <w:szCs w:val="21"/>
              </w:rPr>
            </w:pPr>
            <w:r>
              <w:rPr>
                <w:rFonts w:hint="eastAsia" w:ascii="宋体" w:hAnsi="宋体" w:eastAsia="宋体" w:cs="宋体"/>
                <w:szCs w:val="21"/>
              </w:rPr>
              <w:t>14.跌落可靠性：自2.1m高度跌落试验后，各组成部分不得松脱、开裂，且应功能正常。</w:t>
            </w:r>
          </w:p>
          <w:p w14:paraId="2C0173BA">
            <w:pPr>
              <w:tabs>
                <w:tab w:val="left" w:pos="737"/>
                <w:tab w:val="left" w:pos="2718"/>
              </w:tabs>
              <w:rPr>
                <w:rFonts w:ascii="宋体" w:hAnsi="宋体" w:eastAsia="宋体" w:cs="宋体"/>
                <w:szCs w:val="21"/>
              </w:rPr>
            </w:pPr>
            <w:r>
              <w:rPr>
                <w:rFonts w:hint="eastAsia" w:ascii="宋体" w:hAnsi="宋体" w:eastAsia="宋体" w:cs="宋体"/>
                <w:szCs w:val="21"/>
              </w:rPr>
              <w:t>15.静电放电抗扰度:静电放电抗扰度应符合GB/T 17626.2-2018中等级3的规定,试验中允许出现功能或性能暂时丧失或降低，但在骚扰停止后应能自行恢复，不需要操作者干预，且应功能正常。</w:t>
            </w:r>
          </w:p>
          <w:p w14:paraId="7EABF623">
            <w:pPr>
              <w:tabs>
                <w:tab w:val="left" w:pos="737"/>
                <w:tab w:val="left" w:pos="2718"/>
              </w:tabs>
              <w:rPr>
                <w:rFonts w:ascii="宋体" w:hAnsi="宋体" w:eastAsia="宋体" w:cs="宋体"/>
                <w:szCs w:val="21"/>
              </w:rPr>
            </w:pPr>
            <w:r>
              <w:rPr>
                <w:rFonts w:hint="eastAsia" w:ascii="宋体" w:hAnsi="宋体" w:eastAsia="宋体" w:cs="宋体"/>
                <w:szCs w:val="21"/>
              </w:rPr>
              <w:t>16.外壳防护等级：≥IP66。</w:t>
            </w:r>
          </w:p>
          <w:p w14:paraId="666E03C4">
            <w:pPr>
              <w:tabs>
                <w:tab w:val="left" w:pos="737"/>
                <w:tab w:val="left" w:pos="2718"/>
              </w:tabs>
              <w:rPr>
                <w:rFonts w:ascii="宋体" w:hAnsi="宋体" w:eastAsia="宋体" w:cs="宋体"/>
                <w:szCs w:val="21"/>
              </w:rPr>
            </w:pPr>
            <w:r>
              <w:rPr>
                <w:rFonts w:hint="eastAsia" w:ascii="宋体" w:hAnsi="宋体" w:eastAsia="宋体" w:cs="宋体"/>
                <w:szCs w:val="21"/>
              </w:rPr>
              <w:t>17.温度适应性: 在低温-25℃~高温60℃条件下, 应正常工作。</w:t>
            </w:r>
          </w:p>
          <w:p w14:paraId="733267A3">
            <w:pPr>
              <w:tabs>
                <w:tab w:val="left" w:pos="737"/>
                <w:tab w:val="left" w:pos="2718"/>
              </w:tabs>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供应商供货时</w:t>
            </w:r>
            <w:r>
              <w:rPr>
                <w:rFonts w:hint="eastAsia" w:ascii="宋体" w:hAnsi="宋体" w:eastAsia="宋体" w:cs="宋体"/>
                <w:szCs w:val="21"/>
              </w:rPr>
              <w:t>提供公安部产品质量监督检验中心出具的产品检验报告复印件加盖制造商公章。</w:t>
            </w:r>
          </w:p>
        </w:tc>
      </w:tr>
      <w:tr w14:paraId="3D72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06831967">
            <w:pPr>
              <w:rPr>
                <w:lang w:val="en-GB"/>
              </w:rPr>
            </w:pPr>
            <w:r>
              <w:rPr>
                <w:rFonts w:hint="eastAsia"/>
              </w:rPr>
              <w:t>▲1、产品要求：</w:t>
            </w:r>
            <w:r>
              <w:rPr>
                <w:lang w:val="en-GB"/>
              </w:rPr>
              <w:t>必须按意向品牌/型号提交产品、所供产品为原</w:t>
            </w:r>
            <w:r>
              <w:rPr>
                <w:rFonts w:hint="eastAsia"/>
              </w:rPr>
              <w:t>厂</w:t>
            </w:r>
            <w:r>
              <w:rPr>
                <w:lang w:val="en-GB"/>
              </w:rPr>
              <w:t>生产的全新的、未</w:t>
            </w:r>
            <w:r>
              <w:rPr>
                <w:rFonts w:hint="eastAsia"/>
              </w:rPr>
              <w:t>使</w:t>
            </w:r>
            <w:r>
              <w:rPr>
                <w:lang w:val="en-GB"/>
              </w:rPr>
              <w:t xml:space="preserve">用过的产品。 </w:t>
            </w:r>
          </w:p>
          <w:p w14:paraId="6E724288">
            <w:pPr>
              <w:rPr>
                <w:lang w:val="en-GB"/>
              </w:rPr>
            </w:pPr>
            <w:r>
              <w:rPr>
                <w:rFonts w:hint="eastAsia"/>
              </w:rPr>
              <w:t>▲</w:t>
            </w:r>
            <w:r>
              <w:rPr>
                <w:lang w:val="en-GB"/>
              </w:rPr>
              <w:t>2、</w:t>
            </w:r>
            <w:r>
              <w:rPr>
                <w:rFonts w:hint="eastAsia"/>
              </w:rPr>
              <w:t>交货时间：</w:t>
            </w:r>
            <w:r>
              <w:rPr>
                <w:lang w:val="en-GB"/>
              </w:rPr>
              <w:t>成交的商家要在</w:t>
            </w:r>
            <w:r>
              <w:rPr>
                <w:rFonts w:hint="eastAsia"/>
              </w:rPr>
              <w:t>3</w:t>
            </w:r>
            <w:r>
              <w:rPr>
                <w:lang w:val="en-GB"/>
              </w:rPr>
              <w:t>日内完成合同签订，合同签订之后</w:t>
            </w:r>
            <w:r>
              <w:rPr>
                <w:rFonts w:hint="eastAsia"/>
                <w:lang w:val="en-US" w:eastAsia="zh-CN"/>
              </w:rPr>
              <w:t>10</w:t>
            </w:r>
            <w:bookmarkStart w:id="0" w:name="_GoBack"/>
            <w:bookmarkEnd w:id="0"/>
            <w:r>
              <w:rPr>
                <w:lang w:val="en-GB"/>
              </w:rPr>
              <w:t>日内完成货物供应，否则按违约进行处理。</w:t>
            </w:r>
          </w:p>
          <w:p w14:paraId="306F4B80">
            <w:pPr>
              <w:rPr>
                <w:lang w:val="en-GB"/>
              </w:rPr>
            </w:pPr>
            <w:r>
              <w:rPr>
                <w:rFonts w:hint="eastAsia"/>
              </w:rPr>
              <w:t>▲</w:t>
            </w:r>
            <w:r>
              <w:rPr>
                <w:lang w:val="en-GB"/>
              </w:rPr>
              <w:t>3、</w:t>
            </w:r>
            <w:r>
              <w:rPr>
                <w:rFonts w:hint="eastAsia"/>
              </w:rPr>
              <w:t>质保期：所有货物</w:t>
            </w:r>
            <w:r>
              <w:rPr>
                <w:lang w:val="en-GB"/>
              </w:rPr>
              <w:t>质保期不少于</w:t>
            </w:r>
            <w:r>
              <w:rPr>
                <w:rFonts w:hint="eastAsia"/>
              </w:rPr>
              <w:t>2</w:t>
            </w:r>
            <w:r>
              <w:rPr>
                <w:lang w:val="en-GB"/>
              </w:rPr>
              <w:t>年。</w:t>
            </w:r>
          </w:p>
          <w:p w14:paraId="38B03D26">
            <w:r>
              <w:rPr>
                <w:rFonts w:hint="eastAsia"/>
              </w:rPr>
              <w:t>▲4、</w:t>
            </w:r>
            <w:r>
              <w:t>交货地点：按客户要求送达指定的地址（包含广西区内乡镇）</w:t>
            </w:r>
          </w:p>
          <w:p w14:paraId="5C26B7DD">
            <w:pPr>
              <w:rPr>
                <w:lang w:val="en-GB"/>
              </w:rPr>
            </w:pPr>
            <w:r>
              <w:rPr>
                <w:rFonts w:hint="eastAsia"/>
              </w:rPr>
              <w:t>5</w:t>
            </w:r>
            <w:r>
              <w:rPr>
                <w:lang w:val="en-GB"/>
              </w:rPr>
              <w:t>、</w:t>
            </w:r>
            <w:r>
              <w:t>付款条件：本项目无预付款，货到交货地点且经过采购人确认后验收合格后，成交人开具发票给采购人，采购人收到发票后20个工作日内支付100%的合同价款（无息）</w:t>
            </w:r>
          </w:p>
          <w:p w14:paraId="54688A0D">
            <w:pPr>
              <w:rPr>
                <w:lang w:val="en-GB"/>
              </w:rPr>
            </w:pPr>
            <w:r>
              <w:rPr>
                <w:rFonts w:hint="eastAsia"/>
              </w:rPr>
              <w:t>▲6、</w:t>
            </w:r>
            <w:r>
              <w:rPr>
                <w:lang w:val="en-GB"/>
              </w:rPr>
              <w:t>验收要求：</w:t>
            </w:r>
          </w:p>
          <w:p w14:paraId="4984FCB9">
            <w:r>
              <w:rPr>
                <w:lang w:val="en-GB"/>
              </w:rPr>
              <w:t>（1）验收时，采购人将根据采购文件中的货物技术规格、数量及质量要求对成交人所供货品组织验收。采购人可要求将货物抽样封存，送至国家认可的第三方检测机构进行检验。封存送检过程中，须采购人与成交人同时在场。若检测结果表明，抽样送检的货物不能达到采购文件中的货物技术规格、数量及质量要求或由于设计、工艺或材料等货物本身存在缺陷，采购人有权要求成交人在十个自然日内更换所有货物，其损失全部由成交人承担。货物送检检测费用由成交人承担。</w:t>
            </w:r>
          </w:p>
          <w:p w14:paraId="0DE0238C">
            <w:pPr>
              <w:rPr>
                <w:lang w:val="en-GB"/>
              </w:rPr>
            </w:pPr>
            <w:r>
              <w:rPr>
                <w:lang w:val="en-GB"/>
              </w:rPr>
              <w:t>（</w:t>
            </w:r>
            <w:r>
              <w:rPr>
                <w:rFonts w:hint="eastAsia"/>
              </w:rPr>
              <w:t>2</w:t>
            </w:r>
            <w:r>
              <w:rPr>
                <w:lang w:val="en-GB"/>
              </w:rPr>
              <w:t>）验收不合格的货物，成交人应保证返工或重做时间不超过15天，逾期按交货延误予以处罚，每逾期1日扣成交总额的1%。</w:t>
            </w:r>
          </w:p>
          <w:p w14:paraId="6AC05945">
            <w:r>
              <w:rPr>
                <w:rFonts w:hint="eastAsia"/>
              </w:rPr>
              <w:t>▲7</w:t>
            </w:r>
            <w:r>
              <w:rPr>
                <w:lang w:val="en-GB"/>
              </w:rPr>
              <w:t>、</w:t>
            </w:r>
            <w:r>
              <w:t xml:space="preserve">售后服务：质保期内产品有质量问题的，供应商须上门免费更换（注：小配件须8小时上门免费更换，大配件须24小时上门免费更换）。 </w:t>
            </w:r>
          </w:p>
          <w:p w14:paraId="702D9ABC">
            <w:pPr>
              <w:widowControl/>
              <w:numPr>
                <w:ilvl w:val="255"/>
                <w:numId w:val="0"/>
              </w:numPr>
              <w:jc w:val="left"/>
            </w:pPr>
            <w:r>
              <w:rPr>
                <w:rFonts w:hint="eastAsia"/>
                <w:szCs w:val="21"/>
              </w:rPr>
              <w:t>▲8</w:t>
            </w:r>
            <w:r>
              <w:rPr>
                <w:szCs w:val="21"/>
              </w:rPr>
              <w:t>、其他要求：</w:t>
            </w:r>
          </w:p>
          <w:p w14:paraId="20960301">
            <w:pPr>
              <w:widowControl/>
              <w:jc w:val="left"/>
            </w:pPr>
            <w:r>
              <w:rPr>
                <w:rFonts w:hint="eastAsia"/>
              </w:rPr>
              <w:t>（1）</w:t>
            </w:r>
            <w:r>
              <w:t>供应商应充分考虑供货成本及参数要求再进行报价，如供应商低价恶意竞价、且</w:t>
            </w:r>
            <w:r>
              <w:rPr>
                <w:rFonts w:hint="eastAsia"/>
              </w:rPr>
              <w:t>成交</w:t>
            </w:r>
            <w:r>
              <w:t>后无法按要求提供货物或者所供货物型号与要求不符的，采购人将按虚假竞标处理，并保留因耽误采购人使用时间造成的损失进行赔偿的权利，故在报价前请仔细评估自身履约能力，谢绝恶意竞价、不按要求报价、成交后无故放弃、不按合同履行等违约行为。对出现此类行为的预成交供应商，采购人将根据竞价询价违约处理规则，依法依规提请政采云平台进行处理，由此引发的一切后果由投标人承担。</w:t>
            </w:r>
          </w:p>
          <w:p w14:paraId="35FDF5A3">
            <w:pPr>
              <w:jc w:val="left"/>
            </w:pPr>
            <w:r>
              <w:rPr>
                <w:rFonts w:hint="eastAsia"/>
              </w:rPr>
              <w:t>（2）</w:t>
            </w:r>
            <w:r>
              <w:t>本次采购已指定品牌、型号及性能指标，为保障采购人的合法权益，供货时请提供</w:t>
            </w:r>
            <w:r>
              <w:rPr>
                <w:rFonts w:hint="eastAsia" w:ascii="Calibri" w:hAnsi="Calibri"/>
                <w:lang w:bidi="ar"/>
              </w:rPr>
              <w:t>生产厂家针对本项目</w:t>
            </w:r>
            <w:r>
              <w:rPr>
                <w:rFonts w:hint="eastAsia"/>
              </w:rPr>
              <w:t>加盖制造商公章</w:t>
            </w:r>
            <w:r>
              <w:rPr>
                <w:rFonts w:hint="eastAsia" w:ascii="Calibri" w:hAnsi="Calibri"/>
                <w:lang w:bidi="ar"/>
              </w:rPr>
              <w:t>的授权书、</w:t>
            </w:r>
            <w:r>
              <w:rPr>
                <w:rFonts w:hint="eastAsia"/>
              </w:rPr>
              <w:t>供货证明函、售后服务承诺书及</w:t>
            </w:r>
            <w:r>
              <w:rPr>
                <w:rFonts w:hint="eastAsia" w:ascii="宋体" w:hAnsi="宋体" w:eastAsia="宋体" w:cs="宋体"/>
                <w:szCs w:val="21"/>
              </w:rPr>
              <w:t>公安部产品质量监督检验中心出具的产品检验报告</w:t>
            </w:r>
            <w:r>
              <w:rPr>
                <w:rFonts w:hint="eastAsia"/>
              </w:rPr>
              <w:t>。</w:t>
            </w:r>
            <w:r>
              <w:t>报价时以附件上传pdf文件，并提供原件备查；如无法提供则视为无效报价。</w:t>
            </w:r>
          </w:p>
          <w:p w14:paraId="6AC53180">
            <w:pPr>
              <w:jc w:val="left"/>
            </w:pPr>
            <w:r>
              <w:rPr>
                <w:rFonts w:hint="eastAsia"/>
              </w:rPr>
              <w:t>（3）</w:t>
            </w:r>
            <w:r>
              <w:t>为确保所供产品为全新原厂产品并具备原厂质保，签订供货合同</w:t>
            </w:r>
            <w:r>
              <w:rPr>
                <w:rFonts w:hint="eastAsia"/>
              </w:rPr>
              <w:t>后</w:t>
            </w:r>
            <w:r>
              <w:t>请提供生产厂家针对此项目的供货证明原件（加盖厂家公章）、售后服务承诺函原件（加盖厂家公章）作为验收材料。未能有效提供相关材料的，不予</w:t>
            </w:r>
            <w:r>
              <w:rPr>
                <w:rFonts w:hint="eastAsia"/>
              </w:rPr>
              <w:t>验收通过</w:t>
            </w:r>
            <w:r>
              <w:t>并提请采购云平台进行处理，由此引发的一切后果</w:t>
            </w:r>
            <w:r>
              <w:rPr>
                <w:rFonts w:hint="eastAsia"/>
              </w:rPr>
              <w:t>及经济损失</w:t>
            </w:r>
            <w:r>
              <w:t>由投标人承担。</w:t>
            </w:r>
          </w:p>
          <w:p w14:paraId="7C42AB75">
            <w:pPr>
              <w:rPr>
                <w:lang w:val="en-GB"/>
              </w:rPr>
            </w:pPr>
            <w:r>
              <w:rPr>
                <w:rFonts w:hint="eastAsia"/>
              </w:rPr>
              <w:t>（4）</w:t>
            </w:r>
            <w:r>
              <w:rPr>
                <w:rFonts w:hint="eastAsia"/>
                <w:lang w:val="en-GB"/>
              </w:rPr>
              <w:t>供应商</w:t>
            </w:r>
            <w:r>
              <w:rPr>
                <w:lang w:val="en-GB"/>
              </w:rPr>
              <w:t>在</w:t>
            </w:r>
            <w:r>
              <w:rPr>
                <w:rFonts w:hint="eastAsia"/>
                <w:lang w:val="en-GB"/>
              </w:rPr>
              <w:t>响应</w:t>
            </w:r>
            <w:r>
              <w:rPr>
                <w:lang w:val="en-GB"/>
              </w:rPr>
              <w:t>文件中应明确承诺在承接此项目后不得转包</w:t>
            </w:r>
            <w:r>
              <w:rPr>
                <w:rFonts w:hint="eastAsia"/>
              </w:rPr>
              <w:t>或分包</w:t>
            </w:r>
            <w:r>
              <w:rPr>
                <w:lang w:val="en-GB"/>
              </w:rPr>
              <w:t>他人来实施，否则视为无效</w:t>
            </w:r>
            <w:r>
              <w:rPr>
                <w:rFonts w:hint="eastAsia"/>
                <w:lang w:val="en-GB"/>
              </w:rPr>
              <w:t>竞标</w:t>
            </w:r>
            <w:r>
              <w:rPr>
                <w:lang w:val="en-GB"/>
              </w:rPr>
              <w:t>。</w:t>
            </w:r>
          </w:p>
        </w:tc>
      </w:tr>
    </w:tbl>
    <w:p w14:paraId="6C611842">
      <w:pPr>
        <w:jc w:val="left"/>
        <w:sectPr>
          <w:pgSz w:w="11906" w:h="16838"/>
          <w:pgMar w:top="1440" w:right="1800" w:bottom="1440" w:left="1800" w:header="851" w:footer="992" w:gutter="0"/>
          <w:cols w:space="425" w:num="1"/>
          <w:docGrid w:type="lines" w:linePitch="312" w:charSpace="0"/>
        </w:sectPr>
      </w:pPr>
    </w:p>
    <w:p w14:paraId="75C2C8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C5A98"/>
    <w:rsid w:val="00073D71"/>
    <w:rsid w:val="00CD3CB4"/>
    <w:rsid w:val="06F00EFE"/>
    <w:rsid w:val="19362E96"/>
    <w:rsid w:val="199C5A98"/>
    <w:rsid w:val="27197DC7"/>
    <w:rsid w:val="6557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alloon Text"/>
    <w:basedOn w:val="1"/>
    <w:link w:val="15"/>
    <w:qFormat/>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批注文字 Char"/>
    <w:basedOn w:val="9"/>
    <w:link w:val="2"/>
    <w:uiPriority w:val="0"/>
    <w:rPr>
      <w:kern w:val="2"/>
      <w:sz w:val="21"/>
      <w:szCs w:val="24"/>
    </w:rPr>
  </w:style>
  <w:style w:type="character" w:customStyle="1" w:styleId="14">
    <w:name w:val="批注主题 Char"/>
    <w:basedOn w:val="13"/>
    <w:link w:val="6"/>
    <w:uiPriority w:val="0"/>
    <w:rPr>
      <w:b/>
      <w:bCs/>
      <w:kern w:val="2"/>
      <w:sz w:val="21"/>
      <w:szCs w:val="24"/>
    </w:rPr>
  </w:style>
  <w:style w:type="character" w:customStyle="1" w:styleId="15">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Dianaless</Company>
  <Pages>4</Pages>
  <Words>2134</Words>
  <Characters>2286</Characters>
  <Lines>16</Lines>
  <Paragraphs>4</Paragraphs>
  <TotalTime>16</TotalTime>
  <ScaleCrop>false</ScaleCrop>
  <LinksUpToDate>false</LinksUpToDate>
  <CharactersWithSpaces>2295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2025-05-20T01:04:00Z</dcterms:created>
  <dc:creator>她</dc:creator>
  <cp:lastModifiedBy>WPS_1207165140</cp:lastModifiedBy>
  <dcterms:modified xsi:type="dcterms:W3CDTF">2025-05-22T10:02:11Z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0F817674BC844F6C8D9413C5A9B21754_13</vt:lpwstr>
  </property>
  <property fmtid="{D5CDD505-2E9C-101B-9397-08002B2CF9AE}" pid="4" name="KSOTemplateDocerSaveRecord">
    <vt:lpwstr>eyJoZGlkIjoiMGY1NzJiMGRhMzJlN2U4OTQzNWI4ZGI0M2UyNTk1NWEiLCJ1c2VySWQiOiIxMjA3MTY1MTQwIn0=</vt:lpwstr>
  </property>
</Properties>
</file>