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tblpY="1"/>
        <w:tblOverlap w:val="never"/>
        <w:tblW w:w="499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624"/>
        <w:gridCol w:w="1408"/>
        <w:gridCol w:w="552"/>
        <w:gridCol w:w="480"/>
        <w:gridCol w:w="936"/>
        <w:gridCol w:w="6029"/>
      </w:tblGrid>
      <w:tr w14:paraId="209A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0" w:type="dxa"/>
            <w:gridSpan w:val="7"/>
            <w:vAlign w:val="top"/>
          </w:tcPr>
          <w:p w14:paraId="2112A226">
            <w:pPr>
              <w:jc w:val="cente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采购需求表</w:t>
            </w:r>
          </w:p>
        </w:tc>
      </w:tr>
      <w:tr w14:paraId="295A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0" w:type="dxa"/>
            <w:gridSpan w:val="7"/>
            <w:vAlign w:val="top"/>
          </w:tcPr>
          <w:p w14:paraId="02CBC43D">
            <w:pPr>
              <w:jc w:val="left"/>
              <w:rPr>
                <w:rFonts w:hint="default" w:ascii="宋体" w:hAnsi="宋体" w:eastAsia="宋体"/>
                <w:b/>
                <w:bCs/>
                <w:color w:val="auto"/>
                <w:sz w:val="24"/>
                <w:szCs w:val="24"/>
                <w:highlight w:val="none"/>
                <w:lang w:val="en-US"/>
              </w:rPr>
            </w:pPr>
            <w:r>
              <w:rPr>
                <w:rFonts w:hint="eastAsia" w:ascii="宋体" w:hAnsi="宋体" w:eastAsia="宋体"/>
                <w:b/>
                <w:bCs/>
                <w:color w:val="auto"/>
                <w:sz w:val="24"/>
                <w:szCs w:val="24"/>
                <w:highlight w:val="none"/>
              </w:rPr>
              <w:t>项目名称：</w:t>
            </w:r>
            <w:r>
              <w:rPr>
                <w:rFonts w:hint="eastAsia" w:ascii="宋体" w:hAnsi="宋体" w:eastAsia="宋体"/>
                <w:b/>
                <w:bCs/>
                <w:color w:val="auto"/>
                <w:sz w:val="24"/>
                <w:szCs w:val="24"/>
                <w:highlight w:val="none"/>
                <w:lang w:eastAsia="zh-CN"/>
              </w:rPr>
              <w:t>老院区8号医技楼电梯采购安装项目</w:t>
            </w:r>
          </w:p>
        </w:tc>
      </w:tr>
      <w:tr w14:paraId="6A97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0" w:type="dxa"/>
            <w:gridSpan w:val="7"/>
            <w:vAlign w:val="top"/>
          </w:tcPr>
          <w:p w14:paraId="1D7FC6DF">
            <w:pPr>
              <w:jc w:val="left"/>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采购人名称：</w:t>
            </w:r>
            <w:r>
              <w:rPr>
                <w:rFonts w:hint="eastAsia" w:ascii="宋体" w:hAnsi="宋体" w:eastAsia="宋体"/>
                <w:b/>
                <w:bCs/>
                <w:color w:val="auto"/>
                <w:sz w:val="24"/>
                <w:szCs w:val="24"/>
                <w:highlight w:val="none"/>
                <w:lang w:val="en-US" w:eastAsia="zh-CN"/>
              </w:rPr>
              <w:t>宾阳县中医医院</w:t>
            </w:r>
          </w:p>
        </w:tc>
      </w:tr>
      <w:tr w14:paraId="4AC3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0" w:type="dxa"/>
            <w:gridSpan w:val="7"/>
            <w:vAlign w:val="top"/>
          </w:tcPr>
          <w:p w14:paraId="407CAA50">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14:paraId="7890366A">
            <w:pPr>
              <w:numPr>
                <w:ilvl w:val="0"/>
                <w:numId w:val="2"/>
              </w:num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本表所有要求均为实质性要求，供应商的任何负偏离响应均视为无效竞标。</w:t>
            </w:r>
          </w:p>
          <w:p w14:paraId="413082CC">
            <w:pPr>
              <w:numPr>
                <w:ilvl w:val="0"/>
                <w:numId w:val="2"/>
              </w:num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本表价格单位为人民币元。</w:t>
            </w:r>
          </w:p>
        </w:tc>
      </w:tr>
      <w:tr w14:paraId="7A5A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0" w:type="dxa"/>
            <w:gridSpan w:val="7"/>
            <w:vAlign w:val="top"/>
          </w:tcPr>
          <w:p w14:paraId="052100EB">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一、项目要求及技术需求</w:t>
            </w:r>
          </w:p>
        </w:tc>
      </w:tr>
      <w:tr w14:paraId="78B3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dxa"/>
            <w:vAlign w:val="center"/>
          </w:tcPr>
          <w:p w14:paraId="5609FE9E">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项号</w:t>
            </w:r>
          </w:p>
        </w:tc>
        <w:tc>
          <w:tcPr>
            <w:tcW w:w="292" w:type="dxa"/>
            <w:vAlign w:val="center"/>
          </w:tcPr>
          <w:p w14:paraId="61EDD9A5">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货物名称</w:t>
            </w:r>
          </w:p>
        </w:tc>
        <w:tc>
          <w:tcPr>
            <w:tcW w:w="659" w:type="dxa"/>
            <w:vAlign w:val="center"/>
          </w:tcPr>
          <w:p w14:paraId="7785035B">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品牌</w:t>
            </w:r>
            <w:r>
              <w:rPr>
                <w:rFonts w:hint="eastAsia" w:ascii="宋体" w:hAnsi="宋体" w:eastAsia="宋体"/>
                <w:color w:val="auto"/>
                <w:sz w:val="21"/>
                <w:szCs w:val="21"/>
                <w:highlight w:val="none"/>
                <w:lang w:eastAsia="zh-CN"/>
              </w:rPr>
              <w:t>及</w:t>
            </w:r>
            <w:r>
              <w:rPr>
                <w:rFonts w:hint="eastAsia" w:ascii="宋体" w:hAnsi="宋体" w:eastAsia="宋体"/>
                <w:color w:val="auto"/>
                <w:sz w:val="21"/>
                <w:szCs w:val="21"/>
                <w:highlight w:val="none"/>
              </w:rPr>
              <w:t>型号</w:t>
            </w:r>
          </w:p>
        </w:tc>
        <w:tc>
          <w:tcPr>
            <w:tcW w:w="258" w:type="dxa"/>
            <w:vAlign w:val="center"/>
          </w:tcPr>
          <w:p w14:paraId="052760A4">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224" w:type="dxa"/>
            <w:vAlign w:val="center"/>
          </w:tcPr>
          <w:p w14:paraId="46C9883D">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单位</w:t>
            </w:r>
          </w:p>
        </w:tc>
        <w:tc>
          <w:tcPr>
            <w:tcW w:w="438" w:type="dxa"/>
            <w:vAlign w:val="center"/>
          </w:tcPr>
          <w:p w14:paraId="34165796">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单价（元）</w:t>
            </w:r>
          </w:p>
        </w:tc>
        <w:tc>
          <w:tcPr>
            <w:tcW w:w="2822" w:type="dxa"/>
            <w:vAlign w:val="center"/>
          </w:tcPr>
          <w:p w14:paraId="2D342706">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技术参数及性能（配置）要求</w:t>
            </w:r>
          </w:p>
        </w:tc>
      </w:tr>
      <w:tr w14:paraId="11F4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304" w:type="dxa"/>
            <w:vAlign w:val="center"/>
          </w:tcPr>
          <w:p w14:paraId="0CF51D18">
            <w:pPr>
              <w:widowControl/>
              <w:jc w:val="center"/>
              <w:rPr>
                <w:rFonts w:hint="eastAsia" w:ascii="宋体" w:hAnsi="宋体" w:eastAsia="宋体"/>
                <w:color w:val="auto"/>
                <w:kern w:val="0"/>
                <w:sz w:val="21"/>
                <w:szCs w:val="21"/>
                <w:highlight w:val="none"/>
                <w:lang w:bidi="ar"/>
              </w:rPr>
            </w:pPr>
            <w:r>
              <w:rPr>
                <w:rFonts w:hint="eastAsia" w:ascii="宋体" w:hAnsi="宋体" w:eastAsia="宋体"/>
                <w:color w:val="auto"/>
                <w:kern w:val="0"/>
                <w:sz w:val="21"/>
                <w:szCs w:val="21"/>
                <w:highlight w:val="none"/>
                <w:lang w:bidi="ar"/>
              </w:rPr>
              <w:t>1</w:t>
            </w:r>
          </w:p>
        </w:tc>
        <w:tc>
          <w:tcPr>
            <w:tcW w:w="292" w:type="dxa"/>
            <w:vAlign w:val="center"/>
          </w:tcPr>
          <w:p w14:paraId="3379E9F8">
            <w:pPr>
              <w:widowControl/>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电梯</w:t>
            </w:r>
          </w:p>
        </w:tc>
        <w:tc>
          <w:tcPr>
            <w:tcW w:w="659" w:type="dxa"/>
            <w:vAlign w:val="center"/>
          </w:tcPr>
          <w:p w14:paraId="4852EAF0">
            <w:pPr>
              <w:widowControl/>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日立有机房医用电梯</w:t>
            </w:r>
          </w:p>
          <w:p w14:paraId="38518447">
            <w:pPr>
              <w:widowControl/>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型号</w:t>
            </w:r>
          </w:p>
          <w:p w14:paraId="36D65C3F">
            <w:pPr>
              <w:widowControl/>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MCA-1600-CO105</w:t>
            </w:r>
          </w:p>
        </w:tc>
        <w:tc>
          <w:tcPr>
            <w:tcW w:w="258" w:type="dxa"/>
            <w:vAlign w:val="center"/>
          </w:tcPr>
          <w:p w14:paraId="4A3E77B4">
            <w:pPr>
              <w:widowControl/>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p>
        </w:tc>
        <w:tc>
          <w:tcPr>
            <w:tcW w:w="224" w:type="dxa"/>
            <w:vAlign w:val="center"/>
          </w:tcPr>
          <w:p w14:paraId="5A6E57A9">
            <w:pPr>
              <w:widowControl/>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438" w:type="dxa"/>
            <w:vAlign w:val="center"/>
          </w:tcPr>
          <w:p w14:paraId="675FEEBC">
            <w:pPr>
              <w:widowControl/>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398</w:t>
            </w:r>
            <w:r>
              <w:rPr>
                <w:rFonts w:hint="eastAsia" w:ascii="宋体" w:hAnsi="宋体"/>
                <w:color w:val="auto"/>
                <w:sz w:val="21"/>
                <w:szCs w:val="21"/>
                <w:highlight w:val="none"/>
                <w:lang w:val="en-US" w:eastAsia="zh-CN"/>
              </w:rPr>
              <w:t>0</w:t>
            </w:r>
            <w:bookmarkStart w:id="2" w:name="_GoBack"/>
            <w:bookmarkEnd w:id="2"/>
            <w:r>
              <w:rPr>
                <w:rFonts w:hint="eastAsia" w:ascii="宋体" w:hAnsi="宋体" w:eastAsia="宋体"/>
                <w:color w:val="auto"/>
                <w:sz w:val="21"/>
                <w:szCs w:val="21"/>
                <w:highlight w:val="none"/>
                <w:lang w:val="en-US" w:eastAsia="zh-CN"/>
              </w:rPr>
              <w:t>00</w:t>
            </w:r>
          </w:p>
        </w:tc>
        <w:tc>
          <w:tcPr>
            <w:tcW w:w="2822" w:type="dxa"/>
            <w:vAlign w:val="center"/>
          </w:tcPr>
          <w:p w14:paraId="70B6BFC6">
            <w:pPr>
              <w:pStyle w:val="29"/>
              <w:numPr>
                <w:ilvl w:val="0"/>
                <w:numId w:val="0"/>
              </w:numPr>
              <w:ind w:leftChars="0"/>
              <w:rPr>
                <w:rFonts w:hint="eastAsia" w:ascii="宋体" w:hAnsi="宋体" w:eastAsia="宋体"/>
                <w:b w:val="0"/>
                <w:bCs w:val="0"/>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一、基本参数</w:t>
            </w:r>
          </w:p>
          <w:p w14:paraId="194FF1B7">
            <w:pPr>
              <w:pStyle w:val="29"/>
              <w:numPr>
                <w:ilvl w:val="0"/>
                <w:numId w:val="0"/>
              </w:numPr>
              <w:ind w:leftChars="0"/>
              <w:rPr>
                <w:rFonts w:hint="eastAsia"/>
                <w:color w:val="auto"/>
                <w:sz w:val="22"/>
                <w:szCs w:val="22"/>
                <w:highlight w:val="none"/>
                <w:lang w:eastAsia="zh-CN"/>
              </w:rPr>
            </w:pPr>
            <w:r>
              <w:rPr>
                <w:rFonts w:hint="eastAsia"/>
                <w:color w:val="auto"/>
                <w:sz w:val="22"/>
                <w:szCs w:val="22"/>
                <w:highlight w:val="none"/>
                <w:lang w:eastAsia="zh-CN"/>
              </w:rPr>
              <w:t>▲</w:t>
            </w:r>
            <w:r>
              <w:rPr>
                <w:color w:val="auto"/>
                <w:sz w:val="22"/>
                <w:szCs w:val="22"/>
                <w:highlight w:val="none"/>
                <w:lang w:eastAsia="zh-CN"/>
              </w:rPr>
              <w:t>1</w:t>
            </w:r>
            <w:r>
              <w:rPr>
                <w:rFonts w:hint="eastAsia" w:eastAsia="宋体"/>
                <w:color w:val="auto"/>
                <w:sz w:val="22"/>
                <w:szCs w:val="22"/>
                <w:highlight w:val="none"/>
                <w:lang w:eastAsia="zh-CN"/>
              </w:rPr>
              <w:t>、额定载重量：</w:t>
            </w:r>
            <w:r>
              <w:rPr>
                <w:color w:val="auto"/>
                <w:sz w:val="22"/>
                <w:szCs w:val="22"/>
                <w:highlight w:val="none"/>
                <w:lang w:eastAsia="zh-CN"/>
              </w:rPr>
              <w:t>1600 KG</w:t>
            </w:r>
            <w:r>
              <w:rPr>
                <w:rFonts w:hint="eastAsia" w:eastAsia="宋体"/>
                <w:color w:val="auto"/>
                <w:sz w:val="22"/>
                <w:szCs w:val="22"/>
                <w:highlight w:val="none"/>
                <w:lang w:eastAsia="zh-CN"/>
              </w:rPr>
              <w:t xml:space="preserve">。     </w:t>
            </w:r>
          </w:p>
          <w:p w14:paraId="7FCA0D9C">
            <w:pPr>
              <w:pStyle w:val="29"/>
              <w:numPr>
                <w:ilvl w:val="0"/>
                <w:numId w:val="0"/>
              </w:numPr>
              <w:ind w:leftChars="0"/>
              <w:rPr>
                <w:rFonts w:hint="eastAsia"/>
                <w:color w:val="auto"/>
                <w:sz w:val="22"/>
                <w:szCs w:val="22"/>
                <w:highlight w:val="none"/>
                <w:lang w:eastAsia="zh-CN"/>
              </w:rPr>
            </w:pPr>
            <w:r>
              <w:rPr>
                <w:rFonts w:hint="eastAsia"/>
                <w:color w:val="auto"/>
                <w:sz w:val="22"/>
                <w:szCs w:val="22"/>
                <w:highlight w:val="none"/>
                <w:lang w:eastAsia="zh-CN"/>
              </w:rPr>
              <w:t>▲</w:t>
            </w:r>
            <w:r>
              <w:rPr>
                <w:color w:val="auto"/>
                <w:sz w:val="22"/>
                <w:szCs w:val="22"/>
                <w:highlight w:val="none"/>
                <w:lang w:eastAsia="zh-CN"/>
              </w:rPr>
              <w:t>2</w:t>
            </w:r>
            <w:r>
              <w:rPr>
                <w:rFonts w:hint="eastAsia" w:eastAsia="宋体"/>
                <w:color w:val="auto"/>
                <w:sz w:val="22"/>
                <w:szCs w:val="22"/>
                <w:highlight w:val="none"/>
                <w:lang w:eastAsia="zh-CN"/>
              </w:rPr>
              <w:t>、额定速度：</w:t>
            </w:r>
            <w:r>
              <w:rPr>
                <w:color w:val="auto"/>
                <w:sz w:val="22"/>
                <w:szCs w:val="22"/>
                <w:highlight w:val="none"/>
                <w:lang w:eastAsia="zh-CN"/>
              </w:rPr>
              <w:t>1.75</w:t>
            </w:r>
            <w:r>
              <w:rPr>
                <w:rFonts w:hint="eastAsia" w:eastAsia="宋体"/>
                <w:color w:val="auto"/>
                <w:sz w:val="22"/>
                <w:szCs w:val="22"/>
                <w:highlight w:val="none"/>
                <w:lang w:eastAsia="zh-CN"/>
              </w:rPr>
              <w:t xml:space="preserve">米／秒。   </w:t>
            </w:r>
          </w:p>
          <w:p w14:paraId="2CCABB8A">
            <w:pPr>
              <w:pStyle w:val="29"/>
              <w:numPr>
                <w:ilvl w:val="0"/>
                <w:numId w:val="0"/>
              </w:numPr>
              <w:ind w:leftChars="0"/>
              <w:rPr>
                <w:rFonts w:hint="eastAsia"/>
                <w:color w:val="auto"/>
                <w:sz w:val="22"/>
                <w:szCs w:val="22"/>
                <w:highlight w:val="none"/>
                <w:lang w:eastAsia="zh-CN"/>
              </w:rPr>
            </w:pPr>
            <w:r>
              <w:rPr>
                <w:rFonts w:hint="eastAsia"/>
                <w:color w:val="auto"/>
                <w:sz w:val="22"/>
                <w:szCs w:val="22"/>
                <w:highlight w:val="none"/>
                <w:lang w:eastAsia="zh-CN"/>
              </w:rPr>
              <w:t>▲</w:t>
            </w:r>
            <w:r>
              <w:rPr>
                <w:color w:val="auto"/>
                <w:sz w:val="22"/>
                <w:szCs w:val="22"/>
                <w:highlight w:val="none"/>
                <w:lang w:eastAsia="zh-CN"/>
              </w:rPr>
              <w:t>3</w:t>
            </w:r>
            <w:r>
              <w:rPr>
                <w:rFonts w:hint="eastAsia" w:eastAsia="宋体"/>
                <w:color w:val="auto"/>
                <w:sz w:val="22"/>
                <w:szCs w:val="22"/>
                <w:highlight w:val="none"/>
                <w:lang w:eastAsia="zh-CN"/>
              </w:rPr>
              <w:t>、层／站／门：</w:t>
            </w:r>
            <w:r>
              <w:rPr>
                <w:color w:val="auto"/>
                <w:sz w:val="22"/>
                <w:szCs w:val="22"/>
                <w:highlight w:val="none"/>
                <w:lang w:eastAsia="zh-CN"/>
              </w:rPr>
              <w:t>9</w:t>
            </w:r>
            <w:r>
              <w:rPr>
                <w:rFonts w:hint="eastAsia" w:eastAsia="宋体"/>
                <w:color w:val="auto"/>
                <w:sz w:val="22"/>
                <w:szCs w:val="22"/>
                <w:highlight w:val="none"/>
                <w:lang w:eastAsia="zh-CN"/>
              </w:rPr>
              <w:t>层</w:t>
            </w:r>
            <w:r>
              <w:rPr>
                <w:color w:val="auto"/>
                <w:sz w:val="22"/>
                <w:szCs w:val="22"/>
                <w:highlight w:val="none"/>
                <w:lang w:eastAsia="zh-CN"/>
              </w:rPr>
              <w:t>9</w:t>
            </w:r>
            <w:r>
              <w:rPr>
                <w:rFonts w:hint="eastAsia" w:eastAsia="宋体"/>
                <w:color w:val="auto"/>
                <w:sz w:val="22"/>
                <w:szCs w:val="22"/>
                <w:highlight w:val="none"/>
                <w:lang w:eastAsia="zh-CN"/>
              </w:rPr>
              <w:t>站</w:t>
            </w:r>
            <w:r>
              <w:rPr>
                <w:color w:val="auto"/>
                <w:sz w:val="22"/>
                <w:szCs w:val="22"/>
                <w:highlight w:val="none"/>
                <w:lang w:eastAsia="zh-CN"/>
              </w:rPr>
              <w:t>9</w:t>
            </w:r>
            <w:r>
              <w:rPr>
                <w:rFonts w:hint="eastAsia" w:eastAsia="宋体"/>
                <w:color w:val="auto"/>
                <w:sz w:val="22"/>
                <w:szCs w:val="22"/>
                <w:highlight w:val="none"/>
                <w:lang w:eastAsia="zh-CN"/>
              </w:rPr>
              <w:t>门</w:t>
            </w:r>
            <w:r>
              <w:rPr>
                <w:color w:val="auto"/>
                <w:sz w:val="22"/>
                <w:szCs w:val="22"/>
                <w:highlight w:val="none"/>
                <w:lang w:eastAsia="zh-CN"/>
              </w:rPr>
              <w:t xml:space="preserve">   </w:t>
            </w:r>
          </w:p>
          <w:p w14:paraId="41B5D607">
            <w:pPr>
              <w:pStyle w:val="29"/>
              <w:numPr>
                <w:ilvl w:val="0"/>
                <w:numId w:val="0"/>
              </w:numPr>
              <w:ind w:leftChars="0"/>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4</w:t>
            </w:r>
            <w:r>
              <w:rPr>
                <w:rFonts w:hint="eastAsia" w:eastAsia="宋体"/>
                <w:color w:val="auto"/>
                <w:sz w:val="22"/>
                <w:szCs w:val="22"/>
                <w:highlight w:val="none"/>
                <w:lang w:eastAsia="zh-CN"/>
              </w:rPr>
              <w:t>井道净空尺寸（宽</w:t>
            </w:r>
            <w:r>
              <w:rPr>
                <w:rFonts w:ascii="Arial" w:hAnsi="Arial"/>
                <w:color w:val="auto"/>
                <w:sz w:val="22"/>
                <w:szCs w:val="22"/>
                <w:highlight w:val="none"/>
                <w:lang w:eastAsia="zh-CN"/>
              </w:rPr>
              <w:t>×</w:t>
            </w:r>
            <w:r>
              <w:rPr>
                <w:rFonts w:hint="eastAsia" w:eastAsia="宋体"/>
                <w:color w:val="auto"/>
                <w:sz w:val="22"/>
                <w:szCs w:val="22"/>
                <w:highlight w:val="none"/>
                <w:lang w:eastAsia="zh-CN"/>
              </w:rPr>
              <w:t>深）：</w:t>
            </w:r>
            <w:r>
              <w:rPr>
                <w:color w:val="auto"/>
                <w:sz w:val="22"/>
                <w:szCs w:val="22"/>
                <w:highlight w:val="none"/>
                <w:lang w:eastAsia="zh-CN"/>
              </w:rPr>
              <w:t>2500mm×2800mm</w:t>
            </w:r>
            <w:r>
              <w:rPr>
                <w:rFonts w:hint="eastAsia" w:eastAsia="宋体"/>
                <w:color w:val="auto"/>
                <w:sz w:val="22"/>
                <w:szCs w:val="22"/>
                <w:highlight w:val="none"/>
                <w:lang w:eastAsia="zh-CN"/>
              </w:rPr>
              <w:t>。</w:t>
            </w:r>
            <w:r>
              <w:rPr>
                <w:color w:val="auto"/>
                <w:sz w:val="22"/>
                <w:szCs w:val="22"/>
                <w:highlight w:val="none"/>
                <w:lang w:eastAsia="zh-CN"/>
              </w:rPr>
              <w:t xml:space="preserve"> </w:t>
            </w:r>
            <w:r>
              <w:rPr>
                <w:rFonts w:hint="eastAsia" w:eastAsia="宋体"/>
                <w:color w:val="auto"/>
                <w:sz w:val="22"/>
                <w:szCs w:val="22"/>
                <w:highlight w:val="none"/>
                <w:lang w:eastAsia="zh-CN"/>
              </w:rPr>
              <w:t xml:space="preserve"> </w:t>
            </w:r>
          </w:p>
          <w:p w14:paraId="25CE92AE">
            <w:pPr>
              <w:pStyle w:val="29"/>
              <w:numPr>
                <w:ilvl w:val="0"/>
                <w:numId w:val="3"/>
              </w:numPr>
              <w:ind w:leftChars="0"/>
              <w:rPr>
                <w:rFonts w:hint="eastAsia" w:eastAsia="宋体"/>
                <w:color w:val="auto"/>
                <w:sz w:val="22"/>
                <w:szCs w:val="22"/>
                <w:highlight w:val="none"/>
                <w:lang w:eastAsia="zh-CN"/>
              </w:rPr>
            </w:pPr>
            <w:r>
              <w:rPr>
                <w:rFonts w:hint="eastAsia" w:eastAsia="宋体"/>
                <w:color w:val="auto"/>
                <w:sz w:val="22"/>
                <w:szCs w:val="22"/>
                <w:highlight w:val="none"/>
                <w:lang w:eastAsia="zh-CN"/>
              </w:rPr>
              <w:t>顶层净高：</w:t>
            </w:r>
            <w:r>
              <w:rPr>
                <w:color w:val="auto"/>
                <w:sz w:val="22"/>
                <w:szCs w:val="22"/>
                <w:highlight w:val="none"/>
                <w:lang w:eastAsia="zh-CN"/>
              </w:rPr>
              <w:t>5000mm</w:t>
            </w:r>
            <w:r>
              <w:rPr>
                <w:rFonts w:hint="eastAsia" w:eastAsia="宋体"/>
                <w:color w:val="auto"/>
                <w:sz w:val="22"/>
                <w:szCs w:val="22"/>
                <w:highlight w:val="none"/>
                <w:lang w:eastAsia="zh-CN"/>
              </w:rPr>
              <w:t xml:space="preserve">。   </w:t>
            </w:r>
          </w:p>
          <w:p w14:paraId="7C618989">
            <w:pPr>
              <w:pStyle w:val="29"/>
              <w:numPr>
                <w:ilvl w:val="0"/>
                <w:numId w:val="3"/>
              </w:numPr>
              <w:ind w:leftChars="0"/>
              <w:rPr>
                <w:rFonts w:hint="eastAsia" w:eastAsia="宋体"/>
                <w:color w:val="auto"/>
                <w:sz w:val="22"/>
                <w:szCs w:val="22"/>
                <w:highlight w:val="none"/>
                <w:lang w:eastAsia="zh-CN"/>
              </w:rPr>
            </w:pPr>
            <w:r>
              <w:rPr>
                <w:rFonts w:hint="eastAsia" w:eastAsia="宋体"/>
                <w:color w:val="auto"/>
                <w:sz w:val="22"/>
                <w:szCs w:val="22"/>
                <w:highlight w:val="none"/>
                <w:lang w:eastAsia="zh-CN"/>
              </w:rPr>
              <w:t>提升高度：</w:t>
            </w:r>
            <w:r>
              <w:rPr>
                <w:color w:val="auto"/>
                <w:sz w:val="22"/>
                <w:szCs w:val="22"/>
                <w:highlight w:val="none"/>
                <w:lang w:eastAsia="zh-CN"/>
              </w:rPr>
              <w:t>36m</w:t>
            </w:r>
            <w:r>
              <w:rPr>
                <w:rFonts w:hint="eastAsia" w:eastAsia="宋体"/>
                <w:color w:val="auto"/>
                <w:sz w:val="22"/>
                <w:szCs w:val="22"/>
                <w:highlight w:val="none"/>
                <w:lang w:eastAsia="zh-CN"/>
              </w:rPr>
              <w:t>。</w:t>
            </w:r>
            <w:r>
              <w:rPr>
                <w:color w:val="auto"/>
                <w:sz w:val="22"/>
                <w:szCs w:val="22"/>
                <w:highlight w:val="none"/>
                <w:lang w:eastAsia="zh-CN"/>
              </w:rPr>
              <w:t xml:space="preserve">  </w:t>
            </w:r>
          </w:p>
          <w:p w14:paraId="5F30AF53">
            <w:pPr>
              <w:pStyle w:val="29"/>
              <w:numPr>
                <w:ilvl w:val="0"/>
                <w:numId w:val="3"/>
              </w:numPr>
              <w:ind w:leftChars="0"/>
              <w:rPr>
                <w:rFonts w:hint="eastAsia" w:eastAsia="宋体"/>
                <w:color w:val="auto"/>
                <w:sz w:val="22"/>
                <w:szCs w:val="22"/>
                <w:highlight w:val="none"/>
                <w:lang w:eastAsia="zh-CN"/>
              </w:rPr>
            </w:pPr>
            <w:r>
              <w:rPr>
                <w:rFonts w:hint="eastAsia" w:eastAsia="宋体"/>
                <w:color w:val="auto"/>
                <w:sz w:val="22"/>
                <w:szCs w:val="22"/>
                <w:highlight w:val="none"/>
                <w:lang w:eastAsia="zh-CN"/>
              </w:rPr>
              <w:t>底坑净深：</w:t>
            </w:r>
            <w:r>
              <w:rPr>
                <w:color w:val="auto"/>
                <w:sz w:val="22"/>
                <w:szCs w:val="22"/>
                <w:highlight w:val="none"/>
                <w:lang w:eastAsia="zh-CN"/>
              </w:rPr>
              <w:t>1800mm</w:t>
            </w:r>
            <w:r>
              <w:rPr>
                <w:rFonts w:hint="eastAsia" w:eastAsia="宋体"/>
                <w:color w:val="auto"/>
                <w:sz w:val="22"/>
                <w:szCs w:val="22"/>
                <w:highlight w:val="none"/>
                <w:lang w:eastAsia="zh-CN"/>
              </w:rPr>
              <w:t>。</w:t>
            </w:r>
            <w:r>
              <w:rPr>
                <w:color w:val="auto"/>
                <w:sz w:val="22"/>
                <w:szCs w:val="22"/>
                <w:highlight w:val="none"/>
                <w:lang w:eastAsia="zh-CN"/>
              </w:rPr>
              <w:t xml:space="preserve"> </w:t>
            </w:r>
          </w:p>
          <w:p w14:paraId="58E5CC39">
            <w:pPr>
              <w:pStyle w:val="29"/>
              <w:numPr>
                <w:ilvl w:val="0"/>
                <w:numId w:val="3"/>
              </w:numPr>
              <w:ind w:leftChars="0"/>
              <w:rPr>
                <w:rFonts w:hint="eastAsia" w:eastAsia="宋体"/>
                <w:color w:val="auto"/>
                <w:sz w:val="22"/>
                <w:szCs w:val="22"/>
                <w:highlight w:val="none"/>
                <w:lang w:eastAsia="zh-CN"/>
              </w:rPr>
            </w:pPr>
            <w:r>
              <w:rPr>
                <w:rFonts w:hint="eastAsia" w:eastAsia="宋体"/>
                <w:color w:val="auto"/>
                <w:sz w:val="22"/>
                <w:szCs w:val="22"/>
                <w:highlight w:val="none"/>
                <w:lang w:eastAsia="zh-CN"/>
              </w:rPr>
              <w:t>土建开门尺寸（宽</w:t>
            </w:r>
            <w:r>
              <w:rPr>
                <w:rFonts w:ascii="Arial" w:hAnsi="Arial"/>
                <w:color w:val="auto"/>
                <w:sz w:val="22"/>
                <w:szCs w:val="22"/>
                <w:highlight w:val="none"/>
                <w:lang w:eastAsia="zh-CN"/>
              </w:rPr>
              <w:t>×</w:t>
            </w:r>
            <w:r>
              <w:rPr>
                <w:rFonts w:hint="eastAsia" w:eastAsia="宋体"/>
                <w:color w:val="auto"/>
                <w:sz w:val="22"/>
                <w:szCs w:val="22"/>
                <w:highlight w:val="none"/>
                <w:lang w:eastAsia="zh-CN"/>
              </w:rPr>
              <w:t>高）：</w:t>
            </w:r>
            <w:r>
              <w:rPr>
                <w:color w:val="auto"/>
                <w:sz w:val="22"/>
                <w:szCs w:val="22"/>
                <w:highlight w:val="none"/>
                <w:lang w:eastAsia="zh-CN"/>
              </w:rPr>
              <w:t xml:space="preserve"> 1300 mm×2200 mm</w:t>
            </w:r>
            <w:r>
              <w:rPr>
                <w:rFonts w:hint="eastAsia" w:eastAsia="宋体"/>
                <w:color w:val="auto"/>
                <w:sz w:val="22"/>
                <w:szCs w:val="22"/>
                <w:highlight w:val="none"/>
                <w:lang w:eastAsia="zh-CN"/>
              </w:rPr>
              <w:t xml:space="preserve">。 </w:t>
            </w:r>
          </w:p>
          <w:p w14:paraId="26E9F01F">
            <w:pPr>
              <w:pStyle w:val="29"/>
              <w:numPr>
                <w:ilvl w:val="0"/>
                <w:numId w:val="3"/>
              </w:numPr>
              <w:ind w:leftChars="0"/>
              <w:rPr>
                <w:rFonts w:hint="eastAsia" w:eastAsia="宋体"/>
                <w:color w:val="auto"/>
                <w:sz w:val="22"/>
                <w:szCs w:val="22"/>
                <w:highlight w:val="none"/>
                <w:lang w:eastAsia="zh-CN"/>
              </w:rPr>
            </w:pPr>
            <w:r>
              <w:rPr>
                <w:rFonts w:hint="eastAsia" w:eastAsia="宋体"/>
                <w:color w:val="auto"/>
                <w:sz w:val="22"/>
                <w:szCs w:val="22"/>
                <w:highlight w:val="none"/>
                <w:lang w:eastAsia="zh-CN"/>
              </w:rPr>
              <w:t>电梯开门净尺寸（宽</w:t>
            </w:r>
            <w:r>
              <w:rPr>
                <w:rFonts w:ascii="Arial" w:hAnsi="Arial"/>
                <w:color w:val="auto"/>
                <w:sz w:val="22"/>
                <w:szCs w:val="22"/>
                <w:highlight w:val="none"/>
                <w:lang w:eastAsia="zh-CN"/>
              </w:rPr>
              <w:t>×</w:t>
            </w:r>
            <w:r>
              <w:rPr>
                <w:rFonts w:hint="eastAsia" w:eastAsia="宋体"/>
                <w:color w:val="auto"/>
                <w:sz w:val="22"/>
                <w:szCs w:val="22"/>
                <w:highlight w:val="none"/>
                <w:lang w:eastAsia="zh-CN"/>
              </w:rPr>
              <w:t>高）：</w:t>
            </w:r>
            <w:r>
              <w:rPr>
                <w:color w:val="auto"/>
                <w:sz w:val="22"/>
                <w:szCs w:val="22"/>
                <w:highlight w:val="none"/>
                <w:lang w:eastAsia="zh-CN"/>
              </w:rPr>
              <w:t>1100 mm×2100 mm</w:t>
            </w:r>
            <w:r>
              <w:rPr>
                <w:rFonts w:hint="eastAsia" w:eastAsia="宋体"/>
                <w:color w:val="auto"/>
                <w:sz w:val="22"/>
                <w:szCs w:val="22"/>
                <w:highlight w:val="none"/>
                <w:lang w:eastAsia="zh-CN"/>
              </w:rPr>
              <w:t xml:space="preserve">。 </w:t>
            </w:r>
          </w:p>
          <w:p w14:paraId="07A5E9C3">
            <w:pPr>
              <w:pStyle w:val="29"/>
              <w:numPr>
                <w:ilvl w:val="0"/>
                <w:numId w:val="3"/>
              </w:numPr>
              <w:ind w:leftChars="0"/>
              <w:rPr>
                <w:rFonts w:hint="eastAsia" w:eastAsia="宋体"/>
                <w:color w:val="auto"/>
                <w:sz w:val="22"/>
                <w:szCs w:val="22"/>
                <w:highlight w:val="none"/>
                <w:lang w:eastAsia="zh-CN"/>
              </w:rPr>
            </w:pPr>
            <w:r>
              <w:rPr>
                <w:rFonts w:hint="eastAsia" w:eastAsia="宋体"/>
                <w:color w:val="auto"/>
                <w:sz w:val="22"/>
                <w:szCs w:val="22"/>
                <w:highlight w:val="none"/>
                <w:lang w:eastAsia="zh-CN"/>
              </w:rPr>
              <w:t xml:space="preserve">开门方式：中分门    </w:t>
            </w:r>
          </w:p>
          <w:p w14:paraId="2A84EBDA">
            <w:pPr>
              <w:pStyle w:val="29"/>
              <w:numPr>
                <w:ilvl w:val="0"/>
                <w:numId w:val="0"/>
              </w:numPr>
              <w:ind w:leftChars="0"/>
              <w:rPr>
                <w:rFonts w:hint="eastAsia"/>
                <w:color w:val="auto"/>
                <w:sz w:val="22"/>
                <w:szCs w:val="22"/>
                <w:highlight w:val="none"/>
                <w:lang w:eastAsia="zh-CN"/>
              </w:rPr>
            </w:pPr>
            <w:r>
              <w:rPr>
                <w:rFonts w:hint="eastAsia"/>
                <w:color w:val="auto"/>
                <w:sz w:val="22"/>
                <w:szCs w:val="22"/>
                <w:highlight w:val="none"/>
                <w:lang w:eastAsia="zh-CN"/>
              </w:rPr>
              <w:t>▲</w:t>
            </w:r>
            <w:r>
              <w:rPr>
                <w:color w:val="auto"/>
                <w:sz w:val="22"/>
                <w:szCs w:val="22"/>
                <w:highlight w:val="none"/>
                <w:lang w:eastAsia="zh-CN"/>
              </w:rPr>
              <w:t xml:space="preserve"> 11</w:t>
            </w:r>
            <w:r>
              <w:rPr>
                <w:rFonts w:hint="eastAsia" w:eastAsia="宋体"/>
                <w:color w:val="auto"/>
                <w:sz w:val="22"/>
                <w:szCs w:val="22"/>
                <w:highlight w:val="none"/>
                <w:lang w:eastAsia="zh-CN"/>
              </w:rPr>
              <w:t>、轿厢内部净尺寸（宽</w:t>
            </w:r>
            <w:r>
              <w:rPr>
                <w:rFonts w:ascii="Arial" w:hAnsi="Arial"/>
                <w:color w:val="auto"/>
                <w:sz w:val="22"/>
                <w:szCs w:val="22"/>
                <w:highlight w:val="none"/>
                <w:lang w:eastAsia="zh-CN"/>
              </w:rPr>
              <w:t>×</w:t>
            </w:r>
            <w:r>
              <w:rPr>
                <w:rFonts w:hint="eastAsia" w:eastAsia="宋体"/>
                <w:color w:val="auto"/>
                <w:sz w:val="22"/>
                <w:szCs w:val="22"/>
                <w:highlight w:val="none"/>
                <w:lang w:eastAsia="zh-CN"/>
              </w:rPr>
              <w:t>深</w:t>
            </w:r>
            <w:r>
              <w:rPr>
                <w:rFonts w:ascii="Arial" w:hAnsi="Arial"/>
                <w:color w:val="auto"/>
                <w:sz w:val="22"/>
                <w:szCs w:val="22"/>
                <w:highlight w:val="none"/>
                <w:lang w:eastAsia="zh-CN"/>
              </w:rPr>
              <w:t>×</w:t>
            </w:r>
            <w:r>
              <w:rPr>
                <w:rFonts w:hint="eastAsia" w:eastAsia="宋体"/>
                <w:color w:val="auto"/>
                <w:sz w:val="22"/>
                <w:szCs w:val="22"/>
                <w:highlight w:val="none"/>
                <w:lang w:eastAsia="zh-CN"/>
              </w:rPr>
              <w:t>高）：</w:t>
            </w:r>
            <w:r>
              <w:rPr>
                <w:color w:val="auto"/>
                <w:sz w:val="22"/>
                <w:szCs w:val="22"/>
                <w:highlight w:val="none"/>
                <w:lang w:eastAsia="zh-CN"/>
              </w:rPr>
              <w:t>1600mm× 2100 mm×2300 mm</w:t>
            </w:r>
            <w:r>
              <w:rPr>
                <w:rFonts w:hint="eastAsia" w:eastAsia="宋体"/>
                <w:color w:val="auto"/>
                <w:sz w:val="22"/>
                <w:szCs w:val="22"/>
                <w:highlight w:val="none"/>
                <w:lang w:eastAsia="zh-CN"/>
              </w:rPr>
              <w:t>。注：所有井道参数以实际尺寸为准。</w:t>
            </w:r>
            <w:r>
              <w:rPr>
                <w:color w:val="auto"/>
                <w:sz w:val="22"/>
                <w:szCs w:val="22"/>
                <w:highlight w:val="none"/>
                <w:lang w:eastAsia="zh-CN"/>
              </w:rPr>
              <w:t xml:space="preserve">     </w:t>
            </w:r>
          </w:p>
          <w:p w14:paraId="230D9032">
            <w:pPr>
              <w:pStyle w:val="29"/>
              <w:numPr>
                <w:ilvl w:val="0"/>
                <w:numId w:val="0"/>
              </w:numPr>
              <w:ind w:leftChars="0"/>
              <w:rPr>
                <w:color w:val="auto"/>
                <w:sz w:val="22"/>
                <w:szCs w:val="22"/>
                <w:highlight w:val="none"/>
                <w:lang w:eastAsia="zh-CN"/>
              </w:rPr>
            </w:pPr>
            <w:r>
              <w:rPr>
                <w:color w:val="auto"/>
                <w:sz w:val="22"/>
                <w:szCs w:val="22"/>
                <w:highlight w:val="none"/>
                <w:lang w:eastAsia="zh-CN"/>
              </w:rPr>
              <w:t>12</w:t>
            </w:r>
            <w:r>
              <w:rPr>
                <w:rFonts w:hint="eastAsia" w:eastAsia="宋体"/>
                <w:color w:val="auto"/>
                <w:sz w:val="22"/>
                <w:szCs w:val="22"/>
                <w:highlight w:val="none"/>
                <w:lang w:eastAsia="zh-CN"/>
              </w:rPr>
              <w:t>、机房位置：屋面。</w:t>
            </w:r>
          </w:p>
          <w:p w14:paraId="42B9C70C">
            <w:pPr>
              <w:pStyle w:val="29"/>
              <w:numPr>
                <w:ilvl w:val="0"/>
                <w:numId w:val="4"/>
              </w:numPr>
              <w:ind w:leftChars="0"/>
              <w:rPr>
                <w:rFonts w:hint="eastAsia" w:eastAsia="宋体"/>
                <w:color w:val="auto"/>
                <w:sz w:val="22"/>
                <w:szCs w:val="22"/>
                <w:highlight w:val="none"/>
                <w:lang w:eastAsia="zh-CN"/>
              </w:rPr>
            </w:pPr>
            <w:r>
              <w:rPr>
                <w:rFonts w:hint="eastAsia" w:eastAsia="宋体"/>
                <w:color w:val="auto"/>
                <w:sz w:val="22"/>
                <w:szCs w:val="22"/>
                <w:highlight w:val="none"/>
                <w:lang w:eastAsia="zh-CN"/>
              </w:rPr>
              <w:t>动力电源范围：主电源：</w:t>
            </w:r>
            <w:r>
              <w:rPr>
                <w:color w:val="auto"/>
                <w:sz w:val="22"/>
                <w:szCs w:val="22"/>
                <w:highlight w:val="none"/>
                <w:lang w:eastAsia="zh-CN"/>
              </w:rPr>
              <w:t>380V+10%</w:t>
            </w:r>
            <w:r>
              <w:rPr>
                <w:rFonts w:hint="eastAsia" w:eastAsia="宋体"/>
                <w:color w:val="auto"/>
                <w:sz w:val="22"/>
                <w:szCs w:val="22"/>
                <w:highlight w:val="none"/>
                <w:lang w:eastAsia="zh-CN"/>
              </w:rPr>
              <w:t>～</w:t>
            </w:r>
            <w:r>
              <w:rPr>
                <w:color w:val="auto"/>
                <w:sz w:val="22"/>
                <w:szCs w:val="22"/>
                <w:highlight w:val="none"/>
                <w:lang w:eastAsia="zh-CN"/>
              </w:rPr>
              <w:t>-7%</w:t>
            </w:r>
            <w:r>
              <w:rPr>
                <w:rFonts w:hint="eastAsia" w:eastAsia="宋体"/>
                <w:color w:val="auto"/>
                <w:sz w:val="22"/>
                <w:szCs w:val="22"/>
                <w:highlight w:val="none"/>
                <w:lang w:eastAsia="zh-CN"/>
              </w:rPr>
              <w:t>，</w:t>
            </w:r>
            <w:r>
              <w:rPr>
                <w:color w:val="auto"/>
                <w:sz w:val="22"/>
                <w:szCs w:val="22"/>
                <w:highlight w:val="none"/>
                <w:lang w:eastAsia="zh-CN"/>
              </w:rPr>
              <w:t>3</w:t>
            </w:r>
            <w:r>
              <w:rPr>
                <w:rFonts w:hint="eastAsia" w:eastAsia="宋体"/>
                <w:color w:val="auto"/>
                <w:sz w:val="22"/>
                <w:szCs w:val="22"/>
                <w:highlight w:val="none"/>
                <w:lang w:eastAsia="zh-CN"/>
              </w:rPr>
              <w:t>相，</w:t>
            </w:r>
            <w:r>
              <w:rPr>
                <w:color w:val="auto"/>
                <w:sz w:val="22"/>
                <w:szCs w:val="22"/>
                <w:highlight w:val="none"/>
                <w:lang w:eastAsia="zh-CN"/>
              </w:rPr>
              <w:t>50Hz+2%</w:t>
            </w:r>
            <w:r>
              <w:rPr>
                <w:rFonts w:hint="eastAsia" w:eastAsia="宋体"/>
                <w:color w:val="auto"/>
                <w:sz w:val="22"/>
                <w:szCs w:val="22"/>
                <w:highlight w:val="none"/>
                <w:lang w:eastAsia="zh-CN"/>
              </w:rPr>
              <w:t>～</w:t>
            </w:r>
            <w:r>
              <w:rPr>
                <w:color w:val="auto"/>
                <w:sz w:val="22"/>
                <w:szCs w:val="22"/>
                <w:highlight w:val="none"/>
                <w:lang w:eastAsia="zh-CN"/>
              </w:rPr>
              <w:t>-2%</w:t>
            </w:r>
            <w:r>
              <w:rPr>
                <w:rFonts w:hint="eastAsia" w:eastAsia="宋体"/>
                <w:color w:val="auto"/>
                <w:sz w:val="22"/>
                <w:szCs w:val="22"/>
                <w:highlight w:val="none"/>
                <w:lang w:eastAsia="zh-CN"/>
              </w:rPr>
              <w:t>。</w:t>
            </w:r>
          </w:p>
          <w:p w14:paraId="440B4EA8">
            <w:pPr>
              <w:pStyle w:val="29"/>
              <w:numPr>
                <w:ilvl w:val="0"/>
                <w:numId w:val="4"/>
              </w:numPr>
              <w:ind w:leftChars="0"/>
              <w:rPr>
                <w:rFonts w:hint="eastAsia" w:eastAsia="宋体"/>
                <w:color w:val="auto"/>
                <w:sz w:val="22"/>
                <w:szCs w:val="22"/>
                <w:highlight w:val="none"/>
                <w:lang w:eastAsia="zh-CN"/>
              </w:rPr>
            </w:pPr>
            <w:r>
              <w:rPr>
                <w:rFonts w:hint="eastAsia" w:eastAsia="宋体"/>
                <w:color w:val="auto"/>
                <w:sz w:val="22"/>
                <w:szCs w:val="22"/>
                <w:highlight w:val="none"/>
                <w:lang w:eastAsia="zh-CN"/>
              </w:rPr>
              <w:t>照明电源范围：</w:t>
            </w:r>
            <w:r>
              <w:rPr>
                <w:color w:val="auto"/>
                <w:sz w:val="22"/>
                <w:szCs w:val="22"/>
                <w:highlight w:val="none"/>
                <w:lang w:eastAsia="zh-CN"/>
              </w:rPr>
              <w:t>220V+10%</w:t>
            </w:r>
            <w:r>
              <w:rPr>
                <w:rFonts w:hint="eastAsia" w:eastAsia="宋体"/>
                <w:color w:val="auto"/>
                <w:sz w:val="22"/>
                <w:szCs w:val="22"/>
                <w:highlight w:val="none"/>
                <w:lang w:eastAsia="zh-CN"/>
              </w:rPr>
              <w:t>～</w:t>
            </w:r>
            <w:r>
              <w:rPr>
                <w:color w:val="auto"/>
                <w:sz w:val="22"/>
                <w:szCs w:val="22"/>
                <w:highlight w:val="none"/>
                <w:lang w:eastAsia="zh-CN"/>
              </w:rPr>
              <w:t>-7%</w:t>
            </w:r>
            <w:r>
              <w:rPr>
                <w:rFonts w:hint="eastAsia" w:eastAsia="宋体"/>
                <w:color w:val="auto"/>
                <w:sz w:val="22"/>
                <w:szCs w:val="22"/>
                <w:highlight w:val="none"/>
                <w:lang w:eastAsia="zh-CN"/>
              </w:rPr>
              <w:t>，单相，</w:t>
            </w:r>
            <w:r>
              <w:rPr>
                <w:color w:val="auto"/>
                <w:sz w:val="22"/>
                <w:szCs w:val="22"/>
                <w:highlight w:val="none"/>
                <w:lang w:eastAsia="zh-CN"/>
              </w:rPr>
              <w:t xml:space="preserve"> 50Hz+2%</w:t>
            </w:r>
            <w:r>
              <w:rPr>
                <w:rFonts w:hint="eastAsia" w:eastAsia="宋体"/>
                <w:color w:val="auto"/>
                <w:sz w:val="22"/>
                <w:szCs w:val="22"/>
                <w:highlight w:val="none"/>
                <w:lang w:eastAsia="zh-CN"/>
              </w:rPr>
              <w:t>～</w:t>
            </w:r>
            <w:r>
              <w:rPr>
                <w:color w:val="auto"/>
                <w:sz w:val="22"/>
                <w:szCs w:val="22"/>
                <w:highlight w:val="none"/>
                <w:lang w:eastAsia="zh-CN"/>
              </w:rPr>
              <w:t>-2%</w:t>
            </w:r>
            <w:r>
              <w:rPr>
                <w:rFonts w:hint="eastAsia" w:eastAsia="宋体"/>
                <w:color w:val="auto"/>
                <w:sz w:val="22"/>
                <w:szCs w:val="22"/>
                <w:highlight w:val="none"/>
                <w:lang w:eastAsia="zh-CN"/>
              </w:rPr>
              <w:t xml:space="preserve">。   </w:t>
            </w:r>
          </w:p>
          <w:p w14:paraId="6C7DF7AB">
            <w:pPr>
              <w:pStyle w:val="29"/>
              <w:numPr>
                <w:ilvl w:val="0"/>
                <w:numId w:val="4"/>
              </w:numPr>
              <w:ind w:leftChars="0"/>
              <w:rPr>
                <w:rFonts w:hint="eastAsia" w:eastAsia="宋体"/>
                <w:color w:val="auto"/>
                <w:sz w:val="22"/>
                <w:szCs w:val="22"/>
                <w:highlight w:val="none"/>
                <w:lang w:eastAsia="zh-CN"/>
              </w:rPr>
            </w:pPr>
            <w:r>
              <w:rPr>
                <w:rFonts w:hint="eastAsia" w:eastAsia="宋体"/>
                <w:color w:val="auto"/>
                <w:sz w:val="22"/>
                <w:szCs w:val="22"/>
                <w:highlight w:val="none"/>
                <w:lang w:eastAsia="zh-CN"/>
              </w:rPr>
              <w:t>供电方式：三相五线制</w:t>
            </w:r>
            <w:r>
              <w:rPr>
                <w:rFonts w:hint="eastAsia"/>
                <w:color w:val="auto"/>
                <w:highlight w:val="none"/>
                <w:lang w:val="en-US" w:eastAsia="zh-CN"/>
              </w:rPr>
              <w:t>1.载重量：1600 kg；</w:t>
            </w:r>
          </w:p>
          <w:p w14:paraId="1A305D76">
            <w:pPr>
              <w:pStyle w:val="29"/>
              <w:numPr>
                <w:ilvl w:val="0"/>
                <w:numId w:val="4"/>
              </w:numPr>
              <w:ind w:leftChars="0"/>
              <w:rPr>
                <w:rFonts w:hint="eastAsia"/>
                <w:color w:val="auto"/>
                <w:sz w:val="22"/>
                <w:szCs w:val="22"/>
                <w:highlight w:val="none"/>
                <w:lang w:val="en-US" w:eastAsia="zh-CN"/>
              </w:rPr>
            </w:pPr>
            <w:r>
              <w:rPr>
                <w:rFonts w:hint="eastAsia"/>
                <w:color w:val="auto"/>
                <w:sz w:val="22"/>
                <w:szCs w:val="22"/>
                <w:highlight w:val="none"/>
                <w:lang w:val="en-US" w:eastAsia="zh-CN"/>
              </w:rPr>
              <w:t>安装有无水空调</w:t>
            </w:r>
          </w:p>
          <w:p w14:paraId="0BACD67C">
            <w:pPr>
              <w:pStyle w:val="22"/>
              <w:shd w:val="clear" w:color="auto" w:fill="FFFFFF"/>
              <w:spacing w:before="0" w:beforeAutospacing="0" w:after="0" w:afterAutospacing="0"/>
              <w:rPr>
                <w:rFonts w:hint="eastAsia" w:eastAsia="宋体"/>
                <w:color w:val="auto"/>
                <w:sz w:val="22"/>
                <w:szCs w:val="22"/>
                <w:highlight w:val="none"/>
                <w:lang w:eastAsia="zh-CN"/>
              </w:rPr>
            </w:pPr>
            <w:r>
              <w:rPr>
                <w:rFonts w:hint="eastAsia" w:eastAsia="宋体"/>
                <w:color w:val="auto"/>
                <w:sz w:val="22"/>
                <w:szCs w:val="22"/>
                <w:highlight w:val="none"/>
                <w:lang w:eastAsia="zh-CN"/>
              </w:rPr>
              <w:t>二、技术参数及性能</w:t>
            </w:r>
          </w:p>
          <w:p w14:paraId="7F8C663D">
            <w:pPr>
              <w:pStyle w:val="22"/>
              <w:shd w:val="clear" w:color="auto" w:fill="FFFFFF"/>
              <w:spacing w:before="0" w:beforeAutospacing="0" w:after="0" w:afterAutospacing="0"/>
              <w:jc w:val="left"/>
              <w:rPr>
                <w:rFonts w:hint="eastAsia" w:eastAsia="宋体"/>
                <w:color w:val="auto"/>
                <w:sz w:val="22"/>
                <w:szCs w:val="22"/>
                <w:highlight w:val="none"/>
                <w:lang w:eastAsia="zh-CN"/>
              </w:rPr>
            </w:pPr>
            <w:r>
              <w:rPr>
                <w:color w:val="auto"/>
                <w:sz w:val="22"/>
                <w:szCs w:val="22"/>
                <w:highlight w:val="none"/>
                <w:lang w:eastAsia="zh-CN"/>
              </w:rPr>
              <w:t>1</w:t>
            </w:r>
            <w:r>
              <w:rPr>
                <w:rFonts w:hint="eastAsia" w:eastAsia="宋体"/>
                <w:color w:val="auto"/>
                <w:sz w:val="22"/>
                <w:szCs w:val="22"/>
                <w:highlight w:val="none"/>
                <w:lang w:eastAsia="zh-CN"/>
              </w:rPr>
              <w:t>、控制系统：</w:t>
            </w:r>
            <w:r>
              <w:rPr>
                <w:color w:val="auto"/>
                <w:sz w:val="22"/>
                <w:szCs w:val="22"/>
                <w:highlight w:val="none"/>
                <w:lang w:eastAsia="zh-CN"/>
              </w:rPr>
              <w:t xml:space="preserve">32 </w:t>
            </w:r>
            <w:r>
              <w:rPr>
                <w:rFonts w:hint="eastAsia" w:eastAsia="宋体"/>
                <w:color w:val="auto"/>
                <w:sz w:val="22"/>
                <w:szCs w:val="22"/>
                <w:highlight w:val="none"/>
                <w:lang w:eastAsia="zh-CN"/>
              </w:rPr>
              <w:t>位微机处理器，采用模块化全电脑控制，主控制系统集运行逻辑系统、逆变驱动系统与网络通讯系统一体化，信号处理均由</w:t>
            </w:r>
            <w:r>
              <w:rPr>
                <w:color w:val="auto"/>
                <w:sz w:val="22"/>
                <w:szCs w:val="22"/>
                <w:highlight w:val="none"/>
                <w:lang w:eastAsia="zh-CN"/>
              </w:rPr>
              <w:t xml:space="preserve">32 </w:t>
            </w:r>
            <w:r>
              <w:rPr>
                <w:rFonts w:hint="eastAsia" w:eastAsia="宋体"/>
                <w:color w:val="auto"/>
                <w:sz w:val="22"/>
                <w:szCs w:val="22"/>
                <w:highlight w:val="none"/>
                <w:lang w:eastAsia="zh-CN"/>
              </w:rPr>
              <w:t>位主控制系统担当。</w:t>
            </w:r>
          </w:p>
          <w:p w14:paraId="3C354FB4">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2</w:t>
            </w:r>
            <w:r>
              <w:rPr>
                <w:rFonts w:hint="eastAsia"/>
                <w:color w:val="auto"/>
                <w:sz w:val="22"/>
                <w:szCs w:val="22"/>
                <w:highlight w:val="none"/>
                <w:lang w:eastAsia="zh-CN"/>
              </w:rPr>
              <w:t>、变频系统：采用双</w:t>
            </w:r>
            <w:r>
              <w:rPr>
                <w:color w:val="auto"/>
                <w:sz w:val="22"/>
                <w:szCs w:val="22"/>
                <w:highlight w:val="none"/>
                <w:lang w:eastAsia="zh-CN"/>
              </w:rPr>
              <w:t xml:space="preserve">32 </w:t>
            </w:r>
            <w:r>
              <w:rPr>
                <w:rFonts w:hint="eastAsia"/>
                <w:color w:val="auto"/>
                <w:sz w:val="22"/>
                <w:szCs w:val="22"/>
                <w:highlight w:val="none"/>
                <w:lang w:eastAsia="zh-CN"/>
              </w:rPr>
              <w:t>位新型、高性能的</w:t>
            </w:r>
            <w:r>
              <w:rPr>
                <w:color w:val="auto"/>
                <w:sz w:val="22"/>
                <w:szCs w:val="22"/>
                <w:highlight w:val="none"/>
                <w:lang w:eastAsia="zh-CN"/>
              </w:rPr>
              <w:t>DSP</w:t>
            </w:r>
            <w:r>
              <w:rPr>
                <w:rFonts w:hint="eastAsia"/>
                <w:color w:val="auto"/>
                <w:sz w:val="22"/>
                <w:szCs w:val="22"/>
                <w:highlight w:val="none"/>
                <w:lang w:eastAsia="zh-CN"/>
              </w:rPr>
              <w:t>，双微机控制分别负责位置控制及逆变控制，配置</w:t>
            </w:r>
            <w:r>
              <w:rPr>
                <w:color w:val="auto"/>
                <w:sz w:val="22"/>
                <w:szCs w:val="22"/>
                <w:highlight w:val="none"/>
                <w:lang w:eastAsia="zh-CN"/>
              </w:rPr>
              <w:t xml:space="preserve">IPM </w:t>
            </w:r>
            <w:r>
              <w:rPr>
                <w:rFonts w:hint="eastAsia"/>
                <w:color w:val="auto"/>
                <w:sz w:val="22"/>
                <w:szCs w:val="22"/>
                <w:highlight w:val="none"/>
                <w:lang w:eastAsia="zh-CN"/>
              </w:rPr>
              <w:t>变频功率模块，增加位置控制的零速锁定控制。</w:t>
            </w:r>
          </w:p>
          <w:p w14:paraId="3465C136">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3</w:t>
            </w:r>
            <w:r>
              <w:rPr>
                <w:rFonts w:hint="eastAsia"/>
                <w:color w:val="auto"/>
                <w:sz w:val="22"/>
                <w:szCs w:val="22"/>
                <w:highlight w:val="none"/>
                <w:lang w:eastAsia="zh-CN"/>
              </w:rPr>
              <w:t>、曳引系统：永磁同步主机，采用</w:t>
            </w:r>
            <w:r>
              <w:rPr>
                <w:color w:val="auto"/>
                <w:sz w:val="22"/>
                <w:szCs w:val="22"/>
                <w:highlight w:val="none"/>
                <w:lang w:eastAsia="zh-CN"/>
              </w:rPr>
              <w:t xml:space="preserve">40 </w:t>
            </w:r>
            <w:r>
              <w:rPr>
                <w:rFonts w:hint="eastAsia"/>
                <w:color w:val="auto"/>
                <w:sz w:val="22"/>
                <w:szCs w:val="22"/>
                <w:highlight w:val="none"/>
                <w:lang w:eastAsia="zh-CN"/>
              </w:rPr>
              <w:t>极的永磁同步电机，主机具备防脱磁钢设计，磁钢的固定采用专用粘贴剂</w:t>
            </w:r>
            <w:r>
              <w:rPr>
                <w:color w:val="auto"/>
                <w:sz w:val="22"/>
                <w:szCs w:val="22"/>
                <w:highlight w:val="none"/>
                <w:lang w:eastAsia="zh-CN"/>
              </w:rPr>
              <w:t>+</w:t>
            </w:r>
            <w:r>
              <w:rPr>
                <w:rFonts w:hint="eastAsia"/>
                <w:color w:val="auto"/>
                <w:sz w:val="22"/>
                <w:szCs w:val="22"/>
                <w:highlight w:val="none"/>
                <w:lang w:eastAsia="zh-CN"/>
              </w:rPr>
              <w:t>磁钢压板定位，杜绝磁钢脱落的危险。</w:t>
            </w:r>
          </w:p>
          <w:p w14:paraId="2EC1060B">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4</w:t>
            </w:r>
            <w:r>
              <w:rPr>
                <w:rFonts w:hint="eastAsia"/>
                <w:color w:val="auto"/>
                <w:sz w:val="22"/>
                <w:szCs w:val="22"/>
                <w:highlight w:val="none"/>
                <w:lang w:eastAsia="zh-CN"/>
              </w:rPr>
              <w:t>、门机系统：永磁同步门机，使用</w:t>
            </w:r>
            <w:r>
              <w:rPr>
                <w:color w:val="auto"/>
                <w:sz w:val="22"/>
                <w:szCs w:val="22"/>
                <w:highlight w:val="none"/>
                <w:lang w:eastAsia="zh-CN"/>
              </w:rPr>
              <w:t>32</w:t>
            </w:r>
            <w:r>
              <w:rPr>
                <w:rFonts w:hint="eastAsia"/>
                <w:color w:val="auto"/>
                <w:sz w:val="22"/>
                <w:szCs w:val="22"/>
                <w:highlight w:val="none"/>
                <w:lang w:eastAsia="zh-CN"/>
              </w:rPr>
              <w:t>位微机控制，门机变频模块采用智能变频功率模块。门机系统运行寿命：在进行</w:t>
            </w:r>
            <w:r>
              <w:rPr>
                <w:color w:val="auto"/>
                <w:sz w:val="22"/>
                <w:szCs w:val="22"/>
                <w:highlight w:val="none"/>
                <w:lang w:eastAsia="zh-CN"/>
              </w:rPr>
              <w:t>≥550</w:t>
            </w:r>
            <w:r>
              <w:rPr>
                <w:rFonts w:hint="eastAsia"/>
                <w:color w:val="auto"/>
                <w:sz w:val="22"/>
                <w:szCs w:val="22"/>
                <w:highlight w:val="none"/>
                <w:lang w:eastAsia="zh-CN"/>
              </w:rPr>
              <w:t>万次完全循环操作，门机电子板、门电机及门锁装置不更换，结束后应满足：门开关过程的噪声值</w:t>
            </w:r>
            <w:r>
              <w:rPr>
                <w:color w:val="auto"/>
                <w:sz w:val="22"/>
                <w:szCs w:val="22"/>
                <w:highlight w:val="none"/>
                <w:lang w:eastAsia="zh-CN"/>
              </w:rPr>
              <w:t>≤65dB</w:t>
            </w:r>
            <w:r>
              <w:rPr>
                <w:rFonts w:hint="eastAsia"/>
                <w:color w:val="auto"/>
                <w:sz w:val="22"/>
                <w:szCs w:val="22"/>
                <w:highlight w:val="none"/>
                <w:lang w:eastAsia="zh-CN"/>
              </w:rPr>
              <w:t>、当乘客在轿门关闭过程中，通过入口时被门扇撞击或将被撞击，保护装置应使门扇自动重新开启、门机在关门过程中受阻时能反开、开关门动作正常（提供电梯质量监督检验机构出具的部件</w:t>
            </w:r>
            <w:r>
              <w:rPr>
                <w:color w:val="auto"/>
                <w:sz w:val="22"/>
                <w:szCs w:val="22"/>
                <w:highlight w:val="none"/>
                <w:lang w:eastAsia="zh-CN"/>
              </w:rPr>
              <w:t>(</w:t>
            </w:r>
            <w:r>
              <w:rPr>
                <w:rFonts w:hint="eastAsia"/>
                <w:color w:val="auto"/>
                <w:sz w:val="22"/>
                <w:szCs w:val="22"/>
                <w:highlight w:val="none"/>
                <w:lang w:eastAsia="zh-CN"/>
              </w:rPr>
              <w:t>系统</w:t>
            </w:r>
            <w:r>
              <w:rPr>
                <w:color w:val="auto"/>
                <w:sz w:val="22"/>
                <w:szCs w:val="22"/>
                <w:highlight w:val="none"/>
                <w:lang w:eastAsia="zh-CN"/>
              </w:rPr>
              <w:t>)</w:t>
            </w:r>
            <w:r>
              <w:rPr>
                <w:rFonts w:hint="eastAsia"/>
                <w:color w:val="auto"/>
                <w:sz w:val="22"/>
                <w:szCs w:val="22"/>
                <w:highlight w:val="none"/>
                <w:lang w:eastAsia="zh-CN"/>
              </w:rPr>
              <w:t>检验报告复印件或型式试验报告复印件，原件备查）。</w:t>
            </w:r>
          </w:p>
          <w:p w14:paraId="30ADEF28">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5</w:t>
            </w:r>
            <w:r>
              <w:rPr>
                <w:rFonts w:hint="eastAsia"/>
                <w:color w:val="auto"/>
                <w:sz w:val="22"/>
                <w:szCs w:val="22"/>
                <w:highlight w:val="none"/>
                <w:lang w:eastAsia="zh-CN"/>
              </w:rPr>
              <w:t>、通讯方式：采用高频脉冲变压器串行通讯技术。工业级物理隔离信号，高速可靠传递厅外、轿厢召唤信号。</w:t>
            </w:r>
          </w:p>
          <w:p w14:paraId="04B59939">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6</w:t>
            </w:r>
            <w:r>
              <w:rPr>
                <w:rFonts w:hint="eastAsia"/>
                <w:color w:val="auto"/>
                <w:sz w:val="22"/>
                <w:szCs w:val="22"/>
                <w:highlight w:val="none"/>
                <w:lang w:eastAsia="zh-CN"/>
              </w:rPr>
              <w:t>、网络智能化传输系统：采用网络智能传输系统，主控制系统为通讯设置专用的</w:t>
            </w:r>
            <w:r>
              <w:rPr>
                <w:color w:val="auto"/>
                <w:sz w:val="22"/>
                <w:szCs w:val="22"/>
                <w:highlight w:val="none"/>
                <w:lang w:eastAsia="zh-CN"/>
              </w:rPr>
              <w:t xml:space="preserve">8 </w:t>
            </w:r>
            <w:r>
              <w:rPr>
                <w:rFonts w:hint="eastAsia"/>
                <w:color w:val="auto"/>
                <w:sz w:val="22"/>
                <w:szCs w:val="22"/>
                <w:highlight w:val="none"/>
                <w:lang w:eastAsia="zh-CN"/>
              </w:rPr>
              <w:t>位微机处理系统。</w:t>
            </w:r>
          </w:p>
          <w:p w14:paraId="0F70936D">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7</w:t>
            </w:r>
            <w:r>
              <w:rPr>
                <w:rFonts w:hint="eastAsia"/>
                <w:color w:val="auto"/>
                <w:sz w:val="22"/>
                <w:szCs w:val="22"/>
                <w:highlight w:val="none"/>
                <w:lang w:eastAsia="zh-CN"/>
              </w:rPr>
              <w:t>、系统保护：可设定电子热继电器的热时间常数，可输入缺相保护功能。</w:t>
            </w:r>
          </w:p>
          <w:p w14:paraId="51E59586">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8</w:t>
            </w:r>
            <w:r>
              <w:rPr>
                <w:rFonts w:hint="eastAsia"/>
                <w:color w:val="auto"/>
                <w:sz w:val="22"/>
                <w:szCs w:val="22"/>
                <w:highlight w:val="none"/>
                <w:lang w:eastAsia="zh-CN"/>
              </w:rPr>
              <w:t>、电梯主体结构采用全方位抗震保护设计，电梯设备具有抗地震等级的设计，确保电梯安全。</w:t>
            </w:r>
          </w:p>
          <w:p w14:paraId="38522D83">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9</w:t>
            </w:r>
            <w:r>
              <w:rPr>
                <w:rFonts w:hint="eastAsia"/>
                <w:color w:val="auto"/>
                <w:sz w:val="22"/>
                <w:szCs w:val="22"/>
                <w:highlight w:val="none"/>
                <w:lang w:eastAsia="zh-CN"/>
              </w:rPr>
              <w:t>、轿厢架构：采用无焊接轿底架及无焊接轿底工艺，保证构件加工精度、确保部件品质（提供有效证明文件）。</w:t>
            </w:r>
          </w:p>
          <w:p w14:paraId="40D097C6">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10</w:t>
            </w:r>
            <w:r>
              <w:rPr>
                <w:rFonts w:hint="eastAsia"/>
                <w:color w:val="auto"/>
                <w:sz w:val="22"/>
                <w:szCs w:val="22"/>
                <w:highlight w:val="none"/>
                <w:lang w:eastAsia="zh-CN"/>
              </w:rPr>
              <w:t>、电梯主机制动器采用为轿厢内加载至</w:t>
            </w:r>
            <w:r>
              <w:rPr>
                <w:color w:val="auto"/>
                <w:sz w:val="22"/>
                <w:szCs w:val="22"/>
                <w:highlight w:val="none"/>
                <w:lang w:eastAsia="zh-CN"/>
              </w:rPr>
              <w:t>170%</w:t>
            </w:r>
            <w:r>
              <w:rPr>
                <w:rFonts w:hint="eastAsia"/>
                <w:color w:val="auto"/>
                <w:sz w:val="22"/>
                <w:szCs w:val="22"/>
                <w:highlight w:val="none"/>
                <w:lang w:eastAsia="zh-CN"/>
              </w:rPr>
              <w:t>额定载荷及以上设计并保持</w:t>
            </w:r>
            <w:r>
              <w:rPr>
                <w:color w:val="auto"/>
                <w:sz w:val="22"/>
                <w:szCs w:val="22"/>
                <w:highlight w:val="none"/>
                <w:lang w:eastAsia="zh-CN"/>
              </w:rPr>
              <w:t>15min</w:t>
            </w:r>
            <w:r>
              <w:rPr>
                <w:rFonts w:hint="eastAsia"/>
                <w:color w:val="auto"/>
                <w:sz w:val="22"/>
                <w:szCs w:val="22"/>
                <w:highlight w:val="none"/>
                <w:lang w:eastAsia="zh-CN"/>
              </w:rPr>
              <w:t>期间电梯应符合：各部件完好、曳引机不转动（提供电梯质量监督检验机构出具的部件检验报告复印件或型式试验报告复印件，原件备查）。</w:t>
            </w:r>
          </w:p>
          <w:p w14:paraId="07029777">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11</w:t>
            </w:r>
            <w:r>
              <w:rPr>
                <w:rFonts w:hint="eastAsia"/>
                <w:color w:val="auto"/>
                <w:sz w:val="22"/>
                <w:szCs w:val="22"/>
                <w:highlight w:val="none"/>
                <w:lang w:eastAsia="zh-CN"/>
              </w:rPr>
              <w:t>、主机</w:t>
            </w:r>
            <w:r>
              <w:rPr>
                <w:color w:val="auto"/>
                <w:sz w:val="22"/>
                <w:szCs w:val="22"/>
                <w:highlight w:val="none"/>
                <w:lang w:eastAsia="zh-CN"/>
              </w:rPr>
              <w:t>F</w:t>
            </w:r>
            <w:r>
              <w:rPr>
                <w:rFonts w:hint="eastAsia"/>
                <w:color w:val="auto"/>
                <w:sz w:val="22"/>
                <w:szCs w:val="22"/>
                <w:highlight w:val="none"/>
                <w:lang w:eastAsia="zh-CN"/>
              </w:rPr>
              <w:t>级绝缘等级，包括电线、绝缘薄膜、阻燃型高强度层压玻璃布板等材料选用真正</w:t>
            </w:r>
            <w:r>
              <w:rPr>
                <w:color w:val="auto"/>
                <w:sz w:val="22"/>
                <w:szCs w:val="22"/>
                <w:highlight w:val="none"/>
                <w:lang w:eastAsia="zh-CN"/>
              </w:rPr>
              <w:t>F</w:t>
            </w:r>
            <w:r>
              <w:rPr>
                <w:rFonts w:hint="eastAsia"/>
                <w:color w:val="auto"/>
                <w:sz w:val="22"/>
                <w:szCs w:val="22"/>
                <w:highlight w:val="none"/>
                <w:lang w:eastAsia="zh-CN"/>
              </w:rPr>
              <w:t>级材料，电机绕组整体采用真空浸（漆）烘工艺，使整个线圈绕组包括线圈接驳线头都达到</w:t>
            </w:r>
            <w:r>
              <w:rPr>
                <w:color w:val="auto"/>
                <w:sz w:val="22"/>
                <w:szCs w:val="22"/>
                <w:highlight w:val="none"/>
                <w:lang w:eastAsia="zh-CN"/>
              </w:rPr>
              <w:t>F</w:t>
            </w:r>
            <w:r>
              <w:rPr>
                <w:rFonts w:hint="eastAsia"/>
                <w:color w:val="auto"/>
                <w:sz w:val="22"/>
                <w:szCs w:val="22"/>
                <w:highlight w:val="none"/>
                <w:lang w:eastAsia="zh-CN"/>
              </w:rPr>
              <w:t>级的绝缘等级。</w:t>
            </w:r>
          </w:p>
          <w:p w14:paraId="02C58B3B">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12</w:t>
            </w:r>
            <w:r>
              <w:rPr>
                <w:rFonts w:hint="eastAsia"/>
                <w:color w:val="auto"/>
                <w:sz w:val="22"/>
                <w:szCs w:val="22"/>
                <w:highlight w:val="none"/>
                <w:lang w:eastAsia="zh-CN"/>
              </w:rPr>
              <w:t>、保护措施：系统采用</w:t>
            </w:r>
            <w:r>
              <w:rPr>
                <w:color w:val="auto"/>
                <w:sz w:val="22"/>
                <w:szCs w:val="22"/>
                <w:highlight w:val="none"/>
                <w:lang w:eastAsia="zh-CN"/>
              </w:rPr>
              <w:t xml:space="preserve">FRT </w:t>
            </w:r>
            <w:r>
              <w:rPr>
                <w:rFonts w:hint="eastAsia"/>
                <w:color w:val="auto"/>
                <w:sz w:val="22"/>
                <w:szCs w:val="22"/>
                <w:highlight w:val="none"/>
                <w:lang w:eastAsia="zh-CN"/>
              </w:rPr>
              <w:t>技术，增加多项检测内容，可对电梯控制系统的电子板进行监测。控制系统可内置</w:t>
            </w:r>
            <w:r>
              <w:rPr>
                <w:color w:val="auto"/>
                <w:sz w:val="22"/>
                <w:szCs w:val="22"/>
                <w:highlight w:val="none"/>
                <w:lang w:eastAsia="zh-CN"/>
              </w:rPr>
              <w:t xml:space="preserve">RTC </w:t>
            </w:r>
            <w:r>
              <w:rPr>
                <w:rFonts w:hint="eastAsia"/>
                <w:color w:val="auto"/>
                <w:sz w:val="22"/>
                <w:szCs w:val="22"/>
                <w:highlight w:val="none"/>
                <w:lang w:eastAsia="zh-CN"/>
              </w:rPr>
              <w:t>功能，可全方位记录电梯的不同状态，系统预留了大量空间及通讯接口，同时采用</w:t>
            </w:r>
            <w:r>
              <w:rPr>
                <w:color w:val="auto"/>
                <w:sz w:val="22"/>
                <w:szCs w:val="22"/>
                <w:highlight w:val="none"/>
                <w:lang w:eastAsia="zh-CN"/>
              </w:rPr>
              <w:t xml:space="preserve">patch </w:t>
            </w:r>
            <w:r>
              <w:rPr>
                <w:rFonts w:hint="eastAsia"/>
                <w:color w:val="auto"/>
                <w:sz w:val="22"/>
                <w:szCs w:val="22"/>
                <w:highlight w:val="none"/>
                <w:lang w:eastAsia="zh-CN"/>
              </w:rPr>
              <w:t>扩展形式，可灵活、方便地应对不同功能的扩展。</w:t>
            </w:r>
          </w:p>
          <w:p w14:paraId="6805518A">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13</w:t>
            </w:r>
            <w:r>
              <w:rPr>
                <w:rFonts w:hint="eastAsia"/>
                <w:color w:val="auto"/>
                <w:sz w:val="22"/>
                <w:szCs w:val="22"/>
                <w:highlight w:val="none"/>
                <w:lang w:eastAsia="zh-CN"/>
              </w:rPr>
              <w:t>、电梯机械耐久试验：门锁装置在进行</w:t>
            </w:r>
            <w:r>
              <w:rPr>
                <w:color w:val="auto"/>
                <w:sz w:val="22"/>
                <w:szCs w:val="22"/>
                <w:highlight w:val="none"/>
                <w:lang w:eastAsia="zh-CN"/>
              </w:rPr>
              <w:t>≥550</w:t>
            </w:r>
            <w:r>
              <w:rPr>
                <w:rFonts w:hint="eastAsia"/>
                <w:color w:val="auto"/>
                <w:sz w:val="22"/>
                <w:szCs w:val="22"/>
                <w:highlight w:val="none"/>
                <w:lang w:eastAsia="zh-CN"/>
              </w:rPr>
              <w:t>万次完全循环操作试验结束后符合：不产生可能影响安全的磨损，变形或断裂、电气触点可以安全导通（提供电梯质量监督检验机构出具的部件检验报告复印件或型式试验报告复印件，原件备查）。</w:t>
            </w:r>
          </w:p>
          <w:p w14:paraId="50109E7E">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eastAsia="zh-CN"/>
              </w:rPr>
              <w:t xml:space="preserve"> </w:t>
            </w:r>
            <w:r>
              <w:rPr>
                <w:color w:val="auto"/>
                <w:sz w:val="22"/>
                <w:szCs w:val="22"/>
                <w:highlight w:val="none"/>
                <w:lang w:eastAsia="zh-CN"/>
              </w:rPr>
              <w:t>14</w:t>
            </w:r>
            <w:r>
              <w:rPr>
                <w:rFonts w:hint="eastAsia"/>
                <w:color w:val="auto"/>
                <w:sz w:val="22"/>
                <w:szCs w:val="22"/>
                <w:highlight w:val="none"/>
                <w:lang w:eastAsia="zh-CN"/>
              </w:rPr>
              <w:t>、电梯适应供电电源波动范围的运行稳定性：供电电源在三相（</w:t>
            </w:r>
            <w:r>
              <w:rPr>
                <w:color w:val="auto"/>
                <w:sz w:val="22"/>
                <w:szCs w:val="22"/>
                <w:highlight w:val="none"/>
                <w:lang w:eastAsia="zh-CN"/>
              </w:rPr>
              <w:t>380±57</w:t>
            </w:r>
            <w:r>
              <w:rPr>
                <w:rFonts w:hint="eastAsia"/>
                <w:color w:val="auto"/>
                <w:sz w:val="22"/>
                <w:szCs w:val="22"/>
                <w:highlight w:val="none"/>
                <w:lang w:eastAsia="zh-CN"/>
              </w:rPr>
              <w:t>）</w:t>
            </w:r>
            <w:r>
              <w:rPr>
                <w:color w:val="auto"/>
                <w:sz w:val="22"/>
                <w:szCs w:val="22"/>
                <w:highlight w:val="none"/>
                <w:lang w:eastAsia="zh-CN"/>
              </w:rPr>
              <w:t>V</w:t>
            </w:r>
            <w:r>
              <w:rPr>
                <w:rFonts w:hint="eastAsia"/>
                <w:color w:val="auto"/>
                <w:sz w:val="22"/>
                <w:szCs w:val="22"/>
                <w:highlight w:val="none"/>
                <w:lang w:eastAsia="zh-CN"/>
              </w:rPr>
              <w:t>的情况下，电梯运行符合：轿厢在装有</w:t>
            </w:r>
            <w:r>
              <w:rPr>
                <w:color w:val="auto"/>
                <w:sz w:val="22"/>
                <w:szCs w:val="22"/>
                <w:highlight w:val="none"/>
                <w:lang w:eastAsia="zh-CN"/>
              </w:rPr>
              <w:t>110%</w:t>
            </w:r>
            <w:r>
              <w:rPr>
                <w:rFonts w:hint="eastAsia"/>
                <w:color w:val="auto"/>
                <w:sz w:val="22"/>
                <w:szCs w:val="22"/>
                <w:highlight w:val="none"/>
                <w:lang w:eastAsia="zh-CN"/>
              </w:rPr>
              <w:t>额定载荷时电梯以额定速度正常运行；轿厢在装有</w:t>
            </w:r>
            <w:r>
              <w:rPr>
                <w:color w:val="auto"/>
                <w:sz w:val="22"/>
                <w:szCs w:val="22"/>
                <w:highlight w:val="none"/>
                <w:lang w:eastAsia="zh-CN"/>
              </w:rPr>
              <w:t>50%</w:t>
            </w:r>
            <w:r>
              <w:rPr>
                <w:rFonts w:hint="eastAsia"/>
                <w:color w:val="auto"/>
                <w:sz w:val="22"/>
                <w:szCs w:val="22"/>
                <w:highlight w:val="none"/>
                <w:lang w:eastAsia="zh-CN"/>
              </w:rPr>
              <w:t>额定荷载时电梯下行至行程中段时速度偏差范围在</w:t>
            </w:r>
            <w:r>
              <w:rPr>
                <w:color w:val="auto"/>
                <w:sz w:val="22"/>
                <w:szCs w:val="22"/>
                <w:highlight w:val="none"/>
                <w:lang w:eastAsia="zh-CN"/>
              </w:rPr>
              <w:t>92%</w:t>
            </w:r>
            <w:r>
              <w:rPr>
                <w:rFonts w:hint="eastAsia"/>
                <w:color w:val="auto"/>
                <w:sz w:val="22"/>
                <w:szCs w:val="22"/>
                <w:highlight w:val="none"/>
                <w:lang w:eastAsia="zh-CN"/>
              </w:rPr>
              <w:t>～</w:t>
            </w:r>
            <w:r>
              <w:rPr>
                <w:color w:val="auto"/>
                <w:sz w:val="22"/>
                <w:szCs w:val="22"/>
                <w:highlight w:val="none"/>
                <w:lang w:eastAsia="zh-CN"/>
              </w:rPr>
              <w:t>105%</w:t>
            </w:r>
            <w:r>
              <w:rPr>
                <w:rFonts w:hint="eastAsia"/>
                <w:color w:val="auto"/>
                <w:sz w:val="22"/>
                <w:szCs w:val="22"/>
                <w:highlight w:val="none"/>
                <w:lang w:eastAsia="zh-CN"/>
              </w:rPr>
              <w:t>之间（提供电梯质量监督检验机构出具的检验报告复印件或型式试验报告复印件，原件备查）。</w:t>
            </w:r>
          </w:p>
          <w:p w14:paraId="54561D11">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eastAsia="zh-CN"/>
              </w:rPr>
              <w:t xml:space="preserve"> 15、电梯控制柜三相动力电源线与地之间施加±10000V雷击浪涌干扰≥50次，部件无损坏（提供电梯质量监督检验机构出具的部件检验报告复印件或型式试验报告复印件，原件备查）。</w:t>
            </w:r>
          </w:p>
          <w:p w14:paraId="4160152C">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eastAsia="zh-CN"/>
              </w:rPr>
              <w:t xml:space="preserve"> 16、竞标电梯品牌型号符合GB/T 24807-2009及GB/T24808-2009电磁兼容的规定（提供电梯质量监督检验机构出具的检验报告复印件或型式试验报告复印件，原件备查）。</w:t>
            </w:r>
          </w:p>
          <w:p w14:paraId="46449115">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eastAsia="zh-CN"/>
              </w:rPr>
              <w:t>三、主要部件及技术要求</w:t>
            </w:r>
            <w:r>
              <w:rPr>
                <w:color w:val="auto"/>
                <w:sz w:val="22"/>
                <w:szCs w:val="22"/>
                <w:highlight w:val="none"/>
                <w:lang w:eastAsia="zh-CN"/>
              </w:rPr>
              <w:t xml:space="preserve"> </w:t>
            </w:r>
          </w:p>
          <w:p w14:paraId="33F964B9">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eastAsia="zh-CN"/>
              </w:rPr>
              <w:t>1、整梯要求：原产地国注册统一品牌商标产品，竞标人必须提供竞标品牌商标使用许可证书并加盖竞标人公章；若为外商投资注册品牌必须提供外商投资企业批准证书及商标使用许可证书并加盖竞标人公章。</w:t>
            </w:r>
          </w:p>
          <w:p w14:paraId="480A82F2">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eastAsia="zh-CN"/>
              </w:rPr>
              <w:t>2、曳引机、控制柜（含调速器、控制器）、门锁（含层门门锁、轿门门锁）、安全钳、限速器、上行超速保护装置、安全电路、轿厢意外移动保护装置以上主要部件必须是竞标品牌原厂设计和制造，而且产品商标为竞标品牌国注册统一品牌商标（LOGO），外购和贴牌生产竞标无效（竞标时必须提供：按照TSGT7007-2016《电梯型式试验规则》规定的整梯特种设备型式试验证书及整梯特种设备型式试验报告复印件）。</w:t>
            </w:r>
          </w:p>
          <w:p w14:paraId="53E49DAB">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eastAsia="zh-CN"/>
              </w:rPr>
              <w:t xml:space="preserve"> 3、曳引机钢丝绳数量≥5条、悬挂比2：1，提供整梯型式试验报告中须体现出上述参数内容。</w:t>
            </w:r>
          </w:p>
          <w:p w14:paraId="2323F290">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eastAsia="zh-CN"/>
              </w:rPr>
              <w:t xml:space="preserve"> 4、导轨型号要求：轿厢侧≥T89/B，提供整梯型式试验报告中须体现出上述参数内容。</w:t>
            </w:r>
          </w:p>
          <w:p w14:paraId="19A1E3B4">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eastAsia="zh-CN"/>
              </w:rPr>
              <w:t>四、电梯功能（竞标人竞标时必须根据制造商产品样本（说明手册等）功能列表予以逐项承诺，如样本（说明手册等）中无功能列表或列表中无相应功能的，必须提供加盖竞标人公章的功能说明文件。）</w:t>
            </w:r>
          </w:p>
          <w:p w14:paraId="3AD15ABF">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1</w:t>
            </w:r>
            <w:r>
              <w:rPr>
                <w:rFonts w:hint="eastAsia"/>
                <w:color w:val="auto"/>
                <w:sz w:val="22"/>
                <w:szCs w:val="22"/>
                <w:highlight w:val="none"/>
                <w:lang w:eastAsia="zh-CN"/>
              </w:rPr>
              <w:t xml:space="preserve">、全集选控制运行功能 </w:t>
            </w:r>
          </w:p>
          <w:p w14:paraId="55B7E57B">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2</w:t>
            </w:r>
            <w:r>
              <w:rPr>
                <w:rFonts w:hint="eastAsia"/>
                <w:color w:val="auto"/>
                <w:sz w:val="22"/>
                <w:szCs w:val="22"/>
                <w:highlight w:val="none"/>
                <w:lang w:eastAsia="zh-CN"/>
              </w:rPr>
              <w:t>、超载保护功</w:t>
            </w:r>
          </w:p>
          <w:p w14:paraId="46E1D13D">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3</w:t>
            </w:r>
            <w:r>
              <w:rPr>
                <w:rFonts w:hint="eastAsia"/>
                <w:color w:val="auto"/>
                <w:sz w:val="22"/>
                <w:szCs w:val="22"/>
                <w:highlight w:val="none"/>
                <w:lang w:eastAsia="zh-CN"/>
              </w:rPr>
              <w:t>、超载报警功能</w:t>
            </w:r>
          </w:p>
          <w:p w14:paraId="1194F39C">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4</w:t>
            </w:r>
            <w:r>
              <w:rPr>
                <w:rFonts w:hint="eastAsia"/>
                <w:color w:val="auto"/>
                <w:sz w:val="22"/>
                <w:szCs w:val="22"/>
                <w:highlight w:val="none"/>
                <w:lang w:eastAsia="zh-CN"/>
              </w:rPr>
              <w:t>、超速电气保护功能</w:t>
            </w:r>
          </w:p>
          <w:p w14:paraId="3FDC1714">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5</w:t>
            </w:r>
            <w:r>
              <w:rPr>
                <w:rFonts w:hint="eastAsia"/>
                <w:color w:val="auto"/>
                <w:sz w:val="22"/>
                <w:szCs w:val="22"/>
                <w:highlight w:val="none"/>
                <w:lang w:eastAsia="zh-CN"/>
              </w:rPr>
              <w:t>、超速机械保护功能</w:t>
            </w:r>
          </w:p>
          <w:p w14:paraId="117382EB">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6</w:t>
            </w:r>
            <w:r>
              <w:rPr>
                <w:rFonts w:hint="eastAsia"/>
                <w:color w:val="auto"/>
                <w:sz w:val="22"/>
                <w:szCs w:val="22"/>
                <w:highlight w:val="none"/>
                <w:lang w:eastAsia="zh-CN"/>
              </w:rPr>
              <w:t>、智能光幕保护功能</w:t>
            </w:r>
          </w:p>
          <w:p w14:paraId="64C29055">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7</w:t>
            </w:r>
            <w:r>
              <w:rPr>
                <w:rFonts w:hint="eastAsia"/>
                <w:color w:val="auto"/>
                <w:sz w:val="22"/>
                <w:szCs w:val="22"/>
                <w:highlight w:val="none"/>
                <w:lang w:eastAsia="zh-CN"/>
              </w:rPr>
              <w:t>、门过载保护功能</w:t>
            </w:r>
          </w:p>
          <w:p w14:paraId="6D9A3A4C">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8</w:t>
            </w:r>
            <w:r>
              <w:rPr>
                <w:rFonts w:hint="eastAsia"/>
                <w:color w:val="auto"/>
                <w:sz w:val="22"/>
                <w:szCs w:val="22"/>
                <w:highlight w:val="none"/>
                <w:lang w:eastAsia="zh-CN"/>
              </w:rPr>
              <w:t>、开关门时间超常保护功能</w:t>
            </w:r>
          </w:p>
          <w:p w14:paraId="540DA362">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9</w:t>
            </w:r>
            <w:r>
              <w:rPr>
                <w:rFonts w:hint="eastAsia"/>
                <w:color w:val="auto"/>
                <w:sz w:val="22"/>
                <w:szCs w:val="22"/>
                <w:highlight w:val="none"/>
                <w:lang w:eastAsia="zh-CN"/>
              </w:rPr>
              <w:t>、开门异常自动选层功能</w:t>
            </w:r>
          </w:p>
          <w:p w14:paraId="70E4AB3D">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10</w:t>
            </w:r>
            <w:r>
              <w:rPr>
                <w:rFonts w:hint="eastAsia"/>
                <w:color w:val="auto"/>
                <w:sz w:val="22"/>
                <w:szCs w:val="22"/>
                <w:highlight w:val="none"/>
                <w:lang w:eastAsia="zh-CN"/>
              </w:rPr>
              <w:t>、电动机空转保护功能</w:t>
            </w:r>
          </w:p>
          <w:p w14:paraId="4A0604DB">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11</w:t>
            </w:r>
            <w:r>
              <w:rPr>
                <w:rFonts w:hint="eastAsia"/>
                <w:color w:val="auto"/>
                <w:sz w:val="22"/>
                <w:szCs w:val="22"/>
                <w:highlight w:val="none"/>
                <w:lang w:eastAsia="zh-CN"/>
              </w:rPr>
              <w:t>、电动机过载保护功能</w:t>
            </w:r>
          </w:p>
          <w:p w14:paraId="3D26E839">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12</w:t>
            </w:r>
            <w:r>
              <w:rPr>
                <w:rFonts w:hint="eastAsia"/>
                <w:color w:val="auto"/>
                <w:sz w:val="22"/>
                <w:szCs w:val="22"/>
                <w:highlight w:val="none"/>
                <w:lang w:eastAsia="zh-CN"/>
              </w:rPr>
              <w:t>、对讲机通讯功能警功能</w:t>
            </w:r>
          </w:p>
          <w:p w14:paraId="5BC6175B">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13</w:t>
            </w:r>
            <w:r>
              <w:rPr>
                <w:rFonts w:hint="eastAsia"/>
                <w:color w:val="auto"/>
                <w:sz w:val="22"/>
                <w:szCs w:val="22"/>
                <w:highlight w:val="none"/>
                <w:lang w:eastAsia="zh-CN"/>
              </w:rPr>
              <w:t>、故障低速自救运行功能</w:t>
            </w:r>
          </w:p>
          <w:p w14:paraId="52EAC179">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1</w:t>
            </w:r>
            <w:r>
              <w:rPr>
                <w:rFonts w:hint="eastAsia"/>
                <w:color w:val="auto"/>
                <w:sz w:val="22"/>
                <w:szCs w:val="22"/>
                <w:highlight w:val="none"/>
                <w:lang w:val="en-US" w:eastAsia="zh-CN"/>
              </w:rPr>
              <w:t>4</w:t>
            </w:r>
            <w:r>
              <w:rPr>
                <w:rFonts w:hint="eastAsia"/>
                <w:color w:val="auto"/>
                <w:sz w:val="22"/>
                <w:szCs w:val="22"/>
                <w:highlight w:val="none"/>
                <w:lang w:eastAsia="zh-CN"/>
              </w:rPr>
              <w:t>、停车在非门区报警功能</w:t>
            </w:r>
          </w:p>
          <w:p w14:paraId="4513F4AA">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15</w:t>
            </w:r>
            <w:r>
              <w:rPr>
                <w:rFonts w:hint="eastAsia"/>
                <w:color w:val="auto"/>
                <w:sz w:val="22"/>
                <w:szCs w:val="22"/>
                <w:highlight w:val="none"/>
                <w:lang w:eastAsia="zh-CN"/>
              </w:rPr>
              <w:t>、位置异常自动校正功能</w:t>
            </w:r>
          </w:p>
          <w:p w14:paraId="6BCA50B9">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1</w:t>
            </w:r>
            <w:r>
              <w:rPr>
                <w:rFonts w:hint="eastAsia"/>
                <w:color w:val="auto"/>
                <w:sz w:val="22"/>
                <w:szCs w:val="22"/>
                <w:highlight w:val="none"/>
                <w:lang w:val="en-US" w:eastAsia="zh-CN"/>
              </w:rPr>
              <w:t>6</w:t>
            </w:r>
            <w:r>
              <w:rPr>
                <w:rFonts w:hint="eastAsia"/>
                <w:color w:val="auto"/>
                <w:sz w:val="22"/>
                <w:szCs w:val="22"/>
                <w:highlight w:val="none"/>
                <w:lang w:eastAsia="zh-CN"/>
              </w:rPr>
              <w:t>、停电应急照明功能</w:t>
            </w:r>
          </w:p>
          <w:p w14:paraId="035ED3C8">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17</w:t>
            </w:r>
            <w:r>
              <w:rPr>
                <w:rFonts w:hint="eastAsia"/>
                <w:color w:val="auto"/>
                <w:sz w:val="22"/>
                <w:szCs w:val="22"/>
                <w:highlight w:val="none"/>
                <w:lang w:eastAsia="zh-CN"/>
              </w:rPr>
              <w:t>、轿顶检修操作功能</w:t>
            </w:r>
          </w:p>
          <w:p w14:paraId="3250FF21">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1</w:t>
            </w:r>
            <w:r>
              <w:rPr>
                <w:rFonts w:hint="eastAsia"/>
                <w:color w:val="auto"/>
                <w:sz w:val="22"/>
                <w:szCs w:val="22"/>
                <w:highlight w:val="none"/>
                <w:lang w:val="en-US" w:eastAsia="zh-CN"/>
              </w:rPr>
              <w:t>8</w:t>
            </w:r>
            <w:r>
              <w:rPr>
                <w:rFonts w:hint="eastAsia"/>
                <w:color w:val="auto"/>
                <w:sz w:val="22"/>
                <w:szCs w:val="22"/>
                <w:highlight w:val="none"/>
                <w:lang w:eastAsia="zh-CN"/>
              </w:rPr>
              <w:t>、轿內慢速运行功能</w:t>
            </w:r>
          </w:p>
          <w:p w14:paraId="03228A22">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19</w:t>
            </w:r>
            <w:r>
              <w:rPr>
                <w:rFonts w:hint="eastAsia"/>
                <w:color w:val="auto"/>
                <w:sz w:val="22"/>
                <w:szCs w:val="22"/>
                <w:highlight w:val="none"/>
                <w:lang w:eastAsia="zh-CN"/>
              </w:rPr>
              <w:t>、机房调试操作功能</w:t>
            </w:r>
          </w:p>
          <w:p w14:paraId="3CD5660F">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20</w:t>
            </w:r>
            <w:r>
              <w:rPr>
                <w:rFonts w:hint="eastAsia"/>
                <w:color w:val="auto"/>
                <w:sz w:val="22"/>
                <w:szCs w:val="22"/>
                <w:highlight w:val="none"/>
                <w:lang w:eastAsia="zh-CN"/>
              </w:rPr>
              <w:t>、无呼自返基站功能</w:t>
            </w:r>
          </w:p>
          <w:p w14:paraId="7B10F84A">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2</w:t>
            </w:r>
            <w:r>
              <w:rPr>
                <w:rFonts w:hint="eastAsia"/>
                <w:color w:val="auto"/>
                <w:sz w:val="22"/>
                <w:szCs w:val="22"/>
                <w:highlight w:val="none"/>
                <w:lang w:val="en-US" w:eastAsia="zh-CN"/>
              </w:rPr>
              <w:t>1</w:t>
            </w:r>
            <w:r>
              <w:rPr>
                <w:rFonts w:hint="eastAsia"/>
                <w:color w:val="auto"/>
                <w:sz w:val="22"/>
                <w:szCs w:val="22"/>
                <w:highlight w:val="none"/>
                <w:lang w:eastAsia="zh-CN"/>
              </w:rPr>
              <w:t>、满载直驶运行功能</w:t>
            </w:r>
          </w:p>
          <w:p w14:paraId="763C0735">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2</w:t>
            </w:r>
            <w:r>
              <w:rPr>
                <w:rFonts w:hint="eastAsia"/>
                <w:color w:val="auto"/>
                <w:sz w:val="22"/>
                <w:szCs w:val="22"/>
                <w:highlight w:val="none"/>
                <w:lang w:val="en-US" w:eastAsia="zh-CN"/>
              </w:rPr>
              <w:t>2</w:t>
            </w:r>
            <w:r>
              <w:rPr>
                <w:rFonts w:hint="eastAsia"/>
                <w:color w:val="auto"/>
                <w:sz w:val="22"/>
                <w:szCs w:val="22"/>
                <w:highlight w:val="none"/>
                <w:lang w:eastAsia="zh-CN"/>
              </w:rPr>
              <w:t>、无效内指令自动消除功能</w:t>
            </w:r>
          </w:p>
          <w:p w14:paraId="2A9271D6">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lang w:val="en-US" w:eastAsia="zh-CN"/>
              </w:rPr>
              <w:t>3</w:t>
            </w:r>
            <w:r>
              <w:rPr>
                <w:rFonts w:hint="eastAsia"/>
                <w:color w:val="auto"/>
                <w:sz w:val="22"/>
                <w:szCs w:val="22"/>
                <w:highlight w:val="none"/>
                <w:lang w:eastAsia="zh-CN"/>
              </w:rPr>
              <w:t>、反向内指令自动消除功能</w:t>
            </w:r>
          </w:p>
          <w:p w14:paraId="56A935E3">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2</w:t>
            </w:r>
            <w:r>
              <w:rPr>
                <w:rFonts w:hint="eastAsia"/>
                <w:color w:val="auto"/>
                <w:sz w:val="22"/>
                <w:szCs w:val="22"/>
                <w:highlight w:val="none"/>
                <w:lang w:val="en-US" w:eastAsia="zh-CN"/>
              </w:rPr>
              <w:t>4</w:t>
            </w:r>
            <w:r>
              <w:rPr>
                <w:rFonts w:hint="eastAsia"/>
                <w:color w:val="auto"/>
                <w:sz w:val="22"/>
                <w:szCs w:val="22"/>
                <w:highlight w:val="none"/>
                <w:lang w:eastAsia="zh-CN"/>
              </w:rPr>
              <w:t>、起动补偿功能</w:t>
            </w:r>
          </w:p>
          <w:p w14:paraId="01408F90">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2</w:t>
            </w:r>
            <w:r>
              <w:rPr>
                <w:rFonts w:hint="eastAsia"/>
                <w:color w:val="auto"/>
                <w:sz w:val="22"/>
                <w:szCs w:val="22"/>
                <w:highlight w:val="none"/>
                <w:lang w:val="en-US" w:eastAsia="zh-CN"/>
              </w:rPr>
              <w:t>5</w:t>
            </w:r>
            <w:r>
              <w:rPr>
                <w:rFonts w:hint="eastAsia"/>
                <w:color w:val="auto"/>
                <w:sz w:val="22"/>
                <w:szCs w:val="22"/>
                <w:highlight w:val="none"/>
                <w:lang w:eastAsia="zh-CN"/>
              </w:rPr>
              <w:t>、开门时间自动调整功能</w:t>
            </w:r>
          </w:p>
          <w:p w14:paraId="4CDA7684">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2</w:t>
            </w:r>
            <w:r>
              <w:rPr>
                <w:rFonts w:hint="eastAsia"/>
                <w:color w:val="auto"/>
                <w:sz w:val="22"/>
                <w:szCs w:val="22"/>
                <w:highlight w:val="none"/>
                <w:lang w:val="en-US" w:eastAsia="zh-CN"/>
              </w:rPr>
              <w:t>6</w:t>
            </w:r>
            <w:r>
              <w:rPr>
                <w:rFonts w:hint="eastAsia"/>
                <w:color w:val="auto"/>
                <w:sz w:val="22"/>
                <w:szCs w:val="22"/>
                <w:highlight w:val="none"/>
                <w:lang w:eastAsia="zh-CN"/>
              </w:rPr>
              <w:t>、开门时间自动控制功能</w:t>
            </w:r>
          </w:p>
          <w:p w14:paraId="693BFF4F">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2</w:t>
            </w:r>
            <w:r>
              <w:rPr>
                <w:rFonts w:hint="eastAsia"/>
                <w:color w:val="auto"/>
                <w:sz w:val="22"/>
                <w:szCs w:val="22"/>
                <w:highlight w:val="none"/>
                <w:lang w:val="en-US" w:eastAsia="zh-CN"/>
              </w:rPr>
              <w:t>7</w:t>
            </w:r>
            <w:r>
              <w:rPr>
                <w:rFonts w:hint="eastAsia"/>
                <w:color w:val="auto"/>
                <w:sz w:val="22"/>
                <w:szCs w:val="22"/>
                <w:highlight w:val="none"/>
                <w:lang w:eastAsia="zh-CN"/>
              </w:rPr>
              <w:t>、运行次数显示功能</w:t>
            </w:r>
          </w:p>
          <w:p w14:paraId="7D187F0D">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28</w:t>
            </w:r>
            <w:r>
              <w:rPr>
                <w:rFonts w:hint="eastAsia"/>
                <w:color w:val="auto"/>
                <w:sz w:val="22"/>
                <w:szCs w:val="22"/>
                <w:highlight w:val="none"/>
                <w:lang w:eastAsia="zh-CN"/>
              </w:rPr>
              <w:t>、轿內通风自动控制功能</w:t>
            </w:r>
          </w:p>
          <w:p w14:paraId="45221309">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29</w:t>
            </w:r>
            <w:r>
              <w:rPr>
                <w:rFonts w:hint="eastAsia"/>
                <w:color w:val="auto"/>
                <w:sz w:val="22"/>
                <w:szCs w:val="22"/>
                <w:highlight w:val="none"/>
                <w:lang w:eastAsia="zh-CN"/>
              </w:rPr>
              <w:t>、故障自动检测功能</w:t>
            </w:r>
          </w:p>
          <w:p w14:paraId="7F3C77A5">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30</w:t>
            </w:r>
            <w:r>
              <w:rPr>
                <w:rFonts w:hint="eastAsia"/>
                <w:color w:val="auto"/>
                <w:sz w:val="22"/>
                <w:szCs w:val="22"/>
                <w:highlight w:val="none"/>
                <w:lang w:eastAsia="zh-CN"/>
              </w:rPr>
              <w:t>、故障自动存储功能</w:t>
            </w:r>
          </w:p>
          <w:p w14:paraId="37432103">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31</w:t>
            </w:r>
            <w:r>
              <w:rPr>
                <w:rFonts w:hint="eastAsia"/>
                <w:color w:val="auto"/>
                <w:sz w:val="22"/>
                <w:szCs w:val="22"/>
                <w:highlight w:val="none"/>
                <w:lang w:eastAsia="zh-CN"/>
              </w:rPr>
              <w:t>、待机定期自检功能</w:t>
            </w:r>
          </w:p>
          <w:p w14:paraId="25DF5296">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32</w:t>
            </w:r>
            <w:r>
              <w:rPr>
                <w:rFonts w:hint="eastAsia"/>
                <w:color w:val="auto"/>
                <w:sz w:val="22"/>
                <w:szCs w:val="22"/>
                <w:highlight w:val="none"/>
                <w:lang w:eastAsia="zh-CN"/>
              </w:rPr>
              <w:t>、泊梯功能</w:t>
            </w:r>
          </w:p>
          <w:p w14:paraId="5187AE3C">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33</w:t>
            </w:r>
            <w:r>
              <w:rPr>
                <w:rFonts w:hint="eastAsia"/>
                <w:color w:val="auto"/>
                <w:sz w:val="22"/>
                <w:szCs w:val="22"/>
                <w:highlight w:val="none"/>
                <w:lang w:eastAsia="zh-CN"/>
              </w:rPr>
              <w:t>、层高自测定功能</w:t>
            </w:r>
          </w:p>
          <w:p w14:paraId="0C82538E">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34</w:t>
            </w:r>
            <w:r>
              <w:rPr>
                <w:rFonts w:hint="eastAsia"/>
                <w:color w:val="auto"/>
                <w:sz w:val="22"/>
                <w:szCs w:val="22"/>
                <w:highlight w:val="none"/>
                <w:lang w:eastAsia="zh-CN"/>
              </w:rPr>
              <w:t>、消防迫降功能</w:t>
            </w:r>
          </w:p>
          <w:p w14:paraId="10F9F54C">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35</w:t>
            </w:r>
            <w:r>
              <w:rPr>
                <w:rFonts w:hint="eastAsia"/>
                <w:color w:val="auto"/>
                <w:sz w:val="22"/>
                <w:szCs w:val="22"/>
                <w:highlight w:val="none"/>
                <w:lang w:eastAsia="zh-CN"/>
              </w:rPr>
              <w:t>、抱闸动作的双安全检测功能</w:t>
            </w:r>
          </w:p>
          <w:p w14:paraId="5A2EBAD2">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36</w:t>
            </w:r>
            <w:r>
              <w:rPr>
                <w:rFonts w:hint="eastAsia"/>
                <w:color w:val="auto"/>
                <w:sz w:val="22"/>
                <w:szCs w:val="22"/>
                <w:highlight w:val="none"/>
                <w:lang w:eastAsia="zh-CN"/>
              </w:rPr>
              <w:t>、门停止运行功能</w:t>
            </w:r>
          </w:p>
          <w:p w14:paraId="4785E548">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37</w:t>
            </w:r>
            <w:r>
              <w:rPr>
                <w:rFonts w:hint="eastAsia"/>
                <w:color w:val="auto"/>
                <w:sz w:val="22"/>
                <w:szCs w:val="22"/>
                <w:highlight w:val="none"/>
                <w:lang w:eastAsia="zh-CN"/>
              </w:rPr>
              <w:t>、底坑对讲机通讯功能</w:t>
            </w:r>
          </w:p>
          <w:p w14:paraId="47F4CE57">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38</w:t>
            </w:r>
            <w:r>
              <w:rPr>
                <w:rFonts w:hint="eastAsia"/>
                <w:color w:val="auto"/>
                <w:sz w:val="22"/>
                <w:szCs w:val="22"/>
                <w:highlight w:val="none"/>
                <w:lang w:eastAsia="zh-CN"/>
              </w:rPr>
              <w:t>、同步电机磁极码静态测试功能</w:t>
            </w:r>
          </w:p>
          <w:p w14:paraId="0DE111A1">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val="en-US" w:eastAsia="zh-CN"/>
              </w:rPr>
              <w:t>39</w:t>
            </w:r>
            <w:r>
              <w:rPr>
                <w:rFonts w:hint="eastAsia"/>
                <w:color w:val="auto"/>
                <w:sz w:val="22"/>
                <w:szCs w:val="22"/>
                <w:highlight w:val="none"/>
                <w:lang w:eastAsia="zh-CN"/>
              </w:rPr>
              <w:t>、厅外检修显示功能</w:t>
            </w:r>
          </w:p>
          <w:p w14:paraId="18FF676D">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4</w:t>
            </w:r>
            <w:r>
              <w:rPr>
                <w:rFonts w:hint="eastAsia"/>
                <w:color w:val="auto"/>
                <w:sz w:val="22"/>
                <w:szCs w:val="22"/>
                <w:highlight w:val="none"/>
                <w:lang w:val="en-US" w:eastAsia="zh-CN"/>
              </w:rPr>
              <w:t>0</w:t>
            </w:r>
            <w:r>
              <w:rPr>
                <w:rFonts w:hint="eastAsia"/>
                <w:color w:val="auto"/>
                <w:sz w:val="22"/>
                <w:szCs w:val="22"/>
                <w:highlight w:val="none"/>
                <w:lang w:eastAsia="zh-CN"/>
              </w:rPr>
              <w:t>、抗电磁干扰功能</w:t>
            </w:r>
          </w:p>
          <w:p w14:paraId="5258C51A">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4</w:t>
            </w:r>
            <w:r>
              <w:rPr>
                <w:rFonts w:hint="eastAsia"/>
                <w:color w:val="auto"/>
                <w:sz w:val="22"/>
                <w:szCs w:val="22"/>
                <w:highlight w:val="none"/>
                <w:lang w:val="en-US" w:eastAsia="zh-CN"/>
              </w:rPr>
              <w:t>1</w:t>
            </w:r>
            <w:r>
              <w:rPr>
                <w:rFonts w:hint="eastAsia"/>
                <w:color w:val="auto"/>
                <w:sz w:val="22"/>
                <w:szCs w:val="22"/>
                <w:highlight w:val="none"/>
                <w:lang w:eastAsia="zh-CN"/>
              </w:rPr>
              <w:t>、电梯服务支援系统</w:t>
            </w:r>
          </w:p>
          <w:p w14:paraId="64870160">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4</w:t>
            </w:r>
            <w:r>
              <w:rPr>
                <w:rFonts w:hint="eastAsia"/>
                <w:color w:val="auto"/>
                <w:sz w:val="22"/>
                <w:szCs w:val="22"/>
                <w:highlight w:val="none"/>
                <w:lang w:val="en-US" w:eastAsia="zh-CN"/>
              </w:rPr>
              <w:t>2</w:t>
            </w:r>
            <w:r>
              <w:rPr>
                <w:rFonts w:hint="eastAsia"/>
                <w:color w:val="auto"/>
                <w:sz w:val="22"/>
                <w:szCs w:val="22"/>
                <w:highlight w:val="none"/>
                <w:lang w:eastAsia="zh-CN"/>
              </w:rPr>
              <w:t>、五方通话功能（甲方负责实现电梯到监控指挥中心连线）</w:t>
            </w:r>
            <w:r>
              <w:rPr>
                <w:color w:val="auto"/>
                <w:sz w:val="22"/>
                <w:szCs w:val="22"/>
                <w:highlight w:val="none"/>
                <w:lang w:eastAsia="zh-CN"/>
              </w:rPr>
              <w:t>4</w:t>
            </w:r>
            <w:r>
              <w:rPr>
                <w:rFonts w:hint="eastAsia"/>
                <w:color w:val="auto"/>
                <w:sz w:val="22"/>
                <w:szCs w:val="22"/>
                <w:highlight w:val="none"/>
                <w:lang w:val="en-US" w:eastAsia="zh-CN"/>
              </w:rPr>
              <w:t>3</w:t>
            </w:r>
            <w:r>
              <w:rPr>
                <w:rFonts w:hint="eastAsia"/>
                <w:color w:val="auto"/>
                <w:sz w:val="22"/>
                <w:szCs w:val="22"/>
                <w:highlight w:val="none"/>
                <w:lang w:eastAsia="zh-CN"/>
              </w:rPr>
              <w:t>、轿内误指令取消功能</w:t>
            </w:r>
          </w:p>
          <w:p w14:paraId="2AA8A746">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4</w:t>
            </w:r>
            <w:r>
              <w:rPr>
                <w:rFonts w:hint="eastAsia"/>
                <w:color w:val="auto"/>
                <w:sz w:val="22"/>
                <w:szCs w:val="22"/>
                <w:highlight w:val="none"/>
                <w:lang w:val="en-US" w:eastAsia="zh-CN"/>
              </w:rPr>
              <w:t>4</w:t>
            </w:r>
            <w:r>
              <w:rPr>
                <w:rFonts w:hint="eastAsia"/>
                <w:color w:val="auto"/>
                <w:sz w:val="22"/>
                <w:szCs w:val="22"/>
                <w:highlight w:val="none"/>
                <w:lang w:eastAsia="zh-CN"/>
              </w:rPr>
              <w:t>、无障碍功能</w:t>
            </w:r>
          </w:p>
          <w:p w14:paraId="48EEEE30">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4</w:t>
            </w:r>
            <w:r>
              <w:rPr>
                <w:rFonts w:hint="eastAsia"/>
                <w:color w:val="auto"/>
                <w:sz w:val="22"/>
                <w:szCs w:val="22"/>
                <w:highlight w:val="none"/>
                <w:lang w:val="en-US" w:eastAsia="zh-CN"/>
              </w:rPr>
              <w:t>5</w:t>
            </w:r>
            <w:r>
              <w:rPr>
                <w:rFonts w:hint="eastAsia"/>
                <w:color w:val="auto"/>
                <w:sz w:val="22"/>
                <w:szCs w:val="22"/>
                <w:highlight w:val="none"/>
                <w:lang w:eastAsia="zh-CN"/>
              </w:rPr>
              <w:t>、自动平层功能</w:t>
            </w:r>
          </w:p>
          <w:p w14:paraId="2F5937C2">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4</w:t>
            </w:r>
            <w:r>
              <w:rPr>
                <w:rFonts w:hint="eastAsia"/>
                <w:color w:val="auto"/>
                <w:sz w:val="22"/>
                <w:szCs w:val="22"/>
                <w:highlight w:val="none"/>
                <w:lang w:val="en-US" w:eastAsia="zh-CN"/>
              </w:rPr>
              <w:t>6</w:t>
            </w:r>
            <w:r>
              <w:rPr>
                <w:rFonts w:hint="eastAsia"/>
                <w:color w:val="auto"/>
                <w:sz w:val="22"/>
                <w:szCs w:val="22"/>
                <w:highlight w:val="none"/>
                <w:lang w:eastAsia="zh-CN"/>
              </w:rPr>
              <w:t>、预留视频电缆线</w:t>
            </w:r>
          </w:p>
          <w:p w14:paraId="183DF4A5">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eastAsia="zh-CN"/>
              </w:rPr>
              <w:t>五、装饰材质要求</w:t>
            </w:r>
          </w:p>
          <w:p w14:paraId="4D633E6A">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1</w:t>
            </w:r>
            <w:r>
              <w:rPr>
                <w:rFonts w:hint="eastAsia"/>
                <w:color w:val="auto"/>
                <w:sz w:val="22"/>
                <w:szCs w:val="22"/>
                <w:highlight w:val="none"/>
                <w:lang w:eastAsia="zh-CN"/>
              </w:rPr>
              <w:t>、轿厢装饰要求：轿门、轿厢四壁均为发纹不锈钢，厚度不低于</w:t>
            </w:r>
            <w:r>
              <w:rPr>
                <w:color w:val="auto"/>
                <w:sz w:val="22"/>
                <w:szCs w:val="22"/>
                <w:highlight w:val="none"/>
                <w:lang w:eastAsia="zh-CN"/>
              </w:rPr>
              <w:t>1.2mm</w:t>
            </w:r>
            <w:r>
              <w:rPr>
                <w:rFonts w:hint="eastAsia"/>
                <w:color w:val="auto"/>
                <w:sz w:val="22"/>
                <w:szCs w:val="22"/>
                <w:highlight w:val="none"/>
                <w:lang w:eastAsia="zh-CN"/>
              </w:rPr>
              <w:t>。</w:t>
            </w:r>
          </w:p>
          <w:p w14:paraId="52C5E46A">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2</w:t>
            </w:r>
            <w:r>
              <w:rPr>
                <w:rFonts w:hint="eastAsia"/>
                <w:color w:val="auto"/>
                <w:sz w:val="22"/>
                <w:szCs w:val="22"/>
                <w:highlight w:val="none"/>
                <w:lang w:eastAsia="zh-CN"/>
              </w:rPr>
              <w:t>、踢脚板：发纹不锈钢。</w:t>
            </w:r>
          </w:p>
          <w:p w14:paraId="33367A50">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3</w:t>
            </w:r>
            <w:r>
              <w:rPr>
                <w:rFonts w:hint="eastAsia"/>
                <w:color w:val="auto"/>
                <w:sz w:val="22"/>
                <w:szCs w:val="22"/>
                <w:highlight w:val="none"/>
                <w:lang w:eastAsia="zh-CN"/>
              </w:rPr>
              <w:t>、轿门地坎：硬质铝合金型材。</w:t>
            </w:r>
          </w:p>
          <w:p w14:paraId="7EAFAD3F">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4</w:t>
            </w:r>
            <w:r>
              <w:rPr>
                <w:rFonts w:hint="eastAsia"/>
                <w:color w:val="auto"/>
                <w:sz w:val="22"/>
                <w:szCs w:val="22"/>
                <w:highlight w:val="none"/>
                <w:lang w:eastAsia="zh-CN"/>
              </w:rPr>
              <w:t>、袖壁板：发纹不锈钢。</w:t>
            </w:r>
          </w:p>
          <w:p w14:paraId="726906FF">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5</w:t>
            </w:r>
            <w:r>
              <w:rPr>
                <w:rFonts w:hint="eastAsia"/>
                <w:color w:val="auto"/>
                <w:sz w:val="22"/>
                <w:szCs w:val="22"/>
                <w:highlight w:val="none"/>
                <w:lang w:eastAsia="zh-CN"/>
              </w:rPr>
              <w:t>、轿厢门楣：发纹不锈钢</w:t>
            </w:r>
            <w:r>
              <w:rPr>
                <w:color w:val="auto"/>
                <w:sz w:val="22"/>
                <w:szCs w:val="22"/>
                <w:highlight w:val="none"/>
                <w:lang w:eastAsia="zh-CN"/>
              </w:rPr>
              <w:t>,</w:t>
            </w:r>
            <w:r>
              <w:rPr>
                <w:rFonts w:hint="eastAsia"/>
                <w:color w:val="auto"/>
                <w:sz w:val="22"/>
                <w:szCs w:val="22"/>
                <w:highlight w:val="none"/>
                <w:lang w:eastAsia="zh-CN"/>
              </w:rPr>
              <w:t>厚度不低于</w:t>
            </w:r>
            <w:r>
              <w:rPr>
                <w:color w:val="auto"/>
                <w:sz w:val="22"/>
                <w:szCs w:val="22"/>
                <w:highlight w:val="none"/>
                <w:lang w:eastAsia="zh-CN"/>
              </w:rPr>
              <w:t>1.2mm</w:t>
            </w:r>
            <w:r>
              <w:rPr>
                <w:rFonts w:hint="eastAsia"/>
                <w:color w:val="auto"/>
                <w:sz w:val="22"/>
                <w:szCs w:val="22"/>
                <w:highlight w:val="none"/>
                <w:lang w:eastAsia="zh-CN"/>
              </w:rPr>
              <w:t>。</w:t>
            </w:r>
          </w:p>
          <w:p w14:paraId="49F23BEB">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6</w:t>
            </w:r>
            <w:r>
              <w:rPr>
                <w:rFonts w:hint="eastAsia"/>
                <w:color w:val="auto"/>
                <w:sz w:val="22"/>
                <w:szCs w:val="22"/>
                <w:highlight w:val="none"/>
                <w:lang w:eastAsia="zh-CN"/>
              </w:rPr>
              <w:t>、层门、门套均为发纹不锈钢，厚度不低于</w:t>
            </w:r>
            <w:r>
              <w:rPr>
                <w:color w:val="auto"/>
                <w:sz w:val="22"/>
                <w:szCs w:val="22"/>
                <w:highlight w:val="none"/>
                <w:lang w:eastAsia="zh-CN"/>
              </w:rPr>
              <w:t>1.2mm</w:t>
            </w:r>
            <w:r>
              <w:rPr>
                <w:rFonts w:hint="eastAsia"/>
                <w:color w:val="auto"/>
                <w:sz w:val="22"/>
                <w:szCs w:val="22"/>
                <w:highlight w:val="none"/>
                <w:lang w:eastAsia="zh-CN"/>
              </w:rPr>
              <w:t>。</w:t>
            </w:r>
          </w:p>
          <w:p w14:paraId="52EDB487">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7</w:t>
            </w:r>
            <w:r>
              <w:rPr>
                <w:rFonts w:hint="eastAsia"/>
                <w:color w:val="auto"/>
                <w:sz w:val="22"/>
                <w:szCs w:val="22"/>
                <w:highlight w:val="none"/>
                <w:lang w:eastAsia="zh-CN"/>
              </w:rPr>
              <w:t>、轿厢地面：</w:t>
            </w:r>
            <w:r>
              <w:rPr>
                <w:color w:val="auto"/>
                <w:sz w:val="22"/>
                <w:szCs w:val="22"/>
                <w:highlight w:val="none"/>
                <w:lang w:eastAsia="zh-CN"/>
              </w:rPr>
              <w:t>PVC</w:t>
            </w:r>
            <w:r>
              <w:rPr>
                <w:rFonts w:hint="eastAsia"/>
                <w:color w:val="auto"/>
                <w:sz w:val="22"/>
                <w:szCs w:val="22"/>
                <w:highlight w:val="none"/>
                <w:lang w:eastAsia="zh-CN"/>
              </w:rPr>
              <w:t>地板。</w:t>
            </w:r>
          </w:p>
          <w:p w14:paraId="53900434">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8</w:t>
            </w:r>
            <w:r>
              <w:rPr>
                <w:rFonts w:hint="eastAsia"/>
                <w:color w:val="auto"/>
                <w:sz w:val="22"/>
                <w:szCs w:val="22"/>
                <w:highlight w:val="none"/>
                <w:lang w:eastAsia="zh-CN"/>
              </w:rPr>
              <w:t>、轿厢召唤箱：发纹不锈钢面板，微动式圆形不锈钢按钮，轿厢显示层站和运行方向。</w:t>
            </w:r>
          </w:p>
          <w:p w14:paraId="274F6406">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9</w:t>
            </w:r>
            <w:r>
              <w:rPr>
                <w:rFonts w:hint="eastAsia"/>
                <w:color w:val="auto"/>
                <w:sz w:val="22"/>
                <w:szCs w:val="22"/>
                <w:highlight w:val="none"/>
                <w:lang w:eastAsia="zh-CN"/>
              </w:rPr>
              <w:t>、轿厢位置指示器：液晶显示。</w:t>
            </w:r>
          </w:p>
          <w:p w14:paraId="0F621EEE">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10</w:t>
            </w:r>
            <w:r>
              <w:rPr>
                <w:rFonts w:hint="eastAsia"/>
                <w:color w:val="auto"/>
                <w:sz w:val="22"/>
                <w:szCs w:val="22"/>
                <w:highlight w:val="none"/>
                <w:lang w:eastAsia="zh-CN"/>
              </w:rPr>
              <w:t>、厅门召唤箱：带指示层的召唤箱发纹不锈钢面板，液晶显示屏，显示层站和运行方向，圆形不锈钢微动按钮。</w:t>
            </w:r>
          </w:p>
          <w:p w14:paraId="2139A24C">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11</w:t>
            </w:r>
            <w:r>
              <w:rPr>
                <w:rFonts w:hint="eastAsia"/>
                <w:color w:val="auto"/>
                <w:sz w:val="22"/>
                <w:szCs w:val="22"/>
                <w:highlight w:val="none"/>
                <w:lang w:eastAsia="zh-CN"/>
              </w:rPr>
              <w:t>、轿厢天花：</w:t>
            </w:r>
            <w:r>
              <w:rPr>
                <w:color w:val="auto"/>
                <w:sz w:val="22"/>
                <w:szCs w:val="22"/>
                <w:highlight w:val="none"/>
                <w:lang w:eastAsia="zh-CN"/>
              </w:rPr>
              <w:t>LED</w:t>
            </w:r>
            <w:r>
              <w:rPr>
                <w:rFonts w:hint="eastAsia"/>
                <w:color w:val="auto"/>
                <w:sz w:val="22"/>
                <w:szCs w:val="22"/>
                <w:highlight w:val="none"/>
                <w:lang w:eastAsia="zh-CN"/>
              </w:rPr>
              <w:t>灯照明，经过防尘、无静电处理。</w:t>
            </w:r>
          </w:p>
          <w:p w14:paraId="09179CAB">
            <w:pPr>
              <w:pStyle w:val="22"/>
              <w:shd w:val="clear" w:color="auto" w:fill="FFFFFF"/>
              <w:spacing w:before="0" w:beforeAutospacing="0" w:after="0" w:afterAutospacing="0"/>
              <w:jc w:val="left"/>
              <w:rPr>
                <w:rFonts w:hint="eastAsia"/>
                <w:color w:val="auto"/>
                <w:sz w:val="22"/>
                <w:szCs w:val="22"/>
                <w:highlight w:val="none"/>
                <w:lang w:eastAsia="zh-CN"/>
              </w:rPr>
            </w:pPr>
            <w:r>
              <w:rPr>
                <w:color w:val="auto"/>
                <w:sz w:val="22"/>
                <w:szCs w:val="22"/>
                <w:highlight w:val="none"/>
                <w:lang w:eastAsia="zh-CN"/>
              </w:rPr>
              <w:t>12</w:t>
            </w:r>
            <w:r>
              <w:rPr>
                <w:rFonts w:hint="eastAsia"/>
                <w:color w:val="auto"/>
                <w:sz w:val="22"/>
                <w:szCs w:val="22"/>
                <w:highlight w:val="none"/>
                <w:lang w:eastAsia="zh-CN"/>
              </w:rPr>
              <w:t>、轿厢通风系统：轿顶风口送风</w:t>
            </w:r>
          </w:p>
          <w:p w14:paraId="22DEBA83">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eastAsia="zh-CN"/>
              </w:rPr>
              <w:t>六、售后服务及其他要求</w:t>
            </w:r>
          </w:p>
          <w:p w14:paraId="066631E6">
            <w:pPr>
              <w:pStyle w:val="22"/>
              <w:shd w:val="clear" w:color="auto" w:fill="FFFFFF"/>
              <w:spacing w:before="0" w:beforeAutospacing="0" w:after="0" w:afterAutospacing="0"/>
              <w:jc w:val="left"/>
              <w:rPr>
                <w:rFonts w:hint="eastAsia"/>
                <w:color w:val="auto"/>
                <w:sz w:val="22"/>
                <w:szCs w:val="22"/>
                <w:highlight w:val="none"/>
                <w:lang w:val="en-US" w:eastAsia="zh-CN"/>
              </w:rPr>
            </w:pPr>
            <w:r>
              <w:rPr>
                <w:rFonts w:hint="eastAsia"/>
                <w:color w:val="auto"/>
                <w:sz w:val="22"/>
                <w:szCs w:val="22"/>
                <w:highlight w:val="none"/>
                <w:lang w:val="en-US" w:eastAsia="zh-CN"/>
              </w:rPr>
              <w:t>一、</w:t>
            </w:r>
            <w:r>
              <w:rPr>
                <w:rFonts w:hint="eastAsia"/>
                <w:color w:val="auto"/>
                <w:sz w:val="22"/>
                <w:szCs w:val="22"/>
                <w:highlight w:val="none"/>
                <w:lang w:eastAsia="zh-CN"/>
              </w:rPr>
              <w:t>基本要求</w:t>
            </w:r>
          </w:p>
          <w:p w14:paraId="7DC001CB">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1</w:t>
            </w:r>
            <w:r>
              <w:rPr>
                <w:rFonts w:hint="eastAsia"/>
                <w:color w:val="auto"/>
                <w:sz w:val="22"/>
                <w:szCs w:val="22"/>
                <w:highlight w:val="none"/>
                <w:lang w:eastAsia="zh-CN"/>
              </w:rPr>
              <w:t>、竣工时，采购人按照制造厂提供的性能指标及我国有关制造标准验收。</w:t>
            </w:r>
          </w:p>
          <w:p w14:paraId="752BB764">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2</w:t>
            </w:r>
            <w:r>
              <w:rPr>
                <w:rFonts w:hint="eastAsia"/>
                <w:color w:val="auto"/>
                <w:sz w:val="22"/>
                <w:szCs w:val="22"/>
                <w:highlight w:val="none"/>
                <w:lang w:eastAsia="zh-CN"/>
              </w:rPr>
              <w:t>、安装要求：供应商承包电梯报装、安装调试及报验，在施工、安装、调试等全过程中接受用户的监督并对工程进度、安全、质量负责，应能满足制造方提供的各项指标和我国电梯的相关规范。</w:t>
            </w:r>
          </w:p>
          <w:p w14:paraId="077C2535">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3</w:t>
            </w:r>
            <w:r>
              <w:rPr>
                <w:rFonts w:hint="eastAsia"/>
                <w:color w:val="auto"/>
                <w:sz w:val="22"/>
                <w:szCs w:val="22"/>
                <w:highlight w:val="none"/>
                <w:lang w:eastAsia="zh-CN"/>
              </w:rPr>
              <w:t>、竞标人在交货时必须提供该产品的产品合格证书、检测报告等。</w:t>
            </w:r>
          </w:p>
          <w:p w14:paraId="6180E1E4">
            <w:pPr>
              <w:pStyle w:val="22"/>
              <w:shd w:val="clear" w:color="auto" w:fill="FFFFFF"/>
              <w:spacing w:before="0" w:beforeAutospacing="0" w:after="0" w:afterAutospacing="0"/>
              <w:jc w:val="left"/>
              <w:rPr>
                <w:color w:val="auto"/>
                <w:sz w:val="22"/>
                <w:szCs w:val="22"/>
                <w:highlight w:val="none"/>
                <w:lang w:eastAsia="zh-CN"/>
              </w:rPr>
            </w:pPr>
            <w:r>
              <w:rPr>
                <w:color w:val="auto"/>
                <w:sz w:val="22"/>
                <w:szCs w:val="22"/>
                <w:highlight w:val="none"/>
                <w:lang w:eastAsia="zh-CN"/>
              </w:rPr>
              <w:t>4</w:t>
            </w:r>
            <w:r>
              <w:rPr>
                <w:rFonts w:hint="eastAsia"/>
                <w:color w:val="auto"/>
                <w:sz w:val="22"/>
                <w:szCs w:val="22"/>
                <w:highlight w:val="none"/>
                <w:lang w:eastAsia="zh-CN"/>
              </w:rPr>
              <w:t>、竞标人或生产厂家设有零配件储备仓库常年备有充足的电梯配件并提供相应证明（需提供仓库配件相应图片及配件清单并加盖竞标人公章）。</w:t>
            </w:r>
          </w:p>
          <w:p w14:paraId="733AF76F">
            <w:pPr>
              <w:pStyle w:val="22"/>
              <w:shd w:val="clear" w:color="auto" w:fill="FFFFFF"/>
              <w:spacing w:before="0" w:beforeAutospacing="0" w:after="0" w:afterAutospacing="0"/>
              <w:jc w:val="left"/>
              <w:rPr>
                <w:rFonts w:hint="eastAsia"/>
                <w:color w:val="auto"/>
                <w:sz w:val="22"/>
                <w:szCs w:val="22"/>
                <w:highlight w:val="none"/>
                <w:lang w:eastAsia="zh-CN"/>
              </w:rPr>
            </w:pPr>
            <w:r>
              <w:rPr>
                <w:rFonts w:hint="eastAsia"/>
                <w:color w:val="auto"/>
                <w:sz w:val="22"/>
                <w:szCs w:val="22"/>
                <w:highlight w:val="none"/>
                <w:lang w:eastAsia="zh-CN"/>
              </w:rPr>
              <w:t>七、交付使用期：签订合同之日起</w:t>
            </w:r>
            <w:r>
              <w:rPr>
                <w:color w:val="auto"/>
                <w:sz w:val="22"/>
                <w:szCs w:val="22"/>
                <w:highlight w:val="none"/>
                <w:lang w:eastAsia="zh-CN"/>
              </w:rPr>
              <w:t>30</w:t>
            </w:r>
            <w:r>
              <w:rPr>
                <w:rFonts w:hint="eastAsia"/>
                <w:color w:val="auto"/>
                <w:sz w:val="22"/>
                <w:szCs w:val="22"/>
                <w:highlight w:val="none"/>
                <w:lang w:eastAsia="zh-CN"/>
              </w:rPr>
              <w:t>日历天内。</w:t>
            </w:r>
          </w:p>
          <w:p w14:paraId="0C89FA39">
            <w:pPr>
              <w:pStyle w:val="22"/>
              <w:shd w:val="clear" w:color="auto" w:fill="FFFFFF"/>
              <w:spacing w:before="0" w:beforeAutospacing="0" w:after="0" w:afterAutospacing="0"/>
              <w:rPr>
                <w:rFonts w:hint="eastAsia" w:ascii="宋体" w:hAnsi="宋体" w:eastAsia="宋体"/>
                <w:color w:val="auto"/>
                <w:sz w:val="21"/>
                <w:szCs w:val="21"/>
                <w:highlight w:val="none"/>
                <w:lang w:val="en-US" w:eastAsia="zh-CN"/>
              </w:rPr>
            </w:pPr>
          </w:p>
        </w:tc>
      </w:tr>
      <w:tr w14:paraId="6B3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5" w:type="dxa"/>
            <w:gridSpan w:val="5"/>
            <w:vAlign w:val="center"/>
          </w:tcPr>
          <w:p w14:paraId="7AB4F09F">
            <w:pPr>
              <w:widowControl/>
              <w:tabs>
                <w:tab w:val="left" w:pos="2132"/>
              </w:tabs>
              <w:jc w:val="center"/>
              <w:rPr>
                <w:rFonts w:hint="eastAsia" w:ascii="宋体" w:hAnsi="宋体" w:eastAsia="宋体"/>
                <w:b/>
                <w:bCs/>
                <w:color w:val="auto"/>
                <w:kern w:val="0"/>
                <w:sz w:val="21"/>
                <w:szCs w:val="21"/>
                <w:highlight w:val="none"/>
                <w:lang w:bidi="ar"/>
              </w:rPr>
            </w:pPr>
            <w:r>
              <w:rPr>
                <w:rFonts w:hint="eastAsia" w:ascii="宋体" w:hAnsi="宋体" w:eastAsia="宋体"/>
                <w:b/>
                <w:bCs/>
                <w:color w:val="auto"/>
                <w:kern w:val="0"/>
                <w:sz w:val="21"/>
                <w:szCs w:val="21"/>
                <w:highlight w:val="none"/>
                <w:lang w:bidi="ar"/>
              </w:rPr>
              <w:t>总计金额</w:t>
            </w:r>
          </w:p>
        </w:tc>
        <w:tc>
          <w:tcPr>
            <w:tcW w:w="6965" w:type="dxa"/>
            <w:gridSpan w:val="2"/>
            <w:vAlign w:val="center"/>
          </w:tcPr>
          <w:p w14:paraId="0718D9AB">
            <w:pPr>
              <w:widowControl/>
              <w:jc w:val="center"/>
              <w:rPr>
                <w:rFonts w:hint="eastAsia" w:ascii="宋体" w:hAnsi="宋体" w:eastAsia="宋体"/>
                <w:b/>
                <w:bCs/>
                <w:color w:val="auto"/>
                <w:sz w:val="21"/>
                <w:szCs w:val="21"/>
                <w:highlight w:val="none"/>
                <w:lang w:val="en-US" w:eastAsia="zh-CN"/>
              </w:rPr>
            </w:pPr>
            <w:r>
              <w:rPr>
                <w:rFonts w:hint="eastAsia" w:ascii="宋体" w:hAnsi="宋体" w:eastAsia="宋体"/>
                <w:b/>
                <w:bCs/>
                <w:color w:val="auto"/>
                <w:sz w:val="21"/>
                <w:szCs w:val="21"/>
                <w:highlight w:val="none"/>
                <w:lang w:val="en-US" w:eastAsia="zh-CN"/>
              </w:rPr>
              <w:t>398</w:t>
            </w:r>
            <w:r>
              <w:rPr>
                <w:rFonts w:hint="eastAsia" w:ascii="宋体" w:hAnsi="宋体"/>
                <w:b/>
                <w:bCs/>
                <w:color w:val="auto"/>
                <w:sz w:val="21"/>
                <w:szCs w:val="21"/>
                <w:highlight w:val="none"/>
                <w:lang w:val="en-US" w:eastAsia="zh-CN"/>
              </w:rPr>
              <w:t>0</w:t>
            </w:r>
            <w:r>
              <w:rPr>
                <w:rFonts w:hint="eastAsia" w:ascii="宋体" w:hAnsi="宋体" w:eastAsia="宋体"/>
                <w:b/>
                <w:bCs/>
                <w:color w:val="auto"/>
                <w:sz w:val="21"/>
                <w:szCs w:val="21"/>
                <w:highlight w:val="none"/>
                <w:lang w:val="en-US" w:eastAsia="zh-CN"/>
              </w:rPr>
              <w:t>00</w:t>
            </w:r>
            <w:r>
              <w:rPr>
                <w:rFonts w:hint="eastAsia" w:ascii="宋体" w:hAnsi="宋体" w:eastAsia="宋体"/>
                <w:b/>
                <w:bCs/>
                <w:color w:val="auto"/>
                <w:sz w:val="21"/>
                <w:szCs w:val="21"/>
                <w:highlight w:val="none"/>
              </w:rPr>
              <w:t>元</w:t>
            </w:r>
          </w:p>
        </w:tc>
      </w:tr>
      <w:tr w14:paraId="14D1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0" w:type="dxa"/>
            <w:gridSpan w:val="7"/>
            <w:vAlign w:val="top"/>
          </w:tcPr>
          <w:p w14:paraId="161CBEA5">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二、商务要求</w:t>
            </w:r>
          </w:p>
        </w:tc>
      </w:tr>
      <w:tr w14:paraId="2481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gridSpan w:val="2"/>
            <w:vAlign w:val="center"/>
          </w:tcPr>
          <w:p w14:paraId="6DC3B2C1">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竞标报价要求</w:t>
            </w:r>
          </w:p>
        </w:tc>
        <w:tc>
          <w:tcPr>
            <w:tcW w:w="9405" w:type="dxa"/>
            <w:gridSpan w:val="5"/>
            <w:vAlign w:val="center"/>
          </w:tcPr>
          <w:p w14:paraId="645FF1BD">
            <w:pPr>
              <w:rPr>
                <w:rFonts w:hint="eastAsia" w:ascii="宋体" w:hAnsi="宋体" w:eastAsia="宋体"/>
                <w:b w:val="0"/>
                <w:color w:val="auto"/>
                <w:kern w:val="2"/>
                <w:sz w:val="21"/>
                <w:szCs w:val="21"/>
                <w:highlight w:val="none"/>
                <w:lang w:val="en-US" w:eastAsia="zh-CN" w:bidi="ar-SA"/>
              </w:rPr>
            </w:pPr>
            <w:r>
              <w:rPr>
                <w:rFonts w:hint="eastAsia" w:ascii="宋体" w:hAnsi="宋体" w:eastAsia="宋体"/>
                <w:b w:val="0"/>
                <w:color w:val="auto"/>
                <w:kern w:val="2"/>
                <w:sz w:val="21"/>
                <w:szCs w:val="21"/>
                <w:highlight w:val="none"/>
                <w:lang w:val="en-US" w:eastAsia="zh-CN" w:bidi="ar-SA"/>
              </w:rPr>
              <w:t>本项目报价包括：电梯、随配附件、备品备件、易损件、专用工具、土建整改（含回填、修补）以及检测和运杂费、保险费、售后服务、税金，及其他所有成本费用等运抵指定交货地点安装、调试、验收（含报装、报验）以</w:t>
            </w:r>
            <w:r>
              <w:rPr>
                <w:rFonts w:hint="eastAsia" w:ascii="宋体" w:hAnsi="宋体" w:eastAsia="宋体"/>
                <w:b/>
                <w:bCs/>
                <w:color w:val="0000FF"/>
                <w:kern w:val="2"/>
                <w:sz w:val="21"/>
                <w:szCs w:val="21"/>
                <w:highlight w:val="none"/>
                <w:lang w:val="en-US" w:eastAsia="zh-CN" w:bidi="ar-SA"/>
              </w:rPr>
              <w:t>及原有旧电梯保护性拆卸）所有一切费用的总和，属交钥匙工程。</w:t>
            </w:r>
          </w:p>
          <w:p w14:paraId="6D9FAD19">
            <w:pPr>
              <w:rPr>
                <w:rFonts w:hint="eastAsia" w:ascii="宋体" w:hAnsi="宋体" w:eastAsia="宋体"/>
                <w:b w:val="0"/>
                <w:color w:val="auto"/>
                <w:kern w:val="2"/>
                <w:sz w:val="21"/>
                <w:szCs w:val="21"/>
                <w:highlight w:val="none"/>
                <w:lang w:val="en-US" w:eastAsia="zh-CN" w:bidi="ar-SA"/>
              </w:rPr>
            </w:pPr>
            <w:r>
              <w:rPr>
                <w:rFonts w:hint="eastAsia" w:ascii="宋体" w:hAnsi="宋体" w:eastAsia="宋体"/>
                <w:b w:val="0"/>
                <w:color w:val="auto"/>
                <w:kern w:val="2"/>
                <w:sz w:val="21"/>
                <w:szCs w:val="21"/>
                <w:highlight w:val="none"/>
                <w:lang w:val="en-US" w:eastAsia="zh-CN" w:bidi="ar-SA"/>
              </w:rPr>
              <w:t>（1）竞标供应商自行考虑完成项目所需的辅材、杂配件等数量，投标报价中应包含全部内容，成交后采购人不再另行支付额外费用。</w:t>
            </w:r>
          </w:p>
          <w:p w14:paraId="69889546">
            <w:pPr>
              <w:rPr>
                <w:rFonts w:hint="eastAsia" w:ascii="宋体" w:hAnsi="宋体" w:eastAsia="宋体"/>
                <w:b w:val="0"/>
                <w:color w:val="auto"/>
                <w:kern w:val="2"/>
                <w:sz w:val="21"/>
                <w:szCs w:val="21"/>
                <w:highlight w:val="none"/>
                <w:lang w:val="en-US" w:eastAsia="zh-CN" w:bidi="ar-SA"/>
              </w:rPr>
            </w:pPr>
            <w:r>
              <w:rPr>
                <w:rFonts w:hint="eastAsia" w:ascii="宋体" w:hAnsi="宋体" w:eastAsia="宋体"/>
                <w:b w:val="0"/>
                <w:color w:val="auto"/>
                <w:kern w:val="2"/>
                <w:sz w:val="21"/>
                <w:szCs w:val="21"/>
                <w:highlight w:val="none"/>
                <w:lang w:val="en-US" w:eastAsia="zh-CN" w:bidi="ar-SA"/>
              </w:rPr>
              <w:t>（2）竞标供应商的投标总报价≤采购预算。</w:t>
            </w:r>
          </w:p>
        </w:tc>
      </w:tr>
      <w:tr w14:paraId="4EED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gridSpan w:val="2"/>
            <w:vAlign w:val="center"/>
          </w:tcPr>
          <w:p w14:paraId="0B6134F2">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竞标人资格要求</w:t>
            </w:r>
          </w:p>
        </w:tc>
        <w:tc>
          <w:tcPr>
            <w:tcW w:w="9405" w:type="dxa"/>
            <w:gridSpan w:val="5"/>
            <w:vAlign w:val="center"/>
          </w:tcPr>
          <w:p w14:paraId="203388F8">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1）符合《中华人民共和国政府采购法》第二十二条的规定。</w:t>
            </w:r>
          </w:p>
          <w:p w14:paraId="5B2D04CB">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2）已在政采云平台系统注册。</w:t>
            </w:r>
          </w:p>
          <w:p w14:paraId="6305482A">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对在“信用中国”网站(www.creditchina.gov.cn)、中国政府采购网(www.ccgp.gov.cn)等渠道列入失信被执行人、重大税收违法案件当事人名单、政府采购严重违法失信行为记录名单的供应商，不得参与本项目政府采购活动。</w:t>
            </w:r>
          </w:p>
          <w:p w14:paraId="272365E9">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w:t>
            </w:r>
            <w:r>
              <w:rPr>
                <w:rFonts w:hint="eastAsia" w:ascii="宋体" w:hAnsi="宋体" w:eastAsia="宋体"/>
                <w:b/>
                <w:bCs/>
                <w:color w:val="auto"/>
                <w:sz w:val="21"/>
                <w:szCs w:val="21"/>
                <w:highlight w:val="none"/>
              </w:rPr>
              <w:t>符合实施本项目的特定资质：</w:t>
            </w:r>
          </w:p>
          <w:p w14:paraId="7C758DD7">
            <w:pPr>
              <w:numPr>
                <w:ilvl w:val="0"/>
                <w:numId w:val="5"/>
              </w:numPr>
              <w:ind w:left="0" w:leftChars="0" w:firstLine="422" w:firstLineChars="200"/>
              <w:rPr>
                <w:rFonts w:hint="eastAsia" w:ascii="宋体" w:hAnsi="宋体" w:eastAsia="宋体"/>
                <w:b/>
                <w:bCs/>
                <w:i w:val="0"/>
                <w:iCs w:val="0"/>
                <w:color w:val="auto"/>
                <w:sz w:val="21"/>
                <w:szCs w:val="21"/>
                <w:highlight w:val="none"/>
              </w:rPr>
            </w:pPr>
            <w:r>
              <w:rPr>
                <w:rFonts w:hint="eastAsia" w:ascii="宋体" w:hAnsi="宋体" w:eastAsia="宋体"/>
                <w:b/>
                <w:bCs/>
                <w:i w:val="0"/>
                <w:iCs w:val="0"/>
                <w:color w:val="auto"/>
                <w:sz w:val="21"/>
                <w:szCs w:val="21"/>
                <w:highlight w:val="none"/>
              </w:rPr>
              <w:t>投标人必须具有《中华人民共和国特种设备安装改造维修许可证（电梯）》安装、维修</w:t>
            </w:r>
            <w:r>
              <w:rPr>
                <w:rFonts w:hint="eastAsia" w:ascii="宋体" w:hAnsi="宋体" w:eastAsia="宋体"/>
                <w:b/>
                <w:bCs/>
                <w:i w:val="0"/>
                <w:iCs w:val="0"/>
                <w:color w:val="auto"/>
                <w:sz w:val="21"/>
                <w:szCs w:val="21"/>
                <w:highlight w:val="none"/>
                <w:lang w:val="en-US" w:eastAsia="zh-CN"/>
              </w:rPr>
              <w:t>B</w:t>
            </w:r>
            <w:r>
              <w:rPr>
                <w:rFonts w:hint="eastAsia" w:ascii="宋体" w:hAnsi="宋体" w:eastAsia="宋体"/>
                <w:b/>
                <w:bCs/>
                <w:i w:val="0"/>
                <w:iCs w:val="0"/>
                <w:color w:val="auto"/>
                <w:sz w:val="21"/>
                <w:szCs w:val="21"/>
                <w:highlight w:val="none"/>
              </w:rPr>
              <w:t>级</w:t>
            </w:r>
            <w:r>
              <w:rPr>
                <w:rFonts w:hint="eastAsia" w:ascii="宋体" w:hAnsi="宋体"/>
                <w:b/>
                <w:bCs/>
                <w:i w:val="0"/>
                <w:iCs w:val="0"/>
                <w:color w:val="auto"/>
                <w:sz w:val="21"/>
                <w:szCs w:val="21"/>
                <w:highlight w:val="none"/>
                <w:lang w:val="en-US" w:eastAsia="zh-CN"/>
              </w:rPr>
              <w:t>及以上</w:t>
            </w:r>
            <w:r>
              <w:rPr>
                <w:rFonts w:hint="eastAsia" w:ascii="宋体" w:hAnsi="宋体" w:eastAsia="宋体"/>
                <w:b/>
                <w:bCs/>
                <w:i w:val="0"/>
                <w:iCs w:val="0"/>
                <w:color w:val="auto"/>
                <w:sz w:val="21"/>
                <w:szCs w:val="21"/>
                <w:highlight w:val="none"/>
              </w:rPr>
              <w:t>证书或《中华人民共和国特种设备生产许可证》证书。投标产品生产厂家必须具有《中华人民共和国特种设备制造许可证（电梯）》</w:t>
            </w:r>
            <w:r>
              <w:rPr>
                <w:rFonts w:hint="eastAsia" w:ascii="宋体" w:hAnsi="宋体" w:eastAsia="宋体"/>
                <w:b/>
                <w:bCs/>
                <w:i w:val="0"/>
                <w:iCs w:val="0"/>
                <w:color w:val="auto"/>
                <w:sz w:val="21"/>
                <w:szCs w:val="21"/>
                <w:highlight w:val="none"/>
                <w:lang w:val="en-US" w:eastAsia="zh-CN"/>
              </w:rPr>
              <w:t>B</w:t>
            </w:r>
            <w:r>
              <w:rPr>
                <w:rFonts w:hint="eastAsia" w:ascii="宋体" w:hAnsi="宋体" w:eastAsia="宋体"/>
                <w:b/>
                <w:bCs/>
                <w:i w:val="0"/>
                <w:iCs w:val="0"/>
                <w:color w:val="auto"/>
                <w:sz w:val="21"/>
                <w:szCs w:val="21"/>
                <w:highlight w:val="none"/>
              </w:rPr>
              <w:t>级证书或《中华人民共和国特种设备生产许可证》证书（含电梯制造）。签订合同前需提供</w:t>
            </w:r>
            <w:r>
              <w:rPr>
                <w:rFonts w:hint="eastAsia" w:ascii="宋体" w:hAnsi="宋体" w:eastAsia="宋体"/>
                <w:b/>
                <w:bCs/>
                <w:i w:val="0"/>
                <w:iCs w:val="0"/>
                <w:color w:val="auto"/>
                <w:sz w:val="21"/>
                <w:szCs w:val="21"/>
                <w:highlight w:val="none"/>
                <w:lang w:eastAsia="zh-CN"/>
              </w:rPr>
              <w:t>资质</w:t>
            </w:r>
            <w:r>
              <w:rPr>
                <w:rFonts w:hint="eastAsia" w:ascii="宋体" w:hAnsi="宋体" w:eastAsia="宋体"/>
                <w:b/>
                <w:bCs/>
                <w:i w:val="0"/>
                <w:iCs w:val="0"/>
                <w:color w:val="auto"/>
                <w:sz w:val="21"/>
                <w:szCs w:val="21"/>
                <w:highlight w:val="none"/>
              </w:rPr>
              <w:t>复印件并加盖竞标人公章，原件备查。</w:t>
            </w:r>
          </w:p>
          <w:p w14:paraId="11396203">
            <w:pPr>
              <w:numPr>
                <w:ilvl w:val="0"/>
                <w:numId w:val="5"/>
              </w:numPr>
              <w:ind w:left="0" w:leftChars="0"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竞标人若为代理商的，货到工地时必须提供生产厂家盖章的针对本项目出具的供货证明原件及厂家盖章确认的针对本项目的售后服务承诺书原件。成交供应商未按上述要求提交资料的，采购单位可视为其</w:t>
            </w:r>
            <w:r>
              <w:rPr>
                <w:rFonts w:hint="eastAsia" w:ascii="宋体" w:hAnsi="宋体" w:eastAsia="宋体"/>
                <w:b/>
                <w:bCs/>
                <w:color w:val="auto"/>
                <w:sz w:val="21"/>
                <w:szCs w:val="21"/>
                <w:highlight w:val="none"/>
                <w:lang w:eastAsia="zh-CN"/>
              </w:rPr>
              <w:t>货物不满足采购需求</w:t>
            </w:r>
            <w:r>
              <w:rPr>
                <w:rFonts w:hint="eastAsia" w:ascii="宋体" w:hAnsi="宋体" w:eastAsia="宋体"/>
                <w:b/>
                <w:bCs/>
                <w:color w:val="auto"/>
                <w:sz w:val="21"/>
                <w:szCs w:val="21"/>
                <w:highlight w:val="none"/>
              </w:rPr>
              <w:t>不予</w:t>
            </w:r>
            <w:r>
              <w:rPr>
                <w:rFonts w:hint="eastAsia" w:ascii="宋体" w:hAnsi="宋体" w:eastAsia="宋体"/>
                <w:b/>
                <w:bCs/>
                <w:color w:val="auto"/>
                <w:sz w:val="21"/>
                <w:szCs w:val="21"/>
                <w:highlight w:val="none"/>
                <w:lang w:eastAsia="zh-CN"/>
              </w:rPr>
              <w:t>验收</w:t>
            </w:r>
            <w:r>
              <w:rPr>
                <w:rFonts w:hint="eastAsia" w:ascii="宋体" w:hAnsi="宋体" w:eastAsia="宋体"/>
                <w:b/>
                <w:bCs/>
                <w:color w:val="auto"/>
                <w:sz w:val="21"/>
                <w:szCs w:val="21"/>
                <w:highlight w:val="none"/>
              </w:rPr>
              <w:t>，采购单位有权追偿成交供应商所造成的损失。</w:t>
            </w:r>
          </w:p>
          <w:p w14:paraId="245D21A9">
            <w:pPr>
              <w:numPr>
                <w:ilvl w:val="0"/>
                <w:numId w:val="0"/>
              </w:numPr>
              <w:rPr>
                <w:rFonts w:hint="eastAsia"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5）竞标时需提供厂家针对本项目的专项授权书</w:t>
            </w:r>
            <w:r>
              <w:rPr>
                <w:rFonts w:hint="eastAsia" w:ascii="宋体" w:hAnsi="宋体" w:eastAsia="宋体"/>
                <w:b/>
                <w:bCs/>
                <w:color w:val="auto"/>
                <w:sz w:val="21"/>
                <w:szCs w:val="21"/>
                <w:highlight w:val="none"/>
              </w:rPr>
              <w:t xml:space="preserve"> </w:t>
            </w:r>
          </w:p>
          <w:p w14:paraId="74814089">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备注：签订合同前成交供应商必须向采购人提交提供特定资质相关有效证明材料并加盖其单位公章，否则不予签订合同。</w:t>
            </w:r>
          </w:p>
        </w:tc>
      </w:tr>
      <w:tr w14:paraId="164C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gridSpan w:val="2"/>
            <w:vAlign w:val="center"/>
          </w:tcPr>
          <w:p w14:paraId="4606AAF7">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合同签订期及地点</w:t>
            </w:r>
          </w:p>
        </w:tc>
        <w:tc>
          <w:tcPr>
            <w:tcW w:w="9405" w:type="dxa"/>
            <w:gridSpan w:val="5"/>
            <w:vAlign w:val="center"/>
          </w:tcPr>
          <w:p w14:paraId="6B6F6FEB">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1）合同签订期：成交通知书发出之日起25个自然日内。</w:t>
            </w:r>
          </w:p>
          <w:p w14:paraId="4896239F">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2）合同签订地点：采购人指定地点。</w:t>
            </w:r>
          </w:p>
        </w:tc>
      </w:tr>
      <w:tr w14:paraId="6EF8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gridSpan w:val="2"/>
            <w:vAlign w:val="center"/>
          </w:tcPr>
          <w:p w14:paraId="577A9A1B">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交付使用期及交货地点</w:t>
            </w:r>
          </w:p>
        </w:tc>
        <w:tc>
          <w:tcPr>
            <w:tcW w:w="9405" w:type="dxa"/>
            <w:gridSpan w:val="5"/>
            <w:vAlign w:val="center"/>
          </w:tcPr>
          <w:p w14:paraId="43742BFE">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1）交付使用时间：</w:t>
            </w:r>
            <w:r>
              <w:rPr>
                <w:rFonts w:hint="eastAsia" w:ascii="宋体" w:hAnsi="宋体"/>
                <w:color w:val="auto"/>
                <w:szCs w:val="21"/>
                <w:highlight w:val="none"/>
              </w:rPr>
              <w:t>自采购人通知供货之日起</w:t>
            </w:r>
            <w:r>
              <w:rPr>
                <w:rFonts w:hint="eastAsia" w:ascii="宋体" w:hAnsi="宋体"/>
                <w:color w:val="auto"/>
                <w:szCs w:val="21"/>
                <w:highlight w:val="none"/>
                <w:lang w:val="en-US" w:eastAsia="zh-CN"/>
              </w:rPr>
              <w:t>30</w:t>
            </w:r>
            <w:r>
              <w:rPr>
                <w:rFonts w:hint="eastAsia" w:ascii="宋体" w:hAnsi="宋体"/>
                <w:color w:val="auto"/>
                <w:szCs w:val="21"/>
                <w:highlight w:val="none"/>
              </w:rPr>
              <w:t>天内送货安装调试完毕，等待验收。</w:t>
            </w:r>
          </w:p>
          <w:p w14:paraId="728950F2">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2）交货地点：采购人指定地点。</w:t>
            </w:r>
          </w:p>
        </w:tc>
      </w:tr>
      <w:tr w14:paraId="0AF0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gridSpan w:val="2"/>
            <w:vAlign w:val="center"/>
          </w:tcPr>
          <w:p w14:paraId="3806FABC">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踏勘</w:t>
            </w:r>
            <w:r>
              <w:rPr>
                <w:rFonts w:hint="eastAsia" w:ascii="宋体" w:hAnsi="宋体" w:eastAsia="宋体"/>
                <w:color w:val="auto"/>
                <w:sz w:val="21"/>
                <w:szCs w:val="21"/>
                <w:highlight w:val="none"/>
                <w:lang w:eastAsia="zh-CN"/>
              </w:rPr>
              <w:t>要求</w:t>
            </w:r>
          </w:p>
        </w:tc>
        <w:tc>
          <w:tcPr>
            <w:tcW w:w="9405" w:type="dxa"/>
            <w:gridSpan w:val="5"/>
            <w:vAlign w:val="center"/>
          </w:tcPr>
          <w:p w14:paraId="13297CCE">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现场踏勘：</w:t>
            </w:r>
          </w:p>
          <w:p w14:paraId="32526FBE">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为保证供应商对整个项目有全面的了解，供应商自行现场踏勘，否则由于了解不透切导致投标失误的后果由供应商自行承担，现场踏勘所发生的一切费用均由供应商自行承担。</w:t>
            </w:r>
          </w:p>
        </w:tc>
      </w:tr>
      <w:tr w14:paraId="6FC8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gridSpan w:val="2"/>
            <w:vAlign w:val="center"/>
          </w:tcPr>
          <w:p w14:paraId="3120E9BE">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付款条件（付款方式）</w:t>
            </w:r>
          </w:p>
        </w:tc>
        <w:tc>
          <w:tcPr>
            <w:tcW w:w="9405" w:type="dxa"/>
            <w:gridSpan w:val="5"/>
            <w:vAlign w:val="center"/>
          </w:tcPr>
          <w:p w14:paraId="5CC5340D">
            <w:pPr>
              <w:rPr>
                <w:rFonts w:hint="eastAsia" w:ascii="宋体" w:hAnsi="宋体" w:eastAsia="宋体"/>
                <w:color w:val="auto"/>
                <w:sz w:val="21"/>
                <w:szCs w:val="21"/>
                <w:highlight w:val="none"/>
              </w:rPr>
            </w:pPr>
            <w:r>
              <w:rPr>
                <w:rFonts w:hint="default" w:ascii="宋体" w:hAnsi="宋体" w:eastAsia="宋体"/>
                <w:color w:val="auto"/>
                <w:sz w:val="21"/>
                <w:szCs w:val="21"/>
                <w:highlight w:val="none"/>
                <w:lang w:val="en-US" w:eastAsia="zh-CN"/>
              </w:rPr>
              <w:t>付款方式​</w:t>
            </w:r>
          </w:p>
          <w:p w14:paraId="4EA6D013">
            <w:pPr>
              <w:rPr>
                <w:rFonts w:hint="eastAsia" w:ascii="宋体" w:hAnsi="宋体" w:eastAsia="宋体"/>
                <w:color w:val="auto"/>
                <w:sz w:val="21"/>
                <w:szCs w:val="21"/>
                <w:highlight w:val="none"/>
              </w:rPr>
            </w:pPr>
            <w:r>
              <w:rPr>
                <w:rFonts w:hint="default" w:ascii="宋体" w:hAnsi="宋体" w:eastAsia="宋体"/>
                <w:color w:val="auto"/>
                <w:sz w:val="21"/>
                <w:szCs w:val="21"/>
                <w:highlight w:val="none"/>
              </w:rPr>
              <w:t>预付款（40%）：合同签订后，投标人提交发票及付款材料，采购人审批后 15 个工作日内支付。​</w:t>
            </w:r>
          </w:p>
          <w:p w14:paraId="4FFF169E">
            <w:pPr>
              <w:rPr>
                <w:rFonts w:hint="eastAsia" w:ascii="宋体" w:hAnsi="宋体" w:eastAsia="宋体"/>
                <w:color w:val="auto"/>
                <w:sz w:val="21"/>
                <w:szCs w:val="21"/>
                <w:highlight w:val="none"/>
              </w:rPr>
            </w:pPr>
            <w:r>
              <w:rPr>
                <w:rFonts w:hint="default" w:ascii="宋体" w:hAnsi="宋体" w:eastAsia="宋体"/>
                <w:color w:val="auto"/>
                <w:sz w:val="21"/>
                <w:szCs w:val="21"/>
                <w:highlight w:val="none"/>
              </w:rPr>
              <w:t>剩余款项（60%）：电梯验收合格，供应商提供《电梯使用标志》《特种设备使用登记证》及对应发票，采购人审批后分期</w:t>
            </w:r>
            <w:r>
              <w:rPr>
                <w:rFonts w:hint="eastAsia" w:ascii="宋体" w:hAnsi="宋体"/>
                <w:color w:val="auto"/>
                <w:sz w:val="21"/>
                <w:szCs w:val="21"/>
                <w:highlight w:val="none"/>
                <w:lang w:val="en-US" w:eastAsia="zh-CN"/>
              </w:rPr>
              <w:t>支</w:t>
            </w:r>
            <w:r>
              <w:rPr>
                <w:rFonts w:hint="default" w:ascii="宋体" w:hAnsi="宋体" w:eastAsia="宋体"/>
                <w:color w:val="auto"/>
                <w:sz w:val="21"/>
                <w:szCs w:val="21"/>
                <w:highlight w:val="none"/>
              </w:rPr>
              <w:t>付</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1年半内付清</w:t>
            </w:r>
            <w:r>
              <w:rPr>
                <w:rFonts w:hint="eastAsia" w:ascii="宋体" w:hAnsi="宋体"/>
                <w:color w:val="auto"/>
                <w:sz w:val="21"/>
                <w:szCs w:val="21"/>
                <w:highlight w:val="none"/>
                <w:lang w:eastAsia="zh-CN"/>
              </w:rPr>
              <w:t>）</w:t>
            </w:r>
            <w:r>
              <w:rPr>
                <w:rFonts w:hint="default" w:ascii="宋体" w:hAnsi="宋体" w:eastAsia="宋体"/>
                <w:color w:val="auto"/>
                <w:sz w:val="21"/>
                <w:szCs w:val="21"/>
                <w:highlight w:val="none"/>
              </w:rPr>
              <w:t>：​</w:t>
            </w:r>
          </w:p>
          <w:p w14:paraId="46C84466">
            <w:pPr>
              <w:rPr>
                <w:rFonts w:hint="default" w:ascii="宋体" w:hAnsi="宋体" w:eastAsia="宋体"/>
                <w:color w:val="auto"/>
                <w:sz w:val="21"/>
                <w:szCs w:val="21"/>
                <w:highlight w:val="none"/>
              </w:rPr>
            </w:pPr>
            <w:r>
              <w:rPr>
                <w:rFonts w:hint="default" w:ascii="宋体" w:hAnsi="宋体" w:eastAsia="宋体"/>
                <w:color w:val="auto"/>
                <w:sz w:val="21"/>
                <w:szCs w:val="21"/>
                <w:highlight w:val="none"/>
                <w:lang w:val="en-US" w:eastAsia="zh-CN"/>
              </w:rPr>
              <w:t>发票及违约​</w:t>
            </w:r>
          </w:p>
          <w:p w14:paraId="1C99D53C">
            <w:pPr>
              <w:rPr>
                <w:rFonts w:hint="default" w:ascii="宋体" w:hAnsi="宋体" w:eastAsia="宋体"/>
                <w:color w:val="auto"/>
                <w:sz w:val="21"/>
                <w:szCs w:val="21"/>
                <w:highlight w:val="none"/>
              </w:rPr>
            </w:pPr>
            <w:r>
              <w:rPr>
                <w:rFonts w:hint="default" w:ascii="宋体" w:hAnsi="宋体" w:eastAsia="宋体"/>
                <w:color w:val="auto"/>
                <w:sz w:val="21"/>
                <w:szCs w:val="21"/>
                <w:highlight w:val="none"/>
                <w:lang w:val="en-US" w:eastAsia="zh-CN"/>
              </w:rPr>
              <w:t>供应商须提供合法发票。若为假票，须补开并赔偿票面金额一倍违约金，承担全部损失。</w:t>
            </w:r>
          </w:p>
          <w:p w14:paraId="1695DEA2">
            <w:pPr>
              <w:rPr>
                <w:rFonts w:hint="eastAsia" w:ascii="宋体" w:hAnsi="宋体" w:eastAsia="宋体"/>
                <w:color w:val="auto"/>
                <w:sz w:val="21"/>
                <w:szCs w:val="21"/>
                <w:highlight w:val="none"/>
              </w:rPr>
            </w:pPr>
          </w:p>
        </w:tc>
      </w:tr>
      <w:tr w14:paraId="1B54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75" w:type="dxa"/>
            <w:gridSpan w:val="2"/>
            <w:vAlign w:val="center"/>
          </w:tcPr>
          <w:p w14:paraId="61D4B7AE">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售后服务要求</w:t>
            </w:r>
          </w:p>
        </w:tc>
        <w:tc>
          <w:tcPr>
            <w:tcW w:w="9405" w:type="dxa"/>
            <w:gridSpan w:val="5"/>
            <w:vAlign w:val="center"/>
          </w:tcPr>
          <w:p w14:paraId="6DF46321">
            <w:pPr>
              <w:numPr>
                <w:ilvl w:val="0"/>
                <w:numId w:val="6"/>
              </w:num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免费送货上门，免费安装调试。</w:t>
            </w:r>
          </w:p>
          <w:p w14:paraId="63FE8AFE">
            <w:pPr>
              <w:numPr>
                <w:ilvl w:val="0"/>
                <w:numId w:val="6"/>
              </w:numPr>
              <w:rPr>
                <w:rFonts w:hint="eastAsia" w:ascii="宋体" w:hAnsi="宋体" w:eastAsia="宋体"/>
                <w:color w:val="auto"/>
                <w:sz w:val="21"/>
                <w:szCs w:val="21"/>
                <w:highlight w:val="none"/>
              </w:rPr>
            </w:pPr>
            <w:r>
              <w:rPr>
                <w:rFonts w:hint="eastAsia"/>
                <w:color w:val="auto"/>
                <w:sz w:val="22"/>
                <w:szCs w:val="22"/>
                <w:highlight w:val="none"/>
                <w:lang w:eastAsia="zh-CN"/>
              </w:rPr>
              <w:t>免费办理电梯报装、报验手续；</w:t>
            </w:r>
          </w:p>
          <w:p w14:paraId="5A7FB973">
            <w:pPr>
              <w:numPr>
                <w:ilvl w:val="0"/>
                <w:numId w:val="6"/>
              </w:numPr>
              <w:rPr>
                <w:rFonts w:hint="eastAsia" w:ascii="宋体" w:hAnsi="宋体" w:eastAsia="宋体"/>
                <w:color w:val="auto"/>
                <w:sz w:val="21"/>
                <w:szCs w:val="21"/>
                <w:highlight w:val="none"/>
              </w:rPr>
            </w:pPr>
            <w:r>
              <w:rPr>
                <w:rFonts w:hint="eastAsia"/>
                <w:color w:val="auto"/>
                <w:sz w:val="22"/>
                <w:szCs w:val="22"/>
                <w:highlight w:val="none"/>
                <w:lang w:eastAsia="zh-CN"/>
              </w:rPr>
              <w:t>质保期：自货物通过最终验收合格之日起质保期壹年；</w:t>
            </w:r>
          </w:p>
          <w:p w14:paraId="791C065E">
            <w:pPr>
              <w:numPr>
                <w:ilvl w:val="0"/>
                <w:numId w:val="6"/>
              </w:num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其他售后服务要求：质量保证期内免费维修、免费更换零部件，服务内容如下：</w:t>
            </w:r>
          </w:p>
          <w:p w14:paraId="693DE971">
            <w:pPr>
              <w:numPr>
                <w:ilvl w:val="0"/>
                <w:numId w:val="0"/>
              </w:num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①定期检查：每月上门服务不低于两次对电梯进行免费保养，出具纸质检查保养单由业主签认，消除潜在故障隐患。</w:t>
            </w:r>
          </w:p>
          <w:p w14:paraId="526ED2AE">
            <w:pPr>
              <w:numPr>
                <w:ilvl w:val="0"/>
                <w:numId w:val="0"/>
              </w:num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②故障召修：竞标人设立全年24小时专人值班报修电话，在接到热线召修电话或监控报警后</w:t>
            </w:r>
            <w:r>
              <w:rPr>
                <w:rFonts w:hint="eastAsia" w:ascii="宋体" w:hAnsi="宋体"/>
                <w:color w:val="auto"/>
                <w:sz w:val="21"/>
                <w:szCs w:val="21"/>
                <w:highlight w:val="none"/>
                <w:lang w:val="en-US" w:eastAsia="zh-CN"/>
              </w:rPr>
              <w:t>0.5</w:t>
            </w:r>
            <w:r>
              <w:rPr>
                <w:rFonts w:hint="eastAsia" w:ascii="宋体" w:hAnsi="宋体" w:eastAsia="宋体"/>
                <w:color w:val="auto"/>
                <w:sz w:val="21"/>
                <w:szCs w:val="21"/>
                <w:highlight w:val="none"/>
              </w:rPr>
              <w:t>小时内到现场，一般故障不超过</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小时解决，重大故障不超过24小时排除。</w:t>
            </w:r>
          </w:p>
          <w:p w14:paraId="6FBA0883">
            <w:pPr>
              <w:numPr>
                <w:ilvl w:val="0"/>
                <w:numId w:val="0"/>
              </w:num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③配备充足的本地维保人员且具备上岗作业证，竞标人近两年内无任何违规操作纪录。</w:t>
            </w:r>
          </w:p>
          <w:p w14:paraId="7B755771">
            <w:pPr>
              <w:numPr>
                <w:ilvl w:val="0"/>
                <w:numId w:val="0"/>
              </w:num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④</w:t>
            </w:r>
            <w:r>
              <w:rPr>
                <w:rFonts w:hint="eastAsia"/>
                <w:color w:val="auto"/>
                <w:sz w:val="22"/>
                <w:szCs w:val="22"/>
                <w:highlight w:val="none"/>
                <w:lang w:eastAsia="zh-CN"/>
              </w:rPr>
              <w:t>负责为采购人免费培训电梯司机及电梯维修人员</w:t>
            </w:r>
            <w:r>
              <w:rPr>
                <w:color w:val="auto"/>
                <w:sz w:val="22"/>
                <w:szCs w:val="22"/>
                <w:highlight w:val="none"/>
                <w:lang w:eastAsia="zh-CN"/>
              </w:rPr>
              <w:t>2</w:t>
            </w:r>
            <w:r>
              <w:rPr>
                <w:rFonts w:hint="eastAsia"/>
                <w:color w:val="auto"/>
                <w:sz w:val="22"/>
                <w:szCs w:val="22"/>
                <w:highlight w:val="none"/>
                <w:lang w:eastAsia="zh-CN"/>
              </w:rPr>
              <w:t>名</w:t>
            </w:r>
            <w:r>
              <w:rPr>
                <w:rFonts w:hint="eastAsia" w:ascii="宋体" w:hAnsi="宋体" w:eastAsia="宋体"/>
                <w:color w:val="auto"/>
                <w:sz w:val="21"/>
                <w:szCs w:val="21"/>
                <w:highlight w:val="none"/>
              </w:rPr>
              <w:t>。</w:t>
            </w:r>
          </w:p>
          <w:p w14:paraId="4CA6A9E8">
            <w:pPr>
              <w:numPr>
                <w:ilvl w:val="0"/>
                <w:numId w:val="0"/>
              </w:num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⑤免费维保期内提供电梯年检前的整修服务并保证年检合格。</w:t>
            </w:r>
          </w:p>
          <w:p w14:paraId="66040400">
            <w:pPr>
              <w:numPr>
                <w:ilvl w:val="0"/>
                <w:numId w:val="0"/>
              </w:num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⑥免费维保期满后按优惠价格提供终身有偿维保服务，免费维保期满后按优惠价格提供产品的升级和各种改造服务，随时为</w:t>
            </w:r>
            <w:r>
              <w:rPr>
                <w:rFonts w:hint="eastAsia" w:ascii="宋体" w:hAnsi="宋体" w:eastAsia="宋体"/>
                <w:color w:val="auto"/>
                <w:sz w:val="21"/>
                <w:szCs w:val="21"/>
                <w:highlight w:val="none"/>
                <w:lang w:eastAsia="zh-CN"/>
              </w:rPr>
              <w:t>采购人</w:t>
            </w:r>
            <w:r>
              <w:rPr>
                <w:rFonts w:hint="eastAsia" w:ascii="宋体" w:hAnsi="宋体" w:eastAsia="宋体"/>
                <w:color w:val="auto"/>
                <w:sz w:val="21"/>
                <w:szCs w:val="21"/>
                <w:highlight w:val="none"/>
              </w:rPr>
              <w:t>提供所需的技术指导。</w:t>
            </w:r>
          </w:p>
          <w:p w14:paraId="12D76D77">
            <w:pPr>
              <w:pStyle w:val="22"/>
              <w:shd w:val="clear" w:color="auto" w:fill="FFFFFF"/>
              <w:spacing w:before="0" w:beforeAutospacing="0" w:after="0" w:afterAutospacing="0"/>
              <w:jc w:val="left"/>
              <w:rPr>
                <w:rFonts w:hint="eastAsia" w:ascii="宋体" w:hAnsi="宋体" w:eastAsia="宋体"/>
                <w:color w:val="auto"/>
                <w:sz w:val="21"/>
                <w:szCs w:val="21"/>
                <w:highlight w:val="none"/>
              </w:rPr>
            </w:pPr>
            <w:r>
              <w:rPr>
                <w:rFonts w:hint="eastAsia"/>
                <w:color w:val="auto"/>
                <w:sz w:val="22"/>
                <w:szCs w:val="22"/>
                <w:highlight w:val="none"/>
                <w:lang w:eastAsia="zh-CN"/>
              </w:rPr>
              <w:t>⑦产品生产厂家或售后服务机构设有电梯服务支援系统（无线远程监控中心</w:t>
            </w:r>
            <w:r>
              <w:rPr>
                <w:color w:val="auto"/>
                <w:sz w:val="22"/>
                <w:szCs w:val="22"/>
                <w:highlight w:val="none"/>
                <w:lang w:eastAsia="zh-CN"/>
              </w:rPr>
              <w:t>)</w:t>
            </w:r>
            <w:r>
              <w:rPr>
                <w:rFonts w:hint="eastAsia"/>
                <w:color w:val="auto"/>
                <w:sz w:val="22"/>
                <w:szCs w:val="22"/>
                <w:highlight w:val="none"/>
                <w:lang w:eastAsia="zh-CN"/>
              </w:rPr>
              <w:t>，提供相关证明文件并附上相应图片。合同签订后，采购单位有权到供应商办公场所核实无线监控中心的运营情况。</w:t>
            </w:r>
          </w:p>
        </w:tc>
      </w:tr>
      <w:tr w14:paraId="0FC0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gridSpan w:val="2"/>
            <w:vAlign w:val="center"/>
          </w:tcPr>
          <w:p w14:paraId="69E009D1">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售后技术要求</w:t>
            </w:r>
          </w:p>
        </w:tc>
        <w:tc>
          <w:tcPr>
            <w:tcW w:w="9405" w:type="dxa"/>
            <w:gridSpan w:val="5"/>
            <w:vAlign w:val="center"/>
          </w:tcPr>
          <w:p w14:paraId="40DB736A">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1）整机由设备</w:t>
            </w:r>
            <w:r>
              <w:rPr>
                <w:rFonts w:hint="eastAsia" w:ascii="宋体" w:hAnsi="宋体" w:eastAsia="宋体"/>
                <w:color w:val="auto"/>
                <w:sz w:val="21"/>
                <w:szCs w:val="21"/>
                <w:highlight w:val="none"/>
                <w:lang w:val="en-US" w:eastAsia="zh-CN"/>
              </w:rPr>
              <w:t>供应</w:t>
            </w:r>
            <w:r>
              <w:rPr>
                <w:rFonts w:hint="eastAsia" w:ascii="宋体" w:hAnsi="宋体" w:eastAsia="宋体"/>
                <w:color w:val="auto"/>
                <w:sz w:val="21"/>
                <w:szCs w:val="21"/>
                <w:highlight w:val="none"/>
              </w:rPr>
              <w:t>商提供原厂有限免费上门维修服务（节假日不休），终身移动和固定电话均可免费拨打的呼叫中心热线7×24小时免费技术支持服务。</w:t>
            </w:r>
          </w:p>
          <w:p w14:paraId="1726C908">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2）其余按国家标准执行。</w:t>
            </w:r>
          </w:p>
        </w:tc>
      </w:tr>
      <w:tr w14:paraId="417B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gridSpan w:val="2"/>
            <w:vAlign w:val="center"/>
          </w:tcPr>
          <w:p w14:paraId="6972EBC5">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质保期</w:t>
            </w:r>
          </w:p>
        </w:tc>
        <w:tc>
          <w:tcPr>
            <w:tcW w:w="9405" w:type="dxa"/>
            <w:gridSpan w:val="5"/>
            <w:vAlign w:val="center"/>
          </w:tcPr>
          <w:p w14:paraId="5A5F784F">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1）自交货并验收合格之日起1年（从获得电梯准用许可证之日起计），若厂家免费质保期超过此年限的，按厂家规定执行，并提供终身维护支持。</w:t>
            </w:r>
          </w:p>
          <w:p w14:paraId="38A1C4C8">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2）如“技术参数及性能（配置）要求”中有特殊要求的，按特殊要求。</w:t>
            </w:r>
          </w:p>
          <w:p w14:paraId="4C7AC918">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3）质保期内免费维修、更换损坏的设备和配件及对产品进行维护和保养，终身维修。</w:t>
            </w:r>
          </w:p>
          <w:p w14:paraId="2D0CFFD5">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4）按照国家有关规定实行“三包”，在规定的保修期内，凡货物质量事故和质量缺陷由成交供应商无偿保修。</w:t>
            </w:r>
          </w:p>
        </w:tc>
      </w:tr>
      <w:tr w14:paraId="5D15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275" w:type="dxa"/>
            <w:gridSpan w:val="2"/>
            <w:vAlign w:val="center"/>
          </w:tcPr>
          <w:p w14:paraId="175F78D0">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履约保证金收取及退付</w:t>
            </w:r>
          </w:p>
        </w:tc>
        <w:tc>
          <w:tcPr>
            <w:tcW w:w="9405" w:type="dxa"/>
            <w:gridSpan w:val="5"/>
            <w:vAlign w:val="center"/>
          </w:tcPr>
          <w:p w14:paraId="4D25B1B9">
            <w:pPr>
              <w:numPr>
                <w:ilvl w:val="0"/>
                <w:numId w:val="7"/>
              </w:numPr>
              <w:spacing w:line="360" w:lineRule="exact"/>
              <w:ind w:left="105" w:leftChars="0"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履约保证金收取</w:t>
            </w:r>
            <w:r>
              <w:rPr>
                <w:rFonts w:hint="eastAsia" w:ascii="宋体" w:hAnsi="宋体" w:eastAsia="宋体"/>
                <w:color w:val="auto"/>
                <w:sz w:val="21"/>
                <w:szCs w:val="21"/>
                <w:highlight w:val="none"/>
                <w:lang w:val="en-US" w:eastAsia="zh-CN"/>
              </w:rPr>
              <w:t>与退付</w:t>
            </w:r>
            <w:r>
              <w:rPr>
                <w:rFonts w:hint="eastAsia" w:ascii="宋体" w:hAnsi="宋体" w:eastAsia="宋体"/>
                <w:color w:val="auto"/>
                <w:sz w:val="21"/>
                <w:szCs w:val="21"/>
                <w:highlight w:val="none"/>
              </w:rPr>
              <w:t>：签订合同前，成交供应商按合同金额的</w:t>
            </w:r>
            <w:r>
              <w:rPr>
                <w:rFonts w:hint="eastAsia" w:ascii="宋体" w:hAnsi="宋体"/>
                <w:b w:val="0"/>
                <w:bCs w:val="0"/>
                <w:color w:val="auto"/>
                <w:sz w:val="21"/>
                <w:szCs w:val="21"/>
                <w:highlight w:val="none"/>
                <w:lang w:val="en-US" w:eastAsia="zh-CN"/>
              </w:rPr>
              <w:t>5</w:t>
            </w:r>
            <w:r>
              <w:rPr>
                <w:rFonts w:hint="eastAsia" w:ascii="宋体" w:hAnsi="宋体" w:eastAsia="宋体"/>
                <w:b w:val="0"/>
                <w:bCs w:val="0"/>
                <w:color w:val="auto"/>
                <w:sz w:val="21"/>
                <w:szCs w:val="21"/>
                <w:highlight w:val="none"/>
              </w:rPr>
              <w:t>%</w:t>
            </w:r>
            <w:r>
              <w:rPr>
                <w:rFonts w:hint="eastAsia" w:ascii="宋体" w:hAnsi="宋体" w:eastAsia="宋体"/>
                <w:color w:val="auto"/>
                <w:sz w:val="21"/>
                <w:szCs w:val="21"/>
                <w:highlight w:val="none"/>
              </w:rPr>
              <w:t>向采购人支付履约保证金或银行、担保机构出具的同等额度的履约保函，履约结束后，如无质量纠纷，三十个工作日内免息退回履约保证金（按合同约定被扣除的除外。成交供应商若不能完全履行合同，履约保证金不返还</w:t>
            </w:r>
            <w:r>
              <w:rPr>
                <w:rFonts w:hint="eastAsia" w:ascii="宋体" w:hAnsi="宋体" w:eastAsia="宋体"/>
                <w:color w:val="auto"/>
                <w:sz w:val="21"/>
                <w:szCs w:val="21"/>
                <w:highlight w:val="none"/>
                <w:lang w:eastAsia="zh-CN"/>
              </w:rPr>
              <w:t>。</w:t>
            </w:r>
          </w:p>
          <w:p w14:paraId="0B5BE2EC">
            <w:pPr>
              <w:numPr>
                <w:ilvl w:val="0"/>
                <w:numId w:val="7"/>
              </w:numPr>
              <w:spacing w:line="360" w:lineRule="exact"/>
              <w:ind w:left="105" w:leftChars="0"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履约保证金递交方式：以电汇、转账、汇票等非现金形式提交。由成交供应商在签订合同前按规定的金额直接缴入以下采购人账户。凭履约保证金缴纳凭证签订合同。</w:t>
            </w:r>
          </w:p>
          <w:p w14:paraId="0385A788">
            <w:pPr>
              <w:numPr>
                <w:ilvl w:val="0"/>
                <w:numId w:val="7"/>
              </w:numPr>
              <w:spacing w:line="360" w:lineRule="exact"/>
              <w:ind w:left="105" w:leftChars="0" w:firstLine="0" w:firstLineChars="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开户名称：</w:t>
            </w:r>
            <w:r>
              <w:rPr>
                <w:rFonts w:hint="eastAsia" w:ascii="宋体" w:hAnsi="宋体" w:eastAsia="宋体"/>
                <w:color w:val="auto"/>
                <w:sz w:val="21"/>
                <w:szCs w:val="21"/>
                <w:highlight w:val="none"/>
              </w:rPr>
              <w:t>宾阳县中医医院</w:t>
            </w:r>
          </w:p>
          <w:p w14:paraId="336771AB">
            <w:pPr>
              <w:numPr>
                <w:ilvl w:val="0"/>
                <w:numId w:val="7"/>
              </w:numPr>
              <w:spacing w:line="360" w:lineRule="exact"/>
              <w:ind w:left="105" w:leftChars="0"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账号：111312010163414860</w:t>
            </w:r>
          </w:p>
          <w:p w14:paraId="08F056B0">
            <w:pPr>
              <w:numPr>
                <w:ilvl w:val="0"/>
                <w:numId w:val="7"/>
              </w:numPr>
              <w:spacing w:line="360" w:lineRule="exact"/>
              <w:ind w:left="105" w:leftChars="0"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开户行：广西宾阳农村商业银行股份有限公司临浦分理处</w:t>
            </w:r>
          </w:p>
        </w:tc>
      </w:tr>
      <w:tr w14:paraId="4C18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gridSpan w:val="2"/>
            <w:vAlign w:val="center"/>
          </w:tcPr>
          <w:p w14:paraId="18A7CC93">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验收条件及标准</w:t>
            </w:r>
          </w:p>
        </w:tc>
        <w:tc>
          <w:tcPr>
            <w:tcW w:w="9405" w:type="dxa"/>
            <w:gridSpan w:val="5"/>
            <w:vAlign w:val="center"/>
          </w:tcPr>
          <w:p w14:paraId="38531540">
            <w:pPr>
              <w:pageBreakBefore w:val="0"/>
              <w:widowControl w:val="0"/>
              <w:kinsoku/>
              <w:wordWrap/>
              <w:overflowPunct/>
              <w:topLinePunct w:val="0"/>
              <w:autoSpaceDE/>
              <w:autoSpaceDN/>
              <w:bidi w:val="0"/>
              <w:snapToGrid/>
              <w:spacing w:line="24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安装、验收及其它要求：</w:t>
            </w:r>
          </w:p>
          <w:p w14:paraId="3750F999">
            <w:pPr>
              <w:pStyle w:val="6"/>
              <w:pageBreakBefore w:val="0"/>
              <w:widowControl w:val="0"/>
              <w:numPr>
                <w:ilvl w:val="0"/>
                <w:numId w:val="8"/>
              </w:numPr>
              <w:kinsoku/>
              <w:wordWrap/>
              <w:overflowPunct/>
              <w:topLinePunct w:val="0"/>
              <w:autoSpaceDE/>
              <w:autoSpaceDN/>
              <w:bidi w:val="0"/>
              <w:snapToGrid/>
              <w:spacing w:before="0" w:after="0" w:line="240" w:lineRule="auto"/>
              <w:ind w:leftChars="0"/>
              <w:rPr>
                <w:rFonts w:hint="eastAsia"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lang w:val="en-US" w:eastAsia="zh-CN"/>
              </w:rPr>
              <w:t>安装、调试要求：</w:t>
            </w:r>
          </w:p>
          <w:p w14:paraId="5FE3E8F7">
            <w:pPr>
              <w:pStyle w:val="6"/>
              <w:pageBreakBefore w:val="0"/>
              <w:widowControl w:val="0"/>
              <w:numPr>
                <w:ilvl w:val="0"/>
                <w:numId w:val="0"/>
              </w:numPr>
              <w:kinsoku/>
              <w:wordWrap/>
              <w:overflowPunct/>
              <w:topLinePunct w:val="0"/>
              <w:autoSpaceDE/>
              <w:autoSpaceDN/>
              <w:bidi w:val="0"/>
              <w:snapToGrid/>
              <w:spacing w:before="0" w:after="0" w:line="240" w:lineRule="auto"/>
              <w:ind w:leftChars="0"/>
              <w:rPr>
                <w:rFonts w:hint="eastAsia"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lang w:val="en-US" w:eastAsia="zh-CN"/>
              </w:rPr>
              <w:t xml:space="preserve">1、竞标产品及零部件、配件及安装材料必须是整套全新未使用过的符合国家有关质量标准制造要求的电梯设备。 </w:t>
            </w:r>
          </w:p>
          <w:p w14:paraId="25A7A935">
            <w:pPr>
              <w:pStyle w:val="6"/>
              <w:pageBreakBefore w:val="0"/>
              <w:widowControl w:val="0"/>
              <w:numPr>
                <w:ilvl w:val="0"/>
                <w:numId w:val="0"/>
              </w:numPr>
              <w:kinsoku/>
              <w:wordWrap/>
              <w:overflowPunct/>
              <w:topLinePunct w:val="0"/>
              <w:autoSpaceDE/>
              <w:autoSpaceDN/>
              <w:bidi w:val="0"/>
              <w:snapToGrid/>
              <w:spacing w:before="0" w:after="0" w:line="240" w:lineRule="auto"/>
              <w:ind w:leftChars="0"/>
              <w:rPr>
                <w:rFonts w:hint="eastAsia"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lang w:val="en-US" w:eastAsia="zh-CN"/>
              </w:rPr>
              <w:t>2、工程安装施工要求：（1）</w:t>
            </w:r>
            <w:r>
              <w:rPr>
                <w:rFonts w:hint="eastAsia" w:hAnsi="宋体" w:eastAsia="宋体"/>
                <w:b w:val="0"/>
                <w:bCs/>
                <w:color w:val="auto"/>
                <w:sz w:val="21"/>
                <w:szCs w:val="21"/>
                <w:highlight w:val="none"/>
                <w:lang w:val="en-US" w:eastAsia="zh-CN"/>
              </w:rPr>
              <w:t>成交供应商</w:t>
            </w:r>
            <w:r>
              <w:rPr>
                <w:rFonts w:hint="eastAsia" w:ascii="宋体" w:hAnsi="宋体" w:eastAsia="宋体"/>
                <w:b w:val="0"/>
                <w:bCs/>
                <w:color w:val="auto"/>
                <w:sz w:val="21"/>
                <w:szCs w:val="21"/>
                <w:highlight w:val="none"/>
                <w:lang w:val="en-US" w:eastAsia="zh-CN"/>
              </w:rPr>
              <w:t>负责全套机组的安装调试。（2）</w:t>
            </w:r>
            <w:r>
              <w:rPr>
                <w:rFonts w:hint="eastAsia" w:hAnsi="宋体" w:eastAsia="宋体"/>
                <w:b w:val="0"/>
                <w:bCs/>
                <w:color w:val="auto"/>
                <w:sz w:val="21"/>
                <w:szCs w:val="21"/>
                <w:highlight w:val="none"/>
                <w:lang w:val="en-US" w:eastAsia="zh-CN"/>
              </w:rPr>
              <w:t>成交供应商</w:t>
            </w:r>
            <w:r>
              <w:rPr>
                <w:rFonts w:hint="eastAsia" w:ascii="宋体" w:hAnsi="宋体" w:eastAsia="宋体"/>
                <w:b w:val="0"/>
                <w:bCs/>
                <w:color w:val="auto"/>
                <w:sz w:val="21"/>
                <w:szCs w:val="21"/>
                <w:highlight w:val="none"/>
                <w:lang w:val="en-US" w:eastAsia="zh-CN"/>
              </w:rPr>
              <w:t>必须提供技术方案包含安装施工，安装施工进度，有安全、质量、技术的保证措施，人员配备及须提供服务方案及图纸给采购人。（3）设备安装调试必须严格执行国家有关技术标准，</w:t>
            </w:r>
            <w:r>
              <w:rPr>
                <w:rFonts w:hint="eastAsia" w:hAnsi="宋体" w:eastAsia="宋体"/>
                <w:b w:val="0"/>
                <w:bCs/>
                <w:color w:val="auto"/>
                <w:sz w:val="21"/>
                <w:szCs w:val="21"/>
                <w:highlight w:val="none"/>
                <w:lang w:val="en-US" w:eastAsia="zh-CN"/>
              </w:rPr>
              <w:t>成交供应商</w:t>
            </w:r>
            <w:r>
              <w:rPr>
                <w:rFonts w:hint="eastAsia" w:ascii="宋体" w:hAnsi="宋体" w:eastAsia="宋体"/>
                <w:b w:val="0"/>
                <w:bCs/>
                <w:color w:val="auto"/>
                <w:sz w:val="21"/>
                <w:szCs w:val="21"/>
                <w:highlight w:val="none"/>
                <w:lang w:val="en-US" w:eastAsia="zh-CN"/>
              </w:rPr>
              <w:t>自负责施工人员人身、设备安全责任。（4）</w:t>
            </w:r>
            <w:r>
              <w:rPr>
                <w:rFonts w:hint="eastAsia" w:hAnsi="宋体" w:eastAsia="宋体"/>
                <w:b w:val="0"/>
                <w:bCs/>
                <w:color w:val="auto"/>
                <w:sz w:val="21"/>
                <w:szCs w:val="21"/>
                <w:highlight w:val="none"/>
                <w:lang w:val="en-US" w:eastAsia="zh-CN"/>
              </w:rPr>
              <w:t>成交供应商</w:t>
            </w:r>
            <w:r>
              <w:rPr>
                <w:rFonts w:hint="eastAsia" w:ascii="宋体" w:hAnsi="宋体" w:eastAsia="宋体"/>
                <w:b w:val="0"/>
                <w:bCs/>
                <w:color w:val="auto"/>
                <w:sz w:val="21"/>
                <w:szCs w:val="21"/>
                <w:highlight w:val="none"/>
                <w:lang w:val="en-US" w:eastAsia="zh-CN"/>
              </w:rPr>
              <w:t>负责办理有关电梯设备安装的开工报装和竣工验收手续且承担负责相关费用。（5）</w:t>
            </w:r>
            <w:r>
              <w:rPr>
                <w:rFonts w:hint="eastAsia" w:hAnsi="宋体" w:eastAsia="宋体"/>
                <w:b w:val="0"/>
                <w:bCs/>
                <w:color w:val="auto"/>
                <w:sz w:val="21"/>
                <w:szCs w:val="21"/>
                <w:highlight w:val="none"/>
                <w:lang w:val="en-US" w:eastAsia="zh-CN"/>
              </w:rPr>
              <w:t>成交供应商</w:t>
            </w:r>
            <w:r>
              <w:rPr>
                <w:rFonts w:hint="eastAsia" w:ascii="宋体" w:hAnsi="宋体" w:eastAsia="宋体"/>
                <w:b w:val="0"/>
                <w:bCs/>
                <w:color w:val="auto"/>
                <w:sz w:val="21"/>
                <w:szCs w:val="21"/>
                <w:highlight w:val="none"/>
                <w:lang w:val="en-US" w:eastAsia="zh-CN"/>
              </w:rPr>
              <w:t>向当地质检部门提出验收申请，并协助当地质检部门检验验收，</w:t>
            </w:r>
            <w:r>
              <w:rPr>
                <w:rFonts w:hint="eastAsia" w:hAnsi="宋体" w:eastAsia="宋体"/>
                <w:b w:val="0"/>
                <w:bCs/>
                <w:color w:val="auto"/>
                <w:sz w:val="21"/>
                <w:szCs w:val="21"/>
                <w:highlight w:val="none"/>
                <w:lang w:val="en-US" w:eastAsia="zh-CN"/>
              </w:rPr>
              <w:t>成交供应商</w:t>
            </w:r>
            <w:r>
              <w:rPr>
                <w:rFonts w:hint="eastAsia" w:ascii="宋体" w:hAnsi="宋体" w:eastAsia="宋体"/>
                <w:b w:val="0"/>
                <w:bCs/>
                <w:color w:val="auto"/>
                <w:sz w:val="21"/>
                <w:szCs w:val="21"/>
                <w:highlight w:val="none"/>
                <w:lang w:val="en-US" w:eastAsia="zh-CN"/>
              </w:rPr>
              <w:t>并负责办理特种设备使用登记证，费用由</w:t>
            </w:r>
            <w:r>
              <w:rPr>
                <w:rFonts w:hint="eastAsia" w:hAnsi="宋体" w:eastAsia="宋体"/>
                <w:b w:val="0"/>
                <w:bCs/>
                <w:color w:val="auto"/>
                <w:sz w:val="21"/>
                <w:szCs w:val="21"/>
                <w:highlight w:val="none"/>
                <w:lang w:val="en-US" w:eastAsia="zh-CN"/>
              </w:rPr>
              <w:t>成交供应商</w:t>
            </w:r>
            <w:r>
              <w:rPr>
                <w:rFonts w:hint="eastAsia" w:ascii="宋体" w:hAnsi="宋体" w:eastAsia="宋体"/>
                <w:b w:val="0"/>
                <w:bCs/>
                <w:color w:val="auto"/>
                <w:sz w:val="21"/>
                <w:szCs w:val="21"/>
                <w:highlight w:val="none"/>
                <w:lang w:val="en-US" w:eastAsia="zh-CN"/>
              </w:rPr>
              <w:t>负责。（6）安装验收标准必须符合如下标准要求：《电梯安装验收规范》（GB/T 10060-2011） 《电梯工程施工质量验收规范》（GB 50310-2002） 电力、消防、安监部门的有关规定等。</w:t>
            </w:r>
          </w:p>
          <w:p w14:paraId="2BE882B1">
            <w:pPr>
              <w:pStyle w:val="6"/>
              <w:pageBreakBefore w:val="0"/>
              <w:widowControl w:val="0"/>
              <w:numPr>
                <w:ilvl w:val="0"/>
                <w:numId w:val="0"/>
              </w:numPr>
              <w:kinsoku/>
              <w:wordWrap/>
              <w:overflowPunct/>
              <w:topLinePunct w:val="0"/>
              <w:autoSpaceDE/>
              <w:autoSpaceDN/>
              <w:bidi w:val="0"/>
              <w:snapToGrid/>
              <w:spacing w:before="0" w:after="0" w:line="240" w:lineRule="auto"/>
              <w:ind w:leftChars="0"/>
              <w:rPr>
                <w:rFonts w:hint="eastAsia"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lang w:val="en-US" w:eastAsia="zh-CN"/>
              </w:rPr>
              <w:t xml:space="preserve"> 3、设备应包含必备的易损易耗备件和专用工具。 </w:t>
            </w:r>
          </w:p>
          <w:p w14:paraId="15D32761">
            <w:pPr>
              <w:pStyle w:val="6"/>
              <w:pageBreakBefore w:val="0"/>
              <w:widowControl w:val="0"/>
              <w:numPr>
                <w:ilvl w:val="0"/>
                <w:numId w:val="0"/>
              </w:numPr>
              <w:kinsoku/>
              <w:wordWrap/>
              <w:overflowPunct/>
              <w:topLinePunct w:val="0"/>
              <w:autoSpaceDE/>
              <w:autoSpaceDN/>
              <w:bidi w:val="0"/>
              <w:snapToGrid/>
              <w:spacing w:before="0" w:after="0" w:line="240" w:lineRule="auto"/>
              <w:ind w:leftChars="0"/>
              <w:rPr>
                <w:rFonts w:hint="eastAsia"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lang w:val="en-US" w:eastAsia="zh-CN"/>
              </w:rPr>
              <w:t>4、本项目的电梯安装负责人必须具有电梯安装上岗证或职称证并提供相关证书复印件。</w:t>
            </w:r>
          </w:p>
          <w:p w14:paraId="43D3285F">
            <w:pPr>
              <w:pStyle w:val="6"/>
              <w:pageBreakBefore w:val="0"/>
              <w:widowControl w:val="0"/>
              <w:numPr>
                <w:ilvl w:val="0"/>
                <w:numId w:val="0"/>
              </w:numPr>
              <w:kinsoku/>
              <w:wordWrap/>
              <w:overflowPunct/>
              <w:topLinePunct w:val="0"/>
              <w:autoSpaceDE/>
              <w:autoSpaceDN/>
              <w:bidi w:val="0"/>
              <w:snapToGrid/>
              <w:spacing w:before="0" w:after="0" w:line="240" w:lineRule="auto"/>
              <w:ind w:leftChars="0"/>
              <w:rPr>
                <w:rFonts w:hint="eastAsia"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lang w:val="en-US" w:eastAsia="zh-CN"/>
              </w:rPr>
              <w:t xml:space="preserve"> 5、验收方式：（1）出厂检验：交货时，</w:t>
            </w:r>
            <w:r>
              <w:rPr>
                <w:rFonts w:hint="eastAsia" w:hAnsi="宋体" w:eastAsia="宋体"/>
                <w:b w:val="0"/>
                <w:bCs/>
                <w:color w:val="auto"/>
                <w:sz w:val="21"/>
                <w:szCs w:val="21"/>
                <w:highlight w:val="none"/>
                <w:lang w:val="en-US" w:eastAsia="zh-CN"/>
              </w:rPr>
              <w:t>成交供应商</w:t>
            </w:r>
            <w:r>
              <w:rPr>
                <w:rFonts w:hint="eastAsia" w:ascii="宋体" w:hAnsi="宋体" w:eastAsia="宋体"/>
                <w:b w:val="0"/>
                <w:bCs/>
                <w:color w:val="auto"/>
                <w:sz w:val="21"/>
                <w:szCs w:val="21"/>
                <w:highlight w:val="none"/>
                <w:lang w:val="en-US" w:eastAsia="zh-CN"/>
              </w:rPr>
              <w:t>应随同货物提供出厂检验报告，产品合格证。（2）安装调试检验：货物到达后，由采购人会同有关部门进行基本质量和数量的验收，电梯安装调试过程，</w:t>
            </w:r>
            <w:r>
              <w:rPr>
                <w:rFonts w:hint="eastAsia" w:hAnsi="宋体" w:eastAsia="宋体"/>
                <w:b w:val="0"/>
                <w:bCs/>
                <w:color w:val="auto"/>
                <w:sz w:val="21"/>
                <w:szCs w:val="21"/>
                <w:highlight w:val="none"/>
                <w:lang w:val="en-US" w:eastAsia="zh-CN"/>
              </w:rPr>
              <w:t>成交供应商</w:t>
            </w:r>
            <w:r>
              <w:rPr>
                <w:rFonts w:hint="eastAsia" w:ascii="宋体" w:hAnsi="宋体" w:eastAsia="宋体"/>
                <w:b w:val="0"/>
                <w:bCs/>
                <w:color w:val="auto"/>
                <w:sz w:val="21"/>
                <w:szCs w:val="21"/>
                <w:highlight w:val="none"/>
                <w:lang w:val="en-US" w:eastAsia="zh-CN"/>
              </w:rPr>
              <w:t>应作详细检验记录。安装调试检验结果应符合制造厂产品标准和采购文件规定的技术要求。检验记录应提交给采购人。（3）项目验收：电梯安装调试结束后，由</w:t>
            </w:r>
            <w:r>
              <w:rPr>
                <w:rFonts w:hint="eastAsia" w:hAnsi="宋体" w:eastAsia="宋体"/>
                <w:b w:val="0"/>
                <w:bCs/>
                <w:color w:val="auto"/>
                <w:sz w:val="21"/>
                <w:szCs w:val="21"/>
                <w:highlight w:val="none"/>
                <w:lang w:val="en-US" w:eastAsia="zh-CN"/>
              </w:rPr>
              <w:t>成交供应商</w:t>
            </w:r>
            <w:r>
              <w:rPr>
                <w:rFonts w:hint="eastAsia" w:ascii="宋体" w:hAnsi="宋体" w:eastAsia="宋体"/>
                <w:b w:val="0"/>
                <w:bCs/>
                <w:color w:val="auto"/>
                <w:sz w:val="21"/>
                <w:szCs w:val="21"/>
                <w:highlight w:val="none"/>
                <w:lang w:val="en-US" w:eastAsia="zh-CN"/>
              </w:rPr>
              <w:t>负责联系质量技术监督局等部门，进行联合验收并办理准用许可证，验收费用由</w:t>
            </w:r>
            <w:r>
              <w:rPr>
                <w:rFonts w:hint="eastAsia" w:hAnsi="宋体" w:eastAsia="宋体"/>
                <w:b w:val="0"/>
                <w:bCs/>
                <w:color w:val="auto"/>
                <w:sz w:val="21"/>
                <w:szCs w:val="21"/>
                <w:highlight w:val="none"/>
                <w:lang w:val="en-US" w:eastAsia="zh-CN"/>
              </w:rPr>
              <w:t>成交供应商</w:t>
            </w:r>
            <w:r>
              <w:rPr>
                <w:rFonts w:hint="eastAsia" w:ascii="宋体" w:hAnsi="宋体" w:eastAsia="宋体"/>
                <w:b w:val="0"/>
                <w:bCs/>
                <w:color w:val="auto"/>
                <w:sz w:val="21"/>
                <w:szCs w:val="21"/>
                <w:highlight w:val="none"/>
                <w:lang w:val="en-US" w:eastAsia="zh-CN"/>
              </w:rPr>
              <w:t>承担。</w:t>
            </w:r>
          </w:p>
          <w:p w14:paraId="28F30A26">
            <w:pPr>
              <w:rPr>
                <w:rFonts w:hint="eastAsia" w:ascii="宋体" w:hAnsi="宋体" w:eastAsia="宋体"/>
                <w:b w:val="0"/>
                <w:bCs/>
                <w:color w:val="auto"/>
                <w:sz w:val="21"/>
                <w:szCs w:val="21"/>
                <w:highlight w:val="none"/>
                <w:u w:val="single"/>
                <w:lang w:val="en-US" w:eastAsia="zh-CN"/>
              </w:rPr>
            </w:pPr>
            <w:r>
              <w:rPr>
                <w:rFonts w:hint="eastAsia" w:ascii="宋体" w:hAnsi="宋体" w:eastAsia="宋体"/>
                <w:b w:val="0"/>
                <w:bCs/>
                <w:color w:val="auto"/>
                <w:sz w:val="21"/>
                <w:szCs w:val="21"/>
                <w:highlight w:val="none"/>
                <w:u w:val="single"/>
                <w:lang w:val="en-US" w:eastAsia="zh-CN"/>
              </w:rPr>
              <w:t>（</w:t>
            </w:r>
            <w:r>
              <w:rPr>
                <w:rFonts w:hint="eastAsia" w:ascii="宋体" w:hAnsi="宋体" w:eastAsia="宋体"/>
                <w:b/>
                <w:bCs w:val="0"/>
                <w:color w:val="auto"/>
                <w:sz w:val="21"/>
                <w:szCs w:val="21"/>
                <w:highlight w:val="none"/>
                <w:u w:val="single"/>
                <w:lang w:val="en-US" w:eastAsia="zh-CN"/>
              </w:rPr>
              <w:t>二）其他要求：1、采购文件“技术参数及性能配置要求”中的井道、机房等参数按安装现场实际尺寸为准，竞标前如需安排专人到工程现场实地踏勘，复核电梯的技术参数，请自行前往，费用自理。成交供应商负责电梯技术参数与现场安装不符的风险。 2、签署合同时，成交供应商必</w:t>
            </w:r>
            <w:r>
              <w:rPr>
                <w:rFonts w:hint="eastAsia" w:ascii="宋体" w:hAnsi="宋体" w:eastAsia="宋体"/>
                <w:b/>
                <w:bCs w:val="0"/>
                <w:color w:val="auto"/>
                <w:sz w:val="21"/>
                <w:szCs w:val="21"/>
                <w:highlight w:val="none"/>
                <w:u w:val="single"/>
              </w:rPr>
              <w:t xml:space="preserve">须提供详细的施工方案和售后服务承诺书。 3、竞标人承诺竞标产品必须是全新未使用过的合格产品。 </w:t>
            </w:r>
          </w:p>
        </w:tc>
      </w:tr>
      <w:tr w14:paraId="6923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gridSpan w:val="2"/>
            <w:vAlign w:val="center"/>
          </w:tcPr>
          <w:p w14:paraId="25C62B93">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其他要求</w:t>
            </w:r>
          </w:p>
        </w:tc>
        <w:tc>
          <w:tcPr>
            <w:tcW w:w="9405" w:type="dxa"/>
            <w:gridSpan w:val="5"/>
            <w:vAlign w:val="center"/>
          </w:tcPr>
          <w:p w14:paraId="352AC52D">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1）本项目不接受进口产品竞标（即通过中国海关报关验放进入中国境内且产自关境外的产品）。</w:t>
            </w:r>
          </w:p>
          <w:p w14:paraId="6FC7CFC6">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成交供应商拒绝更换货物的，采购人可单方面解除合同，并有权要求</w:t>
            </w:r>
            <w:r>
              <w:rPr>
                <w:rFonts w:hint="eastAsia" w:ascii="宋体" w:hAnsi="宋体" w:eastAsia="宋体"/>
                <w:color w:val="auto"/>
                <w:sz w:val="21"/>
                <w:szCs w:val="21"/>
                <w:highlight w:val="none"/>
                <w:lang w:eastAsia="zh-CN"/>
              </w:rPr>
              <w:t>成交供应商</w:t>
            </w:r>
            <w:r>
              <w:rPr>
                <w:rFonts w:hint="eastAsia" w:ascii="宋体" w:hAnsi="宋体" w:eastAsia="宋体"/>
                <w:color w:val="auto"/>
                <w:sz w:val="21"/>
                <w:szCs w:val="21"/>
                <w:highlight w:val="none"/>
              </w:rPr>
              <w:t>赔偿经济损失。</w:t>
            </w:r>
          </w:p>
          <w:p w14:paraId="24CB9CA5">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3）成交供应商提供的货物及服务不满足采购要求而导致验收不合格的，采购人有权解除合同并追究成交供应商的法律责任。</w:t>
            </w:r>
          </w:p>
          <w:p w14:paraId="48D73FC4">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4）在成交供应商承诺的保修期内，设备保修包换所需要的配件均是原厂原装，不得使用兼容产品。</w:t>
            </w:r>
          </w:p>
          <w:p w14:paraId="1C8320BB">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竞标供应商应保证参与本次政府采购项目时其按要求所提供的所有证明材料和资质文件真实，如出现虚假应标情况，竞标供应商除了应接受有关部门的处罚外，还应依据《中华人民共和国政府采购法》及其实施条例的相关条款来确定赔偿金额。</w:t>
            </w:r>
          </w:p>
          <w:p w14:paraId="4B0B3E57">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6）设备到货后，成交供应商和采购人应在现场进行清点，清点过程中如果发现因包装或运输不当引起的产品外观或内部的损坏，成交供应商应负责更换，若发现错发/漏发情况，成交供应商应负责更换和补发。</w:t>
            </w:r>
          </w:p>
          <w:p w14:paraId="1EB9B83F">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竞标供应商应保证针对本项目的货物和服务涉及到的知识产权和所提供的相关技术资料是合法取得，并享有完整的知识产权，不会因为采购人的使用而被责令停止使用、追偿或要求赔偿损失，如出现此情况，一切经济和法律责任均由竞标供应商承担。成交供应商需在采购合同中书面承诺采购方免受第三方提出侵犯其著作权、专利权、商标权或设计权的纠纷。</w:t>
            </w:r>
          </w:p>
          <w:p w14:paraId="0E862D70">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8）本项目采购任务紧急，现特向潜在供应商作出相关提醒：供应商存在不按要求报价、中标后无故放弃、不按合同履行等违约行为的，采购人有权按预算金额30%的赔偿金额向成交供应商追偿其所造成的损失。</w:t>
            </w:r>
          </w:p>
        </w:tc>
      </w:tr>
    </w:tbl>
    <w:p w14:paraId="78FD562F">
      <w:pPr>
        <w:rPr>
          <w:rFonts w:hint="eastAsia" w:ascii="宋体" w:hAnsi="宋体" w:eastAsia="宋体"/>
          <w:vanish/>
          <w:sz w:val="21"/>
          <w:szCs w:val="21"/>
          <w:highlight w:val="none"/>
        </w:rPr>
      </w:pPr>
    </w:p>
    <w:tbl>
      <w:tblPr>
        <w:tblStyle w:val="2"/>
        <w:tblW w:w="488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226"/>
      </w:tblGrid>
      <w:tr w14:paraId="7703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438" w:type="dxa"/>
            <w:gridSpan w:val="2"/>
            <w:vAlign w:val="center"/>
          </w:tcPr>
          <w:p w14:paraId="75A84B04">
            <w:pP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三</w:t>
            </w:r>
            <w:r>
              <w:rPr>
                <w:rFonts w:hint="eastAsia" w:ascii="宋体" w:hAnsi="宋体" w:eastAsia="宋体"/>
                <w:sz w:val="21"/>
                <w:szCs w:val="21"/>
                <w:highlight w:val="none"/>
              </w:rPr>
              <w:t>、商家须知</w:t>
            </w:r>
          </w:p>
        </w:tc>
      </w:tr>
      <w:tr w14:paraId="02FA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580" w:type="dxa"/>
            <w:vMerge w:val="restart"/>
            <w:vAlign w:val="center"/>
          </w:tcPr>
          <w:p w14:paraId="7DBB487D">
            <w:pPr>
              <w:rPr>
                <w:rFonts w:hint="eastAsia" w:ascii="宋体" w:hAnsi="宋体" w:eastAsia="宋体"/>
                <w:sz w:val="21"/>
                <w:szCs w:val="21"/>
                <w:highlight w:val="none"/>
              </w:rPr>
            </w:pPr>
            <w:r>
              <w:rPr>
                <w:rFonts w:hint="eastAsia" w:ascii="宋体" w:hAnsi="宋体" w:eastAsia="宋体"/>
                <w:sz w:val="21"/>
                <w:szCs w:val="21"/>
                <w:highlight w:val="none"/>
              </w:rPr>
              <w:t>在线询价、反向竞价违约处理规则</w:t>
            </w:r>
          </w:p>
        </w:tc>
        <w:tc>
          <w:tcPr>
            <w:tcW w:w="4419" w:type="dxa"/>
            <w:vAlign w:val="center"/>
          </w:tcPr>
          <w:p w14:paraId="40A1DEB7">
            <w:pPr>
              <w:rPr>
                <w:rFonts w:hint="eastAsia" w:ascii="宋体" w:hAnsi="宋体" w:eastAsia="宋体"/>
                <w:sz w:val="21"/>
                <w:szCs w:val="21"/>
                <w:highlight w:val="none"/>
              </w:rPr>
            </w:pPr>
            <w:r>
              <w:rPr>
                <w:rFonts w:hint="eastAsia" w:ascii="宋体" w:hAnsi="宋体" w:eastAsia="宋体"/>
                <w:sz w:val="21"/>
                <w:szCs w:val="21"/>
                <w:highlight w:val="none"/>
              </w:rPr>
              <w:t>政采云平台细化在线询价、反向竞价管理规则，保障业务有序开展。供应商存在不按要求报价、中标后无故放弃、不按合同履行等违约行为的，经采购人举报且平台或政府采购管理部门确认的，将按以下规则进行处理。违约处理将在政采云全平台各区划联动生效。违约处理做出后供应商可以在5个工作日内提出异议，异议有效的撤销违约处理并恢复对应权限。</w:t>
            </w:r>
          </w:p>
          <w:p w14:paraId="2EA77A3A">
            <w:pPr>
              <w:rPr>
                <w:rFonts w:hint="eastAsia" w:ascii="宋体" w:hAnsi="宋体" w:eastAsia="宋体"/>
                <w:sz w:val="21"/>
                <w:szCs w:val="21"/>
                <w:highlight w:val="none"/>
              </w:rPr>
            </w:pPr>
            <w:r>
              <w:rPr>
                <w:rFonts w:hint="eastAsia" w:ascii="宋体" w:hAnsi="宋体" w:eastAsia="宋体"/>
                <w:sz w:val="21"/>
                <w:szCs w:val="21"/>
                <w:highlight w:val="none"/>
              </w:rPr>
              <w:t>网页地址详见：https://inquiryhall.zcygov.cn/inquiryhall/list?districtCode=450109</w:t>
            </w:r>
          </w:p>
        </w:tc>
      </w:tr>
      <w:tr w14:paraId="5866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580" w:type="dxa"/>
            <w:vMerge w:val="continue"/>
            <w:vAlign w:val="center"/>
          </w:tcPr>
          <w:p w14:paraId="3EFC9D13">
            <w:pP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w:t>
            </w:r>
          </w:p>
        </w:tc>
        <w:tc>
          <w:tcPr>
            <w:tcW w:w="4419" w:type="dxa"/>
            <w:vAlign w:val="center"/>
          </w:tcPr>
          <w:p w14:paraId="4005B24A">
            <w:pPr>
              <w:rPr>
                <w:rFonts w:hint="eastAsia" w:ascii="宋体" w:hAnsi="宋体" w:eastAsia="宋体"/>
                <w:sz w:val="21"/>
                <w:szCs w:val="21"/>
                <w:highlight w:val="none"/>
              </w:rPr>
            </w:pPr>
          </w:p>
        </w:tc>
      </w:tr>
      <w:tr w14:paraId="7895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580" w:type="dxa"/>
            <w:vMerge w:val="continue"/>
            <w:vAlign w:val="center"/>
          </w:tcPr>
          <w:p w14:paraId="3310AF73">
            <w:pPr>
              <w:rPr>
                <w:rFonts w:hint="eastAsia" w:ascii="宋体" w:hAnsi="宋体" w:eastAsia="宋体"/>
                <w:sz w:val="21"/>
                <w:szCs w:val="21"/>
              </w:rPr>
            </w:pPr>
          </w:p>
        </w:tc>
        <w:tc>
          <w:tcPr>
            <w:tcW w:w="4419" w:type="dxa"/>
            <w:vAlign w:val="center"/>
          </w:tcPr>
          <w:p w14:paraId="26109069">
            <w:pPr>
              <w:rPr>
                <w:rFonts w:hint="eastAsia" w:ascii="宋体" w:hAnsi="宋体" w:eastAsia="宋体"/>
                <w:sz w:val="21"/>
                <w:szCs w:val="21"/>
              </w:rPr>
            </w:pPr>
            <w:r>
              <w:rPr>
                <w:rFonts w:hint="eastAsia" w:ascii="宋体" w:hAnsi="宋体" w:eastAsia="宋体"/>
                <w:sz w:val="21"/>
                <w:szCs w:val="21"/>
              </w:rPr>
              <w:drawing>
                <wp:inline distT="0" distB="0" distL="0" distR="0">
                  <wp:extent cx="5566410" cy="1590040"/>
                  <wp:effectExtent l="0" t="0" r="15240" b="10160"/>
                  <wp:docPr id="1" name="_x0000_i1026"/>
                  <wp:cNvGraphicFramePr/>
                  <a:graphic xmlns:a="http://schemas.openxmlformats.org/drawingml/2006/main">
                    <a:graphicData uri="http://schemas.openxmlformats.org/drawingml/2006/picture">
                      <pic:pic xmlns:pic="http://schemas.openxmlformats.org/drawingml/2006/picture">
                        <pic:nvPicPr>
                          <pic:cNvPr id="1" name="_x0000_i1026"/>
                          <pic:cNvPicPr/>
                        </pic:nvPicPr>
                        <pic:blipFill>
                          <a:blip r:embed="rId4"/>
                          <a:stretch>
                            <a:fillRect/>
                          </a:stretch>
                        </pic:blipFill>
                        <pic:spPr>
                          <a:xfrm>
                            <a:off x="0" y="0"/>
                            <a:ext cx="5566410" cy="1590040"/>
                          </a:xfrm>
                          <a:prstGeom prst="rect">
                            <a:avLst/>
                          </a:prstGeom>
                        </pic:spPr>
                      </pic:pic>
                    </a:graphicData>
                  </a:graphic>
                </wp:inline>
              </w:drawing>
            </w:r>
          </w:p>
        </w:tc>
      </w:tr>
      <w:tr w14:paraId="719D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580" w:type="dxa"/>
            <w:vAlign w:val="center"/>
          </w:tcPr>
          <w:p w14:paraId="05D6C7AB">
            <w:pPr>
              <w:rPr>
                <w:rFonts w:hint="eastAsia" w:ascii="宋体" w:hAnsi="宋体" w:eastAsia="宋体"/>
                <w:sz w:val="21"/>
                <w:szCs w:val="21"/>
              </w:rPr>
            </w:pPr>
            <w:r>
              <w:rPr>
                <w:rFonts w:hint="eastAsia" w:ascii="宋体" w:hAnsi="宋体" w:eastAsia="宋体"/>
                <w:sz w:val="21"/>
                <w:szCs w:val="21"/>
              </w:rPr>
              <w:t>广西壮族自治区电子卖场平台管理协议</w:t>
            </w:r>
          </w:p>
        </w:tc>
        <w:tc>
          <w:tcPr>
            <w:tcW w:w="4419" w:type="dxa"/>
            <w:vAlign w:val="center"/>
          </w:tcPr>
          <w:p w14:paraId="1CF80BE5">
            <w:pPr>
              <w:rPr>
                <w:rFonts w:hint="eastAsia" w:ascii="宋体" w:hAnsi="宋体" w:eastAsia="宋体"/>
                <w:sz w:val="21"/>
                <w:szCs w:val="21"/>
              </w:rPr>
            </w:pPr>
            <w:r>
              <w:rPr>
                <w:rFonts w:hint="eastAsia" w:ascii="宋体" w:hAnsi="宋体" w:eastAsia="宋体"/>
                <w:sz w:val="21"/>
                <w:szCs w:val="21"/>
              </w:rPr>
              <w:t>第四条 在线询价、反向竞价供应商供应商存在不按要求报价、中标后无故放弃、不按合同履行等违约行为的，经采购人举报，经同级财政部门确认的，应扣减其10-30分诚信分，限制供应商报价权限3-12个月。</w:t>
            </w:r>
          </w:p>
        </w:tc>
      </w:tr>
    </w:tbl>
    <w:p w14:paraId="06E62711">
      <w:pPr>
        <w:pStyle w:val="4"/>
      </w:pPr>
      <w:r>
        <w:br w:type="page"/>
      </w:r>
      <w:bookmarkStart w:id="0" w:name="_Toc24949"/>
      <w:r>
        <w:rPr>
          <w:rFonts w:hint="eastAsia"/>
          <w:sz w:val="28"/>
        </w:rPr>
        <w:t>附件一：商家须知在线询价、反向竞价违约处理规则</w:t>
      </w:r>
      <w:bookmarkEnd w:id="0"/>
    </w:p>
    <w:p w14:paraId="502EE6D2">
      <w:pPr>
        <w:rPr>
          <w:rFonts w:hint="eastAsia"/>
          <w:sz w:val="24"/>
          <w:szCs w:val="28"/>
        </w:rPr>
      </w:pPr>
      <w:r>
        <w:rPr>
          <w:rFonts w:hint="eastAsia"/>
          <w:sz w:val="24"/>
          <w:szCs w:val="28"/>
        </w:rPr>
        <w:t>网页地址</w:t>
      </w:r>
      <w:r>
        <w:rPr>
          <w:rFonts w:hint="eastAsia" w:ascii="宋体" w:hAnsi="宋体"/>
          <w:sz w:val="24"/>
          <w:szCs w:val="28"/>
        </w:rPr>
        <w:t>详见：</w:t>
      </w:r>
      <w:r>
        <w:rPr>
          <w:rFonts w:ascii="宋体" w:hAnsi="宋体"/>
          <w:sz w:val="24"/>
          <w:szCs w:val="28"/>
        </w:rPr>
        <w:fldChar w:fldCharType="begin"/>
      </w:r>
      <w:r>
        <w:rPr>
          <w:rFonts w:ascii="宋体" w:hAnsi="宋体"/>
          <w:sz w:val="24"/>
          <w:szCs w:val="28"/>
        </w:rPr>
        <w:instrText xml:space="preserve"> HYPERLINK "https://inquiryhall.zcygov.cn/inquiryhall/list?districtCode=450109" </w:instrText>
      </w:r>
      <w:r>
        <w:rPr>
          <w:rFonts w:ascii="宋体" w:hAnsi="宋体"/>
          <w:sz w:val="24"/>
          <w:szCs w:val="28"/>
        </w:rPr>
        <w:fldChar w:fldCharType="separate"/>
      </w:r>
      <w:r>
        <w:rPr>
          <w:rStyle w:val="27"/>
          <w:rFonts w:ascii="宋体" w:hAnsi="宋体"/>
          <w:sz w:val="24"/>
          <w:szCs w:val="28"/>
        </w:rPr>
        <w:t>https://inquiryhall.zcygov.cn/inquiryhall/list?districtCode=450109</w:t>
      </w:r>
      <w:r>
        <w:rPr>
          <w:rFonts w:ascii="宋体" w:hAnsi="宋体"/>
          <w:sz w:val="24"/>
          <w:szCs w:val="28"/>
        </w:rPr>
        <w:fldChar w:fldCharType="end"/>
      </w:r>
    </w:p>
    <w:p w14:paraId="5F60E7F0">
      <w:pPr>
        <w:rPr>
          <w:rFonts w:ascii="宋体" w:hAnsi="宋体"/>
        </w:rPr>
      </w:pPr>
    </w:p>
    <w:p w14:paraId="478ECC6A">
      <w:r>
        <w:drawing>
          <wp:inline distT="0" distB="0" distL="0" distR="0">
            <wp:extent cx="5401945" cy="4091305"/>
            <wp:effectExtent l="0" t="0" r="8255" b="4445"/>
            <wp:docPr id="2" name="_x0000_i1027"/>
            <wp:cNvGraphicFramePr/>
            <a:graphic xmlns:a="http://schemas.openxmlformats.org/drawingml/2006/main">
              <a:graphicData uri="http://schemas.openxmlformats.org/drawingml/2006/picture">
                <pic:pic xmlns:pic="http://schemas.openxmlformats.org/drawingml/2006/picture">
                  <pic:nvPicPr>
                    <pic:cNvPr id="2" name="_x0000_i1027"/>
                    <pic:cNvPicPr/>
                  </pic:nvPicPr>
                  <pic:blipFill>
                    <a:blip r:embed="rId5"/>
                    <a:stretch>
                      <a:fillRect/>
                    </a:stretch>
                  </pic:blipFill>
                  <pic:spPr>
                    <a:xfrm>
                      <a:off x="0" y="0"/>
                      <a:ext cx="5402021" cy="4091381"/>
                    </a:xfrm>
                    <a:prstGeom prst="rect">
                      <a:avLst/>
                    </a:prstGeom>
                  </pic:spPr>
                </pic:pic>
              </a:graphicData>
            </a:graphic>
          </wp:inline>
        </w:drawing>
      </w:r>
    </w:p>
    <w:p w14:paraId="271481C2">
      <w:pPr>
        <w:jc w:val="left"/>
        <w:outlineLvl w:val="1"/>
      </w:pPr>
      <w:r>
        <w:br w:type="page"/>
      </w:r>
      <w:bookmarkStart w:id="1" w:name="_Toc24781"/>
      <w:r>
        <w:rPr>
          <w:rStyle w:val="9"/>
          <w:rFonts w:hint="eastAsia"/>
        </w:rPr>
        <w:t>附件二：广西壮族自治区电子卖场平台管理协议</w:t>
      </w:r>
      <w:bookmarkEnd w:id="1"/>
    </w:p>
    <w:p w14:paraId="604AABFE">
      <w:pPr>
        <w:jc w:val="left"/>
        <w:rPr>
          <w:rFonts w:hint="eastAsia" w:ascii="仿宋" w:hAnsi="仿宋" w:eastAsia="仿宋"/>
          <w:sz w:val="28"/>
          <w:szCs w:val="32"/>
        </w:rPr>
      </w:pPr>
      <w:r>
        <w:rPr>
          <w:rFonts w:hint="eastAsia" w:ascii="仿宋" w:hAnsi="仿宋" w:eastAsia="仿宋"/>
          <w:sz w:val="28"/>
          <w:szCs w:val="32"/>
        </w:rPr>
        <w:t>网页地址详见：</w:t>
      </w:r>
      <w:r>
        <w:rPr>
          <w:rFonts w:ascii="仿宋" w:hAnsi="仿宋" w:eastAsia="仿宋"/>
          <w:sz w:val="28"/>
          <w:szCs w:val="32"/>
        </w:rPr>
        <w:fldChar w:fldCharType="begin"/>
      </w:r>
      <w:r>
        <w:rPr>
          <w:rFonts w:ascii="仿宋" w:hAnsi="仿宋" w:eastAsia="仿宋"/>
          <w:sz w:val="28"/>
          <w:szCs w:val="32"/>
        </w:rPr>
        <w:instrText xml:space="preserve"> HYPERLINK "</w:instrText>
      </w:r>
      <w:r>
        <w:rPr>
          <w:rFonts w:hint="eastAsia" w:ascii="仿宋" w:hAnsi="仿宋" w:eastAsia="仿宋"/>
          <w:sz w:val="28"/>
          <w:szCs w:val="32"/>
        </w:rPr>
        <w:instrText xml:space="preserve">https://wqzx.zcygov.cn/RightsRules/GXGZ/2664840.html?utm=a0017.b0505.0001.0001.424bf4d0db6711ea9001a1e3a1663ae8</w:instrText>
      </w:r>
      <w:r>
        <w:rPr>
          <w:rFonts w:ascii="仿宋" w:hAnsi="仿宋" w:eastAsia="仿宋"/>
          <w:sz w:val="28"/>
          <w:szCs w:val="32"/>
        </w:rPr>
        <w:instrText xml:space="preserve">" </w:instrText>
      </w:r>
      <w:r>
        <w:rPr>
          <w:rFonts w:ascii="仿宋" w:hAnsi="仿宋" w:eastAsia="仿宋"/>
          <w:sz w:val="28"/>
          <w:szCs w:val="32"/>
        </w:rPr>
        <w:fldChar w:fldCharType="separate"/>
      </w:r>
      <w:r>
        <w:rPr>
          <w:rStyle w:val="27"/>
          <w:rFonts w:hint="eastAsia" w:ascii="仿宋" w:hAnsi="仿宋" w:eastAsia="仿宋"/>
          <w:sz w:val="28"/>
          <w:szCs w:val="32"/>
        </w:rPr>
        <w:t>https://wqzx.zcygov.cn/RightsRules/GXGZ/2664840.html?utm=a0017.b0505.0001.0001.424bf4d0db6711ea9001a1e3a1663ae8</w:t>
      </w:r>
      <w:r>
        <w:rPr>
          <w:rFonts w:ascii="仿宋" w:hAnsi="仿宋" w:eastAsia="仿宋"/>
          <w:sz w:val="28"/>
          <w:szCs w:val="32"/>
        </w:rPr>
        <w:fldChar w:fldCharType="end"/>
      </w:r>
    </w:p>
    <w:p w14:paraId="7F721C1E">
      <w:pPr>
        <w:pStyle w:val="31"/>
        <w:pBdr>
          <w:bottom w:val="single" w:color="CCCCCC" w:sz="6" w:space="8"/>
        </w:pBdr>
        <w:spacing w:before="75" w:beforeAutospacing="0" w:after="300" w:afterAutospacing="0"/>
        <w:rPr>
          <w:sz w:val="21"/>
          <w:szCs w:val="21"/>
        </w:rPr>
      </w:pPr>
      <w:r>
        <w:rPr>
          <w:sz w:val="21"/>
          <w:szCs w:val="21"/>
        </w:rPr>
        <w:t>来源：广西财政 发布时间：2020-08-04</w:t>
      </w:r>
    </w:p>
    <w:p w14:paraId="53E92CCF">
      <w:pPr>
        <w:pStyle w:val="22"/>
        <w:spacing w:before="75" w:beforeAutospacing="0" w:after="75" w:afterAutospacing="0" w:line="340" w:lineRule="exact"/>
        <w:rPr>
          <w:rStyle w:val="26"/>
          <w:rFonts w:hint="eastAsia" w:ascii="仿宋" w:hAnsi="仿宋" w:eastAsia="仿宋"/>
        </w:rPr>
      </w:pPr>
      <w:r>
        <w:rPr>
          <w:rStyle w:val="26"/>
          <w:rFonts w:hint="eastAsia" w:ascii="仿宋" w:hAnsi="仿宋" w:eastAsia="仿宋"/>
        </w:rPr>
        <w:t>第一条</w:t>
      </w:r>
      <w:r>
        <w:rPr>
          <w:rFonts w:ascii="Calibri" w:hAnsi="Calibri" w:eastAsia="仿宋"/>
        </w:rPr>
        <w:t> </w:t>
      </w:r>
      <w:r>
        <w:rPr>
          <w:rFonts w:hint="eastAsia" w:ascii="仿宋" w:hAnsi="仿宋" w:eastAsia="仿宋"/>
        </w:rPr>
        <w:t>参加电子卖场政府采购活动的供应商实行设置“诚信分”和预警制度，由电子卖场系统根据情节在供应商库中的诚信记录自动统计计算，用分值表示，供应商被查作出扣减诚信分及预警，按下列规则记录：</w:t>
      </w:r>
    </w:p>
    <w:p w14:paraId="06161516">
      <w:pPr>
        <w:pStyle w:val="22"/>
        <w:spacing w:before="75" w:beforeAutospacing="0" w:after="75" w:afterAutospacing="0" w:line="340" w:lineRule="exact"/>
        <w:rPr>
          <w:rFonts w:hint="eastAsia" w:ascii="仿宋" w:hAnsi="仿宋" w:eastAsia="仿宋"/>
        </w:rPr>
      </w:pPr>
      <w:r>
        <w:rPr>
          <w:rFonts w:hint="eastAsia" w:ascii="仿宋" w:hAnsi="仿宋" w:eastAsia="仿宋"/>
        </w:rPr>
        <w:t>1.供应商被给予黄色预警一次，扣减5-10分诚信分，可给予暂停其6个月在电子卖场销售或停止其参与报价；</w:t>
      </w:r>
    </w:p>
    <w:p w14:paraId="640C05D8">
      <w:pPr>
        <w:pStyle w:val="22"/>
        <w:spacing w:before="75" w:beforeAutospacing="0" w:after="75" w:afterAutospacing="0" w:line="340" w:lineRule="exact"/>
        <w:rPr>
          <w:rFonts w:hint="eastAsia" w:ascii="仿宋" w:hAnsi="仿宋" w:eastAsia="仿宋"/>
        </w:rPr>
      </w:pPr>
      <w:r>
        <w:rPr>
          <w:rFonts w:hint="eastAsia" w:ascii="仿宋" w:hAnsi="仿宋" w:eastAsia="仿宋"/>
        </w:rPr>
        <w:t>2.供应商被给予橙色预警一次，扣减10-20分诚信分，可给予暂停其9个月在电子卖场销售或停止其参与报价；</w:t>
      </w:r>
    </w:p>
    <w:p w14:paraId="0C595CB4">
      <w:pPr>
        <w:pStyle w:val="22"/>
        <w:spacing w:before="75" w:beforeAutospacing="0" w:after="75" w:afterAutospacing="0" w:line="340" w:lineRule="exact"/>
        <w:rPr>
          <w:rFonts w:hint="eastAsia" w:ascii="仿宋" w:hAnsi="仿宋" w:eastAsia="仿宋"/>
        </w:rPr>
      </w:pPr>
      <w:r>
        <w:rPr>
          <w:rFonts w:hint="eastAsia" w:ascii="仿宋" w:hAnsi="仿宋" w:eastAsia="仿宋"/>
        </w:rPr>
        <w:t>3.供应商被给予红色预警一次，扣减20-30分诚信分，可给予暂停其12个月在电子卖场销售或停止其参与报价。</w:t>
      </w:r>
    </w:p>
    <w:p w14:paraId="25599B2B">
      <w:pPr>
        <w:pStyle w:val="22"/>
        <w:spacing w:before="75" w:beforeAutospacing="0" w:after="75" w:afterAutospacing="0" w:line="340" w:lineRule="exact"/>
        <w:rPr>
          <w:rFonts w:hint="eastAsia" w:ascii="仿宋" w:hAnsi="仿宋" w:eastAsia="仿宋"/>
        </w:rPr>
      </w:pPr>
      <w:r>
        <w:rPr>
          <w:rFonts w:hint="eastAsia" w:ascii="仿宋" w:hAnsi="仿宋" w:eastAsia="仿宋"/>
        </w:rPr>
        <w:t>4.网上超市供应商和协议（定点）采购供应商被累计扣减30分诚信分的，取消其网上超市供应商和协议（定点）采购供应商资格。</w:t>
      </w:r>
    </w:p>
    <w:p w14:paraId="1664F898">
      <w:pPr>
        <w:pStyle w:val="22"/>
        <w:spacing w:before="75" w:beforeAutospacing="0" w:after="75" w:afterAutospacing="0" w:line="340" w:lineRule="exact"/>
        <w:rPr>
          <w:rFonts w:hint="eastAsia" w:ascii="仿宋" w:hAnsi="仿宋" w:eastAsia="仿宋"/>
        </w:rPr>
      </w:pPr>
      <w:r>
        <w:rPr>
          <w:rFonts w:hint="eastAsia" w:ascii="仿宋" w:hAnsi="仿宋" w:eastAsia="仿宋"/>
        </w:rPr>
        <w:t>扣分实行年度累计和清零制，每年年度终了时清零。供应商可在知道其被记录诚信或预警时2个工作日内发起申辩或澄清。同级财政部门核实，对有误计入的处理记录可予以撤销。供应商违规情形中，如出现重大社会影响的，各级财政部门有权在第一时间内冻结商品等，并对供应商操作权限等做限制处理。</w:t>
      </w:r>
    </w:p>
    <w:p w14:paraId="6534CC77">
      <w:pPr>
        <w:pStyle w:val="22"/>
        <w:spacing w:before="75" w:beforeAutospacing="0" w:after="75" w:afterAutospacing="0" w:line="340" w:lineRule="exact"/>
        <w:rPr>
          <w:rStyle w:val="26"/>
          <w:rFonts w:hint="eastAsia" w:ascii="仿宋" w:hAnsi="仿宋" w:eastAsia="仿宋"/>
        </w:rPr>
      </w:pPr>
      <w:r>
        <w:rPr>
          <w:rStyle w:val="26"/>
          <w:rFonts w:hint="eastAsia" w:ascii="仿宋" w:hAnsi="仿宋" w:eastAsia="仿宋"/>
        </w:rPr>
        <w:t>第二条</w:t>
      </w:r>
      <w:r>
        <w:rPr>
          <w:rFonts w:ascii="Calibri" w:hAnsi="Calibri" w:eastAsia="仿宋"/>
        </w:rPr>
        <w:t> </w:t>
      </w:r>
      <w:r>
        <w:rPr>
          <w:rFonts w:hint="eastAsia" w:ascii="仿宋" w:hAnsi="仿宋" w:eastAsia="仿宋"/>
        </w:rPr>
        <w:t>网上超市供应商被查实存在违法违规行为的，由负责招标或资格征集的各级集采机构或各级财政部门责令其纠正，并对其作出相应诚信分扣除及预警等处理。</w:t>
      </w:r>
    </w:p>
    <w:p w14:paraId="7025ABE5">
      <w:pPr>
        <w:pStyle w:val="22"/>
        <w:spacing w:before="75" w:beforeAutospacing="0" w:after="75" w:afterAutospacing="0" w:line="340" w:lineRule="exact"/>
        <w:rPr>
          <w:rFonts w:hint="eastAsia" w:ascii="仿宋" w:hAnsi="仿宋" w:eastAsia="仿宋"/>
        </w:rPr>
      </w:pPr>
      <w:r>
        <w:rPr>
          <w:rFonts w:hint="eastAsia" w:ascii="仿宋" w:hAnsi="仿宋" w:eastAsia="仿宋"/>
        </w:rPr>
        <w:t>（一）有下列情形之一的，每发生一次，视情扣减5-10分诚信分及黄色预警1次。拒不纠正的，暂停其网超协议6个月：</w:t>
      </w:r>
    </w:p>
    <w:p w14:paraId="4F5618FB">
      <w:pPr>
        <w:pStyle w:val="22"/>
        <w:spacing w:before="75" w:beforeAutospacing="0" w:after="75" w:afterAutospacing="0" w:line="340" w:lineRule="exact"/>
        <w:rPr>
          <w:rFonts w:hint="eastAsia" w:ascii="仿宋" w:hAnsi="仿宋" w:eastAsia="仿宋"/>
        </w:rPr>
      </w:pPr>
      <w:r>
        <w:rPr>
          <w:rFonts w:hint="eastAsia" w:ascii="仿宋" w:hAnsi="仿宋" w:eastAsia="仿宋"/>
        </w:rPr>
        <w:t>1.存在网上超市商品销售价格高于同期大型电商自营商品平均销售价格10%及以上的；</w:t>
      </w:r>
    </w:p>
    <w:p w14:paraId="1CBF9DED">
      <w:pPr>
        <w:pStyle w:val="22"/>
        <w:spacing w:before="75" w:beforeAutospacing="0" w:after="75" w:afterAutospacing="0" w:line="340" w:lineRule="exact"/>
        <w:rPr>
          <w:rFonts w:hint="eastAsia" w:ascii="仿宋" w:hAnsi="仿宋" w:eastAsia="仿宋"/>
        </w:rPr>
      </w:pPr>
      <w:r>
        <w:rPr>
          <w:rFonts w:hint="eastAsia" w:ascii="仿宋" w:hAnsi="仿宋" w:eastAsia="仿宋"/>
        </w:rPr>
        <w:t>2.发布的商品信息前后出现品牌、价格、图片、属性等不一致、重复等情况的；</w:t>
      </w:r>
    </w:p>
    <w:p w14:paraId="020D9CD0">
      <w:pPr>
        <w:pStyle w:val="22"/>
        <w:spacing w:before="75" w:beforeAutospacing="0" w:after="75" w:afterAutospacing="0" w:line="340" w:lineRule="exact"/>
        <w:rPr>
          <w:rFonts w:hint="eastAsia" w:ascii="仿宋" w:hAnsi="仿宋" w:eastAsia="仿宋"/>
        </w:rPr>
      </w:pPr>
      <w:r>
        <w:rPr>
          <w:rFonts w:hint="eastAsia" w:ascii="仿宋" w:hAnsi="仿宋" w:eastAsia="仿宋"/>
        </w:rPr>
        <w:t>3.发布商品选择类目与商品不相关的；</w:t>
      </w:r>
    </w:p>
    <w:p w14:paraId="076DC6B4">
      <w:pPr>
        <w:pStyle w:val="22"/>
        <w:spacing w:before="75" w:beforeAutospacing="0" w:after="75" w:afterAutospacing="0" w:line="340" w:lineRule="exact"/>
        <w:rPr>
          <w:rFonts w:hint="eastAsia" w:ascii="仿宋" w:hAnsi="仿宋" w:eastAsia="仿宋"/>
        </w:rPr>
      </w:pPr>
      <w:r>
        <w:rPr>
          <w:rFonts w:hint="eastAsia" w:ascii="仿宋" w:hAnsi="仿宋" w:eastAsia="仿宋"/>
        </w:rPr>
        <w:t>4.发布的商品与实际不符，包括夸大、过度和虚假宣传的；</w:t>
      </w:r>
    </w:p>
    <w:p w14:paraId="335D7836">
      <w:pPr>
        <w:pStyle w:val="22"/>
        <w:spacing w:before="75" w:beforeAutospacing="0" w:after="75" w:afterAutospacing="0" w:line="340" w:lineRule="exact"/>
        <w:rPr>
          <w:rFonts w:hint="eastAsia" w:ascii="仿宋" w:hAnsi="仿宋" w:eastAsia="仿宋"/>
        </w:rPr>
      </w:pPr>
      <w:r>
        <w:rPr>
          <w:rFonts w:hint="eastAsia" w:ascii="仿宋" w:hAnsi="仿宋" w:eastAsia="仿宋"/>
        </w:rPr>
        <w:t>5.不符合平台商品发布规范的其他行为。</w:t>
      </w:r>
    </w:p>
    <w:p w14:paraId="31B64F0D">
      <w:pPr>
        <w:pStyle w:val="22"/>
        <w:spacing w:before="75" w:beforeAutospacing="0" w:after="75" w:afterAutospacing="0" w:line="340" w:lineRule="exact"/>
        <w:rPr>
          <w:rFonts w:hint="eastAsia" w:ascii="仿宋" w:hAnsi="仿宋" w:eastAsia="仿宋"/>
        </w:rPr>
      </w:pPr>
      <w:r>
        <w:rPr>
          <w:rFonts w:hint="eastAsia" w:ascii="仿宋" w:hAnsi="仿宋" w:eastAsia="仿宋"/>
        </w:rPr>
        <w:t>（二）有下列情形之一的，每发生一次，将视情扣减10-20分诚信分及橙色预警1次。拒不纠正的，暂停其网超协议9个月：</w:t>
      </w:r>
    </w:p>
    <w:p w14:paraId="0EF4840C">
      <w:pPr>
        <w:pStyle w:val="22"/>
        <w:spacing w:before="75" w:beforeAutospacing="0" w:after="75" w:afterAutospacing="0" w:line="340" w:lineRule="exact"/>
        <w:rPr>
          <w:rFonts w:hint="eastAsia" w:ascii="仿宋" w:hAnsi="仿宋" w:eastAsia="仿宋"/>
        </w:rPr>
      </w:pPr>
      <w:r>
        <w:rPr>
          <w:rFonts w:hint="eastAsia" w:ascii="仿宋" w:hAnsi="仿宋" w:eastAsia="仿宋"/>
        </w:rPr>
        <w:t>1.销售价格高于同期大型电商自营商品平均销售价格20%以上或因价格问题被黄色预警3次以上的；</w:t>
      </w:r>
    </w:p>
    <w:p w14:paraId="69FA17A1">
      <w:pPr>
        <w:pStyle w:val="22"/>
        <w:spacing w:before="75" w:beforeAutospacing="0" w:after="75" w:afterAutospacing="0" w:line="340" w:lineRule="exact"/>
        <w:rPr>
          <w:rFonts w:hint="eastAsia" w:ascii="仿宋" w:hAnsi="仿宋" w:eastAsia="仿宋"/>
        </w:rPr>
      </w:pPr>
      <w:r>
        <w:rPr>
          <w:rFonts w:hint="eastAsia" w:ascii="仿宋" w:hAnsi="仿宋" w:eastAsia="仿宋"/>
        </w:rPr>
        <w:t>2.发布质量不合格商品的；</w:t>
      </w:r>
    </w:p>
    <w:p w14:paraId="1BB235A3">
      <w:pPr>
        <w:pStyle w:val="22"/>
        <w:spacing w:before="75" w:beforeAutospacing="0" w:after="75" w:afterAutospacing="0" w:line="340" w:lineRule="exact"/>
        <w:rPr>
          <w:rFonts w:hint="eastAsia" w:ascii="仿宋" w:hAnsi="仿宋" w:eastAsia="仿宋"/>
        </w:rPr>
      </w:pPr>
      <w:r>
        <w:rPr>
          <w:rFonts w:hint="eastAsia" w:ascii="仿宋" w:hAnsi="仿宋" w:eastAsia="仿宋"/>
        </w:rPr>
        <w:t>3.不当使用他人商标权、著作权、专利权等，造成不良后果的；</w:t>
      </w:r>
    </w:p>
    <w:p w14:paraId="52B66C29">
      <w:pPr>
        <w:pStyle w:val="22"/>
        <w:spacing w:before="75" w:beforeAutospacing="0" w:after="75" w:afterAutospacing="0" w:line="340" w:lineRule="exact"/>
        <w:rPr>
          <w:rFonts w:hint="eastAsia" w:ascii="仿宋" w:hAnsi="仿宋" w:eastAsia="仿宋"/>
        </w:rPr>
      </w:pPr>
      <w:r>
        <w:rPr>
          <w:rFonts w:hint="eastAsia" w:ascii="仿宋" w:hAnsi="仿宋" w:eastAsia="仿宋"/>
        </w:rPr>
        <w:t>4.恶意利用规则、误导采购人获取虚假商品销量、评价、满意度等的；</w:t>
      </w:r>
    </w:p>
    <w:p w14:paraId="437AF9B9">
      <w:pPr>
        <w:pStyle w:val="22"/>
        <w:spacing w:before="75" w:beforeAutospacing="0" w:after="75" w:afterAutospacing="0" w:line="340" w:lineRule="exact"/>
        <w:rPr>
          <w:rFonts w:hint="eastAsia" w:ascii="仿宋" w:hAnsi="仿宋" w:eastAsia="仿宋"/>
        </w:rPr>
      </w:pPr>
      <w:r>
        <w:rPr>
          <w:rFonts w:hint="eastAsia" w:ascii="仿宋" w:hAnsi="仿宋" w:eastAsia="仿宋"/>
        </w:rPr>
        <w:t>5.无正当理由不按规定时限响应或确认采购订单、合同累计5次及以上的；</w:t>
      </w:r>
    </w:p>
    <w:p w14:paraId="318BBBE9">
      <w:pPr>
        <w:pStyle w:val="22"/>
        <w:spacing w:before="75" w:beforeAutospacing="0" w:after="75" w:afterAutospacing="0" w:line="340" w:lineRule="exact"/>
        <w:rPr>
          <w:rFonts w:hint="eastAsia" w:ascii="仿宋" w:hAnsi="仿宋" w:eastAsia="仿宋"/>
        </w:rPr>
      </w:pPr>
      <w:r>
        <w:rPr>
          <w:rFonts w:hint="eastAsia" w:ascii="仿宋" w:hAnsi="仿宋" w:eastAsia="仿宋"/>
        </w:rPr>
        <w:t>6.无正当理由不执行采购订单、合同或没有按承诺提供商品及售后服务1次的；</w:t>
      </w:r>
    </w:p>
    <w:p w14:paraId="42DE0F30">
      <w:pPr>
        <w:pStyle w:val="22"/>
        <w:spacing w:before="75" w:beforeAutospacing="0" w:after="75" w:afterAutospacing="0" w:line="340" w:lineRule="exact"/>
        <w:rPr>
          <w:rFonts w:hint="eastAsia" w:ascii="仿宋" w:hAnsi="仿宋" w:eastAsia="仿宋"/>
        </w:rPr>
      </w:pPr>
      <w:r>
        <w:rPr>
          <w:rFonts w:hint="eastAsia" w:ascii="仿宋" w:hAnsi="仿宋" w:eastAsia="仿宋"/>
        </w:rPr>
        <w:t>7.其他违反采购文件或资格征集协议约定事项或供应商承诺事项的。</w:t>
      </w:r>
    </w:p>
    <w:p w14:paraId="27D280C0">
      <w:pPr>
        <w:pStyle w:val="22"/>
        <w:spacing w:before="75" w:beforeAutospacing="0" w:after="75" w:afterAutospacing="0" w:line="340" w:lineRule="exact"/>
        <w:rPr>
          <w:rFonts w:hint="eastAsia" w:ascii="仿宋" w:hAnsi="仿宋" w:eastAsia="仿宋"/>
        </w:rPr>
      </w:pPr>
      <w:r>
        <w:rPr>
          <w:rFonts w:hint="eastAsia" w:ascii="仿宋" w:hAnsi="仿宋" w:eastAsia="仿宋"/>
        </w:rPr>
        <w:t>（三）有下列情形之一的，视情扣减20-30分诚信分及红色预警1次。拒不纠正的，暂停其网超协议12个月：</w:t>
      </w:r>
    </w:p>
    <w:p w14:paraId="4F87D01B">
      <w:pPr>
        <w:pStyle w:val="22"/>
        <w:spacing w:before="75" w:beforeAutospacing="0" w:after="75" w:afterAutospacing="0" w:line="340" w:lineRule="exact"/>
        <w:rPr>
          <w:rFonts w:hint="eastAsia" w:ascii="仿宋" w:hAnsi="仿宋" w:eastAsia="仿宋"/>
        </w:rPr>
      </w:pPr>
      <w:r>
        <w:rPr>
          <w:rFonts w:hint="eastAsia" w:ascii="仿宋" w:hAnsi="仿宋" w:eastAsia="仿宋"/>
        </w:rPr>
        <w:t>1.销售价格高于同期大型电商自营商品平均销售价格30%以上的或因价格问题被橙色预警2次以上；</w:t>
      </w:r>
    </w:p>
    <w:p w14:paraId="72D9E91C">
      <w:pPr>
        <w:pStyle w:val="22"/>
        <w:spacing w:before="75" w:beforeAutospacing="0" w:after="75" w:afterAutospacing="0" w:line="340" w:lineRule="exact"/>
        <w:rPr>
          <w:rFonts w:hint="eastAsia" w:ascii="仿宋" w:hAnsi="仿宋" w:eastAsia="仿宋"/>
        </w:rPr>
      </w:pPr>
      <w:r>
        <w:rPr>
          <w:rFonts w:hint="eastAsia" w:ascii="仿宋" w:hAnsi="仿宋" w:eastAsia="仿宋"/>
        </w:rPr>
        <w:t>2.发布国家禁止出售商品的；</w:t>
      </w:r>
    </w:p>
    <w:p w14:paraId="341902A0">
      <w:pPr>
        <w:pStyle w:val="22"/>
        <w:spacing w:before="75" w:beforeAutospacing="0" w:after="75" w:afterAutospacing="0" w:line="340" w:lineRule="exact"/>
        <w:rPr>
          <w:rFonts w:hint="eastAsia" w:ascii="仿宋" w:hAnsi="仿宋" w:eastAsia="仿宋"/>
        </w:rPr>
      </w:pPr>
      <w:r>
        <w:rPr>
          <w:rFonts w:hint="eastAsia" w:ascii="仿宋" w:hAnsi="仿宋" w:eastAsia="仿宋"/>
        </w:rPr>
        <w:t>3.发布假冒注册商标商品及盗版商品的；</w:t>
      </w:r>
    </w:p>
    <w:p w14:paraId="75BE2246">
      <w:pPr>
        <w:pStyle w:val="22"/>
        <w:spacing w:before="75" w:beforeAutospacing="0" w:after="75" w:afterAutospacing="0" w:line="340" w:lineRule="exact"/>
        <w:rPr>
          <w:rFonts w:hint="eastAsia" w:ascii="仿宋" w:hAnsi="仿宋" w:eastAsia="仿宋"/>
        </w:rPr>
      </w:pPr>
      <w:r>
        <w:rPr>
          <w:rFonts w:hint="eastAsia" w:ascii="仿宋" w:hAnsi="仿宋" w:eastAsia="仿宋"/>
        </w:rPr>
        <w:t>4.未经允许盗取、发布、传递他人隐私信息的；</w:t>
      </w:r>
    </w:p>
    <w:p w14:paraId="193978F7">
      <w:pPr>
        <w:pStyle w:val="22"/>
        <w:spacing w:before="75" w:beforeAutospacing="0" w:after="75" w:afterAutospacing="0" w:line="340" w:lineRule="exact"/>
        <w:rPr>
          <w:rFonts w:hint="eastAsia" w:ascii="仿宋" w:hAnsi="仿宋" w:eastAsia="仿宋"/>
        </w:rPr>
      </w:pPr>
      <w:r>
        <w:rPr>
          <w:rFonts w:hint="eastAsia" w:ascii="仿宋" w:hAnsi="仿宋" w:eastAsia="仿宋"/>
        </w:rPr>
        <w:t>5.采购人评价“满意度指数”低于60％累计5次及以上的；</w:t>
      </w:r>
    </w:p>
    <w:p w14:paraId="11E3C836">
      <w:pPr>
        <w:pStyle w:val="22"/>
        <w:spacing w:before="75" w:beforeAutospacing="0" w:after="75" w:afterAutospacing="0" w:line="340" w:lineRule="exact"/>
        <w:rPr>
          <w:rFonts w:hint="eastAsia" w:ascii="仿宋" w:hAnsi="仿宋" w:eastAsia="仿宋"/>
        </w:rPr>
      </w:pPr>
      <w:r>
        <w:rPr>
          <w:rFonts w:hint="eastAsia" w:ascii="仿宋" w:hAnsi="仿宋" w:eastAsia="仿宋"/>
        </w:rPr>
        <w:t>6.向运维单位、采购人、集采机构、财政部门有关人员行贿或提供其他不正当利益的；</w:t>
      </w:r>
    </w:p>
    <w:p w14:paraId="194C7823">
      <w:pPr>
        <w:pStyle w:val="22"/>
        <w:spacing w:before="75" w:beforeAutospacing="0" w:after="75" w:afterAutospacing="0" w:line="340" w:lineRule="exact"/>
        <w:rPr>
          <w:rFonts w:hint="eastAsia" w:ascii="仿宋" w:hAnsi="仿宋" w:eastAsia="仿宋"/>
        </w:rPr>
      </w:pPr>
      <w:r>
        <w:rPr>
          <w:rFonts w:hint="eastAsia" w:ascii="仿宋" w:hAnsi="仿宋" w:eastAsia="仿宋"/>
        </w:rPr>
        <w:t>7.与其他供应商、运维单位、采购人、集采机构、财政部门有关人员恶意串通的；</w:t>
      </w:r>
    </w:p>
    <w:p w14:paraId="0E95F063">
      <w:pPr>
        <w:pStyle w:val="22"/>
        <w:spacing w:before="75" w:beforeAutospacing="0" w:after="75" w:afterAutospacing="0" w:line="340" w:lineRule="exact"/>
        <w:rPr>
          <w:rFonts w:hint="eastAsia" w:ascii="仿宋" w:hAnsi="仿宋" w:eastAsia="仿宋"/>
        </w:rPr>
      </w:pPr>
      <w:r>
        <w:rPr>
          <w:rFonts w:hint="eastAsia" w:ascii="仿宋" w:hAnsi="仿宋" w:eastAsia="仿宋"/>
        </w:rPr>
        <w:t>8.利用网上超市系统漏洞或者其他黑客手段侵入系统篡改数据或者虚构交易记录的；</w:t>
      </w:r>
    </w:p>
    <w:p w14:paraId="598C95AA">
      <w:pPr>
        <w:pStyle w:val="22"/>
        <w:spacing w:before="75" w:beforeAutospacing="0" w:after="75" w:afterAutospacing="0" w:line="340" w:lineRule="exact"/>
        <w:rPr>
          <w:rFonts w:hint="eastAsia" w:ascii="仿宋" w:hAnsi="仿宋" w:eastAsia="仿宋"/>
        </w:rPr>
      </w:pPr>
      <w:r>
        <w:rPr>
          <w:rFonts w:hint="eastAsia" w:ascii="仿宋" w:hAnsi="仿宋" w:eastAsia="仿宋"/>
        </w:rPr>
        <w:t>9.拒不执行财政部门或同级集采机构的监管措施或者拒不纠正违规、违约行为的；</w:t>
      </w:r>
    </w:p>
    <w:p w14:paraId="7EC51CFC">
      <w:pPr>
        <w:pStyle w:val="22"/>
        <w:spacing w:before="75" w:beforeAutospacing="0" w:after="75" w:afterAutospacing="0" w:line="340" w:lineRule="exact"/>
        <w:rPr>
          <w:rFonts w:hint="eastAsia" w:ascii="仿宋" w:hAnsi="仿宋" w:eastAsia="仿宋"/>
        </w:rPr>
      </w:pPr>
      <w:r>
        <w:rPr>
          <w:rFonts w:hint="eastAsia" w:ascii="仿宋" w:hAnsi="仿宋" w:eastAsia="仿宋"/>
        </w:rPr>
        <w:t>10.未按采购结果签订供货或服务合同，或者与采购人另行订立背离合同实质性内容协议的；</w:t>
      </w:r>
    </w:p>
    <w:p w14:paraId="37EAF7ED">
      <w:pPr>
        <w:pStyle w:val="22"/>
        <w:spacing w:before="75" w:beforeAutospacing="0" w:after="75" w:afterAutospacing="0" w:line="340" w:lineRule="exact"/>
        <w:rPr>
          <w:rFonts w:hint="eastAsia" w:ascii="仿宋" w:hAnsi="仿宋" w:eastAsia="仿宋"/>
        </w:rPr>
      </w:pPr>
      <w:r>
        <w:rPr>
          <w:rFonts w:hint="eastAsia" w:ascii="仿宋" w:hAnsi="仿宋" w:eastAsia="仿宋"/>
        </w:rPr>
        <w:t>11.无正当理由拒绝履行合同义务，或未按合同约定履行义务构成违约的；</w:t>
      </w:r>
    </w:p>
    <w:p w14:paraId="0FFDC684">
      <w:pPr>
        <w:pStyle w:val="22"/>
        <w:spacing w:before="75" w:beforeAutospacing="0" w:after="75" w:afterAutospacing="0" w:line="340" w:lineRule="exact"/>
        <w:rPr>
          <w:rFonts w:hint="eastAsia" w:ascii="仿宋" w:hAnsi="仿宋" w:eastAsia="仿宋"/>
        </w:rPr>
      </w:pPr>
      <w:r>
        <w:rPr>
          <w:rFonts w:hint="eastAsia" w:ascii="仿宋" w:hAnsi="仿宋" w:eastAsia="仿宋"/>
        </w:rPr>
        <w:t>12.竞价结束后与采购人再次议价的；</w:t>
      </w:r>
    </w:p>
    <w:p w14:paraId="01375A5E">
      <w:pPr>
        <w:pStyle w:val="22"/>
        <w:spacing w:before="75" w:beforeAutospacing="0" w:after="75" w:afterAutospacing="0" w:line="340" w:lineRule="exact"/>
        <w:rPr>
          <w:rFonts w:hint="eastAsia" w:ascii="仿宋" w:hAnsi="仿宋" w:eastAsia="仿宋"/>
        </w:rPr>
      </w:pPr>
      <w:r>
        <w:rPr>
          <w:rFonts w:hint="eastAsia" w:ascii="仿宋" w:hAnsi="仿宋" w:eastAsia="仿宋"/>
        </w:rPr>
        <w:t>13.在合同履行过程中与采购人协商变更合同主要条款的；</w:t>
      </w:r>
    </w:p>
    <w:p w14:paraId="6CADF822">
      <w:pPr>
        <w:pStyle w:val="22"/>
        <w:spacing w:before="75" w:beforeAutospacing="0" w:after="75" w:afterAutospacing="0" w:line="340" w:lineRule="exact"/>
        <w:rPr>
          <w:rFonts w:hint="eastAsia" w:ascii="仿宋" w:hAnsi="仿宋" w:eastAsia="仿宋"/>
        </w:rPr>
      </w:pPr>
      <w:r>
        <w:rPr>
          <w:rFonts w:hint="eastAsia" w:ascii="仿宋" w:hAnsi="仿宋" w:eastAsia="仿宋"/>
        </w:rPr>
        <w:t>14.提供假冒伪劣商品或擅自更换配件、降低配置，以次充好的；</w:t>
      </w:r>
    </w:p>
    <w:p w14:paraId="516A7DD6">
      <w:pPr>
        <w:pStyle w:val="22"/>
        <w:spacing w:before="75" w:beforeAutospacing="0" w:after="75" w:afterAutospacing="0" w:line="340" w:lineRule="exact"/>
        <w:rPr>
          <w:rFonts w:hint="eastAsia" w:ascii="仿宋" w:hAnsi="仿宋" w:eastAsia="仿宋"/>
        </w:rPr>
      </w:pPr>
      <w:r>
        <w:rPr>
          <w:rFonts w:hint="eastAsia" w:ascii="仿宋" w:hAnsi="仿宋" w:eastAsia="仿宋"/>
        </w:rPr>
        <w:t>15.各级财政部门认定的其他违法、违规及违反本办法规定的行为。</w:t>
      </w:r>
    </w:p>
    <w:p w14:paraId="64154533">
      <w:pPr>
        <w:pStyle w:val="22"/>
        <w:spacing w:before="75" w:beforeAutospacing="0" w:after="75" w:afterAutospacing="0" w:line="340" w:lineRule="exact"/>
        <w:rPr>
          <w:rFonts w:hint="eastAsia" w:ascii="仿宋" w:hAnsi="仿宋" w:eastAsia="仿宋"/>
        </w:rPr>
      </w:pPr>
      <w:r>
        <w:rPr>
          <w:rFonts w:hint="eastAsia" w:ascii="仿宋" w:hAnsi="仿宋" w:eastAsia="仿宋"/>
        </w:rPr>
        <w:t>运维单位发现供应商发布国家禁止出售商品或信息，或涉及侵犯他人隐私等的，可直接予以删除。</w:t>
      </w:r>
    </w:p>
    <w:p w14:paraId="25A46191">
      <w:pPr>
        <w:pStyle w:val="22"/>
        <w:spacing w:before="75" w:beforeAutospacing="0" w:after="75" w:afterAutospacing="0" w:line="340" w:lineRule="exact"/>
        <w:rPr>
          <w:rStyle w:val="26"/>
          <w:rFonts w:hint="eastAsia" w:ascii="仿宋" w:hAnsi="仿宋" w:eastAsia="仿宋"/>
        </w:rPr>
      </w:pPr>
      <w:r>
        <w:rPr>
          <w:rStyle w:val="26"/>
          <w:rFonts w:hint="eastAsia" w:ascii="仿宋" w:hAnsi="仿宋" w:eastAsia="仿宋"/>
        </w:rPr>
        <w:t>第三条</w:t>
      </w:r>
      <w:r>
        <w:rPr>
          <w:rFonts w:ascii="Calibri" w:hAnsi="Calibri" w:eastAsia="仿宋"/>
        </w:rPr>
        <w:t> </w:t>
      </w:r>
      <w:r>
        <w:rPr>
          <w:rFonts w:hint="eastAsia" w:ascii="仿宋" w:hAnsi="仿宋" w:eastAsia="仿宋"/>
        </w:rPr>
        <w:t>协议供货、定点采购供应商有下列情形之一的，负责招标或资格征集的各级集采机构及财政部门可扣减其10-30分诚信分，并可暂停其协议3-12个月：</w:t>
      </w:r>
    </w:p>
    <w:p w14:paraId="7928475B">
      <w:pPr>
        <w:pStyle w:val="22"/>
        <w:spacing w:before="75" w:beforeAutospacing="0" w:after="75" w:afterAutospacing="0" w:line="340" w:lineRule="exact"/>
        <w:rPr>
          <w:rFonts w:hint="eastAsia" w:ascii="仿宋" w:hAnsi="仿宋" w:eastAsia="仿宋"/>
        </w:rPr>
      </w:pPr>
      <w:r>
        <w:rPr>
          <w:rFonts w:hint="eastAsia" w:ascii="仿宋" w:hAnsi="仿宋" w:eastAsia="仿宋"/>
        </w:rPr>
        <w:t>（一）未按采购结果签订供货或服务合同，或与采购人另行订立背离合同实质性内容协议的；</w:t>
      </w:r>
    </w:p>
    <w:p w14:paraId="49493C8C">
      <w:pPr>
        <w:pStyle w:val="22"/>
        <w:spacing w:before="75" w:beforeAutospacing="0" w:after="75" w:afterAutospacing="0" w:line="340" w:lineRule="exact"/>
        <w:rPr>
          <w:rFonts w:hint="eastAsia" w:ascii="仿宋" w:hAnsi="仿宋" w:eastAsia="仿宋"/>
        </w:rPr>
      </w:pPr>
      <w:r>
        <w:rPr>
          <w:rFonts w:hint="eastAsia" w:ascii="仿宋" w:hAnsi="仿宋" w:eastAsia="仿宋"/>
        </w:rPr>
        <w:t>（二）无正当理由拒绝履行合同义务，或未按合同规定履行义务构成违约的；</w:t>
      </w:r>
    </w:p>
    <w:p w14:paraId="4BC5854D">
      <w:pPr>
        <w:pStyle w:val="22"/>
        <w:spacing w:before="75" w:beforeAutospacing="0" w:after="75" w:afterAutospacing="0" w:line="340" w:lineRule="exact"/>
        <w:rPr>
          <w:rFonts w:hint="eastAsia" w:ascii="仿宋" w:hAnsi="仿宋" w:eastAsia="仿宋"/>
        </w:rPr>
      </w:pPr>
      <w:r>
        <w:rPr>
          <w:rFonts w:hint="eastAsia" w:ascii="仿宋" w:hAnsi="仿宋" w:eastAsia="仿宋"/>
        </w:rPr>
        <w:t>（三）竞价结束后与采购人再次议价的；</w:t>
      </w:r>
    </w:p>
    <w:p w14:paraId="3CBE5731">
      <w:pPr>
        <w:pStyle w:val="22"/>
        <w:spacing w:before="75" w:beforeAutospacing="0" w:after="75" w:afterAutospacing="0" w:line="340" w:lineRule="exact"/>
        <w:rPr>
          <w:rFonts w:hint="eastAsia" w:ascii="仿宋" w:hAnsi="仿宋" w:eastAsia="仿宋"/>
        </w:rPr>
      </w:pPr>
      <w:r>
        <w:rPr>
          <w:rFonts w:hint="eastAsia" w:ascii="仿宋" w:hAnsi="仿宋" w:eastAsia="仿宋"/>
        </w:rPr>
        <w:t>（四）在合同履行过程中与采购人协商变更合同主要条款的；</w:t>
      </w:r>
    </w:p>
    <w:p w14:paraId="5FDE9A49">
      <w:pPr>
        <w:pStyle w:val="22"/>
        <w:spacing w:before="75" w:beforeAutospacing="0" w:after="75" w:afterAutospacing="0" w:line="340" w:lineRule="exact"/>
        <w:rPr>
          <w:rFonts w:hint="eastAsia" w:ascii="仿宋" w:hAnsi="仿宋" w:eastAsia="仿宋"/>
        </w:rPr>
      </w:pPr>
      <w:r>
        <w:rPr>
          <w:rFonts w:hint="eastAsia" w:ascii="仿宋" w:hAnsi="仿宋" w:eastAsia="仿宋"/>
        </w:rPr>
        <w:t>（五）未及时更新维护商品库存信息或者当市场价格低于最高限价时，未及时更新最高限价的； </w:t>
      </w:r>
    </w:p>
    <w:p w14:paraId="5F7E5442">
      <w:pPr>
        <w:pStyle w:val="22"/>
        <w:spacing w:before="75" w:beforeAutospacing="0" w:after="75" w:afterAutospacing="0" w:line="340" w:lineRule="exact"/>
        <w:rPr>
          <w:rFonts w:hint="eastAsia" w:ascii="仿宋" w:hAnsi="仿宋" w:eastAsia="仿宋"/>
        </w:rPr>
      </w:pPr>
      <w:r>
        <w:rPr>
          <w:rFonts w:hint="eastAsia" w:ascii="仿宋" w:hAnsi="仿宋" w:eastAsia="仿宋"/>
        </w:rPr>
        <w:t>（六）供应商指定的供货商中有3家以上因上述行为被取消协议供货资格的；</w:t>
      </w:r>
    </w:p>
    <w:p w14:paraId="60129E6B">
      <w:pPr>
        <w:pStyle w:val="22"/>
        <w:spacing w:before="75" w:beforeAutospacing="0" w:after="75" w:afterAutospacing="0" w:line="340" w:lineRule="exact"/>
        <w:rPr>
          <w:rFonts w:hint="eastAsia" w:ascii="仿宋" w:hAnsi="仿宋" w:eastAsia="仿宋"/>
        </w:rPr>
      </w:pPr>
      <w:r>
        <w:rPr>
          <w:rFonts w:hint="eastAsia" w:ascii="仿宋" w:hAnsi="仿宋" w:eastAsia="仿宋"/>
        </w:rPr>
        <w:t>（七）各级财政部门认定的其他违法、违规及违反本办法规定的行为</w:t>
      </w:r>
    </w:p>
    <w:p w14:paraId="2B0F91EB">
      <w:pPr>
        <w:pStyle w:val="22"/>
        <w:spacing w:before="75" w:beforeAutospacing="0" w:after="75" w:afterAutospacing="0" w:line="340" w:lineRule="exact"/>
        <w:rPr>
          <w:rFonts w:hint="eastAsia" w:ascii="仿宋" w:hAnsi="仿宋" w:eastAsia="仿宋"/>
          <w:b/>
          <w:bCs/>
        </w:rPr>
      </w:pPr>
      <w:r>
        <w:rPr>
          <w:rFonts w:hint="eastAsia" w:ascii="仿宋" w:hAnsi="仿宋" w:eastAsia="仿宋"/>
          <w:b/>
          <w:bCs/>
        </w:rPr>
        <w:t>第四条</w:t>
      </w:r>
      <w:r>
        <w:rPr>
          <w:rFonts w:hint="eastAsia" w:ascii="仿宋" w:hAnsi="仿宋" w:eastAsia="仿宋"/>
        </w:rPr>
        <w:t> 在线询价、反向竞价供应商供应商存在不按要求报价、中标后无故放弃、不按合同履行等违约行为的，经采购人举报，经同级财政部门确认的，应扣减其10-30分诚信分，限制供应商报价权限3-12个月。</w:t>
      </w:r>
    </w:p>
    <w:p w14:paraId="26A1DAF0">
      <w:pPr>
        <w:pStyle w:val="22"/>
        <w:spacing w:before="75" w:after="75"/>
        <w:rPr>
          <w:rFonts w:hint="eastAsia" w:ascii="仿宋" w:hAnsi="仿宋" w:eastAsia="仿宋"/>
          <w:b/>
          <w:bCs/>
        </w:rPr>
      </w:pPr>
      <w:r>
        <w:rPr>
          <w:rFonts w:hint="eastAsia" w:ascii="仿宋" w:hAnsi="仿宋" w:eastAsia="仿宋"/>
          <w:b/>
          <w:bCs/>
        </w:rPr>
        <w:t>第五条</w:t>
      </w:r>
      <w:r>
        <w:rPr>
          <w:rFonts w:hint="eastAsia" w:ascii="仿宋" w:hAnsi="仿宋" w:eastAsia="仿宋"/>
        </w:rPr>
        <w:t>  本协议扣分及违规处罚，由违规地同级财政监管部门在政采云平台—诚信中心—违规/违约处理管理中进行实施，供应商收到违约/违规处理通知书之日起，3工作日内可进行申诉，未申诉或申诉无效则3工作日后处罚生效。</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67BE9"/>
    <w:multiLevelType w:val="singleLevel"/>
    <w:tmpl w:val="94A67BE9"/>
    <w:lvl w:ilvl="0" w:tentative="0">
      <w:start w:val="1"/>
      <w:numFmt w:val="decimal"/>
      <w:suff w:val="nothing"/>
      <w:lvlText w:val="（%1）"/>
      <w:lvlJc w:val="left"/>
    </w:lvl>
  </w:abstractNum>
  <w:abstractNum w:abstractNumId="1">
    <w:nsid w:val="CF7B49A9"/>
    <w:multiLevelType w:val="singleLevel"/>
    <w:tmpl w:val="CF7B49A9"/>
    <w:lvl w:ilvl="0" w:tentative="0">
      <w:start w:val="1"/>
      <w:numFmt w:val="chineseCounting"/>
      <w:suff w:val="nothing"/>
      <w:lvlText w:val="（%1）"/>
      <w:lvlJc w:val="left"/>
      <w:rPr>
        <w:rFonts w:hint="eastAsia"/>
      </w:rPr>
    </w:lvl>
  </w:abstractNum>
  <w:abstractNum w:abstractNumId="2">
    <w:nsid w:val="E55CDC45"/>
    <w:multiLevelType w:val="singleLevel"/>
    <w:tmpl w:val="E55CDC45"/>
    <w:lvl w:ilvl="0" w:tentative="0">
      <w:start w:val="1"/>
      <w:numFmt w:val="decimal"/>
      <w:lvlText w:val="%1."/>
      <w:lvlJc w:val="left"/>
      <w:pPr>
        <w:ind w:left="105" w:firstLine="0"/>
      </w:pPr>
    </w:lvl>
  </w:abstractNum>
  <w:abstractNum w:abstractNumId="3">
    <w:nsid w:val="00000001"/>
    <w:multiLevelType w:val="multilevel"/>
    <w:tmpl w:val="00000001"/>
    <w:lvl w:ilvl="0" w:tentative="0">
      <w:start w:val="3"/>
      <w:numFmt w:val="chineseCountingThousand"/>
      <w:suff w:val="nothing"/>
      <w:lvlText w:val="第%1章"/>
      <w:lvlJc w:val="left"/>
      <w:pPr>
        <w:ind w:left="0" w:firstLine="0"/>
      </w:pPr>
      <w:rPr>
        <w:rFonts w:hint="eastAsia"/>
      </w:rPr>
    </w:lvl>
    <w:lvl w:ilvl="1" w:tentative="0">
      <w:start w:val="1"/>
      <w:numFmt w:val="decimal"/>
      <w:suff w:val="nothing"/>
      <w:lvlText w:val=""/>
      <w:lvlJc w:val="left"/>
      <w:pPr>
        <w:ind w:left="0" w:firstLine="0"/>
      </w:pPr>
      <w:rPr>
        <w:rFonts w:hint="eastAsia"/>
      </w:rPr>
    </w:lvl>
    <w:lvl w:ilvl="2" w:tentative="0">
      <w:start w:val="1"/>
      <w:numFmt w:val="decimal"/>
      <w:suff w:val="nothing"/>
      <w:lvlText w:val=""/>
      <w:lvlJc w:val="left"/>
      <w:pPr>
        <w:ind w:left="0" w:firstLine="0"/>
      </w:pPr>
      <w:rPr>
        <w:rFonts w:hint="eastAsia"/>
      </w:rPr>
    </w:lvl>
    <w:lvl w:ilvl="3" w:tentative="0">
      <w:start w:val="1"/>
      <w:numFmt w:val="decimal"/>
      <w:pStyle w:val="6"/>
      <w:suff w:val="nothing"/>
      <w:lvlText w:val=""/>
      <w:lvlJc w:val="left"/>
      <w:pPr>
        <w:ind w:left="0" w:firstLine="0"/>
      </w:pPr>
      <w:rPr>
        <w:rFonts w:hint="eastAsia"/>
      </w:rPr>
    </w:lvl>
    <w:lvl w:ilvl="4" w:tentative="0">
      <w:start w:val="1"/>
      <w:numFmt w:val="decimal"/>
      <w:suff w:val="nothing"/>
      <w:lvlText w:val=""/>
      <w:lvlJc w:val="left"/>
      <w:pPr>
        <w:ind w:left="0" w:firstLine="0"/>
      </w:pPr>
      <w:rPr>
        <w:rFonts w:hint="eastAsia"/>
      </w:rPr>
    </w:lvl>
    <w:lvl w:ilvl="5" w:tentative="0">
      <w:start w:val="1"/>
      <w:numFmt w:val="decimal"/>
      <w:suff w:val="nothing"/>
      <w:lvlText w:val=""/>
      <w:lvlJc w:val="left"/>
      <w:pPr>
        <w:ind w:left="0" w:firstLine="0"/>
      </w:pPr>
      <w:rPr>
        <w:rFonts w:hint="eastAsia"/>
      </w:rPr>
    </w:lvl>
    <w:lvl w:ilvl="6" w:tentative="0">
      <w:start w:val="1"/>
      <w:numFmt w:val="decimal"/>
      <w:suff w:val="nothing"/>
      <w:lvlText w:val=""/>
      <w:lvlJc w:val="left"/>
      <w:pPr>
        <w:ind w:left="0" w:firstLine="0"/>
      </w:pPr>
      <w:rPr>
        <w:rFonts w:hint="eastAsia"/>
      </w:rPr>
    </w:lvl>
    <w:lvl w:ilvl="7" w:tentative="0">
      <w:start w:val="1"/>
      <w:numFmt w:val="decimal"/>
      <w:suff w:val="nothing"/>
      <w:lvlText w:val=""/>
      <w:lvlJc w:val="left"/>
      <w:pPr>
        <w:ind w:left="0" w:firstLine="0"/>
      </w:pPr>
      <w:rPr>
        <w:rFonts w:hint="eastAsia"/>
      </w:rPr>
    </w:lvl>
    <w:lvl w:ilvl="8" w:tentative="0">
      <w:start w:val="1"/>
      <w:numFmt w:val="decimal"/>
      <w:suff w:val="nothing"/>
      <w:lvlText w:val=""/>
      <w:lvlJc w:val="left"/>
      <w:pPr>
        <w:ind w:left="0" w:firstLine="0"/>
      </w:pPr>
      <w:rPr>
        <w:rFonts w:hint="eastAsia"/>
      </w:rPr>
    </w:lvl>
  </w:abstractNum>
  <w:abstractNum w:abstractNumId="4">
    <w:nsid w:val="0FF18F3F"/>
    <w:multiLevelType w:val="singleLevel"/>
    <w:tmpl w:val="0FF18F3F"/>
    <w:lvl w:ilvl="0" w:tentative="0">
      <w:start w:val="1"/>
      <w:numFmt w:val="none"/>
      <w:suff w:val="nothing"/>
      <w:lvlText w:val="%1　"/>
      <w:lvlJc w:val="left"/>
      <w:pPr>
        <w:ind w:left="0" w:firstLine="400"/>
      </w:pPr>
      <w:rPr>
        <w:rFonts w:hint="eastAsia"/>
      </w:rPr>
    </w:lvl>
  </w:abstractNum>
  <w:abstractNum w:abstractNumId="5">
    <w:nsid w:val="2B3B7492"/>
    <w:multiLevelType w:val="singleLevel"/>
    <w:tmpl w:val="2B3B7492"/>
    <w:lvl w:ilvl="0" w:tentative="0">
      <w:start w:val="13"/>
      <w:numFmt w:val="decimal"/>
      <w:suff w:val="nothing"/>
      <w:lvlText w:val="%1、"/>
      <w:lvlJc w:val="left"/>
    </w:lvl>
  </w:abstractNum>
  <w:abstractNum w:abstractNumId="6">
    <w:nsid w:val="38240C86"/>
    <w:multiLevelType w:val="multilevel"/>
    <w:tmpl w:val="38240C8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B5E0A03"/>
    <w:multiLevelType w:val="singleLevel"/>
    <w:tmpl w:val="3B5E0A03"/>
    <w:lvl w:ilvl="0" w:tentative="0">
      <w:start w:val="5"/>
      <w:numFmt w:val="decimal"/>
      <w:suff w:val="nothing"/>
      <w:lvlText w:val="%1、"/>
      <w:lvlJc w:val="left"/>
    </w:lvl>
  </w:abstractNum>
  <w:num w:numId="1">
    <w:abstractNumId w:val="3"/>
  </w:num>
  <w:num w:numId="2">
    <w:abstractNumId w:val="6"/>
  </w:num>
  <w:num w:numId="3">
    <w:abstractNumId w:val="7"/>
  </w:num>
  <w:num w:numId="4">
    <w:abstractNumId w:val="5"/>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1"/>
  </w:compat>
  <w:rsids>
    <w:rsidRoot w:val="00000000"/>
    <w:rsid w:val="0A5D5774"/>
    <w:rsid w:val="0A664DC3"/>
    <w:rsid w:val="0B024724"/>
    <w:rsid w:val="0D5079C9"/>
    <w:rsid w:val="0DB55A7E"/>
    <w:rsid w:val="12A6313B"/>
    <w:rsid w:val="14425B91"/>
    <w:rsid w:val="17926CD8"/>
    <w:rsid w:val="1D5E1C8E"/>
    <w:rsid w:val="20331F4C"/>
    <w:rsid w:val="21A12149"/>
    <w:rsid w:val="22F4099F"/>
    <w:rsid w:val="27C923FA"/>
    <w:rsid w:val="2F5E78CC"/>
    <w:rsid w:val="3A6A35C8"/>
    <w:rsid w:val="3B6C15C2"/>
    <w:rsid w:val="3E1E2AEA"/>
    <w:rsid w:val="3F7942AE"/>
    <w:rsid w:val="41232723"/>
    <w:rsid w:val="42884BB0"/>
    <w:rsid w:val="444F4C93"/>
    <w:rsid w:val="46277F1D"/>
    <w:rsid w:val="47BE3144"/>
    <w:rsid w:val="49A34401"/>
    <w:rsid w:val="4A7668AA"/>
    <w:rsid w:val="56170651"/>
    <w:rsid w:val="564B585F"/>
    <w:rsid w:val="56590927"/>
    <w:rsid w:val="57B3519B"/>
    <w:rsid w:val="5999174C"/>
    <w:rsid w:val="601A4055"/>
    <w:rsid w:val="66957988"/>
    <w:rsid w:val="6A2761A0"/>
    <w:rsid w:val="6E22598D"/>
    <w:rsid w:val="73B1141D"/>
    <w:rsid w:val="79984D55"/>
    <w:rsid w:val="7D9121E7"/>
    <w:rsid w:val="7F2A5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21"/>
    <w:basedOn w:val="1"/>
    <w:link w:val="9"/>
    <w:qFormat/>
    <w:uiPriority w:val="0"/>
    <w:pPr>
      <w:keepNext/>
      <w:keepLines/>
      <w:spacing w:before="260" w:after="260" w:line="416" w:lineRule="auto"/>
      <w:outlineLvl w:val="1"/>
    </w:pPr>
    <w:rPr>
      <w:rFonts w:ascii="等线 Light" w:hAnsi="等线 Light" w:eastAsia="等线 Light"/>
      <w:b/>
      <w:bCs/>
      <w:sz w:val="32"/>
      <w:szCs w:val="32"/>
    </w:rPr>
  </w:style>
  <w:style w:type="paragraph" w:customStyle="1" w:styleId="5">
    <w:name w:val="标题 31"/>
    <w:basedOn w:val="1"/>
    <w:qFormat/>
    <w:uiPriority w:val="0"/>
    <w:pPr>
      <w:keepNext/>
      <w:keepLines/>
      <w:spacing w:before="260" w:after="260" w:line="416" w:lineRule="auto"/>
      <w:outlineLvl w:val="2"/>
    </w:pPr>
    <w:rPr>
      <w:b/>
      <w:bCs/>
      <w:sz w:val="32"/>
      <w:szCs w:val="32"/>
    </w:rPr>
  </w:style>
  <w:style w:type="paragraph" w:customStyle="1" w:styleId="6">
    <w:name w:val="标题 41"/>
    <w:basedOn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character" w:customStyle="1" w:styleId="7">
    <w:name w:val="默认段落字体1"/>
    <w:link w:val="1"/>
    <w:qFormat/>
    <w:uiPriority w:val="0"/>
  </w:style>
  <w:style w:type="table" w:customStyle="1" w:styleId="8">
    <w:name w:val="普通表格1"/>
    <w:qFormat/>
    <w:uiPriority w:val="0"/>
  </w:style>
  <w:style w:type="character" w:customStyle="1" w:styleId="9">
    <w:name w:val="标题 2 字符"/>
    <w:link w:val="4"/>
    <w:qFormat/>
    <w:uiPriority w:val="0"/>
    <w:rPr>
      <w:rFonts w:ascii="等线 Light" w:hAnsi="等线 Light" w:eastAsia="等线 Light"/>
      <w:b/>
      <w:bCs/>
      <w:kern w:val="2"/>
      <w:sz w:val="32"/>
      <w:szCs w:val="32"/>
    </w:rPr>
  </w:style>
  <w:style w:type="paragraph" w:customStyle="1" w:styleId="10">
    <w:name w:val="批注文字1"/>
    <w:basedOn w:val="1"/>
    <w:link w:val="11"/>
    <w:qFormat/>
    <w:uiPriority w:val="0"/>
    <w:pPr>
      <w:jc w:val="left"/>
    </w:pPr>
  </w:style>
  <w:style w:type="character" w:customStyle="1" w:styleId="11">
    <w:name w:val="批注文字 字符"/>
    <w:link w:val="10"/>
    <w:qFormat/>
    <w:uiPriority w:val="0"/>
    <w:rPr>
      <w:rFonts w:ascii="Calibri" w:hAnsi="Calibri"/>
      <w:kern w:val="2"/>
      <w:sz w:val="21"/>
      <w:szCs w:val="22"/>
    </w:rPr>
  </w:style>
  <w:style w:type="paragraph" w:customStyle="1" w:styleId="12">
    <w:name w:val="正文文本缩进1"/>
    <w:basedOn w:val="1"/>
    <w:link w:val="13"/>
    <w:qFormat/>
    <w:uiPriority w:val="0"/>
    <w:pPr>
      <w:ind w:firstLine="830" w:firstLineChars="352"/>
    </w:pPr>
    <w:rPr>
      <w:rFonts w:ascii="仿宋_GB2312" w:hAnsi="Times New Roman" w:eastAsia="仿宋_GB2312"/>
      <w:sz w:val="32"/>
      <w:szCs w:val="20"/>
    </w:rPr>
  </w:style>
  <w:style w:type="character" w:customStyle="1" w:styleId="13">
    <w:name w:val="正文文本缩进 字符"/>
    <w:link w:val="12"/>
    <w:qFormat/>
    <w:uiPriority w:val="0"/>
    <w:rPr>
      <w:rFonts w:ascii="仿宋_GB2312" w:eastAsia="仿宋_GB2312"/>
      <w:kern w:val="2"/>
      <w:sz w:val="32"/>
    </w:rPr>
  </w:style>
  <w:style w:type="paragraph" w:customStyle="1" w:styleId="14">
    <w:name w:val="寄信人地址1"/>
    <w:basedOn w:val="1"/>
    <w:qFormat/>
    <w:uiPriority w:val="0"/>
    <w:pPr>
      <w:snapToGrid w:val="0"/>
    </w:pPr>
    <w:rPr>
      <w:rFonts w:ascii="Arial" w:hAnsi="Arial"/>
    </w:rPr>
  </w:style>
  <w:style w:type="paragraph" w:customStyle="1" w:styleId="15">
    <w:name w:val="纯文本1"/>
    <w:basedOn w:val="1"/>
    <w:qFormat/>
    <w:uiPriority w:val="0"/>
    <w:rPr>
      <w:rFonts w:ascii="宋体" w:hAnsi="Courier New"/>
      <w:szCs w:val="21"/>
    </w:rPr>
  </w:style>
  <w:style w:type="paragraph" w:customStyle="1" w:styleId="16">
    <w:name w:val="批注框文本1"/>
    <w:basedOn w:val="1"/>
    <w:link w:val="17"/>
    <w:qFormat/>
    <w:uiPriority w:val="0"/>
    <w:rPr>
      <w:sz w:val="18"/>
      <w:szCs w:val="18"/>
    </w:rPr>
  </w:style>
  <w:style w:type="character" w:customStyle="1" w:styleId="17">
    <w:name w:val="批注框文本 字符"/>
    <w:link w:val="16"/>
    <w:semiHidden/>
    <w:qFormat/>
    <w:uiPriority w:val="0"/>
    <w:rPr>
      <w:rFonts w:ascii="Calibri" w:hAnsi="Calibri"/>
      <w:kern w:val="2"/>
      <w:sz w:val="18"/>
      <w:szCs w:val="18"/>
    </w:rPr>
  </w:style>
  <w:style w:type="paragraph" w:customStyle="1" w:styleId="18">
    <w:name w:val="页脚1"/>
    <w:basedOn w:val="1"/>
    <w:link w:val="19"/>
    <w:qFormat/>
    <w:uiPriority w:val="0"/>
    <w:pPr>
      <w:tabs>
        <w:tab w:val="center" w:pos="4153"/>
        <w:tab w:val="right" w:pos="8306"/>
      </w:tabs>
      <w:snapToGrid w:val="0"/>
      <w:jc w:val="left"/>
    </w:pPr>
    <w:rPr>
      <w:sz w:val="18"/>
      <w:szCs w:val="18"/>
    </w:rPr>
  </w:style>
  <w:style w:type="character" w:customStyle="1" w:styleId="19">
    <w:name w:val="页脚 字符"/>
    <w:link w:val="18"/>
    <w:qFormat/>
    <w:uiPriority w:val="0"/>
    <w:rPr>
      <w:rFonts w:ascii="Calibri" w:hAnsi="Calibri"/>
      <w:kern w:val="2"/>
      <w:sz w:val="18"/>
      <w:szCs w:val="18"/>
    </w:rPr>
  </w:style>
  <w:style w:type="paragraph" w:customStyle="1" w:styleId="20">
    <w:name w:val="页眉1"/>
    <w:basedOn w:val="1"/>
    <w:link w:val="21"/>
    <w:qFormat/>
    <w:uiPriority w:val="0"/>
    <w:pPr>
      <w:pBdr>
        <w:bottom w:val="single" w:color="auto" w:sz="6" w:space="1"/>
      </w:pBdr>
      <w:tabs>
        <w:tab w:val="center" w:pos="4153"/>
        <w:tab w:val="right" w:pos="8306"/>
      </w:tabs>
      <w:snapToGrid w:val="0"/>
      <w:jc w:val="center"/>
    </w:pPr>
    <w:rPr>
      <w:sz w:val="18"/>
      <w:szCs w:val="18"/>
    </w:rPr>
  </w:style>
  <w:style w:type="character" w:customStyle="1" w:styleId="21">
    <w:name w:val="页眉 字符"/>
    <w:link w:val="20"/>
    <w:qFormat/>
    <w:uiPriority w:val="0"/>
    <w:rPr>
      <w:rFonts w:ascii="Calibri" w:hAnsi="Calibri"/>
      <w:kern w:val="2"/>
      <w:sz w:val="18"/>
      <w:szCs w:val="18"/>
    </w:rPr>
  </w:style>
  <w:style w:type="paragraph" w:customStyle="1" w:styleId="22">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3">
    <w:name w:val="批注主题1"/>
    <w:basedOn w:val="10"/>
    <w:link w:val="24"/>
    <w:qFormat/>
    <w:uiPriority w:val="0"/>
    <w:rPr>
      <w:b/>
      <w:bCs/>
    </w:rPr>
  </w:style>
  <w:style w:type="character" w:customStyle="1" w:styleId="24">
    <w:name w:val="批注主题 字符"/>
    <w:link w:val="23"/>
    <w:semiHidden/>
    <w:qFormat/>
    <w:uiPriority w:val="0"/>
    <w:rPr>
      <w:rFonts w:ascii="Calibri" w:hAnsi="Calibri"/>
      <w:b/>
      <w:bCs/>
      <w:kern w:val="2"/>
      <w:sz w:val="21"/>
      <w:szCs w:val="22"/>
    </w:rPr>
  </w:style>
  <w:style w:type="paragraph" w:customStyle="1" w:styleId="25">
    <w:name w:val="正文首行缩进 21"/>
    <w:basedOn w:val="12"/>
    <w:qFormat/>
    <w:uiPriority w:val="0"/>
    <w:pPr>
      <w:spacing w:line="360" w:lineRule="auto"/>
      <w:ind w:firstLine="200" w:firstLineChars="200"/>
    </w:pPr>
    <w:rPr>
      <w:rFonts w:ascii="宋体"/>
      <w:szCs w:val="20"/>
    </w:rPr>
  </w:style>
  <w:style w:type="character" w:customStyle="1" w:styleId="26">
    <w:name w:val="要点1"/>
    <w:link w:val="1"/>
    <w:qFormat/>
    <w:uiPriority w:val="0"/>
    <w:rPr>
      <w:b/>
      <w:bCs/>
    </w:rPr>
  </w:style>
  <w:style w:type="character" w:customStyle="1" w:styleId="27">
    <w:name w:val="超链接1"/>
    <w:link w:val="1"/>
    <w:qFormat/>
    <w:uiPriority w:val="0"/>
    <w:rPr>
      <w:color w:val="0000FF"/>
      <w:u w:val="single"/>
    </w:rPr>
  </w:style>
  <w:style w:type="character" w:customStyle="1" w:styleId="28">
    <w:name w:val="批注引用1"/>
    <w:link w:val="1"/>
    <w:qFormat/>
    <w:uiPriority w:val="0"/>
    <w:rPr>
      <w:sz w:val="21"/>
      <w:szCs w:val="21"/>
    </w:rPr>
  </w:style>
  <w:style w:type="paragraph" w:customStyle="1" w:styleId="29">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30">
    <w:name w:val="NormalCharacter"/>
    <w:link w:val="1"/>
    <w:qFormat/>
    <w:uiPriority w:val="0"/>
  </w:style>
  <w:style w:type="paragraph" w:customStyle="1" w:styleId="31">
    <w:name w:val="detail-info"/>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
    <w:name w:val="列表段落"/>
    <w:basedOn w:val="1"/>
    <w:qFormat/>
    <w:uiPriority w:val="0"/>
    <w:pPr>
      <w:ind w:firstLine="420" w:firstLineChars="200"/>
    </w:pPr>
    <w:rPr>
      <w:rFonts w:ascii="Times New Roman" w:hAnsi="Times New Roman"/>
    </w:rPr>
  </w:style>
  <w:style w:type="table" w:customStyle="1" w:styleId="33">
    <w:name w:val="Table Normal"/>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7253</Words>
  <Characters>7882</Characters>
  <Lines>0</Lines>
  <Paragraphs>0</Paragraphs>
  <TotalTime>5</TotalTime>
  <ScaleCrop>false</ScaleCrop>
  <LinksUpToDate>false</LinksUpToDate>
  <CharactersWithSpaces>7959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2025-07-29T01:40:00Z</dcterms:created>
  <dc:creator>陌&amp;影</dc:creator>
  <cp:lastModifiedBy>小荷才露</cp:lastModifiedBy>
  <dcterms:modified xsi:type="dcterms:W3CDTF">2025-08-05T05:41:50Z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eyJoZGlkIjoiODc1MDRkYjdjNTcyOGMyODkwZWY4ZjE3OWZiM2Q3Y2YifQ==</vt:lpwstr>
  </property>
  <property fmtid="{D5CDD505-2E9C-101B-9397-08002B2CF9AE}" pid="3" name="KSOProductBuildVer">
    <vt:lpwstr>2052-12.1.0.22215</vt:lpwstr>
  </property>
  <property fmtid="{D5CDD505-2E9C-101B-9397-08002B2CF9AE}" pid="4" name="ICV">
    <vt:lpwstr>DD18263767014023BFDB6746AC82CC13_12</vt:lpwstr>
  </property>
</Properties>
</file>