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0"/>
        <w:jc w:val="left"/>
        <w:textAlignment w:val="auto"/>
        <w:rPr>
          <w:rFonts w:hint="eastAsia" w:ascii="宋体" w:hAnsi="宋体" w:eastAsia="宋体" w:cs="宋体"/>
          <w:b w:val="0"/>
          <w:bCs w:val="0"/>
          <w:color w:val="000000"/>
          <w:sz w:val="32"/>
          <w:szCs w:val="32"/>
          <w:highlight w:val="none"/>
          <w:lang w:val="en-US" w:eastAsia="zh-CN"/>
        </w:rPr>
      </w:pPr>
      <w:bookmarkStart w:id="0" w:name="_Toc1242"/>
      <w:r>
        <w:rPr>
          <w:rFonts w:hint="eastAsia" w:ascii="宋体" w:hAnsi="宋体" w:eastAsia="宋体" w:cs="宋体"/>
          <w:b w:val="0"/>
          <w:bCs w:val="0"/>
          <w:color w:val="000000"/>
          <w:sz w:val="32"/>
          <w:szCs w:val="32"/>
          <w:highlight w:val="none"/>
          <w:lang w:val="en-US" w:eastAsia="zh-CN"/>
        </w:rPr>
        <w:t>附件1</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0"/>
        <w:jc w:val="center"/>
        <w:textAlignment w:val="auto"/>
        <w:rPr>
          <w:rFonts w:hint="eastAsia" w:ascii="方正小标宋简体" w:hAnsi="方正小标宋简体" w:eastAsia="方正小标宋简体" w:cs="方正小标宋简体"/>
          <w:b w:val="0"/>
          <w:bCs w:val="0"/>
          <w:color w:val="000000"/>
          <w:sz w:val="44"/>
          <w:szCs w:val="44"/>
          <w:highlight w:val="none"/>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0"/>
        <w:jc w:val="center"/>
        <w:textAlignment w:val="auto"/>
        <w:rPr>
          <w:rFonts w:hint="eastAsia" w:ascii="方正小标宋简体" w:hAnsi="方正小标宋简体" w:eastAsia="方正小标宋简体" w:cs="方正小标宋简体"/>
          <w:b w:val="0"/>
          <w:bCs w:val="0"/>
          <w:color w:val="000000"/>
          <w:sz w:val="44"/>
          <w:szCs w:val="44"/>
          <w:highlight w:val="none"/>
        </w:rPr>
      </w:pPr>
      <w:r>
        <w:rPr>
          <w:rFonts w:hint="eastAsia" w:ascii="方正小标宋简体" w:hAnsi="方正小标宋简体" w:eastAsia="方正小标宋简体" w:cs="方正小标宋简体"/>
          <w:b w:val="0"/>
          <w:bCs w:val="0"/>
          <w:color w:val="000000"/>
          <w:sz w:val="44"/>
          <w:szCs w:val="44"/>
          <w:highlight w:val="none"/>
        </w:rPr>
        <w:t>中共上林县委政法委网络专线采购</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0"/>
        <w:jc w:val="center"/>
        <w:textAlignment w:val="auto"/>
        <w:rPr>
          <w:rFonts w:hint="eastAsia" w:ascii="宋体" w:hAnsi="宋体" w:eastAsia="宋体"/>
          <w:b w:val="0"/>
          <w:bCs w:val="0"/>
          <w:sz w:val="44"/>
          <w:szCs w:val="44"/>
          <w:lang w:val="en-US" w:eastAsia="zh-CN"/>
        </w:rPr>
      </w:pPr>
      <w:r>
        <w:rPr>
          <w:rFonts w:hint="eastAsia" w:ascii="方正小标宋简体" w:hAnsi="方正小标宋简体" w:eastAsia="方正小标宋简体" w:cs="方正小标宋简体"/>
          <w:b w:val="0"/>
          <w:bCs w:val="0"/>
          <w:color w:val="000000"/>
          <w:sz w:val="44"/>
          <w:szCs w:val="44"/>
          <w:highlight w:val="none"/>
        </w:rPr>
        <w:t>服务项目A标</w:t>
      </w:r>
      <w:r>
        <w:rPr>
          <w:rFonts w:hint="eastAsia" w:ascii="方正小标宋简体" w:hAnsi="方正小标宋简体" w:eastAsia="方正小标宋简体" w:cs="方正小标宋简体"/>
          <w:b w:val="0"/>
          <w:bCs w:val="0"/>
          <w:color w:val="000000"/>
          <w:sz w:val="44"/>
          <w:szCs w:val="44"/>
          <w:highlight w:val="none"/>
          <w:lang w:eastAsia="zh-CN"/>
        </w:rPr>
        <w:t>线上询价方案</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0"/>
        <w:jc w:val="both"/>
        <w:textAlignment w:val="auto"/>
        <w:rPr>
          <w:rFonts w:hint="eastAsia" w:ascii="仿宋_GB2312" w:hAnsi="仿宋_GB2312" w:eastAsia="仿宋_GB2312" w:cs="仿宋_GB2312"/>
          <w:b w:val="0"/>
          <w:bCs/>
          <w:sz w:val="32"/>
          <w:szCs w:val="32"/>
        </w:rPr>
      </w:pPr>
    </w:p>
    <w:p>
      <w:pPr>
        <w:pStyle w:val="3"/>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项目基本情况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采购方式：在线询价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项目名称：</w:t>
      </w:r>
      <w:r>
        <w:rPr>
          <w:rFonts w:hint="eastAsia" w:ascii="仿宋_GB2312" w:hAnsi="仿宋_GB2312" w:eastAsia="仿宋_GB2312" w:cs="仿宋_GB2312"/>
          <w:color w:val="000000"/>
          <w:sz w:val="32"/>
          <w:szCs w:val="32"/>
          <w:highlight w:val="none"/>
        </w:rPr>
        <w:t>上林县政法委网络专线采购服务项目</w:t>
      </w:r>
      <w:r>
        <w:rPr>
          <w:rFonts w:hint="eastAsia" w:ascii="仿宋_GB2312" w:hAnsi="仿宋_GB2312" w:eastAsia="仿宋_GB2312" w:cs="仿宋_GB2312"/>
          <w:color w:val="000000"/>
          <w:sz w:val="32"/>
          <w:szCs w:val="32"/>
          <w:highlight w:val="none"/>
          <w:lang w:val="en-US" w:eastAsia="zh-CN"/>
        </w:rPr>
        <w:t>A</w:t>
      </w:r>
      <w:r>
        <w:rPr>
          <w:rFonts w:hint="eastAsia" w:ascii="仿宋_GB2312" w:hAnsi="仿宋_GB2312" w:eastAsia="仿宋_GB2312" w:cs="仿宋_GB2312"/>
          <w:color w:val="000000"/>
          <w:sz w:val="32"/>
          <w:szCs w:val="32"/>
          <w:highlight w:val="none"/>
        </w:rPr>
        <w:t>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预算金额</w:t>
      </w:r>
      <w:r>
        <w:rPr>
          <w:rFonts w:hint="eastAsia" w:ascii="仿宋_GB2312" w:hAnsi="仿宋_GB2312" w:eastAsia="仿宋_GB2312" w:cs="仿宋_GB2312"/>
          <w:color w:val="000000"/>
          <w:sz w:val="32"/>
          <w:szCs w:val="32"/>
          <w:highlight w:val="none"/>
          <w:lang w:eastAsia="zh-CN"/>
        </w:rPr>
        <w:t>：</w:t>
      </w:r>
      <w:r>
        <w:rPr>
          <w:rFonts w:hint="default" w:ascii="仿宋_GB2312" w:hAnsi="仿宋_GB2312" w:eastAsia="仿宋_GB2312" w:cs="仿宋_GB2312"/>
          <w:color w:val="000000"/>
          <w:sz w:val="32"/>
          <w:szCs w:val="32"/>
          <w:highlight w:val="none"/>
          <w:lang w:val="en-US" w:eastAsia="zh-CN"/>
        </w:rPr>
        <w:t>24</w:t>
      </w:r>
      <w:r>
        <w:rPr>
          <w:rFonts w:hint="eastAsia" w:ascii="仿宋_GB2312" w:hAnsi="仿宋_GB2312" w:eastAsia="仿宋_GB2312" w:cs="仿宋_GB2312"/>
          <w:color w:val="000000"/>
          <w:sz w:val="32"/>
          <w:szCs w:val="32"/>
          <w:highlight w:val="none"/>
          <w:lang w:val="en-US" w:eastAsia="zh-CN"/>
        </w:rPr>
        <w:t>48</w:t>
      </w:r>
      <w:r>
        <w:rPr>
          <w:rFonts w:hint="default" w:ascii="仿宋_GB2312" w:hAnsi="仿宋_GB2312" w:eastAsia="仿宋_GB2312" w:cs="仿宋_GB2312"/>
          <w:color w:val="000000"/>
          <w:sz w:val="32"/>
          <w:szCs w:val="32"/>
          <w:highlight w:val="none"/>
          <w:lang w:val="en-US" w:eastAsia="zh-CN"/>
        </w:rPr>
        <w:t>00</w:t>
      </w:r>
      <w:r>
        <w:rPr>
          <w:rFonts w:hint="eastAsia" w:ascii="仿宋_GB2312" w:hAnsi="仿宋_GB2312" w:eastAsia="仿宋_GB2312" w:cs="仿宋_GB2312"/>
          <w:color w:val="000000"/>
          <w:sz w:val="32"/>
          <w:szCs w:val="32"/>
          <w:highlight w:val="none"/>
          <w:lang w:val="en-US" w:eastAsia="zh-CN"/>
        </w:rPr>
        <w:t>.00元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采购需求： </w:t>
      </w:r>
    </w:p>
    <w:tbl>
      <w:tblPr>
        <w:tblStyle w:val="10"/>
        <w:tblW w:w="90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3682"/>
        <w:gridCol w:w="1294"/>
        <w:gridCol w:w="2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1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序号</w:t>
            </w:r>
          </w:p>
        </w:tc>
        <w:tc>
          <w:tcPr>
            <w:tcW w:w="368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标的名称</w:t>
            </w:r>
          </w:p>
        </w:tc>
        <w:tc>
          <w:tcPr>
            <w:tcW w:w="129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数量及</w:t>
            </w:r>
          </w:p>
          <w:p>
            <w:pPr>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单位</w:t>
            </w:r>
          </w:p>
        </w:tc>
        <w:tc>
          <w:tcPr>
            <w:tcW w:w="29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p>
        </w:tc>
        <w:tc>
          <w:tcPr>
            <w:tcW w:w="36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400" w:lineRule="exact"/>
              <w:jc w:val="both"/>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上林县政法委网络专线采购服务项目</w:t>
            </w:r>
            <w:r>
              <w:rPr>
                <w:rFonts w:hint="eastAsia" w:ascii="仿宋_GB2312" w:hAnsi="仿宋_GB2312" w:eastAsia="仿宋_GB2312" w:cs="仿宋_GB2312"/>
                <w:color w:val="000000"/>
                <w:sz w:val="32"/>
                <w:szCs w:val="32"/>
                <w:highlight w:val="none"/>
                <w:lang w:val="en-US" w:eastAsia="zh-CN"/>
              </w:rPr>
              <w:t>A</w:t>
            </w:r>
            <w:r>
              <w:rPr>
                <w:rFonts w:hint="eastAsia" w:ascii="仿宋_GB2312" w:hAnsi="仿宋_GB2312" w:eastAsia="仿宋_GB2312" w:cs="仿宋_GB2312"/>
                <w:color w:val="000000"/>
                <w:sz w:val="32"/>
                <w:szCs w:val="32"/>
                <w:highlight w:val="none"/>
              </w:rPr>
              <w:t>标</w:t>
            </w:r>
          </w:p>
        </w:tc>
        <w:tc>
          <w:tcPr>
            <w:tcW w:w="129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w:t>
            </w:r>
          </w:p>
        </w:tc>
        <w:tc>
          <w:tcPr>
            <w:tcW w:w="2986"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内容详见采购文件</w:t>
            </w:r>
          </w:p>
        </w:tc>
      </w:tr>
    </w:tbl>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rPr>
      </w:pP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合同履行期限：详见</w:t>
      </w:r>
      <w:r>
        <w:rPr>
          <w:rFonts w:hint="eastAsia" w:ascii="仿宋_GB2312" w:hAnsi="仿宋_GB2312" w:eastAsia="仿宋_GB2312" w:cs="仿宋_GB2312"/>
          <w:color w:val="000000"/>
          <w:sz w:val="32"/>
          <w:szCs w:val="32"/>
          <w:highlight w:val="none"/>
          <w:lang w:val="en-US" w:eastAsia="zh-CN"/>
        </w:rPr>
        <w:t>服务</w:t>
      </w:r>
      <w:r>
        <w:rPr>
          <w:rFonts w:hint="eastAsia" w:ascii="仿宋_GB2312" w:hAnsi="仿宋_GB2312" w:eastAsia="仿宋_GB2312" w:cs="仿宋_GB2312"/>
          <w:color w:val="000000"/>
          <w:sz w:val="32"/>
          <w:szCs w:val="32"/>
          <w:highlight w:val="none"/>
        </w:rPr>
        <w:t>需求一览表</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本项目是否接受联合体响应：□是/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否。</w:t>
      </w:r>
    </w:p>
    <w:p>
      <w:pPr>
        <w:pStyle w:val="3"/>
        <w:pageBreakBefore w:val="0"/>
        <w:widowControl w:val="0"/>
        <w:numPr>
          <w:ilvl w:val="0"/>
          <w:numId w:val="0"/>
        </w:numPr>
        <w:kinsoku/>
        <w:wordWrap/>
        <w:overflowPunct/>
        <w:topLinePunct w:val="0"/>
        <w:autoSpaceDE/>
        <w:autoSpaceDN/>
        <w:bidi w:val="0"/>
        <w:adjustRightInd/>
        <w:spacing w:before="0" w:after="0" w:line="560" w:lineRule="exact"/>
        <w:ind w:leftChars="0" w:firstLine="640" w:firstLineChars="200"/>
        <w:jc w:val="both"/>
        <w:textAlignment w:val="auto"/>
        <w:rPr>
          <w:rFonts w:hint="eastAsia" w:ascii="黑体" w:hAnsi="黑体" w:eastAsia="黑体" w:cs="黑体"/>
          <w:b w:val="0"/>
          <w:bCs/>
          <w:sz w:val="32"/>
          <w:szCs w:val="32"/>
          <w:lang w:eastAsia="zh-CN"/>
        </w:rPr>
      </w:pPr>
      <w:bookmarkStart w:id="1" w:name="_Toc44229879"/>
      <w:bookmarkStart w:id="2" w:name="_Toc28359013"/>
      <w:bookmarkStart w:id="3" w:name="_Toc35393630"/>
      <w:bookmarkStart w:id="4" w:name="_Toc35393799"/>
      <w:bookmarkStart w:id="5" w:name="_Toc28359090"/>
      <w:r>
        <w:rPr>
          <w:rFonts w:hint="eastAsia" w:ascii="黑体" w:hAnsi="黑体" w:eastAsia="黑体" w:cs="黑体"/>
          <w:b w:val="0"/>
          <w:bCs/>
          <w:sz w:val="32"/>
          <w:szCs w:val="32"/>
          <w:lang w:eastAsia="zh-CN"/>
        </w:rPr>
        <w:t>二、供应商的资格条件</w:t>
      </w:r>
      <w:bookmarkEnd w:id="1"/>
      <w:bookmarkEnd w:id="2"/>
      <w:bookmarkEnd w:id="3"/>
      <w:bookmarkEnd w:id="4"/>
      <w:bookmarkEnd w:id="5"/>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1.满足《中华人民共和国政府采购法》第二十二条规定；</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2.落实政府采购政策需满足的资格要求：</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□专门面向中小企业采购的项目（供应商应为中小微企业、监狱企业、残疾人福利性单位)</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非专门面向中小企业采购的项目</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3.本项目的特定资格要求：</w:t>
      </w:r>
      <w:r>
        <w:rPr>
          <w:rFonts w:hint="eastAsia" w:ascii="仿宋_GB2312" w:hAnsi="仿宋_GB2312" w:eastAsia="仿宋_GB2312" w:cs="仿宋_GB2312"/>
          <w:color w:val="000000"/>
          <w:sz w:val="32"/>
          <w:szCs w:val="32"/>
          <w:u w:val="single"/>
        </w:rPr>
        <w:t>无</w:t>
      </w:r>
    </w:p>
    <w:p>
      <w:pPr>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4.本项目的特定条件：</w:t>
      </w:r>
      <w:r>
        <w:rPr>
          <w:rFonts w:hint="eastAsia" w:ascii="仿宋_GB2312" w:hAnsi="仿宋_GB2312" w:eastAsia="仿宋_GB2312" w:cs="仿宋_GB2312"/>
          <w:color w:val="000000"/>
          <w:sz w:val="32"/>
          <w:szCs w:val="32"/>
          <w:u w:val="single"/>
        </w:rPr>
        <w:t>无</w:t>
      </w:r>
    </w:p>
    <w:p>
      <w:pPr>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sz w:val="32"/>
          <w:szCs w:val="32"/>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3"/>
        <w:pageBreakBefore w:val="0"/>
        <w:widowControl w:val="0"/>
        <w:numPr>
          <w:ilvl w:val="0"/>
          <w:numId w:val="0"/>
        </w:numPr>
        <w:kinsoku/>
        <w:wordWrap/>
        <w:overflowPunct/>
        <w:topLinePunct w:val="0"/>
        <w:autoSpaceDE/>
        <w:autoSpaceDN/>
        <w:bidi w:val="0"/>
        <w:adjustRightInd/>
        <w:spacing w:before="0" w:after="0" w:line="560" w:lineRule="exact"/>
        <w:ind w:lef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lang w:val="en-US" w:eastAsia="zh-CN"/>
        </w:rPr>
        <w:t>服务</w:t>
      </w:r>
      <w:r>
        <w:rPr>
          <w:rFonts w:hint="eastAsia" w:ascii="黑体" w:hAnsi="黑体" w:eastAsia="黑体" w:cs="黑体"/>
          <w:b w:val="0"/>
          <w:bCs/>
          <w:sz w:val="32"/>
          <w:szCs w:val="32"/>
          <w:lang w:eastAsia="zh-CN"/>
        </w:rPr>
        <w:t>需求一览表</w:t>
      </w:r>
      <w:bookmarkEnd w:id="0"/>
    </w:p>
    <w:tbl>
      <w:tblPr>
        <w:tblStyle w:val="10"/>
        <w:tblpPr w:leftFromText="180" w:rightFromText="180" w:vertAnchor="text" w:horzAnchor="page" w:tblpX="1582" w:tblpY="3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615"/>
        <w:gridCol w:w="795"/>
        <w:gridCol w:w="630"/>
        <w:gridCol w:w="1005"/>
        <w:gridCol w:w="949"/>
        <w:gridCol w:w="3671"/>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4"/>
                <w:szCs w:val="24"/>
              </w:rPr>
            </w:pPr>
            <w:bookmarkStart w:id="6" w:name="OLE_LINK1"/>
            <w:r>
              <w:rPr>
                <w:rFonts w:hint="eastAsia" w:ascii="宋体" w:hAnsi="宋体" w:cs="宋体"/>
                <w:color w:val="auto"/>
                <w:szCs w:val="21"/>
                <w:highlight w:val="none"/>
              </w:rPr>
              <w:t>采购清单及技术参数</w:t>
            </w:r>
            <w:bookmarkEnd w:id="6"/>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序号</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服务名称</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数量</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单价（元</w:t>
            </w:r>
            <w:r>
              <w:rPr>
                <w:rFonts w:hint="eastAsia" w:ascii="黑体" w:hAnsi="黑体" w:eastAsia="黑体" w:cs="黑体"/>
                <w:sz w:val="24"/>
                <w:szCs w:val="24"/>
                <w:lang w:val="en-US" w:eastAsia="zh-CN"/>
              </w:rPr>
              <w:t>/年</w:t>
            </w:r>
            <w:r>
              <w:rPr>
                <w:rFonts w:hint="eastAsia" w:ascii="黑体" w:hAnsi="黑体" w:eastAsia="黑体" w:cs="黑体"/>
                <w:sz w:val="24"/>
                <w:szCs w:val="24"/>
              </w:rPr>
              <w:t>）</w:t>
            </w:r>
          </w:p>
        </w:tc>
        <w:tc>
          <w:tcPr>
            <w:tcW w:w="9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总价（元</w:t>
            </w:r>
            <w:r>
              <w:rPr>
                <w:rFonts w:hint="eastAsia" w:ascii="黑体" w:hAnsi="黑体" w:eastAsia="黑体" w:cs="黑体"/>
                <w:sz w:val="24"/>
                <w:szCs w:val="24"/>
                <w:lang w:val="en-US" w:eastAsia="zh-CN"/>
              </w:rPr>
              <w:t>/</w:t>
            </w:r>
            <w:r>
              <w:rPr>
                <w:rFonts w:hint="eastAsia" w:ascii="黑体" w:hAnsi="黑体" w:eastAsia="黑体" w:cs="黑体"/>
                <w:sz w:val="24"/>
                <w:szCs w:val="24"/>
                <w:lang w:eastAsia="zh-CN"/>
              </w:rPr>
              <w:t>两年</w:t>
            </w:r>
            <w:r>
              <w:rPr>
                <w:rFonts w:hint="eastAsia" w:ascii="黑体" w:hAnsi="黑体" w:eastAsia="黑体" w:cs="黑体"/>
                <w:sz w:val="24"/>
                <w:szCs w:val="24"/>
              </w:rPr>
              <w:t>）</w:t>
            </w:r>
          </w:p>
        </w:tc>
        <w:tc>
          <w:tcPr>
            <w:tcW w:w="36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服务内容及要求</w:t>
            </w:r>
          </w:p>
        </w:tc>
        <w:tc>
          <w:tcPr>
            <w:tcW w:w="8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4"/>
                <w:szCs w:val="24"/>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网络服务</w:t>
            </w:r>
          </w:p>
        </w:tc>
        <w:tc>
          <w:tcPr>
            <w:tcW w:w="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005"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default"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val="en-US" w:eastAsia="zh-CN"/>
              </w:rPr>
              <w:t>24</w:t>
            </w:r>
            <w:r>
              <w:rPr>
                <w:rFonts w:hint="default" w:ascii="仿宋_GB2312" w:hAnsi="仿宋_GB2312" w:eastAsia="仿宋_GB2312" w:cs="仿宋_GB2312"/>
                <w:sz w:val="24"/>
                <w:szCs w:val="24"/>
                <w:highlight w:val="none"/>
                <w:lang w:val="en-US" w:eastAsia="zh-CN"/>
              </w:rPr>
              <w:t>00</w:t>
            </w:r>
            <w:r>
              <w:rPr>
                <w:rFonts w:hint="eastAsia" w:ascii="仿宋_GB2312" w:hAnsi="仿宋_GB2312" w:eastAsia="仿宋_GB2312" w:cs="仿宋_GB2312"/>
                <w:sz w:val="24"/>
                <w:szCs w:val="24"/>
                <w:highlight w:val="none"/>
              </w:rPr>
              <w:t>.00</w:t>
            </w:r>
          </w:p>
        </w:tc>
        <w:tc>
          <w:tcPr>
            <w:tcW w:w="94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仿宋_GB2312" w:hAnsi="仿宋_GB2312" w:eastAsia="仿宋_GB2312" w:cs="仿宋_GB2312"/>
                <w:sz w:val="24"/>
                <w:szCs w:val="24"/>
                <w:highlight w:val="none"/>
              </w:rPr>
            </w:pPr>
            <w:r>
              <w:rPr>
                <w:rFonts w:hint="default" w:ascii="仿宋_GB2312" w:hAnsi="仿宋_GB2312" w:eastAsia="仿宋_GB2312" w:cs="仿宋_GB2312"/>
                <w:sz w:val="24"/>
                <w:szCs w:val="24"/>
                <w:highlight w:val="none"/>
                <w:lang w:val="en-US" w:eastAsia="zh-CN"/>
              </w:rPr>
              <w:t>24</w:t>
            </w:r>
            <w:r>
              <w:rPr>
                <w:rFonts w:hint="eastAsia" w:ascii="仿宋_GB2312" w:hAnsi="仿宋_GB2312" w:eastAsia="仿宋_GB2312" w:cs="仿宋_GB2312"/>
                <w:sz w:val="24"/>
                <w:szCs w:val="24"/>
                <w:highlight w:val="none"/>
                <w:lang w:val="en-US" w:eastAsia="zh-CN"/>
              </w:rPr>
              <w:t>48</w:t>
            </w:r>
            <w:r>
              <w:rPr>
                <w:rFonts w:hint="default" w:ascii="仿宋_GB2312" w:hAnsi="仿宋_GB2312" w:eastAsia="仿宋_GB2312" w:cs="仿宋_GB2312"/>
                <w:sz w:val="24"/>
                <w:szCs w:val="24"/>
                <w:highlight w:val="none"/>
                <w:lang w:val="en-US" w:eastAsia="zh-CN"/>
              </w:rPr>
              <w:t>00</w:t>
            </w:r>
            <w:r>
              <w:rPr>
                <w:rFonts w:hint="eastAsia" w:ascii="仿宋_GB2312" w:hAnsi="仿宋_GB2312" w:eastAsia="仿宋_GB2312" w:cs="仿宋_GB2312"/>
                <w:sz w:val="24"/>
                <w:szCs w:val="24"/>
                <w:highlight w:val="none"/>
              </w:rPr>
              <w:t>.00</w:t>
            </w:r>
          </w:p>
        </w:tc>
        <w:tc>
          <w:tcPr>
            <w:tcW w:w="3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楷体_GB2312" w:hAnsi="楷体_GB2312" w:eastAsia="楷体_GB2312" w:cs="楷体_GB2312"/>
                <w:b/>
                <w:bCs/>
                <w:color w:val="000000" w:themeColor="text1"/>
              </w:rPr>
            </w:pPr>
            <w:r>
              <w:rPr>
                <w:rFonts w:hint="eastAsia" w:ascii="楷体_GB2312" w:hAnsi="楷体_GB2312" w:eastAsia="楷体_GB2312" w:cs="楷体_GB2312"/>
                <w:b/>
                <w:bCs/>
                <w:color w:val="000000" w:themeColor="text1"/>
              </w:rPr>
              <w:t>一、服务内容概况</w:t>
            </w:r>
          </w:p>
          <w:p>
            <w:pPr>
              <w:widowControl/>
              <w:tabs>
                <w:tab w:val="left" w:pos="312"/>
              </w:tabs>
              <w:spacing w:line="360" w:lineRule="exact"/>
              <w:jc w:val="left"/>
              <w:rPr>
                <w:rFonts w:hint="eastAsia" w:ascii="仿宋_GB2312" w:hAnsi="仿宋_GB2312" w:eastAsia="仿宋_GB2312" w:cs="仿宋_GB2312"/>
                <w:color w:val="000000" w:themeColor="text1"/>
              </w:rPr>
            </w:pPr>
            <w:r>
              <w:rPr>
                <w:rFonts w:hint="eastAsia" w:ascii="仿宋_GB2312" w:hAnsi="仿宋_GB2312" w:eastAsia="仿宋_GB2312" w:cs="仿宋_GB2312"/>
              </w:rPr>
              <w:t>▲</w:t>
            </w:r>
            <w:r>
              <w:rPr>
                <w:rFonts w:hint="eastAsia" w:ascii="仿宋_GB2312" w:hAnsi="仿宋_GB2312" w:eastAsia="仿宋_GB2312" w:cs="仿宋_GB2312"/>
                <w:color w:val="000000" w:themeColor="text1"/>
              </w:rPr>
              <w:t>1.采购2</w:t>
            </w:r>
            <w:r>
              <w:rPr>
                <w:rFonts w:hint="eastAsia" w:ascii="仿宋_GB2312" w:hAnsi="仿宋_GB2312" w:eastAsia="仿宋_GB2312" w:cs="仿宋_GB2312"/>
                <w:color w:val="000000" w:themeColor="text1"/>
                <w:lang w:val="en-US" w:eastAsia="zh-CN"/>
              </w:rPr>
              <w:t>0</w:t>
            </w:r>
            <w:r>
              <w:rPr>
                <w:rFonts w:hint="eastAsia" w:ascii="仿宋_GB2312" w:hAnsi="仿宋_GB2312" w:eastAsia="仿宋_GB2312" w:cs="仿宋_GB2312"/>
                <w:color w:val="000000" w:themeColor="text1"/>
              </w:rPr>
              <w:t>条100M综治视联网专线；</w:t>
            </w:r>
          </w:p>
          <w:p>
            <w:pPr>
              <w:pStyle w:val="2"/>
              <w:tabs>
                <w:tab w:val="left" w:pos="312"/>
              </w:tabs>
              <w:rPr>
                <w:rFonts w:hint="eastAsia" w:ascii="仿宋_GB2312" w:hAnsi="仿宋_GB2312" w:eastAsia="仿宋_GB2312" w:cs="仿宋_GB2312"/>
                <w:color w:val="000000" w:themeColor="text1"/>
              </w:rPr>
            </w:pPr>
            <w:r>
              <w:rPr>
                <w:rFonts w:hint="eastAsia" w:ascii="仿宋_GB2312" w:hAnsi="仿宋_GB2312" w:eastAsia="仿宋_GB2312" w:cs="仿宋_GB2312"/>
              </w:rPr>
              <w:t>▲</w:t>
            </w:r>
            <w:r>
              <w:rPr>
                <w:rFonts w:hint="eastAsia" w:ascii="仿宋_GB2312" w:hAnsi="仿宋_GB2312" w:eastAsia="仿宋_GB2312" w:cs="仿宋_GB2312"/>
                <w:color w:val="000000" w:themeColor="text1"/>
              </w:rPr>
              <w:t>2.采购</w:t>
            </w:r>
            <w:r>
              <w:rPr>
                <w:rFonts w:hint="default" w:ascii="仿宋_GB2312" w:hAnsi="仿宋_GB2312" w:eastAsia="仿宋_GB2312" w:cs="仿宋_GB2312"/>
                <w:color w:val="000000" w:themeColor="text1"/>
                <w:lang w:val="en-US"/>
              </w:rPr>
              <w:t>20</w:t>
            </w:r>
            <w:r>
              <w:rPr>
                <w:rFonts w:hint="eastAsia" w:ascii="仿宋_GB2312" w:hAnsi="仿宋_GB2312" w:eastAsia="仿宋_GB2312" w:cs="仿宋_GB2312"/>
                <w:color w:val="000000" w:themeColor="text1"/>
              </w:rPr>
              <w:t>条100M基层治安防控专线，实现数据点与对应乡镇的数据联网；</w:t>
            </w:r>
          </w:p>
          <w:p>
            <w:pPr>
              <w:widowControl/>
              <w:spacing w:line="360" w:lineRule="exact"/>
              <w:rPr>
                <w:rFonts w:hint="eastAsia" w:ascii="仿宋_GB2312" w:hAnsi="仿宋_GB2312" w:eastAsia="仿宋_GB2312" w:cs="仿宋_GB2312"/>
                <w:color w:val="000000" w:themeColor="text1"/>
              </w:rPr>
            </w:pPr>
            <w:r>
              <w:rPr>
                <w:rFonts w:hint="eastAsia" w:ascii="仿宋_GB2312" w:hAnsi="仿宋_GB2312" w:eastAsia="仿宋_GB2312" w:cs="仿宋_GB2312"/>
              </w:rPr>
              <w:t>▲</w:t>
            </w:r>
            <w:r>
              <w:rPr>
                <w:rFonts w:hint="eastAsia" w:ascii="仿宋_GB2312" w:hAnsi="仿宋_GB2312" w:eastAsia="仿宋_GB2312" w:cs="仿宋_GB2312"/>
                <w:color w:val="000000" w:themeColor="text1"/>
              </w:rPr>
              <w:t>3.采购11条100M雪亮工程专线，实现数据点与上林县司法局二楼综治中心的数据联网；</w:t>
            </w:r>
          </w:p>
          <w:p>
            <w:pPr>
              <w:widowControl/>
              <w:spacing w:line="360" w:lineRule="exact"/>
              <w:rPr>
                <w:rFonts w:hint="eastAsia" w:ascii="楷体_GB2312" w:hAnsi="楷体_GB2312" w:eastAsia="楷体_GB2312" w:cs="楷体_GB2312"/>
                <w:b/>
                <w:bCs/>
                <w:color w:val="000000" w:themeColor="text1"/>
              </w:rPr>
            </w:pPr>
            <w:r>
              <w:rPr>
                <w:rFonts w:hint="eastAsia" w:ascii="楷体_GB2312" w:hAnsi="楷体_GB2312" w:eastAsia="楷体_GB2312" w:cs="楷体_GB2312"/>
                <w:b/>
                <w:bCs/>
                <w:color w:val="000000" w:themeColor="text1"/>
              </w:rPr>
              <w:t>二、具体服务参数</w:t>
            </w:r>
          </w:p>
          <w:p>
            <w:pPr>
              <w:widowControl/>
              <w:spacing w:line="360" w:lineRule="exact"/>
              <w:rPr>
                <w:rFonts w:hint="eastAsia" w:ascii="仿宋_GB2312" w:hAnsi="仿宋_GB2312" w:eastAsia="仿宋_GB2312" w:cs="仿宋_GB2312"/>
              </w:rPr>
            </w:pPr>
            <w:r>
              <w:rPr>
                <w:rFonts w:hint="eastAsia" w:ascii="仿宋_GB2312" w:hAnsi="仿宋_GB2312" w:eastAsia="仿宋_GB2312" w:cs="仿宋_GB2312"/>
              </w:rPr>
              <w:t>▲1、专线带宽≥100Mbps，专线速率上、下行对称，要求与互联网物理隔离，保证数据传输的安全和稳定。 </w:t>
            </w:r>
          </w:p>
          <w:p>
            <w:pPr>
              <w:widowControl/>
              <w:spacing w:line="360" w:lineRule="exact"/>
              <w:rPr>
                <w:rFonts w:hint="eastAsia" w:ascii="仿宋_GB2312" w:hAnsi="仿宋_GB2312" w:eastAsia="仿宋_GB2312" w:cs="仿宋_GB2312"/>
              </w:rPr>
            </w:pPr>
            <w:r>
              <w:rPr>
                <w:rFonts w:hint="eastAsia" w:ascii="仿宋_GB2312" w:hAnsi="仿宋_GB2312" w:eastAsia="仿宋_GB2312" w:cs="仿宋_GB2312"/>
              </w:rPr>
              <w:t>▲2、竞标人采用基于分组交换、面向连接的分组传送网络技术进行组网，可应对采购人突发的带宽增长需求。</w:t>
            </w:r>
          </w:p>
          <w:p>
            <w:pPr>
              <w:widowControl/>
              <w:spacing w:line="360" w:lineRule="exact"/>
              <w:rPr>
                <w:rFonts w:hint="eastAsia" w:ascii="仿宋_GB2312" w:hAnsi="仿宋_GB2312" w:eastAsia="仿宋_GB2312" w:cs="仿宋_GB2312"/>
              </w:rPr>
            </w:pPr>
            <w:r>
              <w:rPr>
                <w:rFonts w:hint="eastAsia" w:ascii="仿宋_GB2312" w:hAnsi="仿宋_GB2312" w:eastAsia="仿宋_GB2312" w:cs="仿宋_GB2312"/>
              </w:rPr>
              <w:t>▲3、线路汇聚层和骨干层具有自愈环保护功能，具备50ms保护倒换能力，保证专线不会因光缆的意外阻断或部分设备故障而中断。</w:t>
            </w:r>
          </w:p>
          <w:p>
            <w:pPr>
              <w:widowControl/>
              <w:spacing w:line="360" w:lineRule="exact"/>
              <w:rPr>
                <w:rFonts w:hint="eastAsia" w:ascii="仿宋_GB2312" w:hAnsi="仿宋_GB2312" w:eastAsia="仿宋_GB2312" w:cs="仿宋_GB2312"/>
              </w:rPr>
            </w:pPr>
            <w:r>
              <w:rPr>
                <w:rFonts w:hint="eastAsia" w:ascii="仿宋_GB2312" w:hAnsi="仿宋_GB2312" w:eastAsia="仿宋_GB2312" w:cs="仿宋_GB2312"/>
              </w:rPr>
              <w:t>▲4、要求全网的传输设备均具备网管能力，全程提供端到端的网管监控功能，实行7*24小时不间断监控，可有效地检测并定位网络故障。</w:t>
            </w:r>
          </w:p>
          <w:p>
            <w:pPr>
              <w:widowControl/>
              <w:spacing w:line="360" w:lineRule="exact"/>
              <w:rPr>
                <w:rFonts w:hint="eastAsia" w:ascii="仿宋_GB2312" w:hAnsi="仿宋_GB2312" w:eastAsia="仿宋_GB2312" w:cs="仿宋_GB2312"/>
              </w:rPr>
            </w:pPr>
            <w:r>
              <w:rPr>
                <w:rFonts w:hint="eastAsia" w:ascii="仿宋_GB2312" w:hAnsi="仿宋_GB2312" w:eastAsia="仿宋_GB2312" w:cs="仿宋_GB2312"/>
              </w:rPr>
              <w:t>▲5、提供各种主流物理光、电接口，如RJ45/LC/FC等供采购人使用。</w:t>
            </w:r>
          </w:p>
          <w:p>
            <w:pPr>
              <w:rPr>
                <w:rFonts w:hint="eastAsia" w:ascii="仿宋_GB2312" w:hAnsi="仿宋_GB2312" w:eastAsia="仿宋_GB2312" w:cs="仿宋_GB2312"/>
              </w:rPr>
            </w:pPr>
            <w:r>
              <w:rPr>
                <w:rFonts w:hint="eastAsia" w:ascii="仿宋_GB2312" w:hAnsi="仿宋_GB2312" w:eastAsia="仿宋_GB2312" w:cs="仿宋_GB2312"/>
              </w:rPr>
              <w:t>▲6、线路技术指标：丢包率≤1%，且不允许出现连续丢包；PING测1M报文，最大时延10ms。</w:t>
            </w:r>
          </w:p>
          <w:p>
            <w:pPr>
              <w:pStyle w:val="2"/>
              <w:spacing w:line="312" w:lineRule="auto"/>
              <w:rPr>
                <w:rFonts w:hint="eastAsia"/>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7</w:t>
            </w:r>
            <w:r>
              <w:rPr>
                <w:rFonts w:hint="eastAsia" w:ascii="宋体" w:hAnsi="宋体" w:eastAsia="宋体"/>
                <w:sz w:val="21"/>
                <w:szCs w:val="21"/>
                <w:highlight w:val="none"/>
                <w:lang w:val="en-US" w:eastAsia="zh-CN"/>
              </w:rPr>
              <w:t>供应商须</w:t>
            </w:r>
            <w:r>
              <w:rPr>
                <w:rFonts w:hint="eastAsia" w:ascii="宋体" w:hAnsi="宋体" w:eastAsia="宋体"/>
                <w:sz w:val="21"/>
                <w:szCs w:val="21"/>
                <w:highlight w:val="none"/>
              </w:rPr>
              <w:t>确保采购人现有业务和系统不中断、不受任何影响的情况下</w:t>
            </w:r>
            <w:r>
              <w:rPr>
                <w:rFonts w:hint="eastAsia" w:ascii="宋体" w:hAnsi="宋体" w:eastAsia="宋体"/>
                <w:sz w:val="21"/>
                <w:szCs w:val="21"/>
                <w:highlight w:val="none"/>
                <w:lang w:val="en-US" w:eastAsia="zh-CN"/>
              </w:rPr>
              <w:t>开展本次专线建设，否则视为违约。</w:t>
            </w:r>
          </w:p>
        </w:tc>
        <w:tc>
          <w:tcPr>
            <w:tcW w:w="823" w:type="dxa"/>
            <w:tcBorders>
              <w:top w:val="single" w:color="auto" w:sz="4" w:space="0"/>
              <w:left w:val="single" w:color="auto" w:sz="4" w:space="0"/>
              <w:right w:val="single" w:color="auto" w:sz="4" w:space="0"/>
            </w:tcBorders>
            <w:vAlign w:val="center"/>
          </w:tcPr>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8"/>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sz w:val="24"/>
                <w:szCs w:val="24"/>
              </w:rPr>
            </w:pPr>
            <w:r>
              <w:rPr>
                <w:rFonts w:hint="eastAsia" w:ascii="黑体" w:hAnsi="黑体" w:eastAsia="黑体" w:cs="黑体"/>
                <w:sz w:val="24"/>
                <w:szCs w:val="24"/>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8"/>
            <w:tcBorders>
              <w:top w:val="single" w:color="auto" w:sz="4" w:space="0"/>
              <w:left w:val="single" w:color="auto" w:sz="4" w:space="0"/>
              <w:bottom w:val="single" w:color="auto" w:sz="4" w:space="0"/>
              <w:right w:val="single" w:color="auto" w:sz="4" w:space="0"/>
            </w:tcBorders>
            <w:vAlign w:val="center"/>
          </w:tcPr>
          <w:p>
            <w:pPr>
              <w:pStyle w:val="2"/>
              <w:spacing w:line="360" w:lineRule="exact"/>
              <w:rPr>
                <w:rFonts w:hint="eastAsia" w:ascii="仿宋_GB2312" w:hAnsi="仿宋_GB2312" w:eastAsia="仿宋_GB2312" w:cs="仿宋_GB2312"/>
                <w:sz w:val="24"/>
                <w:szCs w:val="24"/>
              </w:rPr>
            </w:pPr>
            <w:r>
              <w:rPr>
                <w:rFonts w:hint="eastAsia" w:ascii="楷体_GB2312" w:hAnsi="楷体_GB2312" w:eastAsia="楷体_GB2312" w:cs="楷体_GB2312"/>
                <w:b/>
                <w:bCs/>
                <w:kern w:val="2"/>
                <w:sz w:val="24"/>
                <w:szCs w:val="24"/>
                <w:lang w:val="en-US" w:eastAsia="zh-CN" w:bidi="ar-SA"/>
              </w:rPr>
              <w:t>一、合同签订期：</w:t>
            </w:r>
            <w:r>
              <w:rPr>
                <w:rFonts w:hint="eastAsia" w:ascii="仿宋_GB2312" w:hAnsi="仿宋_GB2312" w:eastAsia="仿宋_GB2312" w:cs="仿宋_GB2312"/>
                <w:sz w:val="24"/>
                <w:szCs w:val="24"/>
              </w:rPr>
              <w:t>自成交通知书发出之日起</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个工作日内。</w:t>
            </w:r>
          </w:p>
          <w:p>
            <w:pPr>
              <w:pStyle w:val="2"/>
              <w:spacing w:line="360" w:lineRule="exact"/>
              <w:rPr>
                <w:rFonts w:hint="eastAsia" w:ascii="仿宋_GB2312" w:hAnsi="仿宋_GB2312" w:eastAsia="仿宋_GB2312" w:cs="仿宋_GB2312"/>
                <w:color w:val="auto"/>
                <w:sz w:val="24"/>
                <w:szCs w:val="24"/>
                <w:highlight w:val="none"/>
              </w:rPr>
            </w:pPr>
            <w:r>
              <w:rPr>
                <w:rFonts w:hint="eastAsia" w:ascii="楷体_GB2312" w:hAnsi="楷体_GB2312" w:eastAsia="楷体_GB2312" w:cs="楷体_GB2312"/>
                <w:b/>
                <w:bCs/>
                <w:kern w:val="2"/>
                <w:sz w:val="24"/>
                <w:szCs w:val="24"/>
                <w:lang w:val="en-US" w:eastAsia="zh-CN" w:bidi="ar-SA"/>
              </w:rPr>
              <w:t>二、提交服务成果时间：</w:t>
            </w:r>
            <w:r>
              <w:rPr>
                <w:rFonts w:hint="eastAsia" w:ascii="仿宋_GB2312" w:hAnsi="仿宋_GB2312" w:eastAsia="仿宋_GB2312" w:cs="仿宋_GB2312"/>
                <w:sz w:val="24"/>
                <w:szCs w:val="24"/>
              </w:rPr>
              <w:t>自合同</w:t>
            </w:r>
            <w:r>
              <w:rPr>
                <w:rFonts w:hint="eastAsia" w:ascii="仿宋_GB2312" w:hAnsi="仿宋_GB2312" w:eastAsia="仿宋_GB2312" w:cs="仿宋_GB2312"/>
                <w:color w:val="auto"/>
                <w:sz w:val="24"/>
                <w:szCs w:val="24"/>
                <w:highlight w:val="none"/>
              </w:rPr>
              <w:t>签订之日起</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个工作日内。 </w:t>
            </w:r>
          </w:p>
          <w:p>
            <w:pPr>
              <w:pStyle w:val="2"/>
              <w:spacing w:line="360" w:lineRule="exact"/>
              <w:rPr>
                <w:rFonts w:hint="eastAsia" w:ascii="仿宋_GB2312" w:hAnsi="仿宋_GB2312" w:eastAsia="仿宋_GB2312" w:cs="仿宋_GB2312"/>
                <w:color w:val="auto"/>
                <w:sz w:val="24"/>
                <w:szCs w:val="24"/>
                <w:highlight w:val="none"/>
                <w:lang w:eastAsia="zh-CN"/>
              </w:rPr>
            </w:pPr>
            <w:r>
              <w:rPr>
                <w:rFonts w:hint="eastAsia" w:ascii="楷体_GB2312" w:hAnsi="楷体_GB2312" w:eastAsia="楷体_GB2312" w:cs="楷体_GB2312"/>
                <w:b/>
                <w:bCs/>
                <w:color w:val="auto"/>
                <w:kern w:val="2"/>
                <w:sz w:val="24"/>
                <w:szCs w:val="24"/>
                <w:highlight w:val="none"/>
                <w:lang w:val="en-US" w:eastAsia="zh-CN" w:bidi="ar-SA"/>
              </w:rPr>
              <w:t>三、提交服务成果地点：</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上林县政法委指定地点</w:t>
            </w:r>
            <w:r>
              <w:rPr>
                <w:rFonts w:hint="eastAsia" w:ascii="仿宋_GB2312" w:hAnsi="仿宋_GB2312" w:eastAsia="仿宋_GB2312" w:cs="仿宋_GB2312"/>
                <w:color w:val="auto"/>
                <w:sz w:val="24"/>
                <w:szCs w:val="24"/>
                <w:highlight w:val="none"/>
                <w:lang w:eastAsia="zh-CN"/>
              </w:rPr>
              <w:t>。</w:t>
            </w:r>
          </w:p>
          <w:p>
            <w:pPr>
              <w:pStyle w:val="2"/>
              <w:spacing w:line="360" w:lineRule="exact"/>
              <w:rPr>
                <w:rFonts w:hint="eastAsia" w:ascii="楷体_GB2312" w:hAnsi="楷体_GB2312" w:eastAsia="楷体_GB2312" w:cs="楷体_GB2312"/>
                <w:b/>
                <w:bCs/>
                <w:color w:val="auto"/>
                <w:kern w:val="2"/>
                <w:sz w:val="24"/>
                <w:szCs w:val="24"/>
                <w:highlight w:val="none"/>
                <w:lang w:val="en-US" w:eastAsia="zh-CN" w:bidi="ar-SA"/>
              </w:rPr>
            </w:pPr>
            <w:r>
              <w:rPr>
                <w:rFonts w:hint="eastAsia" w:ascii="楷体_GB2312" w:hAnsi="楷体_GB2312" w:eastAsia="楷体_GB2312" w:cs="楷体_GB2312"/>
                <w:b/>
                <w:bCs/>
                <w:color w:val="auto"/>
                <w:kern w:val="2"/>
                <w:sz w:val="24"/>
                <w:szCs w:val="24"/>
                <w:highlight w:val="none"/>
                <w:lang w:val="en-US" w:eastAsia="zh-CN" w:bidi="ar-SA"/>
              </w:rPr>
              <w:t>四、售后服务要求：</w:t>
            </w:r>
          </w:p>
          <w:p>
            <w:pPr>
              <w:pStyle w:val="2"/>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1、服务期2年，质量保证期2年（自提交服务成果并验收合格之日起计）</w:t>
            </w:r>
            <w:r>
              <w:rPr>
                <w:rFonts w:hint="eastAsia" w:ascii="仿宋_GB2312" w:hAnsi="仿宋_GB2312" w:eastAsia="仿宋_GB2312" w:cs="仿宋_GB2312"/>
                <w:sz w:val="24"/>
                <w:szCs w:val="24"/>
                <w:lang w:eastAsia="zh-CN"/>
              </w:rPr>
              <w:t>。</w:t>
            </w:r>
          </w:p>
          <w:p>
            <w:pPr>
              <w:pStyle w:val="2"/>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2、处理问题响应时间：售后服务电话响应时间要求7*24小时，现场响应时间要求不超过8小时，问题解决时间要求不超过1个工作日</w:t>
            </w:r>
            <w:r>
              <w:rPr>
                <w:rFonts w:hint="eastAsia" w:ascii="仿宋_GB2312" w:hAnsi="仿宋_GB2312" w:eastAsia="仿宋_GB2312" w:cs="仿宋_GB2312"/>
                <w:sz w:val="24"/>
                <w:szCs w:val="24"/>
                <w:lang w:val="en-US" w:eastAsia="zh-CN"/>
              </w:rPr>
              <w:t>。</w:t>
            </w:r>
          </w:p>
          <w:p>
            <w:pPr>
              <w:pStyle w:val="2"/>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3、在服务期限内，成交供应商应严格遵守《中华人民共和国电信条例》，维护双方权益，应按工信部颁布的《电信服务标准》的电路质量要求，保证采购人</w:t>
            </w:r>
            <w:r>
              <w:rPr>
                <w:rFonts w:hint="eastAsia" w:ascii="仿宋_GB2312" w:hAnsi="仿宋_GB2312" w:eastAsia="仿宋_GB2312" w:cs="仿宋_GB2312"/>
                <w:sz w:val="24"/>
                <w:szCs w:val="24"/>
                <w:lang w:val="en-US" w:eastAsia="zh-CN"/>
              </w:rPr>
              <w:t>线路使用</w:t>
            </w:r>
            <w:r>
              <w:rPr>
                <w:rFonts w:hint="eastAsia" w:ascii="仿宋_GB2312" w:hAnsi="仿宋_GB2312" w:eastAsia="仿宋_GB2312" w:cs="仿宋_GB2312"/>
                <w:sz w:val="24"/>
                <w:szCs w:val="24"/>
              </w:rPr>
              <w:t>服务安全</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w:t>
            </w:r>
          </w:p>
          <w:p>
            <w:pPr>
              <w:pStyle w:val="2"/>
              <w:spacing w:line="360" w:lineRule="exact"/>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五、验收要求：</w:t>
            </w:r>
          </w:p>
          <w:p>
            <w:pPr>
              <w:pStyle w:val="2"/>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成交供应商提供的服务正常稳定运行5个工作日以上，经双方现场测试确认，才能通过验收。</w:t>
            </w:r>
          </w:p>
          <w:p>
            <w:pPr>
              <w:pStyle w:val="2"/>
              <w:spacing w:line="360" w:lineRule="exact"/>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六、培训要求：</w:t>
            </w:r>
          </w:p>
          <w:p>
            <w:pPr>
              <w:pStyle w:val="2"/>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免费现场培训技术员1名以上，保证熟练掌握全部功能为止。</w:t>
            </w:r>
          </w:p>
          <w:p>
            <w:pPr>
              <w:pStyle w:val="2"/>
              <w:spacing w:line="360" w:lineRule="exact"/>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七、资格要求：</w:t>
            </w:r>
          </w:p>
          <w:p>
            <w:pPr>
              <w:spacing w:line="400" w:lineRule="exact"/>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投标人须具有区、市、县三级贯通的光纤干线网资源，可覆盖本项目所涉及所有点位，能够依托丰富的光纤资源提供数据点快速接入开通专线服务。（验收时提供三级贯通光纤干线网资源相关证明材料及光纤资源覆盖点位明细表）</w:t>
            </w:r>
          </w:p>
          <w:p>
            <w:pPr>
              <w:pStyle w:val="2"/>
              <w:spacing w:line="360" w:lineRule="exact"/>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八、其他要求：</w:t>
            </w:r>
          </w:p>
          <w:p>
            <w:pPr>
              <w:pStyle w:val="2"/>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1、报价必须含以下部分，包括：</w:t>
            </w:r>
          </w:p>
          <w:p>
            <w:pPr>
              <w:pStyle w:val="2"/>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线路使用</w:t>
            </w:r>
            <w:r>
              <w:rPr>
                <w:rFonts w:hint="eastAsia" w:ascii="仿宋_GB2312" w:hAnsi="仿宋_GB2312" w:eastAsia="仿宋_GB2312" w:cs="仿宋_GB2312"/>
                <w:sz w:val="24"/>
                <w:szCs w:val="24"/>
              </w:rPr>
              <w:t>服务的价格；</w:t>
            </w:r>
          </w:p>
          <w:p>
            <w:pPr>
              <w:pStyle w:val="2"/>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（2）必要的保险费用和各项税金；</w:t>
            </w:r>
          </w:p>
          <w:p>
            <w:pPr>
              <w:pStyle w:val="2"/>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（3）其他：运输、装卸、安装、迁移、调试、培训、技术支持、售后服务、更新升级等费用。</w:t>
            </w:r>
          </w:p>
          <w:p>
            <w:pPr>
              <w:pStyle w:val="2"/>
              <w:spacing w:line="36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2、付款方式：本项目无预付款，成交供应商所提交的服务经采购人书面验收合格后，采购人先行支付50%合同款，余下50%合同款自验收合格之日起满1年支付。</w:t>
            </w:r>
          </w:p>
          <w:p>
            <w:pPr>
              <w:pStyle w:val="2"/>
              <w:spacing w:line="36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rPr>
              <w:t>本项目为“交钥匙”工程，中标供应商提供的服务必须完全符合采购需求，如本次采购内容中未能详尽说明，但又是满足服务成果提交条件需要的其它网络设备或配件，由中标供应商在合同金额内自行解决。</w:t>
            </w:r>
          </w:p>
          <w:p>
            <w:pPr>
              <w:pStyle w:val="2"/>
              <w:spacing w:line="360" w:lineRule="exac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rPr>
              <w:t>▲</w:t>
            </w:r>
            <w:r>
              <w:rPr>
                <w:rFonts w:hint="eastAsia" w:ascii="仿宋_GB2312" w:hAnsi="仿宋_GB2312" w:eastAsia="仿宋_GB2312" w:cs="仿宋_GB2312"/>
                <w:b w:val="0"/>
                <w:bCs w:val="0"/>
                <w:color w:val="auto"/>
                <w:sz w:val="24"/>
                <w:szCs w:val="24"/>
                <w:lang w:val="en-US" w:eastAsia="zh-CN"/>
              </w:rPr>
              <w:t>4、要求</w:t>
            </w:r>
            <w:r>
              <w:rPr>
                <w:rFonts w:hint="eastAsia" w:ascii="仿宋_GB2312" w:hAnsi="仿宋_GB2312" w:eastAsia="仿宋_GB2312" w:cs="仿宋_GB2312"/>
                <w:b w:val="0"/>
                <w:bCs w:val="0"/>
                <w:color w:val="auto"/>
                <w:sz w:val="24"/>
                <w:szCs w:val="24"/>
              </w:rPr>
              <w:t>中标供应商</w:t>
            </w:r>
            <w:r>
              <w:rPr>
                <w:rFonts w:hint="eastAsia" w:ascii="仿宋_GB2312" w:hAnsi="仿宋_GB2312" w:eastAsia="仿宋_GB2312" w:cs="仿宋_GB2312"/>
                <w:color w:val="auto"/>
                <w:sz w:val="24"/>
                <w:szCs w:val="24"/>
              </w:rPr>
              <w:t>具有有效期内的</w:t>
            </w:r>
            <w:r>
              <w:rPr>
                <w:rFonts w:hint="eastAsia" w:ascii="仿宋_GB2312" w:hAnsi="仿宋_GB2312" w:eastAsia="仿宋_GB2312" w:cs="仿宋_GB2312"/>
                <w:b w:val="0"/>
                <w:bCs w:val="0"/>
                <w:color w:val="auto"/>
                <w:sz w:val="24"/>
                <w:szCs w:val="24"/>
              </w:rPr>
              <w:t>ISO9001质量管理体系认证证书、ISO14001环境管理体系认证证书、ISO45001职业健康管理体系认证证书、ISO20000信息技术服务管理体系认证、ISO27001信息安全管理体系证书</w:t>
            </w:r>
            <w:r>
              <w:rPr>
                <w:rFonts w:hint="eastAsia" w:ascii="仿宋_GB2312" w:hAnsi="仿宋_GB2312" w:eastAsia="仿宋_GB2312" w:cs="仿宋_GB2312"/>
                <w:color w:val="auto"/>
                <w:sz w:val="24"/>
                <w:szCs w:val="24"/>
              </w:rPr>
              <w:t>（在“全国认证认可信息公共服务平台”（http://cx.cnca.cn/）的认证体系统查询结果截图（证书状态必须为“有效”）</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增值电信业务经营许可证</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信息安全管理服务企业资质</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auto"/>
                <w:sz w:val="24"/>
                <w:szCs w:val="24"/>
              </w:rPr>
              <w:t>互联网新闻信息服务许可证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网络安全服务企业资质</w:t>
            </w:r>
            <w:r>
              <w:rPr>
                <w:rFonts w:hint="eastAsia" w:ascii="仿宋_GB2312" w:hAnsi="仿宋_GB2312" w:eastAsia="仿宋_GB2312" w:cs="仿宋_GB2312"/>
                <w:b w:val="0"/>
                <w:bCs w:val="0"/>
                <w:color w:val="auto"/>
                <w:sz w:val="24"/>
                <w:szCs w:val="24"/>
              </w:rPr>
              <w:t>证书扫描件。</w:t>
            </w:r>
            <w:r>
              <w:rPr>
                <w:rFonts w:hint="eastAsia" w:ascii="仿宋_GB2312" w:hAnsi="仿宋_GB2312" w:eastAsia="仿宋_GB2312" w:cs="仿宋_GB2312"/>
                <w:color w:val="auto"/>
                <w:sz w:val="24"/>
                <w:szCs w:val="24"/>
              </w:rPr>
              <w:t>须在中标结果公示之日起3个日历日内提供有效证书复印件，</w:t>
            </w:r>
            <w:r>
              <w:rPr>
                <w:rFonts w:hint="eastAsia" w:ascii="仿宋_GB2312" w:hAnsi="仿宋_GB2312" w:eastAsia="仿宋_GB2312" w:cs="仿宋_GB2312"/>
                <w:b w:val="0"/>
                <w:bCs w:val="0"/>
                <w:color w:val="auto"/>
                <w:sz w:val="24"/>
                <w:szCs w:val="24"/>
                <w:lang w:val="en-US" w:eastAsia="zh-CN"/>
              </w:rPr>
              <w:t>不提供材料或所提供材料不齐全的视为不满足要求，采购人</w:t>
            </w:r>
            <w:r>
              <w:rPr>
                <w:rFonts w:hint="eastAsia" w:ascii="仿宋_GB2312" w:hAnsi="仿宋_GB2312" w:eastAsia="仿宋_GB2312" w:cs="仿宋_GB2312"/>
                <w:color w:val="auto"/>
                <w:sz w:val="24"/>
                <w:szCs w:val="24"/>
              </w:rPr>
              <w:t>有权进行废标处理并追究该投标人相关法律责任</w:t>
            </w:r>
            <w:bookmarkStart w:id="8" w:name="_GoBack"/>
            <w:bookmarkEnd w:id="8"/>
            <w:r>
              <w:rPr>
                <w:rFonts w:hint="eastAsia" w:ascii="仿宋_GB2312" w:hAnsi="仿宋_GB2312" w:eastAsia="仿宋_GB2312" w:cs="仿宋_GB2312"/>
                <w:b w:val="0"/>
                <w:bCs w:val="0"/>
                <w:color w:val="auto"/>
                <w:sz w:val="24"/>
                <w:szCs w:val="24"/>
                <w:lang w:val="en-US" w:eastAsia="zh-CN"/>
              </w:rPr>
              <w:t>。</w:t>
            </w:r>
          </w:p>
        </w:tc>
      </w:tr>
    </w:tbl>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auto"/>
          <w:sz w:val="32"/>
          <w:szCs w:val="32"/>
          <w:highlight w:val="none"/>
        </w:rPr>
      </w:pPr>
      <w:bookmarkStart w:id="7" w:name="OLE_LINK2"/>
      <w:r>
        <w:rPr>
          <w:rFonts w:hint="eastAsia" w:ascii="仿宋" w:hAnsi="仿宋" w:eastAsia="仿宋" w:cs="仿宋"/>
          <w:color w:val="auto"/>
          <w:sz w:val="32"/>
          <w:szCs w:val="32"/>
          <w:highlight w:val="none"/>
        </w:rPr>
        <w:t>响应附件要求：</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1.供应商为法人或者其他组织的提供其营业执照等证明文件（如营业执照或者事业单位法人证书或者执业许可证等），供应商为自然人的提供其身份证复印件；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2.供应商依法缴纳税收的相关材料：[</w:t>
      </w:r>
      <w:r>
        <w:rPr>
          <w:rFonts w:hint="eastAsia" w:ascii="仿宋" w:hAnsi="仿宋" w:eastAsia="仿宋" w:cs="仿宋"/>
          <w:color w:val="auto"/>
          <w:sz w:val="32"/>
          <w:szCs w:val="32"/>
          <w:highlight w:val="none"/>
          <w:u w:val="single"/>
          <w:lang w:val="en-US" w:eastAsia="zh-CN"/>
        </w:rPr>
        <w:t>2024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12</w:t>
      </w:r>
      <w:r>
        <w:rPr>
          <w:rFonts w:hint="eastAsia" w:ascii="仿宋" w:hAnsi="仿宋" w:eastAsia="仿宋" w:cs="仿宋"/>
          <w:color w:val="auto"/>
          <w:sz w:val="32"/>
          <w:szCs w:val="32"/>
          <w:highlight w:val="none"/>
        </w:rPr>
        <w:t>月至</w:t>
      </w:r>
      <w:r>
        <w:rPr>
          <w:rFonts w:hint="eastAsia" w:ascii="仿宋" w:hAnsi="仿宋" w:eastAsia="仿宋" w:cs="仿宋"/>
          <w:color w:val="auto"/>
          <w:sz w:val="32"/>
          <w:szCs w:val="32"/>
          <w:highlight w:val="none"/>
          <w:u w:val="single"/>
          <w:lang w:val="en-US" w:eastAsia="zh-CN"/>
        </w:rPr>
        <w:t>2025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05</w:t>
      </w:r>
      <w:r>
        <w:rPr>
          <w:rFonts w:hint="eastAsia" w:ascii="仿宋" w:hAnsi="仿宋" w:eastAsia="仿宋" w:cs="仿宋"/>
          <w:color w:val="auto"/>
          <w:sz w:val="32"/>
          <w:szCs w:val="32"/>
          <w:highlight w:val="none"/>
        </w:rPr>
        <w:t>月]连续</w:t>
      </w:r>
      <w:r>
        <w:rPr>
          <w:rFonts w:hint="eastAsia" w:ascii="仿宋" w:hAnsi="仿宋" w:eastAsia="仿宋" w:cs="仿宋"/>
          <w:color w:val="auto"/>
          <w:sz w:val="32"/>
          <w:szCs w:val="32"/>
          <w:highlight w:val="none"/>
          <w:u w:val="single"/>
          <w:lang w:eastAsia="zh-CN"/>
        </w:rPr>
        <w:t>三</w:t>
      </w:r>
      <w:r>
        <w:rPr>
          <w:rFonts w:hint="eastAsia" w:ascii="仿宋" w:hAnsi="仿宋" w:eastAsia="仿宋" w:cs="仿宋"/>
          <w:color w:val="auto"/>
          <w:sz w:val="32"/>
          <w:szCs w:val="32"/>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3.供应商依法缴纳社会保障资金的相关材料：[</w:t>
      </w:r>
      <w:r>
        <w:rPr>
          <w:rFonts w:hint="eastAsia" w:ascii="仿宋" w:hAnsi="仿宋" w:eastAsia="仿宋" w:cs="仿宋"/>
          <w:color w:val="auto"/>
          <w:sz w:val="32"/>
          <w:szCs w:val="32"/>
          <w:highlight w:val="none"/>
          <w:u w:val="single"/>
          <w:lang w:val="en-US" w:eastAsia="zh-CN"/>
        </w:rPr>
        <w:t>2024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12</w:t>
      </w:r>
      <w:r>
        <w:rPr>
          <w:rFonts w:hint="eastAsia" w:ascii="仿宋" w:hAnsi="仿宋" w:eastAsia="仿宋" w:cs="仿宋"/>
          <w:color w:val="auto"/>
          <w:sz w:val="32"/>
          <w:szCs w:val="32"/>
          <w:highlight w:val="none"/>
        </w:rPr>
        <w:t>月至</w:t>
      </w:r>
      <w:r>
        <w:rPr>
          <w:rFonts w:hint="eastAsia" w:ascii="仿宋" w:hAnsi="仿宋" w:eastAsia="仿宋" w:cs="仿宋"/>
          <w:color w:val="auto"/>
          <w:sz w:val="32"/>
          <w:szCs w:val="32"/>
          <w:highlight w:val="none"/>
          <w:u w:val="single"/>
          <w:lang w:val="en-US" w:eastAsia="zh-CN"/>
        </w:rPr>
        <w:t>2025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05</w:t>
      </w:r>
      <w:r>
        <w:rPr>
          <w:rFonts w:hint="eastAsia" w:ascii="仿宋" w:hAnsi="仿宋" w:eastAsia="仿宋" w:cs="仿宋"/>
          <w:color w:val="auto"/>
          <w:sz w:val="32"/>
          <w:szCs w:val="32"/>
          <w:highlight w:val="none"/>
        </w:rPr>
        <w:t>月]连续</w:t>
      </w:r>
      <w:r>
        <w:rPr>
          <w:rFonts w:hint="eastAsia" w:ascii="仿宋" w:hAnsi="仿宋" w:eastAsia="仿宋" w:cs="仿宋"/>
          <w:color w:val="auto"/>
          <w:sz w:val="32"/>
          <w:szCs w:val="32"/>
          <w:highlight w:val="none"/>
          <w:u w:val="single"/>
          <w:lang w:eastAsia="zh-CN"/>
        </w:rPr>
        <w:t>三</w:t>
      </w:r>
      <w:r>
        <w:rPr>
          <w:rFonts w:hint="eastAsia" w:ascii="仿宋" w:hAnsi="仿宋" w:eastAsia="仿宋" w:cs="仿宋"/>
          <w:color w:val="auto"/>
          <w:sz w:val="32"/>
          <w:szCs w:val="32"/>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4.供应商财务状况报告：[</w:t>
      </w:r>
      <w:r>
        <w:rPr>
          <w:rFonts w:hint="eastAsia" w:ascii="仿宋" w:hAnsi="仿宋" w:eastAsia="仿宋" w:cs="仿宋"/>
          <w:color w:val="auto"/>
          <w:sz w:val="32"/>
          <w:szCs w:val="32"/>
          <w:highlight w:val="none"/>
          <w:u w:val="single"/>
        </w:rPr>
        <w:t xml:space="preserve">  202</w:t>
      </w:r>
      <w:r>
        <w:rPr>
          <w:rFonts w:hint="eastAsia" w:ascii="仿宋" w:hAnsi="仿宋" w:eastAsia="仿宋" w:cs="仿宋"/>
          <w:color w:val="auto"/>
          <w:sz w:val="32"/>
          <w:szCs w:val="32"/>
          <w:highlight w:val="none"/>
          <w:u w:val="single"/>
          <w:lang w:val="en-US" w:eastAsia="zh-CN"/>
        </w:rPr>
        <w:t>3</w:t>
      </w:r>
      <w:r>
        <w:rPr>
          <w:rFonts w:hint="eastAsia" w:ascii="仿宋" w:hAnsi="仿宋" w:eastAsia="仿宋" w:cs="仿宋"/>
          <w:color w:val="auto"/>
          <w:sz w:val="32"/>
          <w:szCs w:val="32"/>
          <w:highlight w:val="none"/>
          <w:u w:val="single"/>
        </w:rPr>
        <w:t>或202</w:t>
      </w:r>
      <w:r>
        <w:rPr>
          <w:rFonts w:hint="eastAsia" w:ascii="仿宋" w:hAnsi="仿宋" w:eastAsia="仿宋" w:cs="仿宋"/>
          <w:color w:val="auto"/>
          <w:sz w:val="32"/>
          <w:szCs w:val="32"/>
          <w:highlight w:val="none"/>
          <w:u w:val="single"/>
          <w:lang w:val="en-US" w:eastAsia="zh-CN"/>
        </w:rPr>
        <w:t>4</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5.供应商直接控股、管理关系信息表；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6.资格声明；</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法定代表人身份证明及法定代表人有效身份证正反面复印件</w:t>
      </w:r>
      <w:r>
        <w:rPr>
          <w:rFonts w:hint="eastAsia" w:ascii="仿宋" w:hAnsi="仿宋" w:eastAsia="仿宋" w:cs="仿宋"/>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技术偏离表</w:t>
      </w:r>
      <w:r>
        <w:rPr>
          <w:rFonts w:hint="eastAsia" w:ascii="仿宋" w:hAnsi="仿宋" w:eastAsia="仿宋" w:cs="仿宋"/>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商务偏离表</w:t>
      </w:r>
      <w:r>
        <w:rPr>
          <w:rFonts w:hint="eastAsia" w:ascii="仿宋" w:hAnsi="仿宋" w:eastAsia="仿宋" w:cs="仿宋"/>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rPr>
        <w:t>注：以上必须提供</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材料属于复印件的扫描件的，必须加盖供应商公章，否则响应文件按无效响应处理。</w:t>
      </w:r>
      <w:bookmarkEnd w:id="7"/>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color w:val="FF000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C52CA"/>
    <w:rsid w:val="0005487E"/>
    <w:rsid w:val="00093B3C"/>
    <w:rsid w:val="002C52CA"/>
    <w:rsid w:val="002D1C5C"/>
    <w:rsid w:val="002F1091"/>
    <w:rsid w:val="004B0FE2"/>
    <w:rsid w:val="00584125"/>
    <w:rsid w:val="00970588"/>
    <w:rsid w:val="00A328D5"/>
    <w:rsid w:val="00AA2202"/>
    <w:rsid w:val="00C8598A"/>
    <w:rsid w:val="00C859C6"/>
    <w:rsid w:val="00F07D8C"/>
    <w:rsid w:val="04BA5D05"/>
    <w:rsid w:val="05545FD4"/>
    <w:rsid w:val="074032A7"/>
    <w:rsid w:val="126F294F"/>
    <w:rsid w:val="177C134C"/>
    <w:rsid w:val="1A25120A"/>
    <w:rsid w:val="1D0B600A"/>
    <w:rsid w:val="1D307A5D"/>
    <w:rsid w:val="1DB77A26"/>
    <w:rsid w:val="246333B5"/>
    <w:rsid w:val="2F544F90"/>
    <w:rsid w:val="349A6E0D"/>
    <w:rsid w:val="358B0CEF"/>
    <w:rsid w:val="3B73593B"/>
    <w:rsid w:val="3CA12094"/>
    <w:rsid w:val="3F613B38"/>
    <w:rsid w:val="47146532"/>
    <w:rsid w:val="546407E9"/>
    <w:rsid w:val="5A53777D"/>
    <w:rsid w:val="608129BC"/>
    <w:rsid w:val="67E2686A"/>
    <w:rsid w:val="68DC1734"/>
    <w:rsid w:val="6974482D"/>
    <w:rsid w:val="6C89658F"/>
    <w:rsid w:val="6EE34C26"/>
    <w:rsid w:val="71B769D9"/>
    <w:rsid w:val="72516841"/>
    <w:rsid w:val="753F5CA3"/>
    <w:rsid w:val="78AC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Courier New"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annotation text"/>
    <w:basedOn w:val="1"/>
    <w:qFormat/>
    <w:uiPriority w:val="0"/>
    <w:pPr>
      <w:jc w:val="left"/>
    </w:pPr>
  </w:style>
  <w:style w:type="paragraph" w:styleId="5">
    <w:name w:val="Body Text Indent"/>
    <w:basedOn w:val="1"/>
    <w:next w:val="6"/>
    <w:qFormat/>
    <w:uiPriority w:val="0"/>
    <w:pPr>
      <w:ind w:firstLine="830" w:firstLineChars="352"/>
    </w:pPr>
    <w:rPr>
      <w:rFonts w:ascii="仿宋_GB2312" w:eastAsia="仿宋_GB2312"/>
      <w:kern w:val="0"/>
      <w:sz w:val="32"/>
      <w:szCs w:val="20"/>
    </w:rPr>
  </w:style>
  <w:style w:type="paragraph" w:customStyle="1" w:styleId="6">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2711</Words>
  <Characters>2916</Characters>
  <Lines>2</Lines>
  <Paragraphs>1</Paragraphs>
  <TotalTime>0</TotalTime>
  <ScaleCrop>false</ScaleCrop>
  <LinksUpToDate>false</LinksUpToDate>
  <CharactersWithSpaces>2928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2021-07-23T08:55:00Z</dcterms:created>
  <dc:creator>NTKO</dc:creator>
  <cp:lastModifiedBy>asus</cp:lastModifiedBy>
  <cp:lastPrinted>2025-06-06T08:49:00Z</cp:lastPrinted>
  <dcterms:modified xsi:type="dcterms:W3CDTF">2025-07-09T04:42:20Z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614546980C694B9CB0E11722FE9BDE3B</vt:lpwstr>
  </property>
  <property fmtid="{D5CDD505-2E9C-101B-9397-08002B2CF9AE}" pid="4" name="KSOTemplateDocerSaveRecord">
    <vt:lpwstr>eyJoZGlkIjoiOGIxY2U1MzVmY2VhYWRhZWY1NGRjZTIwNTVlYTY3ZDEifQ==</vt:lpwstr>
  </property>
</Properties>
</file>