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附件</w:t>
      </w:r>
      <w:r>
        <w:rPr>
          <w:rFonts w:hint="eastAsia" w:asciiTheme="minorEastAsia" w:hAnsiTheme="minorEastAsia" w:eastAsiaTheme="minorEastAsia" w:cstheme="minorEastAsia"/>
          <w:sz w:val="32"/>
          <w:szCs w:val="32"/>
          <w:lang w:val="en-US" w:eastAsia="zh-CN"/>
        </w:rPr>
        <w:t>2</w:t>
      </w:r>
    </w:p>
    <w:p>
      <w:pPr>
        <w:pStyle w:val="5"/>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中共</w:t>
      </w:r>
      <w:r>
        <w:rPr>
          <w:rFonts w:hint="eastAsia" w:ascii="方正小标宋_GBK" w:hAnsi="方正小标宋_GBK" w:eastAsia="方正小标宋_GBK" w:cs="方正小标宋_GBK"/>
          <w:sz w:val="44"/>
          <w:szCs w:val="44"/>
        </w:rPr>
        <w:t>上林县</w:t>
      </w:r>
      <w:r>
        <w:rPr>
          <w:rFonts w:hint="eastAsia" w:ascii="方正小标宋_GBK" w:hAnsi="方正小标宋_GBK" w:eastAsia="方正小标宋_GBK" w:cs="方正小标宋_GBK"/>
          <w:sz w:val="44"/>
          <w:szCs w:val="44"/>
          <w:lang w:eastAsia="zh-CN"/>
        </w:rPr>
        <w:t>委</w:t>
      </w:r>
      <w:r>
        <w:rPr>
          <w:rFonts w:hint="eastAsia" w:ascii="方正小标宋_GBK" w:hAnsi="方正小标宋_GBK" w:eastAsia="方正小标宋_GBK" w:cs="方正小标宋_GBK"/>
          <w:sz w:val="44"/>
          <w:szCs w:val="44"/>
        </w:rPr>
        <w:t>政法委网络专线采购</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服务项目</w:t>
      </w:r>
      <w:r>
        <w:rPr>
          <w:rFonts w:hint="eastAsia" w:ascii="方正小标宋_GBK" w:hAnsi="方正小标宋_GBK" w:eastAsia="方正小标宋_GBK" w:cs="方正小标宋_GBK"/>
          <w:sz w:val="44"/>
          <w:szCs w:val="44"/>
          <w:lang w:val="en-US" w:eastAsia="zh-CN"/>
        </w:rPr>
        <w:t>B</w:t>
      </w:r>
      <w:r>
        <w:rPr>
          <w:rFonts w:hint="eastAsia" w:ascii="方正小标宋_GBK" w:hAnsi="方正小标宋_GBK" w:eastAsia="方正小标宋_GBK" w:cs="方正小标宋_GBK"/>
          <w:sz w:val="44"/>
          <w:szCs w:val="44"/>
        </w:rPr>
        <w:t>标</w:t>
      </w:r>
      <w:r>
        <w:rPr>
          <w:rFonts w:hint="eastAsia" w:ascii="方正小标宋_GBK" w:hAnsi="方正小标宋_GBK" w:eastAsia="方正小标宋_GBK" w:cs="方正小标宋_GBK"/>
          <w:sz w:val="44"/>
          <w:szCs w:val="44"/>
          <w:lang w:eastAsia="zh-CN"/>
        </w:rPr>
        <w:t>线上询价方案</w:t>
      </w:r>
    </w:p>
    <w:p>
      <w:pPr>
        <w:pStyle w:val="3"/>
        <w:pageBreakBefore w:val="0"/>
        <w:numPr>
          <w:ilvl w:val="0"/>
          <w:numId w:val="0"/>
        </w:numPr>
        <w:kinsoku/>
        <w:wordWrap/>
        <w:overflowPunct/>
        <w:topLinePunct w:val="0"/>
        <w:autoSpaceDE/>
        <w:autoSpaceDN/>
        <w:bidi w:val="0"/>
        <w:adjustRightInd/>
        <w:spacing w:line="480" w:lineRule="exact"/>
        <w:ind w:leftChars="0"/>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lang w:eastAsia="zh-CN"/>
        </w:rPr>
        <w:t>一、</w:t>
      </w:r>
      <w:r>
        <w:rPr>
          <w:rFonts w:hint="eastAsia" w:ascii="仿宋_GB2312" w:hAnsi="仿宋_GB2312" w:eastAsia="仿宋_GB2312" w:cs="仿宋_GB2312"/>
          <w:bCs w:val="0"/>
          <w:sz w:val="32"/>
          <w:szCs w:val="32"/>
        </w:rPr>
        <w:t>项目基本情况</w:t>
      </w:r>
    </w:p>
    <w:p>
      <w:pPr>
        <w:pageBreakBefore w:val="0"/>
        <w:kinsoku/>
        <w:wordWrap/>
        <w:overflowPunct/>
        <w:topLinePunct w:val="0"/>
        <w:autoSpaceDE/>
        <w:autoSpaceDN/>
        <w:bidi w:val="0"/>
        <w:adjustRightInd/>
        <w:spacing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采购方式：在线询价</w:t>
      </w:r>
    </w:p>
    <w:p>
      <w:pPr>
        <w:pageBreakBefore w:val="0"/>
        <w:kinsoku/>
        <w:wordWrap/>
        <w:overflowPunct/>
        <w:topLinePunct w:val="0"/>
        <w:autoSpaceDE/>
        <w:autoSpaceDN/>
        <w:bidi w:val="0"/>
        <w:adjustRightInd/>
        <w:spacing w:line="48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rPr>
        <w:t>项目名称：</w:t>
      </w:r>
      <w:r>
        <w:rPr>
          <w:rFonts w:hint="eastAsia" w:ascii="仿宋_GB2312" w:hAnsi="仿宋_GB2312" w:eastAsia="仿宋_GB2312" w:cs="仿宋_GB2312"/>
          <w:color w:val="000000"/>
          <w:sz w:val="32"/>
          <w:szCs w:val="32"/>
          <w:highlight w:val="none"/>
        </w:rPr>
        <w:t>上林县政法委网络专线采购服务项目B标</w:t>
      </w:r>
    </w:p>
    <w:p>
      <w:pPr>
        <w:pageBreakBefore w:val="0"/>
        <w:kinsoku/>
        <w:wordWrap/>
        <w:overflowPunct/>
        <w:topLinePunct w:val="0"/>
        <w:autoSpaceDE/>
        <w:autoSpaceDN/>
        <w:bidi w:val="0"/>
        <w:adjustRightInd/>
        <w:spacing w:line="48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预算金额</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271320.00元</w:t>
      </w:r>
    </w:p>
    <w:p>
      <w:pPr>
        <w:pageBreakBefore w:val="0"/>
        <w:kinsoku/>
        <w:wordWrap/>
        <w:overflowPunct/>
        <w:topLinePunct w:val="0"/>
        <w:autoSpaceDE/>
        <w:autoSpaceDN/>
        <w:bidi w:val="0"/>
        <w:adjustRightInd/>
        <w:spacing w:line="48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采购需求： </w:t>
      </w:r>
    </w:p>
    <w:tbl>
      <w:tblPr>
        <w:tblStyle w:val="10"/>
        <w:tblW w:w="906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4"/>
        <w:gridCol w:w="3682"/>
        <w:gridCol w:w="1294"/>
        <w:gridCol w:w="29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4" w:hRule="atLeast"/>
        </w:trPr>
        <w:tc>
          <w:tcPr>
            <w:tcW w:w="110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val="0"/>
              <w:spacing w:line="480" w:lineRule="exact"/>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序号</w:t>
            </w:r>
          </w:p>
        </w:tc>
        <w:tc>
          <w:tcPr>
            <w:tcW w:w="368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val="0"/>
              <w:spacing w:line="480" w:lineRule="exact"/>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标的名称</w:t>
            </w:r>
          </w:p>
        </w:tc>
        <w:tc>
          <w:tcPr>
            <w:tcW w:w="12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val="0"/>
              <w:spacing w:line="480" w:lineRule="exact"/>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数量及</w:t>
            </w:r>
          </w:p>
          <w:p>
            <w:pPr>
              <w:pageBreakBefore w:val="0"/>
              <w:kinsoku/>
              <w:wordWrap/>
              <w:overflowPunct/>
              <w:topLinePunct w:val="0"/>
              <w:autoSpaceDE/>
              <w:autoSpaceDN/>
              <w:bidi w:val="0"/>
              <w:adjustRightInd/>
              <w:snapToGrid w:val="0"/>
              <w:spacing w:line="480" w:lineRule="exact"/>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单位</w:t>
            </w:r>
          </w:p>
        </w:tc>
        <w:tc>
          <w:tcPr>
            <w:tcW w:w="298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val="0"/>
              <w:spacing w:line="480" w:lineRule="exact"/>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简要技术需求或者服务要求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10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napToGrid w:val="0"/>
              <w:spacing w:line="480" w:lineRule="exact"/>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p>
        </w:tc>
        <w:tc>
          <w:tcPr>
            <w:tcW w:w="3682"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480" w:lineRule="exact"/>
              <w:jc w:val="center"/>
              <w:textAlignment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上林县政法委网络专线采购服务项目B标</w:t>
            </w:r>
          </w:p>
        </w:tc>
        <w:tc>
          <w:tcPr>
            <w:tcW w:w="1294"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48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1项</w:t>
            </w:r>
          </w:p>
        </w:tc>
        <w:tc>
          <w:tcPr>
            <w:tcW w:w="2986" w:type="dxa"/>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adjustRightInd/>
              <w:snapToGrid w:val="0"/>
              <w:spacing w:line="480" w:lineRule="exact"/>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内容详见采购文件</w:t>
            </w:r>
          </w:p>
        </w:tc>
      </w:tr>
    </w:tbl>
    <w:p>
      <w:pPr>
        <w:pageBreakBefore w:val="0"/>
        <w:kinsoku/>
        <w:wordWrap/>
        <w:overflowPunct/>
        <w:topLinePunct w:val="0"/>
        <w:autoSpaceDE/>
        <w:autoSpaceDN/>
        <w:bidi w:val="0"/>
        <w:adjustRightInd/>
        <w:spacing w:line="480" w:lineRule="exact"/>
        <w:ind w:firstLine="640" w:firstLineChars="20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合同履行期限：详见</w:t>
      </w:r>
      <w:r>
        <w:rPr>
          <w:rFonts w:hint="eastAsia" w:ascii="仿宋_GB2312" w:hAnsi="仿宋_GB2312" w:eastAsia="仿宋_GB2312" w:cs="仿宋_GB2312"/>
          <w:color w:val="000000"/>
          <w:sz w:val="32"/>
          <w:szCs w:val="32"/>
          <w:lang w:val="en-US" w:eastAsia="zh-CN"/>
        </w:rPr>
        <w:t>服务</w:t>
      </w:r>
      <w:r>
        <w:rPr>
          <w:rFonts w:hint="eastAsia" w:ascii="仿宋_GB2312" w:hAnsi="仿宋_GB2312" w:eastAsia="仿宋_GB2312" w:cs="仿宋_GB2312"/>
          <w:color w:val="000000"/>
          <w:sz w:val="32"/>
          <w:szCs w:val="32"/>
        </w:rPr>
        <w:t>需求一览表</w:t>
      </w:r>
    </w:p>
    <w:p>
      <w:pPr>
        <w:pageBreakBefore w:val="0"/>
        <w:kinsoku/>
        <w:wordWrap/>
        <w:overflowPunct/>
        <w:topLinePunct w:val="0"/>
        <w:autoSpaceDE/>
        <w:autoSpaceDN/>
        <w:bidi w:val="0"/>
        <w:adjustRightInd/>
        <w:spacing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本项目是否接受联合体响应：□是/</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否。</w:t>
      </w:r>
    </w:p>
    <w:p>
      <w:pPr>
        <w:pStyle w:val="3"/>
        <w:pageBreakBefore w:val="0"/>
        <w:kinsoku/>
        <w:wordWrap/>
        <w:overflowPunct/>
        <w:topLinePunct w:val="0"/>
        <w:autoSpaceDE/>
        <w:autoSpaceDN/>
        <w:bidi w:val="0"/>
        <w:adjustRightInd/>
        <w:spacing w:line="480" w:lineRule="exact"/>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二、供应商的资格条件</w:t>
      </w:r>
    </w:p>
    <w:p>
      <w:pPr>
        <w:pageBreakBefore w:val="0"/>
        <w:kinsoku/>
        <w:wordWrap/>
        <w:overflowPunct/>
        <w:topLinePunct w:val="0"/>
        <w:autoSpaceDE/>
        <w:autoSpaceDN/>
        <w:bidi w:val="0"/>
        <w:adjustRightInd/>
        <w:spacing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1.满足《中华人民共和国政府采购法》第二十二条规定；</w:t>
      </w:r>
    </w:p>
    <w:p>
      <w:pPr>
        <w:pageBreakBefore w:val="0"/>
        <w:kinsoku/>
        <w:wordWrap/>
        <w:overflowPunct/>
        <w:topLinePunct w:val="0"/>
        <w:autoSpaceDE/>
        <w:autoSpaceDN/>
        <w:bidi w:val="0"/>
        <w:adjustRightInd/>
        <w:spacing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2.落实政府采购政策需满足的资格要求：</w:t>
      </w:r>
    </w:p>
    <w:p>
      <w:pPr>
        <w:pageBreakBefore w:val="0"/>
        <w:kinsoku/>
        <w:wordWrap/>
        <w:overflowPunct/>
        <w:topLinePunct w:val="0"/>
        <w:autoSpaceDE/>
        <w:autoSpaceDN/>
        <w:bidi w:val="0"/>
        <w:adjustRightInd/>
        <w:spacing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□专门面向中小企业采购的项目（供应商应为中小微企业、监狱企业、残疾人福利性单位)</w:t>
      </w:r>
    </w:p>
    <w:p>
      <w:pPr>
        <w:pageBreakBefore w:val="0"/>
        <w:kinsoku/>
        <w:wordWrap/>
        <w:overflowPunct/>
        <w:topLinePunct w:val="0"/>
        <w:autoSpaceDE/>
        <w:autoSpaceDN/>
        <w:bidi w:val="0"/>
        <w:adjustRightInd/>
        <w:spacing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非专门面向中小企业采购的项目</w:t>
      </w:r>
    </w:p>
    <w:p>
      <w:pPr>
        <w:pageBreakBefore w:val="0"/>
        <w:kinsoku/>
        <w:wordWrap/>
        <w:overflowPunct/>
        <w:topLinePunct w:val="0"/>
        <w:autoSpaceDE/>
        <w:autoSpaceDN/>
        <w:bidi w:val="0"/>
        <w:adjustRightInd/>
        <w:spacing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3.本项目的特定资格要求：</w:t>
      </w:r>
      <w:r>
        <w:rPr>
          <w:rFonts w:hint="eastAsia" w:ascii="仿宋_GB2312" w:hAnsi="仿宋_GB2312" w:eastAsia="仿宋_GB2312" w:cs="仿宋_GB2312"/>
          <w:color w:val="000000"/>
          <w:sz w:val="32"/>
          <w:szCs w:val="32"/>
          <w:u w:val="single"/>
        </w:rPr>
        <w:t>无</w:t>
      </w:r>
    </w:p>
    <w:p>
      <w:pPr>
        <w:pageBreakBefore w:val="0"/>
        <w:kinsoku/>
        <w:wordWrap/>
        <w:overflowPunct/>
        <w:topLinePunct w:val="0"/>
        <w:autoSpaceDE/>
        <w:autoSpaceDN/>
        <w:bidi w:val="0"/>
        <w:adjustRightInd/>
        <w:spacing w:line="4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 本项目的特定条件：</w:t>
      </w:r>
      <w:r>
        <w:rPr>
          <w:rFonts w:hint="eastAsia" w:ascii="仿宋_GB2312" w:hAnsi="仿宋_GB2312" w:eastAsia="仿宋_GB2312" w:cs="仿宋_GB2312"/>
          <w:i/>
          <w:iCs/>
          <w:color w:val="000000"/>
          <w:sz w:val="32"/>
          <w:szCs w:val="32"/>
          <w:u w:val="single"/>
        </w:rPr>
        <w:t>无</w:t>
      </w:r>
    </w:p>
    <w:p>
      <w:pPr>
        <w:pageBreakBefore w:val="0"/>
        <w:kinsoku/>
        <w:wordWrap/>
        <w:overflowPunct/>
        <w:topLinePunct w:val="0"/>
        <w:autoSpaceDE/>
        <w:autoSpaceDN/>
        <w:bidi w:val="0"/>
        <w:adjustRightInd/>
        <w:snapToGrid w:val="0"/>
        <w:spacing w:line="4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 xml:space="preserve">5. </w:t>
      </w:r>
      <w:r>
        <w:rPr>
          <w:rFonts w:hint="eastAsia" w:ascii="仿宋_GB2312" w:hAnsi="仿宋_GB2312" w:eastAsia="仿宋_GB2312" w:cs="仿宋_GB2312"/>
          <w:sz w:val="32"/>
          <w:szCs w:val="32"/>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pageBreakBefore w:val="0"/>
        <w:kinsoku/>
        <w:wordWrap/>
        <w:overflowPunct/>
        <w:topLinePunct w:val="0"/>
        <w:autoSpaceDE/>
        <w:autoSpaceDN/>
        <w:bidi w:val="0"/>
        <w:adjustRightInd/>
        <w:snapToGrid w:val="0"/>
        <w:spacing w:line="48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pStyle w:val="3"/>
        <w:pageBreakBefore w:val="0"/>
        <w:kinsoku/>
        <w:wordWrap/>
        <w:overflowPunct/>
        <w:topLinePunct w:val="0"/>
        <w:autoSpaceDE/>
        <w:autoSpaceDN/>
        <w:bidi w:val="0"/>
        <w:adjustRightInd/>
        <w:spacing w:line="480" w:lineRule="exact"/>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三、</w:t>
      </w:r>
      <w:r>
        <w:rPr>
          <w:rFonts w:hint="eastAsia" w:ascii="仿宋_GB2312" w:hAnsi="仿宋_GB2312" w:eastAsia="仿宋_GB2312" w:cs="仿宋_GB2312"/>
          <w:bCs w:val="0"/>
          <w:sz w:val="32"/>
          <w:szCs w:val="32"/>
          <w:lang w:val="en-US" w:eastAsia="zh-CN"/>
        </w:rPr>
        <w:t>服务</w:t>
      </w:r>
      <w:r>
        <w:rPr>
          <w:rFonts w:hint="eastAsia" w:ascii="仿宋_GB2312" w:hAnsi="仿宋_GB2312" w:eastAsia="仿宋_GB2312" w:cs="仿宋_GB2312"/>
          <w:bCs w:val="0"/>
          <w:sz w:val="32"/>
          <w:szCs w:val="32"/>
        </w:rPr>
        <w:t>需求一览表</w:t>
      </w:r>
    </w:p>
    <w:tbl>
      <w:tblPr>
        <w:tblStyle w:val="10"/>
        <w:tblpPr w:leftFromText="180" w:rightFromText="180" w:vertAnchor="text" w:horzAnchor="page" w:tblpX="1582" w:tblpY="3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550"/>
        <w:gridCol w:w="615"/>
        <w:gridCol w:w="780"/>
        <w:gridCol w:w="915"/>
        <w:gridCol w:w="784"/>
        <w:gridCol w:w="4553"/>
        <w:gridCol w:w="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vMerge w:val="restart"/>
            <w:tcBorders>
              <w:top w:val="single" w:color="auto" w:sz="4" w:space="0"/>
              <w:left w:val="single" w:color="auto" w:sz="4" w:space="0"/>
              <w:right w:val="single" w:color="auto" w:sz="4" w:space="0"/>
            </w:tcBorders>
            <w:vAlign w:val="center"/>
          </w:tcPr>
          <w:p>
            <w:pPr>
              <w:spacing w:line="360" w:lineRule="exact"/>
              <w:jc w:val="center"/>
              <w:rPr>
                <w:rFonts w:ascii="宋体" w:hAnsi="宋体"/>
                <w:szCs w:val="21"/>
                <w:highlight w:val="none"/>
              </w:rPr>
            </w:pPr>
            <w:r>
              <w:rPr>
                <w:rFonts w:hint="eastAsia" w:ascii="宋体" w:hAnsi="宋体" w:cs="宋体"/>
                <w:color w:val="auto"/>
                <w:szCs w:val="21"/>
              </w:rPr>
              <w:t>采购清单及技术参数</w:t>
            </w:r>
          </w:p>
        </w:tc>
        <w:tc>
          <w:tcPr>
            <w:tcW w:w="5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序号</w:t>
            </w:r>
          </w:p>
        </w:tc>
        <w:tc>
          <w:tcPr>
            <w:tcW w:w="6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服务</w:t>
            </w:r>
            <w:r>
              <w:rPr>
                <w:rFonts w:ascii="宋体" w:hAnsi="宋体"/>
                <w:szCs w:val="21"/>
              </w:rPr>
              <w:t>名称</w:t>
            </w:r>
          </w:p>
        </w:tc>
        <w:tc>
          <w:tcPr>
            <w:tcW w:w="7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ascii="宋体" w:hAnsi="宋体"/>
                <w:szCs w:val="21"/>
              </w:rPr>
              <w:t>数量</w:t>
            </w:r>
          </w:p>
        </w:tc>
        <w:tc>
          <w:tcPr>
            <w:tcW w:w="91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单价（元</w:t>
            </w:r>
            <w:r>
              <w:rPr>
                <w:rFonts w:hint="eastAsia" w:ascii="宋体" w:hAnsi="宋体"/>
                <w:szCs w:val="21"/>
                <w:lang w:val="en-US" w:eastAsia="zh-CN"/>
              </w:rPr>
              <w:t>/年</w:t>
            </w:r>
            <w:r>
              <w:rPr>
                <w:rFonts w:hint="eastAsia" w:ascii="宋体" w:hAnsi="宋体"/>
                <w:szCs w:val="21"/>
              </w:rPr>
              <w:t>）</w:t>
            </w:r>
          </w:p>
        </w:tc>
        <w:tc>
          <w:tcPr>
            <w:tcW w:w="7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总价（元</w:t>
            </w:r>
            <w:r>
              <w:rPr>
                <w:rFonts w:hint="eastAsia" w:ascii="宋体" w:hAnsi="宋体"/>
                <w:szCs w:val="21"/>
                <w:lang w:val="en-US" w:eastAsia="zh-CN"/>
              </w:rPr>
              <w:t>/</w:t>
            </w:r>
            <w:r>
              <w:rPr>
                <w:rFonts w:hint="eastAsia" w:ascii="宋体" w:hAnsi="宋体"/>
                <w:szCs w:val="21"/>
                <w:lang w:eastAsia="zh-CN"/>
              </w:rPr>
              <w:t>两年</w:t>
            </w:r>
            <w:r>
              <w:rPr>
                <w:rFonts w:hint="eastAsia" w:ascii="宋体" w:hAnsi="宋体"/>
                <w:szCs w:val="21"/>
              </w:rPr>
              <w:t>）</w:t>
            </w:r>
          </w:p>
        </w:tc>
        <w:tc>
          <w:tcPr>
            <w:tcW w:w="45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服务内容及要求</w:t>
            </w:r>
          </w:p>
        </w:tc>
        <w:tc>
          <w:tcPr>
            <w:tcW w:w="4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3" w:type="dxa"/>
            <w:vMerge w:val="continue"/>
            <w:tcBorders>
              <w:left w:val="single" w:color="auto" w:sz="4" w:space="0"/>
              <w:bottom w:val="single" w:color="auto" w:sz="4" w:space="0"/>
              <w:right w:val="single" w:color="auto" w:sz="4" w:space="0"/>
            </w:tcBorders>
            <w:vAlign w:val="center"/>
          </w:tcPr>
          <w:p>
            <w:pPr>
              <w:spacing w:line="360" w:lineRule="exact"/>
              <w:jc w:val="center"/>
              <w:rPr>
                <w:rFonts w:ascii="宋体" w:hAnsi="宋体"/>
                <w:szCs w:val="21"/>
                <w:highlight w:val="none"/>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1</w:t>
            </w:r>
          </w:p>
        </w:tc>
        <w:tc>
          <w:tcPr>
            <w:tcW w:w="61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highlight w:val="none"/>
              </w:rPr>
            </w:pPr>
            <w:r>
              <w:rPr>
                <w:rFonts w:hint="eastAsia" w:ascii="宋体" w:hAnsi="宋体"/>
                <w:szCs w:val="21"/>
                <w:highlight w:val="none"/>
              </w:rPr>
              <w:t>网络服务</w:t>
            </w:r>
          </w:p>
        </w:tc>
        <w:tc>
          <w:tcPr>
            <w:tcW w:w="7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szCs w:val="21"/>
                <w:highlight w:val="none"/>
              </w:rPr>
            </w:pPr>
            <w:r>
              <w:rPr>
                <w:rFonts w:hint="eastAsia" w:ascii="宋体" w:hAnsi="宋体"/>
                <w:szCs w:val="21"/>
                <w:highlight w:val="none"/>
              </w:rPr>
              <w:t>1项</w:t>
            </w:r>
          </w:p>
        </w:tc>
        <w:tc>
          <w:tcPr>
            <w:tcW w:w="915" w:type="dxa"/>
            <w:tcBorders>
              <w:top w:val="single" w:color="auto" w:sz="4" w:space="0"/>
              <w:left w:val="single" w:color="auto" w:sz="4" w:space="0"/>
              <w:bottom w:val="single" w:color="auto" w:sz="4" w:space="0"/>
              <w:right w:val="single" w:color="auto" w:sz="4" w:space="0"/>
            </w:tcBorders>
            <w:vAlign w:val="center"/>
          </w:tcPr>
          <w:p>
            <w:pPr>
              <w:pStyle w:val="2"/>
              <w:jc w:val="center"/>
              <w:rPr>
                <w:rFonts w:ascii="宋体" w:hAnsi="宋体"/>
                <w:szCs w:val="21"/>
                <w:highlight w:val="none"/>
              </w:rPr>
            </w:pPr>
            <w:r>
              <w:rPr>
                <w:rFonts w:hint="eastAsia" w:ascii="宋体" w:hAnsi="宋体"/>
                <w:szCs w:val="21"/>
                <w:highlight w:val="none"/>
                <w:lang w:val="en-US" w:eastAsia="zh-CN"/>
              </w:rPr>
              <w:t>135660</w:t>
            </w:r>
            <w:r>
              <w:rPr>
                <w:rFonts w:hint="eastAsia" w:ascii="宋体" w:hAnsi="宋体"/>
                <w:szCs w:val="21"/>
                <w:highlight w:val="none"/>
              </w:rPr>
              <w:t>.00</w:t>
            </w:r>
          </w:p>
        </w:tc>
        <w:tc>
          <w:tcPr>
            <w:tcW w:w="784" w:type="dxa"/>
            <w:tcBorders>
              <w:top w:val="single" w:color="auto" w:sz="4" w:space="0"/>
              <w:left w:val="single" w:color="auto" w:sz="4" w:space="0"/>
              <w:bottom w:val="single" w:color="auto" w:sz="4" w:space="0"/>
              <w:right w:val="single" w:color="auto" w:sz="4" w:space="0"/>
            </w:tcBorders>
            <w:vAlign w:val="center"/>
          </w:tcPr>
          <w:p>
            <w:pPr>
              <w:pStyle w:val="2"/>
              <w:jc w:val="center"/>
              <w:rPr>
                <w:rFonts w:ascii="宋体" w:hAnsi="宋体"/>
                <w:szCs w:val="21"/>
                <w:highlight w:val="none"/>
              </w:rPr>
            </w:pPr>
            <w:r>
              <w:rPr>
                <w:rFonts w:hint="eastAsia" w:ascii="宋体" w:hAnsi="宋体"/>
                <w:szCs w:val="21"/>
                <w:highlight w:val="none"/>
                <w:lang w:val="en-US" w:eastAsia="zh-CN"/>
              </w:rPr>
              <w:t>271320</w:t>
            </w:r>
            <w:r>
              <w:rPr>
                <w:rFonts w:ascii="宋体" w:hAnsi="宋体"/>
                <w:szCs w:val="21"/>
                <w:highlight w:val="none"/>
              </w:rPr>
              <w:t>.00</w:t>
            </w:r>
          </w:p>
        </w:tc>
        <w:tc>
          <w:tcPr>
            <w:tcW w:w="4553" w:type="dxa"/>
            <w:tcBorders>
              <w:top w:val="single" w:color="auto" w:sz="4" w:space="0"/>
              <w:left w:val="single" w:color="auto" w:sz="4" w:space="0"/>
              <w:bottom w:val="single" w:color="auto" w:sz="4" w:space="0"/>
              <w:right w:val="single" w:color="auto" w:sz="4" w:space="0"/>
            </w:tcBorders>
            <w:vAlign w:val="center"/>
          </w:tcPr>
          <w:p>
            <w:pPr>
              <w:pStyle w:val="2"/>
              <w:spacing w:line="312" w:lineRule="auto"/>
              <w:rPr>
                <w:rFonts w:hint="eastAsia" w:ascii="宋体" w:hAnsi="宋体" w:eastAsia="宋体" w:cs="Times New Roman"/>
                <w:szCs w:val="21"/>
                <w:highlight w:val="none"/>
                <w:lang w:val="en-US" w:eastAsia="zh-CN"/>
              </w:rPr>
            </w:pPr>
            <w:r>
              <w:rPr>
                <w:rFonts w:hint="eastAsia" w:ascii="宋体" w:hAnsi="宋体" w:cs="Times New Roman"/>
                <w:szCs w:val="21"/>
                <w:highlight w:val="none"/>
                <w:lang w:val="en-US" w:eastAsia="zh-CN"/>
              </w:rPr>
              <w:t>一、服务内容</w:t>
            </w:r>
          </w:p>
          <w:p>
            <w:pPr>
              <w:pStyle w:val="2"/>
              <w:spacing w:line="312" w:lineRule="auto"/>
              <w:rPr>
                <w:rFonts w:ascii="宋体" w:hAnsi="宋体"/>
                <w:szCs w:val="21"/>
                <w:highlight w:val="none"/>
              </w:rPr>
            </w:pPr>
            <w:r>
              <w:rPr>
                <w:rFonts w:hint="eastAsia" w:ascii="宋体" w:hAnsi="宋体" w:eastAsia="宋体" w:cs="Times New Roman"/>
                <w:szCs w:val="21"/>
                <w:highlight w:val="none"/>
              </w:rPr>
              <w:t>▲</w:t>
            </w:r>
            <w:r>
              <w:rPr>
                <w:rFonts w:hint="eastAsia" w:ascii="宋体" w:hAnsi="宋体"/>
                <w:szCs w:val="21"/>
                <w:highlight w:val="none"/>
              </w:rPr>
              <w:t>1、雪亮工程一期点对点专线2</w:t>
            </w:r>
            <w:r>
              <w:rPr>
                <w:rFonts w:hint="eastAsia" w:ascii="宋体" w:hAnsi="宋体"/>
                <w:szCs w:val="21"/>
                <w:highlight w:val="none"/>
                <w:lang w:val="en-US" w:eastAsia="zh-CN"/>
              </w:rPr>
              <w:t>8</w:t>
            </w:r>
            <w:r>
              <w:rPr>
                <w:rFonts w:hint="eastAsia" w:ascii="宋体" w:hAnsi="宋体"/>
                <w:szCs w:val="21"/>
                <w:highlight w:val="none"/>
              </w:rPr>
              <w:t>条，带宽≥20Mbps；为民办实事工程点对点专线14条，带宽≥20Mbps；大丰镇政府汇聚点专线1条，带宽≥100Mbps；雪亮监控视频专线1条，带宽≥100Mbps；为民办实事工程汇聚到发改机房点对点专线1条，带宽≥100Mbps；</w:t>
            </w:r>
            <w:r>
              <w:rPr>
                <w:rFonts w:hint="eastAsia" w:ascii="宋体" w:hAnsi="宋体"/>
                <w:szCs w:val="21"/>
                <w:highlight w:val="none"/>
                <w:lang w:eastAsia="zh-CN"/>
              </w:rPr>
              <w:t>易地扶贫搬迁</w:t>
            </w:r>
            <w:r>
              <w:rPr>
                <w:rFonts w:hint="eastAsia" w:ascii="宋体" w:hAnsi="宋体"/>
                <w:szCs w:val="21"/>
                <w:highlight w:val="none"/>
              </w:rPr>
              <w:t>点对点专线8条，带宽≥</w:t>
            </w:r>
            <w:r>
              <w:rPr>
                <w:rFonts w:hint="eastAsia" w:ascii="宋体" w:hAnsi="宋体"/>
                <w:szCs w:val="21"/>
                <w:highlight w:val="none"/>
                <w:lang w:val="en-US" w:eastAsia="zh-CN"/>
              </w:rPr>
              <w:t>100</w:t>
            </w:r>
            <w:r>
              <w:rPr>
                <w:rFonts w:hint="eastAsia" w:ascii="宋体" w:hAnsi="宋体"/>
                <w:szCs w:val="21"/>
                <w:highlight w:val="none"/>
              </w:rPr>
              <w:t>Mbps；</w:t>
            </w:r>
            <w:r>
              <w:rPr>
                <w:rFonts w:hint="eastAsia"/>
                <w:highlight w:val="none"/>
                <w:lang w:val="en-US" w:eastAsia="zh-CN"/>
              </w:rPr>
              <w:t>上述专线</w:t>
            </w:r>
            <w:r>
              <w:rPr>
                <w:rFonts w:hint="eastAsia" w:ascii="宋体" w:hAnsi="宋体"/>
                <w:szCs w:val="21"/>
                <w:highlight w:val="none"/>
              </w:rPr>
              <w:t>要求专线速率上、下行对称，与互联网物理隔离，保证数据传输的安全和稳定。</w:t>
            </w:r>
          </w:p>
          <w:p>
            <w:pPr>
              <w:pStyle w:val="2"/>
              <w:spacing w:line="312" w:lineRule="auto"/>
              <w:rPr>
                <w:rFonts w:hint="eastAsia" w:ascii="宋体" w:hAnsi="宋体" w:eastAsia="宋体"/>
                <w:szCs w:val="21"/>
                <w:highlight w:val="none"/>
                <w:lang w:val="en-US" w:eastAsia="zh-CN"/>
              </w:rPr>
            </w:pPr>
            <w:r>
              <w:rPr>
                <w:rFonts w:hint="eastAsia" w:ascii="宋体" w:hAnsi="宋体"/>
                <w:szCs w:val="21"/>
                <w:highlight w:val="none"/>
                <w:lang w:val="en-US" w:eastAsia="zh-CN"/>
              </w:rPr>
              <w:t>二、服务要求</w:t>
            </w:r>
          </w:p>
          <w:p>
            <w:pPr>
              <w:pStyle w:val="2"/>
              <w:spacing w:line="312" w:lineRule="auto"/>
              <w:rPr>
                <w:rFonts w:hint="eastAsia"/>
                <w:highlight w:val="none"/>
              </w:rPr>
            </w:pPr>
            <w:r>
              <w:rPr>
                <w:rFonts w:hint="eastAsia"/>
                <w:highlight w:val="none"/>
              </w:rPr>
              <w:t>▲</w:t>
            </w:r>
            <w:r>
              <w:rPr>
                <w:rFonts w:hint="eastAsia"/>
                <w:highlight w:val="none"/>
                <w:lang w:val="en-US" w:eastAsia="zh-CN"/>
              </w:rPr>
              <w:t>1、要求所提供的专线</w:t>
            </w:r>
            <w:r>
              <w:rPr>
                <w:rFonts w:hint="eastAsia" w:ascii="宋体" w:hAnsi="宋体"/>
                <w:szCs w:val="21"/>
                <w:highlight w:val="none"/>
              </w:rPr>
              <w:t>速率上、下行对称，</w:t>
            </w:r>
            <w:r>
              <w:rPr>
                <w:rFonts w:hint="eastAsia" w:ascii="宋体" w:hAnsi="宋体"/>
                <w:szCs w:val="21"/>
                <w:highlight w:val="none"/>
                <w:lang w:val="en-US" w:eastAsia="zh-CN"/>
              </w:rPr>
              <w:t>且</w:t>
            </w:r>
            <w:r>
              <w:rPr>
                <w:rFonts w:hint="eastAsia" w:ascii="宋体" w:hAnsi="宋体"/>
                <w:szCs w:val="21"/>
                <w:highlight w:val="none"/>
              </w:rPr>
              <w:t>与互联网物理隔离，保证数据传输的安全和稳定。</w:t>
            </w:r>
          </w:p>
          <w:p>
            <w:pPr>
              <w:pStyle w:val="2"/>
              <w:spacing w:line="312" w:lineRule="auto"/>
              <w:rPr>
                <w:rFonts w:hint="default"/>
                <w:highlight w:val="none"/>
              </w:rPr>
            </w:pPr>
            <w:r>
              <w:rPr>
                <w:rFonts w:hint="eastAsia"/>
                <w:highlight w:val="none"/>
              </w:rPr>
              <w:t>▲</w:t>
            </w:r>
            <w:r>
              <w:rPr>
                <w:rFonts w:hint="eastAsia" w:ascii="宋体" w:hAnsi="宋体"/>
                <w:szCs w:val="21"/>
                <w:highlight w:val="none"/>
                <w:lang w:val="en-US" w:eastAsia="zh-CN"/>
              </w:rPr>
              <w:t>2</w:t>
            </w:r>
            <w:r>
              <w:rPr>
                <w:rFonts w:hint="eastAsia" w:ascii="宋体" w:hAnsi="宋体"/>
                <w:szCs w:val="21"/>
                <w:highlight w:val="none"/>
              </w:rPr>
              <w:t>、</w:t>
            </w:r>
            <w:r>
              <w:rPr>
                <w:rFonts w:hint="eastAsia" w:ascii="宋体" w:hAnsi="宋体"/>
                <w:szCs w:val="21"/>
                <w:highlight w:val="none"/>
                <w:lang w:val="en-US" w:eastAsia="zh-CN"/>
              </w:rPr>
              <w:t>供应商</w:t>
            </w:r>
            <w:r>
              <w:rPr>
                <w:rFonts w:hint="default"/>
              </w:rPr>
              <w:t>采用基于分组复用、静态寻址</w:t>
            </w:r>
            <w:r>
              <w:rPr>
                <w:rFonts w:hint="eastAsia"/>
                <w:lang w:val="en-US" w:eastAsia="zh-CN"/>
              </w:rPr>
              <w:t>方式</w:t>
            </w:r>
            <w:r>
              <w:rPr>
                <w:rFonts w:hint="eastAsia" w:ascii="宋体" w:hAnsi="宋体"/>
                <w:szCs w:val="21"/>
              </w:rPr>
              <w:t>的分组传送网络技术进行组网</w:t>
            </w:r>
            <w:r>
              <w:rPr>
                <w:rFonts w:hint="default"/>
              </w:rPr>
              <w:t>，</w:t>
            </w:r>
            <w:r>
              <w:rPr>
                <w:rFonts w:hint="eastAsia" w:ascii="宋体" w:hAnsi="宋体"/>
                <w:szCs w:val="21"/>
              </w:rPr>
              <w:t>可应对采购人突发的带宽增长需求</w:t>
            </w:r>
            <w:r>
              <w:rPr>
                <w:rFonts w:hint="default"/>
                <w:highlight w:val="none"/>
              </w:rPr>
              <w:t>。</w:t>
            </w:r>
          </w:p>
          <w:p>
            <w:pPr>
              <w:pStyle w:val="2"/>
              <w:spacing w:line="312" w:lineRule="auto"/>
              <w:rPr>
                <w:rFonts w:hint="eastAsia" w:ascii="宋体" w:hAnsi="宋体" w:eastAsia="宋体"/>
                <w:sz w:val="21"/>
                <w:szCs w:val="21"/>
                <w:highlight w:val="none"/>
                <w:lang w:val="en-US" w:eastAsia="zh-CN"/>
              </w:rPr>
            </w:pPr>
            <w:r>
              <w:rPr>
                <w:rFonts w:hint="eastAsia" w:ascii="宋体" w:hAnsi="宋体" w:eastAsia="宋体" w:cs="Times New Roman"/>
                <w:sz w:val="21"/>
                <w:szCs w:val="21"/>
                <w:highlight w:val="none"/>
                <w:lang w:eastAsia="zh-CN"/>
              </w:rPr>
              <w:t>▲</w:t>
            </w:r>
            <w:r>
              <w:rPr>
                <w:rFonts w:hint="eastAsia" w:ascii="宋体" w:hAnsi="宋体"/>
                <w:sz w:val="21"/>
                <w:szCs w:val="21"/>
                <w:highlight w:val="none"/>
                <w:lang w:val="en-US" w:eastAsia="zh-CN"/>
              </w:rPr>
              <w:t>3</w:t>
            </w:r>
            <w:r>
              <w:rPr>
                <w:rFonts w:hint="eastAsia" w:ascii="宋体" w:hAnsi="宋体" w:eastAsia="宋体"/>
                <w:sz w:val="21"/>
                <w:szCs w:val="21"/>
                <w:highlight w:val="none"/>
                <w:lang w:val="en-US" w:eastAsia="zh-CN"/>
              </w:rPr>
              <w:t>、供应商须</w:t>
            </w:r>
            <w:r>
              <w:rPr>
                <w:rFonts w:hint="eastAsia" w:ascii="宋体" w:hAnsi="宋体" w:eastAsia="宋体"/>
                <w:sz w:val="21"/>
                <w:szCs w:val="21"/>
                <w:highlight w:val="none"/>
              </w:rPr>
              <w:t>确保采购人现有业务和系统不中断、不受任何影响的情况下</w:t>
            </w:r>
            <w:r>
              <w:rPr>
                <w:rFonts w:hint="eastAsia" w:ascii="宋体" w:hAnsi="宋体" w:eastAsia="宋体"/>
                <w:sz w:val="21"/>
                <w:szCs w:val="21"/>
                <w:highlight w:val="none"/>
                <w:lang w:val="en-US" w:eastAsia="zh-CN"/>
              </w:rPr>
              <w:t>开展本次专线建设，否则视为违约。</w:t>
            </w:r>
          </w:p>
          <w:p>
            <w:pPr>
              <w:pStyle w:val="2"/>
              <w:spacing w:line="312" w:lineRule="auto"/>
              <w:rPr>
                <w:rFonts w:hint="eastAsia" w:ascii="宋体" w:hAnsi="宋体"/>
                <w:szCs w:val="21"/>
                <w:highlight w:val="none"/>
              </w:rPr>
            </w:pPr>
            <w:r>
              <w:rPr>
                <w:rFonts w:hint="eastAsia"/>
                <w:highlight w:val="none"/>
              </w:rPr>
              <w:t>▲</w:t>
            </w:r>
            <w:r>
              <w:rPr>
                <w:rFonts w:hint="eastAsia" w:ascii="宋体" w:hAnsi="宋体"/>
                <w:szCs w:val="21"/>
                <w:highlight w:val="none"/>
                <w:lang w:val="en-US" w:eastAsia="zh-CN"/>
              </w:rPr>
              <w:t>4、</w:t>
            </w:r>
            <w:r>
              <w:rPr>
                <w:rFonts w:hint="eastAsia" w:ascii="宋体" w:hAnsi="宋体"/>
                <w:szCs w:val="21"/>
                <w:highlight w:val="none"/>
              </w:rPr>
              <w:t>提供各种主流物理光、电接口，如RJ45/LC/FC等供采购人使用。</w:t>
            </w:r>
          </w:p>
          <w:p>
            <w:pPr>
              <w:pStyle w:val="2"/>
              <w:spacing w:line="312" w:lineRule="auto"/>
              <w:rPr>
                <w:rFonts w:hint="default" w:ascii="宋体" w:hAnsi="宋体"/>
                <w:szCs w:val="21"/>
                <w:highlight w:val="none"/>
                <w:lang w:val="en-US" w:eastAsia="zh-CN"/>
              </w:rPr>
            </w:pPr>
            <w:r>
              <w:rPr>
                <w:rFonts w:hint="eastAsia"/>
                <w:highlight w:val="none"/>
              </w:rPr>
              <w:t>▲</w:t>
            </w:r>
            <w:r>
              <w:rPr>
                <w:rFonts w:hint="eastAsia" w:ascii="宋体" w:hAnsi="宋体"/>
                <w:szCs w:val="21"/>
                <w:highlight w:val="none"/>
                <w:lang w:val="en-US" w:eastAsia="zh-CN"/>
              </w:rPr>
              <w:t>5、根据采购专线传输需求，提供机房配套设施升级服务以及</w:t>
            </w:r>
            <w:r>
              <w:rPr>
                <w:rFonts w:hint="eastAsia" w:ascii="宋体" w:hAnsi="宋体" w:eastAsia="宋体" w:cs="宋体"/>
                <w:sz w:val="21"/>
                <w:szCs w:val="21"/>
                <w:lang w:val="en-US" w:eastAsia="zh-CN"/>
              </w:rPr>
              <w:t>网络需求评估优化、定期线路整治等服务，提供基于后端云资源的计算辅助服务。</w:t>
            </w:r>
          </w:p>
          <w:p>
            <w:pPr>
              <w:spacing w:line="360" w:lineRule="auto"/>
              <w:rPr>
                <w:rFonts w:hint="default"/>
                <w:color w:val="000000" w:themeColor="text1"/>
                <w:highlight w:val="none"/>
              </w:rPr>
            </w:pPr>
            <w:r>
              <w:rPr>
                <w:rFonts w:hint="eastAsia"/>
                <w:highlight w:val="none"/>
              </w:rPr>
              <w:t>▲</w:t>
            </w:r>
            <w:r>
              <w:rPr>
                <w:rFonts w:hint="eastAsia"/>
                <w:color w:val="000000" w:themeColor="text1"/>
                <w:highlight w:val="none"/>
                <w:lang w:val="en-US" w:eastAsia="zh-CN"/>
              </w:rPr>
              <w:t>6</w:t>
            </w:r>
            <w:r>
              <w:rPr>
                <w:rFonts w:hint="default"/>
                <w:color w:val="000000" w:themeColor="text1"/>
                <w:highlight w:val="none"/>
              </w:rPr>
              <w:t>、</w:t>
            </w:r>
            <w:r>
              <w:rPr>
                <w:rFonts w:hint="eastAsia"/>
                <w:color w:val="000000" w:themeColor="text1"/>
                <w:highlight w:val="none"/>
                <w:lang w:val="en-US" w:eastAsia="zh-CN"/>
              </w:rPr>
              <w:t>供应商所提供的</w:t>
            </w:r>
            <w:r>
              <w:rPr>
                <w:rFonts w:hint="default"/>
                <w:color w:val="000000" w:themeColor="text1"/>
                <w:highlight w:val="none"/>
              </w:rPr>
              <w:t>数字电路专线要求具有端到端全程网管监控功能，并实行7*24小时实时监控，具备自动告警、日志查询等功能</w:t>
            </w:r>
            <w:r>
              <w:rPr>
                <w:rFonts w:hint="eastAsia"/>
                <w:color w:val="000000" w:themeColor="text1"/>
                <w:highlight w:val="none"/>
                <w:lang w:eastAsia="zh-CN"/>
              </w:rPr>
              <w:t>，</w:t>
            </w:r>
            <w:r>
              <w:rPr>
                <w:rFonts w:hint="default"/>
                <w:color w:val="000000" w:themeColor="text1"/>
                <w:highlight w:val="none"/>
              </w:rPr>
              <w:t>可有效地检测并定位网络故障。</w:t>
            </w:r>
          </w:p>
          <w:p>
            <w:pPr>
              <w:spacing w:line="360" w:lineRule="auto"/>
              <w:rPr>
                <w:rFonts w:hint="default"/>
                <w:color w:val="000000" w:themeColor="text1"/>
                <w:highlight w:val="none"/>
              </w:rPr>
            </w:pPr>
            <w:r>
              <w:rPr>
                <w:rFonts w:hint="eastAsia"/>
                <w:highlight w:val="none"/>
              </w:rPr>
              <w:t>▲</w:t>
            </w:r>
            <w:r>
              <w:rPr>
                <w:rFonts w:hint="eastAsia"/>
                <w:color w:val="000000" w:themeColor="text1"/>
                <w:highlight w:val="none"/>
                <w:lang w:val="en-US" w:eastAsia="zh-CN"/>
              </w:rPr>
              <w:t>7</w:t>
            </w:r>
            <w:r>
              <w:rPr>
                <w:rFonts w:hint="default"/>
                <w:color w:val="000000" w:themeColor="text1"/>
                <w:highlight w:val="none"/>
              </w:rPr>
              <w:t>、</w:t>
            </w:r>
            <w:r>
              <w:rPr>
                <w:rFonts w:hint="eastAsia"/>
                <w:color w:val="000000" w:themeColor="text1"/>
                <w:highlight w:val="none"/>
                <w:lang w:val="en-US" w:eastAsia="zh-CN"/>
              </w:rPr>
              <w:t>线路汇聚层和骨干层具有自愈环保护功能，具备不超过50ms保护倒换能力，保证专线不会因光缆的意外阻断或部分设备故障而中断。</w:t>
            </w:r>
          </w:p>
          <w:p>
            <w:pPr>
              <w:pStyle w:val="2"/>
              <w:spacing w:line="312" w:lineRule="auto"/>
              <w:rPr>
                <w:highlight w:val="none"/>
              </w:rPr>
            </w:pPr>
            <w:r>
              <w:rPr>
                <w:rFonts w:hint="eastAsia"/>
                <w:highlight w:val="none"/>
              </w:rPr>
              <w:t>▲</w:t>
            </w:r>
            <w:r>
              <w:rPr>
                <w:rFonts w:hint="eastAsia"/>
                <w:color w:val="000000" w:themeColor="text1"/>
                <w:highlight w:val="none"/>
                <w:lang w:val="en-US" w:eastAsia="zh-CN"/>
              </w:rPr>
              <w:t>8、网络施工、测试以及割接升级期间，不对现有业务系统产生影响。</w:t>
            </w:r>
          </w:p>
        </w:tc>
        <w:tc>
          <w:tcPr>
            <w:tcW w:w="451" w:type="dxa"/>
            <w:tcBorders>
              <w:top w:val="single" w:color="auto" w:sz="4" w:space="0"/>
              <w:left w:val="single" w:color="auto" w:sz="4" w:space="0"/>
              <w:right w:val="single" w:color="auto" w:sz="4" w:space="0"/>
            </w:tcBorders>
            <w:vAlign w:val="center"/>
          </w:tcPr>
          <w:p>
            <w:pPr>
              <w:pStyle w:val="2"/>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8"/>
            <w:tcBorders>
              <w:top w:val="single" w:color="auto" w:sz="4" w:space="0"/>
              <w:left w:val="single" w:color="auto" w:sz="4" w:space="0"/>
              <w:bottom w:val="single" w:color="auto" w:sz="4" w:space="0"/>
              <w:right w:val="single" w:color="auto" w:sz="4" w:space="0"/>
            </w:tcBorders>
            <w:vAlign w:val="center"/>
          </w:tcPr>
          <w:p>
            <w:pPr>
              <w:pStyle w:val="2"/>
              <w:rPr>
                <w:rFonts w:ascii="宋体" w:hAnsi="宋体"/>
                <w:szCs w:val="21"/>
              </w:rPr>
            </w:pPr>
            <w:r>
              <w:rPr>
                <w:rFonts w:hint="eastAsia" w:ascii="宋体" w:hAnsi="宋体"/>
                <w:szCs w:val="21"/>
              </w:rPr>
              <w:t>商务条款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8"/>
            <w:tcBorders>
              <w:top w:val="single" w:color="auto" w:sz="4" w:space="0"/>
              <w:left w:val="single" w:color="auto" w:sz="4" w:space="0"/>
              <w:bottom w:val="single" w:color="auto" w:sz="4" w:space="0"/>
              <w:right w:val="single" w:color="auto" w:sz="4" w:space="0"/>
            </w:tcBorders>
            <w:vAlign w:val="center"/>
          </w:tcPr>
          <w:p>
            <w:pPr>
              <w:pStyle w:val="2"/>
              <w:spacing w:line="360" w:lineRule="exact"/>
              <w:rPr>
                <w:rFonts w:hint="eastAsia" w:ascii="宋体" w:hAnsi="宋体"/>
                <w:szCs w:val="21"/>
              </w:rPr>
            </w:pPr>
            <w:r>
              <w:rPr>
                <w:rFonts w:hint="eastAsia" w:ascii="宋体" w:hAnsi="宋体"/>
                <w:szCs w:val="21"/>
              </w:rPr>
              <w:t>一、合同签订期：自成交通知书发出之日起</w:t>
            </w:r>
            <w:r>
              <w:rPr>
                <w:rFonts w:hint="eastAsia" w:ascii="宋体" w:hAnsi="宋体"/>
                <w:szCs w:val="21"/>
                <w:lang w:val="en-US" w:eastAsia="zh-CN"/>
              </w:rPr>
              <w:t>15</w:t>
            </w:r>
            <w:r>
              <w:rPr>
                <w:rFonts w:hint="eastAsia" w:ascii="宋体" w:hAnsi="宋体"/>
                <w:szCs w:val="21"/>
              </w:rPr>
              <w:t>个工作日内。</w:t>
            </w:r>
          </w:p>
          <w:p>
            <w:pPr>
              <w:pStyle w:val="2"/>
              <w:spacing w:line="360" w:lineRule="exact"/>
              <w:rPr>
                <w:rFonts w:hint="eastAsia" w:ascii="宋体" w:hAnsi="宋体"/>
                <w:color w:val="auto"/>
                <w:szCs w:val="21"/>
                <w:highlight w:val="none"/>
              </w:rPr>
            </w:pPr>
            <w:r>
              <w:rPr>
                <w:rFonts w:hint="eastAsia" w:ascii="宋体" w:hAnsi="宋体"/>
                <w:szCs w:val="21"/>
              </w:rPr>
              <w:t>二、提交服务成果时间：</w:t>
            </w:r>
            <w:r>
              <w:rPr>
                <w:rFonts w:hint="eastAsia" w:ascii="宋体" w:hAnsi="宋体"/>
                <w:color w:val="auto"/>
                <w:szCs w:val="21"/>
                <w:highlight w:val="none"/>
              </w:rPr>
              <w:t>自合同签订之日起</w:t>
            </w:r>
            <w:r>
              <w:rPr>
                <w:rFonts w:hint="eastAsia" w:ascii="宋体" w:hAnsi="宋体"/>
                <w:color w:val="auto"/>
                <w:szCs w:val="21"/>
                <w:highlight w:val="none"/>
                <w:lang w:val="en-US" w:eastAsia="zh-CN"/>
              </w:rPr>
              <w:t>5</w:t>
            </w:r>
            <w:r>
              <w:rPr>
                <w:rFonts w:hint="eastAsia" w:ascii="宋体" w:hAnsi="宋体"/>
                <w:color w:val="auto"/>
                <w:szCs w:val="21"/>
                <w:highlight w:val="none"/>
              </w:rPr>
              <w:t>个工作日内。</w:t>
            </w:r>
          </w:p>
          <w:p>
            <w:pPr>
              <w:pStyle w:val="2"/>
              <w:spacing w:line="360" w:lineRule="exact"/>
              <w:rPr>
                <w:rFonts w:hint="eastAsia" w:ascii="宋体" w:hAnsi="宋体"/>
                <w:color w:val="auto"/>
                <w:szCs w:val="21"/>
                <w:highlight w:val="none"/>
              </w:rPr>
            </w:pPr>
            <w:r>
              <w:rPr>
                <w:rFonts w:hint="eastAsia" w:ascii="宋体" w:hAnsi="宋体"/>
                <w:color w:val="auto"/>
                <w:szCs w:val="21"/>
                <w:highlight w:val="none"/>
              </w:rPr>
              <w:t xml:space="preserve">三、提交服务成果地点： </w:t>
            </w:r>
            <w:r>
              <w:rPr>
                <w:rFonts w:hint="eastAsia" w:ascii="宋体" w:hAnsi="宋体"/>
                <w:color w:val="auto"/>
                <w:szCs w:val="21"/>
                <w:highlight w:val="none"/>
                <w:lang w:val="en-US" w:eastAsia="zh-CN"/>
              </w:rPr>
              <w:t>上林县政法委指定地点</w:t>
            </w:r>
            <w:r>
              <w:rPr>
                <w:rFonts w:hint="eastAsia" w:ascii="宋体" w:hAnsi="宋体"/>
                <w:color w:val="auto"/>
                <w:szCs w:val="21"/>
                <w:highlight w:val="none"/>
              </w:rPr>
              <w:t xml:space="preserve"> </w:t>
            </w:r>
          </w:p>
          <w:p>
            <w:pPr>
              <w:pStyle w:val="2"/>
              <w:spacing w:line="360" w:lineRule="exact"/>
              <w:rPr>
                <w:rFonts w:hint="eastAsia" w:ascii="宋体" w:hAnsi="宋体"/>
                <w:color w:val="auto"/>
                <w:szCs w:val="21"/>
                <w:highlight w:val="none"/>
              </w:rPr>
            </w:pPr>
            <w:r>
              <w:rPr>
                <w:rFonts w:hint="eastAsia" w:ascii="宋体" w:hAnsi="宋体"/>
                <w:color w:val="auto"/>
                <w:szCs w:val="21"/>
                <w:highlight w:val="none"/>
              </w:rPr>
              <w:t>四、售后服务要求：</w:t>
            </w:r>
          </w:p>
          <w:p>
            <w:pPr>
              <w:pStyle w:val="2"/>
              <w:spacing w:line="360" w:lineRule="exact"/>
              <w:rPr>
                <w:rFonts w:hint="default" w:ascii="宋体" w:hAnsi="宋体" w:eastAsia="宋体"/>
                <w:szCs w:val="21"/>
                <w:lang w:eastAsia="zh-CN"/>
              </w:rPr>
            </w:pPr>
            <w:r>
              <w:rPr>
                <w:rFonts w:hint="eastAsia" w:ascii="宋体" w:hAnsi="宋体"/>
                <w:szCs w:val="21"/>
              </w:rPr>
              <w:t>1、服务期2年，质量保证期2年（自提交服务成果并验收合格之日起计）</w:t>
            </w:r>
            <w:r>
              <w:rPr>
                <w:rFonts w:hint="default" w:ascii="宋体" w:hAnsi="宋体"/>
                <w:szCs w:val="21"/>
                <w:lang w:eastAsia="zh-CN"/>
              </w:rPr>
              <w:t>。</w:t>
            </w:r>
          </w:p>
          <w:p>
            <w:pPr>
              <w:pStyle w:val="2"/>
              <w:spacing w:line="360" w:lineRule="exact"/>
              <w:rPr>
                <w:rFonts w:hint="default" w:ascii="宋体" w:hAnsi="宋体" w:eastAsia="宋体"/>
                <w:szCs w:val="21"/>
                <w:lang w:eastAsia="zh-CN"/>
              </w:rPr>
            </w:pPr>
            <w:r>
              <w:rPr>
                <w:rFonts w:hint="eastAsia" w:ascii="宋体" w:hAnsi="宋体"/>
                <w:szCs w:val="21"/>
              </w:rPr>
              <w:t>2、处理问题响应时间：售后服务电话响应时间要求7*24小时，现场响应时间要求不超过8小时，问题解决时间要求不超过1个工作日</w:t>
            </w:r>
            <w:r>
              <w:rPr>
                <w:rFonts w:hint="default" w:ascii="宋体" w:hAnsi="宋体"/>
                <w:szCs w:val="21"/>
                <w:lang w:val="en-US" w:eastAsia="zh-CN"/>
              </w:rPr>
              <w:t>。</w:t>
            </w:r>
          </w:p>
          <w:p>
            <w:pPr>
              <w:pStyle w:val="2"/>
              <w:spacing w:line="360" w:lineRule="exact"/>
              <w:rPr>
                <w:rFonts w:hint="eastAsia" w:ascii="宋体" w:hAnsi="宋体"/>
                <w:szCs w:val="21"/>
              </w:rPr>
            </w:pPr>
            <w:r>
              <w:rPr>
                <w:rFonts w:hint="eastAsia" w:ascii="宋体" w:hAnsi="宋体"/>
                <w:szCs w:val="21"/>
              </w:rPr>
              <w:t>3、在服务期限内，成交供应商应严格遵守《中华人民共和国电信条例》，维护双方权益，应按工信部颁布的《电信服务标准》的电路质量要求，保证采购人租用服务安全使用。</w:t>
            </w:r>
          </w:p>
          <w:p>
            <w:pPr>
              <w:pStyle w:val="2"/>
              <w:spacing w:line="360" w:lineRule="exact"/>
              <w:rPr>
                <w:rFonts w:hint="eastAsia" w:ascii="宋体" w:hAnsi="宋体"/>
                <w:szCs w:val="21"/>
              </w:rPr>
            </w:pPr>
            <w:r>
              <w:rPr>
                <w:rFonts w:hint="eastAsia" w:ascii="宋体" w:hAnsi="宋体"/>
                <w:szCs w:val="21"/>
              </w:rPr>
              <w:t>五、验收要求：</w:t>
            </w:r>
          </w:p>
          <w:p>
            <w:pPr>
              <w:pStyle w:val="2"/>
              <w:spacing w:line="360" w:lineRule="exact"/>
              <w:rPr>
                <w:rFonts w:hint="eastAsia" w:ascii="宋体" w:hAnsi="宋体"/>
                <w:szCs w:val="21"/>
              </w:rPr>
            </w:pPr>
            <w:r>
              <w:rPr>
                <w:rFonts w:hint="eastAsia" w:ascii="宋体" w:hAnsi="宋体"/>
                <w:szCs w:val="21"/>
              </w:rPr>
              <w:t>成交供应商提供的服务正常稳定运行5个工作日以上，经双方现场测试确认，才能通过验收。</w:t>
            </w:r>
          </w:p>
          <w:p>
            <w:pPr>
              <w:pStyle w:val="2"/>
              <w:spacing w:line="360" w:lineRule="exact"/>
              <w:rPr>
                <w:rFonts w:hint="eastAsia" w:ascii="宋体" w:hAnsi="宋体"/>
                <w:szCs w:val="21"/>
              </w:rPr>
            </w:pPr>
            <w:r>
              <w:rPr>
                <w:rFonts w:hint="eastAsia" w:ascii="宋体" w:hAnsi="宋体"/>
                <w:szCs w:val="21"/>
              </w:rPr>
              <w:t>六、</w:t>
            </w:r>
            <w:r>
              <w:rPr>
                <w:rFonts w:hint="eastAsia" w:ascii="宋体" w:hAnsi="宋体"/>
                <w:szCs w:val="21"/>
                <w:lang w:val="en-US" w:eastAsia="zh-CN"/>
              </w:rPr>
              <w:t>资格</w:t>
            </w:r>
            <w:r>
              <w:rPr>
                <w:rFonts w:hint="eastAsia" w:ascii="宋体" w:hAnsi="宋体"/>
                <w:szCs w:val="21"/>
              </w:rPr>
              <w:t>要求：</w:t>
            </w:r>
          </w:p>
          <w:p>
            <w:pPr>
              <w:pStyle w:val="2"/>
              <w:spacing w:line="360" w:lineRule="exact"/>
              <w:rPr>
                <w:rFonts w:hint="eastAsia" w:ascii="宋体" w:hAnsi="宋体"/>
                <w:szCs w:val="21"/>
                <w:lang w:eastAsia="zh-CN"/>
              </w:rPr>
            </w:pPr>
            <w:r>
              <w:rPr>
                <w:rFonts w:hint="eastAsia" w:ascii="宋体" w:hAnsi="宋体"/>
                <w:szCs w:val="21"/>
                <w:lang w:val="en-US" w:eastAsia="zh-CN"/>
              </w:rPr>
              <w:t>1.</w:t>
            </w:r>
            <w:r>
              <w:rPr>
                <w:rFonts w:hint="default" w:ascii="宋体" w:hAnsi="宋体"/>
                <w:szCs w:val="21"/>
                <w:lang w:val="en-US" w:eastAsia="zh-CN"/>
              </w:rPr>
              <w:t>要求中标</w:t>
            </w:r>
            <w:r>
              <w:rPr>
                <w:rFonts w:hint="eastAsia" w:ascii="宋体" w:hAnsi="宋体"/>
                <w:szCs w:val="21"/>
              </w:rPr>
              <w:t>人</w:t>
            </w:r>
            <w:r>
              <w:rPr>
                <w:rFonts w:hint="eastAsia" w:ascii="宋体" w:hAnsi="宋体"/>
                <w:szCs w:val="21"/>
                <w:lang w:val="en-US" w:eastAsia="zh-CN"/>
              </w:rPr>
              <w:t>具</w:t>
            </w:r>
            <w:r>
              <w:rPr>
                <w:rFonts w:hint="eastAsia" w:ascii="宋体" w:hAnsi="宋体" w:eastAsia="宋体" w:cs="Times New Roman"/>
                <w:szCs w:val="21"/>
                <w:lang w:val="en-US" w:eastAsia="zh-CN"/>
              </w:rPr>
              <w:t>有有效期内的ISO9001质量管理体系认证</w:t>
            </w:r>
            <w:r>
              <w:rPr>
                <w:rFonts w:hint="eastAsia" w:ascii="宋体" w:hAnsi="宋体" w:cs="Times New Roman"/>
                <w:szCs w:val="21"/>
                <w:lang w:val="en-US" w:eastAsia="zh-CN"/>
              </w:rPr>
              <w:t>证书</w:t>
            </w:r>
            <w:r>
              <w:rPr>
                <w:rFonts w:hint="eastAsia" w:ascii="宋体" w:hAnsi="宋体" w:eastAsia="宋体" w:cs="Times New Roman"/>
                <w:szCs w:val="21"/>
                <w:lang w:val="en-US" w:eastAsia="zh-CN"/>
              </w:rPr>
              <w:t>、GB/T23793-2017供应商综合实力评价认证证书、ISO 37301:2021 合规管理体系认证证书</w:t>
            </w:r>
            <w:r>
              <w:rPr>
                <w:rFonts w:hint="eastAsia" w:ascii="宋体" w:hAnsi="宋体"/>
                <w:szCs w:val="21"/>
              </w:rPr>
              <w:t>（</w:t>
            </w:r>
            <w:r>
              <w:rPr>
                <w:rFonts w:hint="eastAsia" w:ascii="宋体" w:hAnsi="宋体"/>
                <w:szCs w:val="21"/>
                <w:lang w:val="en-US" w:eastAsia="zh-CN"/>
              </w:rPr>
              <w:t>须在</w:t>
            </w:r>
            <w:r>
              <w:rPr>
                <w:rFonts w:hint="eastAsia" w:ascii="宋体" w:hAnsi="宋体"/>
                <w:szCs w:val="21"/>
              </w:rPr>
              <w:t>中标</w:t>
            </w:r>
            <w:r>
              <w:rPr>
                <w:rFonts w:hint="default" w:ascii="宋体" w:hAnsi="宋体"/>
                <w:szCs w:val="21"/>
                <w:lang w:val="en-US" w:eastAsia="zh-CN"/>
              </w:rPr>
              <w:t>结果公示之日起</w:t>
            </w:r>
            <w:r>
              <w:rPr>
                <w:rFonts w:hint="eastAsia" w:ascii="宋体" w:hAnsi="宋体"/>
                <w:szCs w:val="21"/>
                <w:lang w:val="en-US" w:eastAsia="zh-CN"/>
              </w:rPr>
              <w:t>3</w:t>
            </w:r>
            <w:r>
              <w:rPr>
                <w:rFonts w:hint="default" w:ascii="宋体" w:hAnsi="宋体"/>
                <w:szCs w:val="21"/>
                <w:lang w:val="en-US" w:eastAsia="zh-CN"/>
              </w:rPr>
              <w:t>个日历日内</w:t>
            </w:r>
            <w:r>
              <w:rPr>
                <w:rFonts w:hint="eastAsia" w:ascii="宋体" w:hAnsi="宋体"/>
                <w:szCs w:val="21"/>
              </w:rPr>
              <w:t>提供有效证书复印件，</w:t>
            </w:r>
            <w:r>
              <w:rPr>
                <w:rFonts w:hint="eastAsia" w:ascii="宋体" w:hAnsi="宋体"/>
                <w:szCs w:val="21"/>
                <w:lang w:val="en-US" w:eastAsia="zh-CN"/>
              </w:rPr>
              <w:t>且提供</w:t>
            </w:r>
            <w:r>
              <w:rPr>
                <w:rFonts w:hint="eastAsia" w:ascii="宋体" w:hAnsi="宋体" w:eastAsia="宋体" w:cs="宋体"/>
                <w:szCs w:val="21"/>
              </w:rPr>
              <w:t>在“全国认证认可信息公共服务平台”（http://cx.cnca.cn/）的认证体系统查询结果截图（证书状态必须为“有效”）</w:t>
            </w:r>
            <w:r>
              <w:rPr>
                <w:rFonts w:hint="eastAsia" w:ascii="宋体" w:hAnsi="宋体" w:cs="宋体"/>
                <w:szCs w:val="21"/>
                <w:lang w:eastAsia="zh-CN"/>
              </w:rPr>
              <w:t>，</w:t>
            </w:r>
            <w:r>
              <w:rPr>
                <w:rFonts w:hint="eastAsia" w:ascii="宋体" w:hAnsi="宋体" w:cs="宋体"/>
                <w:szCs w:val="21"/>
                <w:lang w:val="en-US" w:eastAsia="zh-CN"/>
              </w:rPr>
              <w:t>否则</w:t>
            </w:r>
            <w:r>
              <w:rPr>
                <w:rFonts w:hint="eastAsia" w:ascii="宋体" w:hAnsi="宋体"/>
                <w:szCs w:val="21"/>
              </w:rPr>
              <w:t>视为虚假应标，采购人有权进行废标处理并追究该投标人相关法律责任）</w:t>
            </w:r>
            <w:r>
              <w:rPr>
                <w:rFonts w:hint="eastAsia" w:ascii="宋体" w:hAnsi="宋体"/>
                <w:szCs w:val="21"/>
                <w:lang w:eastAsia="zh-CN"/>
              </w:rPr>
              <w:t>。</w:t>
            </w:r>
          </w:p>
          <w:p>
            <w:pPr>
              <w:pStyle w:val="2"/>
              <w:spacing w:line="360" w:lineRule="exact"/>
              <w:rPr>
                <w:rFonts w:hint="eastAsia" w:ascii="宋体" w:hAnsi="宋体"/>
                <w:szCs w:val="21"/>
              </w:rPr>
            </w:pPr>
            <w:r>
              <w:rPr>
                <w:rFonts w:hint="eastAsia" w:ascii="宋体" w:hAnsi="宋体"/>
                <w:szCs w:val="21"/>
                <w:lang w:val="en-US" w:eastAsia="zh-CN"/>
              </w:rPr>
              <w:t>2</w:t>
            </w:r>
            <w:bookmarkStart w:id="0" w:name="_GoBack"/>
            <w:bookmarkEnd w:id="0"/>
            <w:r>
              <w:rPr>
                <w:rFonts w:hint="eastAsia" w:ascii="宋体" w:hAnsi="宋体"/>
                <w:szCs w:val="21"/>
                <w:lang w:val="en-US" w:eastAsia="zh-CN"/>
              </w:rPr>
              <w:t>.须</w:t>
            </w:r>
            <w:r>
              <w:rPr>
                <w:rFonts w:hint="eastAsia" w:ascii="宋体" w:hAnsi="宋体"/>
                <w:szCs w:val="21"/>
              </w:rPr>
              <w:t>免费现场培训技术员1名以上，保证熟练掌握全部功能为止。</w:t>
            </w:r>
          </w:p>
          <w:p>
            <w:pPr>
              <w:pStyle w:val="2"/>
              <w:spacing w:line="360" w:lineRule="exact"/>
              <w:rPr>
                <w:rFonts w:hint="eastAsia" w:ascii="宋体" w:hAnsi="宋体"/>
                <w:szCs w:val="21"/>
              </w:rPr>
            </w:pPr>
            <w:r>
              <w:rPr>
                <w:rFonts w:hint="eastAsia" w:ascii="宋体" w:hAnsi="宋体"/>
                <w:szCs w:val="21"/>
                <w:lang w:eastAsia="zh-CN"/>
              </w:rPr>
              <w:t>七</w:t>
            </w:r>
            <w:r>
              <w:rPr>
                <w:rFonts w:hint="eastAsia" w:ascii="宋体" w:hAnsi="宋体"/>
                <w:szCs w:val="21"/>
              </w:rPr>
              <w:t>、其他要求：</w:t>
            </w:r>
          </w:p>
          <w:p>
            <w:pPr>
              <w:pStyle w:val="2"/>
              <w:spacing w:line="360" w:lineRule="exact"/>
              <w:rPr>
                <w:rFonts w:hint="eastAsia" w:ascii="宋体" w:hAnsi="宋体"/>
                <w:szCs w:val="21"/>
              </w:rPr>
            </w:pPr>
            <w:r>
              <w:rPr>
                <w:rFonts w:hint="eastAsia" w:ascii="宋体" w:hAnsi="宋体"/>
                <w:szCs w:val="21"/>
              </w:rPr>
              <w:t>1、报价必须含以下部分，包括：</w:t>
            </w:r>
          </w:p>
          <w:p>
            <w:pPr>
              <w:pStyle w:val="2"/>
              <w:spacing w:line="360" w:lineRule="exact"/>
              <w:rPr>
                <w:rFonts w:hint="eastAsia" w:ascii="宋体" w:hAnsi="宋体"/>
                <w:szCs w:val="21"/>
              </w:rPr>
            </w:pPr>
            <w:r>
              <w:rPr>
                <w:rFonts w:hint="eastAsia" w:ascii="宋体" w:hAnsi="宋体"/>
                <w:szCs w:val="21"/>
              </w:rPr>
              <w:t>（1）租用服务的价格；</w:t>
            </w:r>
          </w:p>
          <w:p>
            <w:pPr>
              <w:pStyle w:val="2"/>
              <w:spacing w:line="360" w:lineRule="exact"/>
              <w:rPr>
                <w:rFonts w:hint="eastAsia" w:ascii="宋体" w:hAnsi="宋体"/>
                <w:szCs w:val="21"/>
              </w:rPr>
            </w:pPr>
            <w:r>
              <w:rPr>
                <w:rFonts w:hint="eastAsia" w:ascii="宋体" w:hAnsi="宋体"/>
                <w:szCs w:val="21"/>
              </w:rPr>
              <w:t>（2）必要的保险费用和各项税金；</w:t>
            </w:r>
          </w:p>
          <w:p>
            <w:pPr>
              <w:pStyle w:val="2"/>
              <w:spacing w:line="360" w:lineRule="exact"/>
              <w:rPr>
                <w:rFonts w:hint="eastAsia" w:ascii="宋体" w:hAnsi="宋体"/>
                <w:szCs w:val="21"/>
              </w:rPr>
            </w:pPr>
            <w:r>
              <w:rPr>
                <w:rFonts w:hint="eastAsia" w:ascii="宋体" w:hAnsi="宋体"/>
                <w:szCs w:val="21"/>
              </w:rPr>
              <w:t>（3）其他：运输、装卸、安装、迁移、调试、培训、技术支持、售后服务、更新升级等费用。</w:t>
            </w:r>
          </w:p>
          <w:p>
            <w:pPr>
              <w:pStyle w:val="2"/>
              <w:spacing w:line="360" w:lineRule="exact"/>
              <w:rPr>
                <w:rFonts w:ascii="宋体" w:hAnsi="宋体"/>
                <w:color w:val="FF0000"/>
                <w:szCs w:val="21"/>
              </w:rPr>
            </w:pPr>
            <w:r>
              <w:rPr>
                <w:rFonts w:hint="eastAsia" w:ascii="宋体" w:hAnsi="宋体"/>
                <w:b/>
                <w:bCs/>
                <w:color w:val="auto"/>
                <w:szCs w:val="21"/>
              </w:rPr>
              <w:t>2、付款方式：本项目无预付款，成交供应商所提交的服务经采购人书面验收合格后，采购人先行支付50%合同款，余下50%合同款自验收合格之日起满1年支付。</w:t>
            </w:r>
          </w:p>
        </w:tc>
      </w:tr>
    </w:tbl>
    <w:p>
      <w:pPr>
        <w:pStyle w:val="4"/>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响应附件要求：</w:t>
      </w:r>
    </w:p>
    <w:p>
      <w:pPr>
        <w:pStyle w:val="4"/>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1.供应商为法人或者其他组织的提供其营业执照等证明文件（如营业执照或者事业单位法人证书或者执业许可证等），供应商为自然人的提供其身份证复印件；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2.供应商依法缴纳税收的相关材料：[</w:t>
      </w:r>
      <w:r>
        <w:rPr>
          <w:rFonts w:hint="eastAsia" w:ascii="仿宋" w:hAnsi="仿宋" w:eastAsia="仿宋" w:cs="仿宋"/>
          <w:color w:val="auto"/>
          <w:sz w:val="32"/>
          <w:szCs w:val="32"/>
          <w:u w:val="single"/>
          <w:lang w:val="en-US" w:eastAsia="zh-CN"/>
        </w:rPr>
        <w:t>2024</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lang w:val="en-US" w:eastAsia="zh-CN"/>
        </w:rPr>
        <w:t>12</w:t>
      </w:r>
      <w:r>
        <w:rPr>
          <w:rFonts w:hint="eastAsia" w:ascii="仿宋" w:hAnsi="仿宋" w:eastAsia="仿宋" w:cs="仿宋"/>
          <w:color w:val="auto"/>
          <w:sz w:val="32"/>
          <w:szCs w:val="32"/>
        </w:rPr>
        <w:t>月至</w:t>
      </w:r>
      <w:r>
        <w:rPr>
          <w:rFonts w:hint="eastAsia" w:ascii="仿宋" w:hAnsi="仿宋" w:eastAsia="仿宋" w:cs="仿宋"/>
          <w:color w:val="auto"/>
          <w:sz w:val="32"/>
          <w:szCs w:val="32"/>
          <w:u w:val="single"/>
          <w:lang w:val="en-US" w:eastAsia="zh-CN"/>
        </w:rPr>
        <w:t>2025</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lang w:val="en-US" w:eastAsia="zh-CN"/>
        </w:rPr>
        <w:t>05</w:t>
      </w:r>
      <w:r>
        <w:rPr>
          <w:rFonts w:hint="eastAsia" w:ascii="仿宋" w:hAnsi="仿宋" w:eastAsia="仿宋" w:cs="仿宋"/>
          <w:color w:val="auto"/>
          <w:sz w:val="32"/>
          <w:szCs w:val="32"/>
        </w:rPr>
        <w:t>月]连续</w:t>
      </w:r>
      <w:r>
        <w:rPr>
          <w:rFonts w:hint="eastAsia" w:ascii="仿宋" w:hAnsi="仿宋" w:eastAsia="仿宋" w:cs="仿宋"/>
          <w:color w:val="auto"/>
          <w:sz w:val="32"/>
          <w:szCs w:val="32"/>
          <w:u w:val="single"/>
          <w:lang w:eastAsia="zh-CN"/>
        </w:rPr>
        <w:t>三</w:t>
      </w:r>
      <w:r>
        <w:rPr>
          <w:rFonts w:hint="eastAsia" w:ascii="仿宋" w:hAnsi="仿宋" w:eastAsia="仿宋" w:cs="仿宋"/>
          <w:color w:val="auto"/>
          <w:sz w:val="32"/>
          <w:szCs w:val="32"/>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3.供应商依法缴纳社会保障资金的相关材料：[</w:t>
      </w:r>
      <w:r>
        <w:rPr>
          <w:rFonts w:hint="eastAsia" w:ascii="仿宋" w:hAnsi="仿宋" w:eastAsia="仿宋" w:cs="仿宋"/>
          <w:color w:val="auto"/>
          <w:sz w:val="32"/>
          <w:szCs w:val="32"/>
          <w:u w:val="single"/>
          <w:lang w:val="en-US" w:eastAsia="zh-CN"/>
        </w:rPr>
        <w:t>2024</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lang w:val="en-US" w:eastAsia="zh-CN"/>
        </w:rPr>
        <w:t>12</w:t>
      </w:r>
      <w:r>
        <w:rPr>
          <w:rFonts w:hint="eastAsia" w:ascii="仿宋" w:hAnsi="仿宋" w:eastAsia="仿宋" w:cs="仿宋"/>
          <w:color w:val="auto"/>
          <w:sz w:val="32"/>
          <w:szCs w:val="32"/>
        </w:rPr>
        <w:t>月至</w:t>
      </w:r>
      <w:r>
        <w:rPr>
          <w:rFonts w:hint="eastAsia" w:ascii="仿宋" w:hAnsi="仿宋" w:eastAsia="仿宋" w:cs="仿宋"/>
          <w:color w:val="auto"/>
          <w:sz w:val="32"/>
          <w:szCs w:val="32"/>
          <w:u w:val="single"/>
          <w:lang w:val="en-US" w:eastAsia="zh-CN"/>
        </w:rPr>
        <w:t>2025</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lang w:val="en-US" w:eastAsia="zh-CN"/>
        </w:rPr>
        <w:t>05</w:t>
      </w:r>
      <w:r>
        <w:rPr>
          <w:rFonts w:hint="eastAsia" w:ascii="仿宋" w:hAnsi="仿宋" w:eastAsia="仿宋" w:cs="仿宋"/>
          <w:color w:val="auto"/>
          <w:sz w:val="32"/>
          <w:szCs w:val="32"/>
        </w:rPr>
        <w:t>月]连续</w:t>
      </w:r>
      <w:r>
        <w:rPr>
          <w:rFonts w:hint="eastAsia" w:ascii="仿宋" w:hAnsi="仿宋" w:eastAsia="仿宋" w:cs="仿宋"/>
          <w:color w:val="auto"/>
          <w:sz w:val="32"/>
          <w:szCs w:val="32"/>
          <w:u w:val="single"/>
          <w:lang w:eastAsia="zh-CN"/>
        </w:rPr>
        <w:t>三</w:t>
      </w:r>
      <w:r>
        <w:rPr>
          <w:rFonts w:hint="eastAsia" w:ascii="仿宋" w:hAnsi="仿宋" w:eastAsia="仿宋" w:cs="仿宋"/>
          <w:color w:val="auto"/>
          <w:sz w:val="32"/>
          <w:szCs w:val="32"/>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4.供应商财务状况报告：[</w:t>
      </w:r>
      <w:r>
        <w:rPr>
          <w:rFonts w:hint="eastAsia" w:ascii="仿宋" w:hAnsi="仿宋" w:eastAsia="仿宋" w:cs="仿宋"/>
          <w:color w:val="auto"/>
          <w:sz w:val="32"/>
          <w:szCs w:val="32"/>
          <w:u w:val="single"/>
        </w:rPr>
        <w:t xml:space="preserve">  202</w:t>
      </w:r>
      <w:r>
        <w:rPr>
          <w:rFonts w:hint="eastAsia" w:ascii="仿宋" w:hAnsi="仿宋" w:eastAsia="仿宋" w:cs="仿宋"/>
          <w:color w:val="auto"/>
          <w:sz w:val="32"/>
          <w:szCs w:val="32"/>
          <w:u w:val="single"/>
          <w:lang w:val="en-US" w:eastAsia="zh-CN"/>
        </w:rPr>
        <w:t>3</w:t>
      </w:r>
      <w:r>
        <w:rPr>
          <w:rFonts w:hint="eastAsia" w:ascii="仿宋" w:hAnsi="仿宋" w:eastAsia="仿宋" w:cs="仿宋"/>
          <w:color w:val="auto"/>
          <w:sz w:val="32"/>
          <w:szCs w:val="32"/>
          <w:u w:val="single"/>
        </w:rPr>
        <w:t>或202</w:t>
      </w:r>
      <w:r>
        <w:rPr>
          <w:rFonts w:hint="eastAsia" w:ascii="仿宋" w:hAnsi="仿宋" w:eastAsia="仿宋" w:cs="仿宋"/>
          <w:color w:val="auto"/>
          <w:sz w:val="32"/>
          <w:szCs w:val="32"/>
          <w:u w:val="single"/>
          <w:lang w:val="en-US" w:eastAsia="zh-CN"/>
        </w:rPr>
        <w:t>4</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5.供应商直接控股、管理关系信息表；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6.资格声明；</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法定代表人身份证明及法定代表人有效身份证正反面复印件</w:t>
      </w:r>
      <w:r>
        <w:rPr>
          <w:rFonts w:hint="eastAsia" w:ascii="仿宋" w:hAnsi="仿宋" w:eastAsia="仿宋" w:cs="仿宋"/>
          <w:color w:val="auto"/>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技术偏离表</w:t>
      </w:r>
      <w:r>
        <w:rPr>
          <w:rFonts w:hint="eastAsia" w:ascii="仿宋" w:hAnsi="仿宋" w:eastAsia="仿宋" w:cs="仿宋"/>
          <w:color w:val="auto"/>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商务偏离表</w:t>
      </w:r>
      <w:r>
        <w:rPr>
          <w:rFonts w:hint="eastAsia" w:ascii="仿宋" w:hAnsi="仿宋" w:eastAsia="仿宋" w:cs="仿宋"/>
          <w:color w:val="auto"/>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 w:hAnsi="仿宋" w:eastAsia="仿宋" w:cs="仿宋"/>
          <w:color w:val="auto"/>
          <w:sz w:val="32"/>
          <w:szCs w:val="32"/>
          <w:lang w:eastAsia="zh-CN"/>
        </w:rPr>
      </w:pPr>
      <w:r>
        <w:rPr>
          <w:rFonts w:hint="eastAsia" w:ascii="仿宋" w:hAnsi="仿宋" w:eastAsia="仿宋" w:cs="仿宋"/>
          <w:b/>
          <w:color w:val="auto"/>
          <w:sz w:val="32"/>
          <w:szCs w:val="32"/>
        </w:rPr>
        <w:t>注：以上必须提供</w:t>
      </w:r>
      <w:r>
        <w:rPr>
          <w:rFonts w:hint="eastAsia" w:ascii="仿宋" w:hAnsi="仿宋" w:eastAsia="仿宋" w:cs="仿宋"/>
          <w:b/>
          <w:color w:val="auto"/>
          <w:sz w:val="32"/>
          <w:szCs w:val="32"/>
          <w:lang w:eastAsia="zh-CN"/>
        </w:rPr>
        <w:t>，</w:t>
      </w:r>
      <w:r>
        <w:rPr>
          <w:rFonts w:hint="eastAsia" w:ascii="仿宋" w:hAnsi="仿宋" w:eastAsia="仿宋" w:cs="仿宋"/>
          <w:b/>
          <w:color w:val="auto"/>
          <w:sz w:val="32"/>
          <w:szCs w:val="32"/>
        </w:rPr>
        <w:t>材料属于复印件的扫描件的，必须加盖供应商公章，否则响应文件按无效响应处理。</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color w:val="FF0000"/>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strike/>
          <w:dstrike w:val="0"/>
          <w:color w:val="FF0000"/>
          <w:sz w:val="24"/>
          <w:szCs w:val="24"/>
          <w:lang w:eastAsia="zh-CN"/>
        </w:rPr>
      </w:pPr>
    </w:p>
    <w:p>
      <w:pPr>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_GBK">
    <w:altName w:val="Arial Unicode MS"/>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C52CA"/>
    <w:rsid w:val="0005487E"/>
    <w:rsid w:val="00093B3C"/>
    <w:rsid w:val="002C52CA"/>
    <w:rsid w:val="002D1C5C"/>
    <w:rsid w:val="002F1091"/>
    <w:rsid w:val="004B0FE2"/>
    <w:rsid w:val="00584125"/>
    <w:rsid w:val="00970588"/>
    <w:rsid w:val="00A328D5"/>
    <w:rsid w:val="00AA2202"/>
    <w:rsid w:val="00C8598A"/>
    <w:rsid w:val="00C859C6"/>
    <w:rsid w:val="00F07D8C"/>
    <w:rsid w:val="0F4C36C2"/>
    <w:rsid w:val="126F294F"/>
    <w:rsid w:val="1340403C"/>
    <w:rsid w:val="1A25120A"/>
    <w:rsid w:val="1A3B555D"/>
    <w:rsid w:val="1D307A5D"/>
    <w:rsid w:val="25086AD9"/>
    <w:rsid w:val="2F544F90"/>
    <w:rsid w:val="43E37209"/>
    <w:rsid w:val="47146532"/>
    <w:rsid w:val="4ACF7478"/>
    <w:rsid w:val="4F767FBF"/>
    <w:rsid w:val="533E6A0E"/>
    <w:rsid w:val="546407E9"/>
    <w:rsid w:val="57853398"/>
    <w:rsid w:val="6109200A"/>
    <w:rsid w:val="65A90B99"/>
    <w:rsid w:val="6974482D"/>
    <w:rsid w:val="6C89658F"/>
    <w:rsid w:val="72180C19"/>
    <w:rsid w:val="72516841"/>
    <w:rsid w:val="753F5CA3"/>
    <w:rsid w:val="7EC64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Courier New"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lang w:val="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4">
    <w:name w:val="annotation text"/>
    <w:basedOn w:val="1"/>
    <w:qFormat/>
    <w:uiPriority w:val="0"/>
    <w:pPr>
      <w:jc w:val="left"/>
    </w:pPr>
  </w:style>
  <w:style w:type="paragraph" w:styleId="5">
    <w:name w:val="Body Text Indent"/>
    <w:basedOn w:val="1"/>
    <w:next w:val="6"/>
    <w:qFormat/>
    <w:uiPriority w:val="0"/>
    <w:pPr>
      <w:ind w:firstLine="830" w:firstLineChars="352"/>
    </w:pPr>
    <w:rPr>
      <w:rFonts w:ascii="仿宋_GB2312" w:eastAsia="仿宋_GB2312"/>
      <w:kern w:val="0"/>
      <w:sz w:val="32"/>
      <w:szCs w:val="20"/>
    </w:rPr>
  </w:style>
  <w:style w:type="paragraph" w:customStyle="1" w:styleId="6">
    <w:name w:val="正文 A"/>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2358</Words>
  <Characters>2519</Characters>
  <Lines>2</Lines>
  <Paragraphs>1</Paragraphs>
  <TotalTime>2</TotalTime>
  <ScaleCrop>false</ScaleCrop>
  <LinksUpToDate>false</LinksUpToDate>
  <CharactersWithSpaces>2529</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2021-07-23T08:55:00Z</dcterms:created>
  <dc:creator>NTKO</dc:creator>
  <cp:lastModifiedBy>sulin3@gx.cmcc</cp:lastModifiedBy>
  <cp:lastPrinted>2025-06-06T08:49:00Z</cp:lastPrinted>
  <dcterms:modified xsi:type="dcterms:W3CDTF">2025-06-19T09:21:04Z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614546980C694B9CB0E11722FE9BDE3B</vt:lpwstr>
  </property>
  <property fmtid="{D5CDD505-2E9C-101B-9397-08002B2CF9AE}" pid="4" name="KSOTemplateDocerSaveRecord">
    <vt:lpwstr>eyJoZGlkIjoiM2Y2OTIxNGI4M2VkOTFjZDljMDYwYjJjYzY3NjkwMzgiLCJ1c2VySWQiOiI0NzA3MTIxMDcifQ==</vt:lpwstr>
  </property>
</Properties>
</file>