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6151E">
      <w:pPr>
        <w:pStyle w:val="9"/>
        <w:widowControl/>
        <w:numPr>
          <w:ilvl w:val="0"/>
          <w:numId w:val="0"/>
        </w:numPr>
        <w:shd w:val="clear" w:color="auto" w:fill="FFFFFF"/>
        <w:spacing w:before="0" w:beforeAutospacing="0" w:after="90" w:afterAutospacing="0" w:line="18" w:lineRule="atLeast"/>
        <w:ind w:firstLine="1762" w:firstLineChars="400"/>
        <w:rPr>
          <w:rFonts w:hint="eastAsia" w:ascii="方正公文小标宋" w:hAnsi="方正公文小标宋" w:eastAsia="方正公文小标宋" w:cs="方正公文小标宋"/>
          <w:b/>
          <w:bCs/>
          <w:sz w:val="44"/>
          <w:szCs w:val="44"/>
          <w:lang w:val="en-US" w:eastAsia="zh-CN"/>
        </w:rPr>
      </w:pPr>
      <w:bookmarkStart w:id="0" w:name="_Toc1609"/>
      <w:bookmarkStart w:id="1" w:name="_Toc17081"/>
      <w:r>
        <w:rPr>
          <w:rFonts w:hint="eastAsia" w:ascii="方正公文小标宋" w:hAnsi="方正公文小标宋" w:eastAsia="方正公文小标宋" w:cs="方正公文小标宋"/>
          <w:b/>
          <w:bCs/>
          <w:sz w:val="44"/>
          <w:szCs w:val="44"/>
          <w:lang w:val="en-US" w:eastAsia="zh-CN"/>
        </w:rPr>
        <w:t>吊塔的技术参数及功能要求</w:t>
      </w:r>
    </w:p>
    <w:p w14:paraId="08713EC1">
      <w:pPr>
        <w:pStyle w:val="9"/>
        <w:widowControl/>
        <w:numPr>
          <w:ilvl w:val="0"/>
          <w:numId w:val="0"/>
        </w:numPr>
        <w:shd w:val="clear" w:color="auto" w:fill="FFFFFF"/>
        <w:spacing w:before="0" w:beforeAutospacing="0" w:after="90" w:afterAutospacing="0" w:line="18" w:lineRule="atLeast"/>
        <w:ind w:firstLine="562" w:firstLineChars="20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一、技术参数</w:t>
      </w:r>
    </w:p>
    <w:bookmarkEnd w:id="0"/>
    <w:bookmarkEnd w:id="1"/>
    <w:p w14:paraId="716BCD5A">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吊塔主体材料要求为6005-T6高强度铝合金，方形全封闭式一体化设计（非模块化拼接），吊塔所采用的材料必须防腐蚀，便于清洗，设备表面喷塑采用优质环保抗菌粉末，其具有表面抑制细菌再生作用。（提供检测报告文件）</w:t>
      </w:r>
    </w:p>
    <w:p w14:paraId="76CCEAC2">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（二）吊塔外壳涂膜附着力参照ISO2409-2013测试方法，附着力达到等级至少为0（提供检测报告文件）</w:t>
      </w:r>
    </w:p>
    <w:p w14:paraId="457259EE">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（三）▲吊塔外壳在中性盐雾试验中，测试方法参照ISO9227:2017标准，外观评价参照ISO10289-1999，评价等级至少为10。（提供检测报告文件）</w:t>
      </w:r>
    </w:p>
    <w:p w14:paraId="2CF3C8FA">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（四）悬臂、终端箱转动范围≥345°，且具有良好的限位系统； </w:t>
      </w:r>
    </w:p>
    <w:p w14:paraId="7D0AEBB3">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（五）所有吊塔上承载的设备的电源线路及气源管路和塔体之间没有相对移动，所有电源线路及气源管路必须在塔体内不能外露，保证吊塔在移动过程中，不会因位置的改变导致线路脱落的意外发生。</w:t>
      </w:r>
    </w:p>
    <w:p w14:paraId="30F4B4A1">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（六）所有吊塔均须配有良好的机械刹车系统，保证吊塔不产生漂移。</w:t>
      </w:r>
    </w:p>
    <w:p w14:paraId="25B5DCEA">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（七）▲吊塔柱体采用一体化设计，非模块拼接设计，便于清洁和护理，托盘必须为铝合金材质，一体成型，纯平设计，表面无螺钉； </w:t>
      </w:r>
    </w:p>
    <w:p w14:paraId="10094085">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（八）抽屉，采用抽拉式，且自带吸合功能； </w:t>
      </w:r>
    </w:p>
    <w:p w14:paraId="2765F7D2">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（九）吊塔的外壳防火等级至少为UL94-V0级，外壳防护等级至少为IP30。</w:t>
      </w:r>
    </w:p>
    <w:p w14:paraId="5E2888F1">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（十）依据ISO 11197 201.11.2.2.101要求，底板具有开孔，在模拟氧气泄露流量为1L/min时，腔体内部的氧气浓度不超过25%。 </w:t>
      </w:r>
    </w:p>
    <w:p w14:paraId="77A54ABC">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（十一）▲吊塔的最大宣称承重为 300kg，具备4倍安全承重系数，即1200kg。(提供第三方检测报告)</w:t>
      </w:r>
    </w:p>
    <w:p w14:paraId="109885A5">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（十二）▲标配六面体吊柱，六面体吊柱的前后两侧共有四条导轨，均可挂接延伸臂、托盘抽屉、显示器支臂等多种附件，满足复杂的临床需求。</w:t>
      </w:r>
    </w:p>
    <w:p w14:paraId="5A2E7E4A">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（十三）气体终端可满足5万次插拔； </w:t>
      </w:r>
    </w:p>
    <w:p w14:paraId="1D0E7318">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（十四）▲基础架平缓施加荷载至8000N.m的试验扭矩，法兰盘水平偏角≤0.4°（提供检测报告文件）</w:t>
      </w:r>
    </w:p>
    <w:p w14:paraId="48BB62D5">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（十五）吊塔承载部件经承受2倍额定安全载荷后，应无永久性的损坏，且相对负载表面的偏移应≤10º。</w:t>
      </w:r>
    </w:p>
    <w:p w14:paraId="45B702A0">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（十六）要求所有气体插座和接头为标准制式。各种气体插座均为不同颜色和不同形状，防止误操作，具有Standby (原位待接通状态)功能，可带气维修。</w:t>
      </w:r>
    </w:p>
    <w:p w14:paraId="4E16C487">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（十七）吊塔的负压吸引系统应能承受500kPa的气压试验，不得出现明显漏气或破裂现象。</w:t>
      </w:r>
    </w:p>
    <w:p w14:paraId="12D4E710">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（十八）▲吊塔内部的医用气体管道系统的气密性应能在承受500（±100）kPa的气压，5min后，压降≤1%。(提供第三方检测报告)</w:t>
      </w:r>
    </w:p>
    <w:p w14:paraId="2B1C0F0E">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（十九）吊塔在工作过程中噪声≤30db。 (提供第三方检测报告)</w:t>
      </w:r>
    </w:p>
    <w:p w14:paraId="16095FE3">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（二十）吊塔表面粉末涂层厚度≥70微米</w:t>
      </w:r>
    </w:p>
    <w:p w14:paraId="48EC0CB6">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（二十一）安装预埋基础架采用螺栓固定法拼接，非焊接设计，防止现场漏焊以及焊接引发安全隐患。（提供安装实物照片）</w:t>
      </w:r>
    </w:p>
    <w:p w14:paraId="1C600019">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（二十二）吊塔额定负载下，终端箱倾斜角度应≤0.7°。</w:t>
      </w:r>
    </w:p>
    <w:p w14:paraId="2583C481">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（二十三）吊塔中用于氧化性医用气体、麻醉气体净化系统的终端中心，距离在正常工作状态或单一故障状态下可能产生火花的最近电器元件的边框应≥0.2m。 </w:t>
      </w:r>
    </w:p>
    <w:p w14:paraId="33F64656">
      <w:pPr>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二、机械双臂吊塔配置要求：</w:t>
      </w:r>
    </w:p>
    <w:p w14:paraId="20BFF08C">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（一）吊柱式，气电箱长度≥800mm</w:t>
      </w:r>
    </w:p>
    <w:p w14:paraId="01814F38">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（二）气电箱旋转角度≥340°</w:t>
      </w:r>
    </w:p>
    <w:p w14:paraId="1198755B">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（三）机械双臂，旋转半径总长≥1500mm，</w:t>
      </w:r>
    </w:p>
    <w:p w14:paraId="3FBEEFB7">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（四）附件配置：国标气体插座（氧气≥2个，空气≥2个，负压吸引≥2个，麻醉废气≥1个），并包含所有插头，具体可根据需求进行调整。</w:t>
      </w:r>
    </w:p>
    <w:p w14:paraId="4E73E0F9">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（五）10A五孔电源插座≥12个</w:t>
      </w:r>
    </w:p>
    <w:p w14:paraId="16404F4F">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（六）网络接口≥ 2个</w:t>
      </w:r>
    </w:p>
    <w:p w14:paraId="5B5C3BC4">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（七）等电位柱≥2个</w:t>
      </w:r>
    </w:p>
    <w:p w14:paraId="3B93F7EA">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（八）仪器承载托盘≥3个，托盘尺寸530mm*480mm,其中一个带抽屉。</w:t>
      </w:r>
    </w:p>
    <w:p w14:paraId="3E991FD8">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（九）集线器≥2个</w:t>
      </w:r>
    </w:p>
    <w:p w14:paraId="224919CB">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（十）▲输液架≥1个，承重≥35Kg</w:t>
      </w:r>
      <w:bookmarkStart w:id="2" w:name="_GoBack"/>
      <w:bookmarkEnd w:id="2"/>
    </w:p>
    <w:sectPr>
      <w:headerReference r:id="rId3" w:type="default"/>
      <w:footerReference r:id="rId4" w:type="default"/>
      <w:pgSz w:w="11906" w:h="16838"/>
      <w:pgMar w:top="153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049529"/>
      <w:docPartObj>
        <w:docPartGallery w:val="autotext"/>
      </w:docPartObj>
    </w:sdtPr>
    <w:sdtContent>
      <w:p w14:paraId="3E4A7407">
        <w:pPr>
          <w:pStyle w:val="5"/>
          <w:jc w:val="center"/>
        </w:pPr>
        <w:r>
          <w:fldChar w:fldCharType="begin"/>
        </w:r>
        <w:r>
          <w:instrText xml:space="preserve">PAGE   \* MERGEFORMAT</w:instrText>
        </w:r>
        <w:r>
          <w:fldChar w:fldCharType="separate"/>
        </w:r>
        <w:r>
          <w:rPr>
            <w:lang w:val="zh-CN"/>
          </w:rPr>
          <w:t>2</w:t>
        </w:r>
        <w:r>
          <w:fldChar w:fldCharType="end"/>
        </w:r>
      </w:p>
    </w:sdtContent>
  </w:sdt>
  <w:p w14:paraId="2B6BA2F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96AA">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1F5AC"/>
    <w:multiLevelType w:val="singleLevel"/>
    <w:tmpl w:val="3941F5AC"/>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0ZDY2ZWYwYmM3ZDlkNjEyNTY2M2RiMGIyY2Q4ODYifQ=="/>
  </w:docVars>
  <w:rsids>
    <w:rsidRoot w:val="00243399"/>
    <w:rsid w:val="000A128E"/>
    <w:rsid w:val="000E0E28"/>
    <w:rsid w:val="001621D8"/>
    <w:rsid w:val="0017748D"/>
    <w:rsid w:val="00243399"/>
    <w:rsid w:val="002668D2"/>
    <w:rsid w:val="003C528B"/>
    <w:rsid w:val="00594511"/>
    <w:rsid w:val="0061222B"/>
    <w:rsid w:val="006F7024"/>
    <w:rsid w:val="007E4B6F"/>
    <w:rsid w:val="00825628"/>
    <w:rsid w:val="008B30B2"/>
    <w:rsid w:val="008F1910"/>
    <w:rsid w:val="00954D60"/>
    <w:rsid w:val="00992D0F"/>
    <w:rsid w:val="009D0F37"/>
    <w:rsid w:val="009E1198"/>
    <w:rsid w:val="00A637C1"/>
    <w:rsid w:val="00B04BEA"/>
    <w:rsid w:val="00C67F73"/>
    <w:rsid w:val="00C85207"/>
    <w:rsid w:val="00CC409E"/>
    <w:rsid w:val="00D46B9C"/>
    <w:rsid w:val="00E221A9"/>
    <w:rsid w:val="00FB536A"/>
    <w:rsid w:val="01261457"/>
    <w:rsid w:val="01350AD8"/>
    <w:rsid w:val="01467761"/>
    <w:rsid w:val="016A5229"/>
    <w:rsid w:val="01A22C15"/>
    <w:rsid w:val="01EC20E2"/>
    <w:rsid w:val="03210DA0"/>
    <w:rsid w:val="03351867"/>
    <w:rsid w:val="03A21826"/>
    <w:rsid w:val="048C3708"/>
    <w:rsid w:val="04EE335F"/>
    <w:rsid w:val="04EE5CCC"/>
    <w:rsid w:val="052A076C"/>
    <w:rsid w:val="0652699D"/>
    <w:rsid w:val="068A254B"/>
    <w:rsid w:val="086C1887"/>
    <w:rsid w:val="09646A02"/>
    <w:rsid w:val="09F71624"/>
    <w:rsid w:val="0C683F01"/>
    <w:rsid w:val="0CFA60BF"/>
    <w:rsid w:val="0D330BC5"/>
    <w:rsid w:val="0E8D69FB"/>
    <w:rsid w:val="0F1F541B"/>
    <w:rsid w:val="0F7825AB"/>
    <w:rsid w:val="14700951"/>
    <w:rsid w:val="15F132FE"/>
    <w:rsid w:val="163A1EF7"/>
    <w:rsid w:val="16BC7B92"/>
    <w:rsid w:val="1A6D648E"/>
    <w:rsid w:val="20F87D04"/>
    <w:rsid w:val="21D342CD"/>
    <w:rsid w:val="220C05F5"/>
    <w:rsid w:val="22B929B3"/>
    <w:rsid w:val="25783EE0"/>
    <w:rsid w:val="27292D7B"/>
    <w:rsid w:val="27952750"/>
    <w:rsid w:val="28304227"/>
    <w:rsid w:val="28B60475"/>
    <w:rsid w:val="2A0239A1"/>
    <w:rsid w:val="2BA3340B"/>
    <w:rsid w:val="2BA47406"/>
    <w:rsid w:val="2C2C2326"/>
    <w:rsid w:val="2C733606"/>
    <w:rsid w:val="2D363BE9"/>
    <w:rsid w:val="2E6F6665"/>
    <w:rsid w:val="2F1115A4"/>
    <w:rsid w:val="2FD44032"/>
    <w:rsid w:val="2FE97AA2"/>
    <w:rsid w:val="317C04DD"/>
    <w:rsid w:val="31A237ED"/>
    <w:rsid w:val="322905F3"/>
    <w:rsid w:val="363311B6"/>
    <w:rsid w:val="36805440"/>
    <w:rsid w:val="369B7657"/>
    <w:rsid w:val="3AEC28F6"/>
    <w:rsid w:val="3B6B5501"/>
    <w:rsid w:val="3D363C36"/>
    <w:rsid w:val="3DC91FE6"/>
    <w:rsid w:val="3E5E3417"/>
    <w:rsid w:val="3F0D60C7"/>
    <w:rsid w:val="3F761887"/>
    <w:rsid w:val="42120980"/>
    <w:rsid w:val="421905AF"/>
    <w:rsid w:val="45D61765"/>
    <w:rsid w:val="46747812"/>
    <w:rsid w:val="46CA5744"/>
    <w:rsid w:val="497A75A0"/>
    <w:rsid w:val="49AF0FF8"/>
    <w:rsid w:val="4CA84B43"/>
    <w:rsid w:val="4DD23507"/>
    <w:rsid w:val="4FC61A5E"/>
    <w:rsid w:val="50732DA4"/>
    <w:rsid w:val="50CD26CF"/>
    <w:rsid w:val="52410C5B"/>
    <w:rsid w:val="53794425"/>
    <w:rsid w:val="53F87A3F"/>
    <w:rsid w:val="54E61142"/>
    <w:rsid w:val="56A33C92"/>
    <w:rsid w:val="57087F99"/>
    <w:rsid w:val="57E75E01"/>
    <w:rsid w:val="59576FB6"/>
    <w:rsid w:val="59972BA2"/>
    <w:rsid w:val="59D46859"/>
    <w:rsid w:val="59EA607C"/>
    <w:rsid w:val="5C73603E"/>
    <w:rsid w:val="5F65071D"/>
    <w:rsid w:val="5FF3576B"/>
    <w:rsid w:val="60C358C5"/>
    <w:rsid w:val="63400E43"/>
    <w:rsid w:val="6431668F"/>
    <w:rsid w:val="654757A9"/>
    <w:rsid w:val="65BB267B"/>
    <w:rsid w:val="65F20792"/>
    <w:rsid w:val="66CD4D5B"/>
    <w:rsid w:val="66F347C2"/>
    <w:rsid w:val="68A35D74"/>
    <w:rsid w:val="68AC14EF"/>
    <w:rsid w:val="6B4722C8"/>
    <w:rsid w:val="6BC87733"/>
    <w:rsid w:val="6C0E255C"/>
    <w:rsid w:val="6C8B6D95"/>
    <w:rsid w:val="6D323B6A"/>
    <w:rsid w:val="6D553662"/>
    <w:rsid w:val="6DA47810"/>
    <w:rsid w:val="6DBC51E2"/>
    <w:rsid w:val="6EAE758E"/>
    <w:rsid w:val="6EEB3FAB"/>
    <w:rsid w:val="6F5E29F5"/>
    <w:rsid w:val="6FD35191"/>
    <w:rsid w:val="70E249F5"/>
    <w:rsid w:val="72C82671"/>
    <w:rsid w:val="73AF381F"/>
    <w:rsid w:val="752975AA"/>
    <w:rsid w:val="758358B9"/>
    <w:rsid w:val="764052D8"/>
    <w:rsid w:val="764F753B"/>
    <w:rsid w:val="78EB682A"/>
    <w:rsid w:val="791341C1"/>
    <w:rsid w:val="79964346"/>
    <w:rsid w:val="79DF64FC"/>
    <w:rsid w:val="7B74499E"/>
    <w:rsid w:val="7CCE0B55"/>
    <w:rsid w:val="7D124E1E"/>
    <w:rsid w:val="7D6B14EA"/>
    <w:rsid w:val="7EEC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List Number"/>
    <w:basedOn w:val="1"/>
    <w:semiHidden/>
    <w:unhideWhenUsed/>
    <w:qFormat/>
    <w:uiPriority w:val="99"/>
    <w:pPr>
      <w:numPr>
        <w:ilvl w:val="0"/>
        <w:numId w:val="1"/>
      </w:numPr>
    </w:pPr>
  </w:style>
  <w:style w:type="paragraph" w:styleId="4">
    <w:name w:val="Plain Text"/>
    <w:basedOn w:val="1"/>
    <w:link w:val="18"/>
    <w:qFormat/>
    <w:uiPriority w:val="99"/>
    <w:pPr>
      <w:spacing w:line="320" w:lineRule="exact"/>
      <w:ind w:firstLine="200" w:firstLineChars="200"/>
    </w:pPr>
    <w:rPr>
      <w:rFonts w:ascii="宋体" w:hAnsi="Courier New" w:eastAsia="宋体" w:cs="Courier New"/>
      <w:szCs w:val="21"/>
    </w:rPr>
  </w:style>
  <w:style w:type="paragraph" w:styleId="5">
    <w:name w:val="footer"/>
    <w:basedOn w:val="1"/>
    <w:link w:val="25"/>
    <w:unhideWhenUsed/>
    <w:qFormat/>
    <w:uiPriority w:val="99"/>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toc 2"/>
    <w:basedOn w:val="1"/>
    <w:next w:val="1"/>
    <w:autoRedefine/>
    <w:unhideWhenUsed/>
    <w:qFormat/>
    <w:uiPriority w:val="39"/>
    <w:pPr>
      <w:ind w:left="420" w:leftChars="200"/>
    </w:p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26"/>
    <w:qFormat/>
    <w:uiPriority w:val="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Emphasis"/>
    <w:qFormat/>
    <w:uiPriority w:val="0"/>
    <w:rPr>
      <w:i/>
      <w:iCs/>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customStyle="1" w:styleId="17">
    <w:name w:val="标题 1 字符"/>
    <w:basedOn w:val="13"/>
    <w:link w:val="2"/>
    <w:qFormat/>
    <w:uiPriority w:val="9"/>
    <w:rPr>
      <w:rFonts w:ascii="宋体" w:hAnsi="宋体" w:eastAsia="宋体" w:cs="宋体"/>
      <w:b/>
      <w:bCs/>
      <w:kern w:val="36"/>
      <w:sz w:val="48"/>
      <w:szCs w:val="48"/>
    </w:rPr>
  </w:style>
  <w:style w:type="character" w:customStyle="1" w:styleId="18">
    <w:name w:val="纯文本 字符"/>
    <w:basedOn w:val="13"/>
    <w:link w:val="4"/>
    <w:qFormat/>
    <w:uiPriority w:val="99"/>
    <w:rPr>
      <w:rFonts w:ascii="宋体" w:hAnsi="Courier New" w:eastAsia="宋体" w:cs="Courier New"/>
      <w:szCs w:val="21"/>
    </w:rPr>
  </w:style>
  <w:style w:type="character" w:customStyle="1" w:styleId="19">
    <w:name w:val="页眉 字符"/>
    <w:basedOn w:val="13"/>
    <w:link w:val="6"/>
    <w:qFormat/>
    <w:uiPriority w:val="0"/>
    <w:rPr>
      <w:sz w:val="18"/>
      <w:szCs w:val="18"/>
    </w:rPr>
  </w:style>
  <w:style w:type="paragraph" w:customStyle="1" w:styleId="20">
    <w:name w:val="列表段落1"/>
    <w:basedOn w:val="1"/>
    <w:qFormat/>
    <w:uiPriority w:val="34"/>
    <w:pPr>
      <w:ind w:firstLine="420" w:firstLineChars="200"/>
    </w:pPr>
    <w:rPr>
      <w:rFonts w:ascii="Times New Roman" w:hAnsi="Times New Roman" w:eastAsia="宋体" w:cs="Times New Roman"/>
      <w:szCs w:val="20"/>
    </w:rPr>
  </w:style>
  <w:style w:type="paragraph" w:styleId="21">
    <w:name w:val="List Paragraph"/>
    <w:basedOn w:val="1"/>
    <w:autoRedefine/>
    <w:qFormat/>
    <w:uiPriority w:val="0"/>
    <w:pPr>
      <w:ind w:firstLine="420" w:firstLineChars="200"/>
    </w:pPr>
    <w:rPr>
      <w:rFonts w:ascii="Calibri" w:hAnsi="Calibri" w:eastAsia="宋体" w:cs="Times New Roman"/>
    </w:rPr>
  </w:style>
  <w:style w:type="character" w:customStyle="1" w:styleId="22">
    <w:name w:val="font21"/>
    <w:basedOn w:val="13"/>
    <w:qFormat/>
    <w:uiPriority w:val="0"/>
    <w:rPr>
      <w:rFonts w:hint="eastAsia" w:ascii="宋体" w:hAnsi="宋体" w:eastAsia="宋体" w:cs="宋体"/>
      <w:color w:val="000000"/>
      <w:sz w:val="24"/>
      <w:szCs w:val="24"/>
      <w:u w:val="none"/>
    </w:rPr>
  </w:style>
  <w:style w:type="character" w:customStyle="1" w:styleId="23">
    <w:name w:val="font31"/>
    <w:basedOn w:val="13"/>
    <w:qFormat/>
    <w:uiPriority w:val="0"/>
    <w:rPr>
      <w:rFonts w:hint="eastAsia" w:ascii="宋体" w:hAnsi="宋体" w:eastAsia="宋体" w:cs="宋体"/>
      <w:color w:val="000000"/>
      <w:sz w:val="21"/>
      <w:szCs w:val="21"/>
      <w:u w:val="none"/>
    </w:rPr>
  </w:style>
  <w:style w:type="character" w:customStyle="1" w:styleId="24">
    <w:name w:val="font11"/>
    <w:basedOn w:val="13"/>
    <w:qFormat/>
    <w:uiPriority w:val="0"/>
    <w:rPr>
      <w:rFonts w:hint="eastAsia" w:ascii="宋体" w:hAnsi="宋体" w:eastAsia="宋体" w:cs="宋体"/>
      <w:b/>
      <w:bCs/>
      <w:color w:val="000000"/>
      <w:sz w:val="24"/>
      <w:szCs w:val="24"/>
      <w:u w:val="none"/>
    </w:rPr>
  </w:style>
  <w:style w:type="character" w:customStyle="1" w:styleId="25">
    <w:name w:val="页脚 字符"/>
    <w:basedOn w:val="13"/>
    <w:link w:val="5"/>
    <w:qFormat/>
    <w:uiPriority w:val="99"/>
    <w:rPr>
      <w:rFonts w:asciiTheme="minorHAnsi" w:hAnsiTheme="minorHAnsi" w:eastAsiaTheme="minorEastAsia" w:cstheme="minorBidi"/>
      <w:kern w:val="2"/>
      <w:sz w:val="18"/>
      <w:szCs w:val="18"/>
    </w:rPr>
  </w:style>
  <w:style w:type="character" w:customStyle="1" w:styleId="26">
    <w:name w:val="标题 字符"/>
    <w:basedOn w:val="13"/>
    <w:link w:val="10"/>
    <w:qFormat/>
    <w:uiPriority w:val="0"/>
    <w:rPr>
      <w:rFonts w:ascii="等线 Light" w:hAnsi="等线 Light"/>
      <w:b/>
      <w:bCs/>
      <w:kern w:val="2"/>
      <w:sz w:val="32"/>
      <w:szCs w:val="32"/>
    </w:rPr>
  </w:style>
  <w:style w:type="paragraph" w:customStyle="1" w:styleId="27">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黑体" w:hAnsi="黑体" w:eastAsia="黑体" w:cs="黑体"/>
      <w:sz w:val="15"/>
      <w:szCs w:val="1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FC5D0-8ABC-4B04-B9F3-37AC0191FC30}">
  <ds:schemaRefs/>
</ds:datastoreItem>
</file>

<file path=docProps/app.xml><?xml version="1.0" encoding="utf-8"?>
<Properties xmlns="http://schemas.openxmlformats.org/officeDocument/2006/extended-properties" xmlns:vt="http://schemas.openxmlformats.org/officeDocument/2006/docPropsVTypes">
  <Template>Normal</Template>
  <Pages>3</Pages>
  <Words>1202</Words>
  <Characters>1407</Characters>
  <Lines>65</Lines>
  <Paragraphs>18</Paragraphs>
  <TotalTime>73</TotalTime>
  <ScaleCrop>false</ScaleCrop>
  <LinksUpToDate>false</LinksUpToDate>
  <CharactersWithSpaces>1431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2024-08-06T09:48:00Z</dcterms:created>
  <dc:creator>Windows 用户</dc:creator>
  <cp:lastModifiedBy>WPS_1604475137</cp:lastModifiedBy>
  <cp:lastPrinted>2025-07-16T06:22:00Z</cp:lastPrinted>
  <dcterms:modified xsi:type="dcterms:W3CDTF">2025-09-26T02:36:39Z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550BD16EAC9C45EBB876A82CD1FCF8A6_13</vt:lpwstr>
  </property>
  <property fmtid="{D5CDD505-2E9C-101B-9397-08002B2CF9AE}" pid="4" name="KSOTemplateDocerSaveRecord">
    <vt:lpwstr>eyJoZGlkIjoiZjFiOGU3Y2YwZDczY2U3NzcyMDFhYWZhNWMzNWUwMTIiLCJ1c2VySWQiOiIxMTQwMDUyMTM1In0=</vt:lpwstr>
  </property>
</Properties>
</file>