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78"/>
        <w:gridCol w:w="3835"/>
        <w:gridCol w:w="775"/>
        <w:gridCol w:w="887"/>
        <w:gridCol w:w="988"/>
      </w:tblGrid>
      <w:tr w14:paraId="439E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3E9199A">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序号</w:t>
            </w:r>
          </w:p>
        </w:tc>
        <w:tc>
          <w:tcPr>
            <w:tcW w:w="1478" w:type="dxa"/>
          </w:tcPr>
          <w:p w14:paraId="3757BEEA">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品牌型号</w:t>
            </w:r>
          </w:p>
        </w:tc>
        <w:tc>
          <w:tcPr>
            <w:tcW w:w="3835" w:type="dxa"/>
          </w:tcPr>
          <w:p w14:paraId="2552FDF7">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参数</w:t>
            </w:r>
          </w:p>
        </w:tc>
        <w:tc>
          <w:tcPr>
            <w:tcW w:w="775" w:type="dxa"/>
          </w:tcPr>
          <w:p w14:paraId="49C6682C">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数量</w:t>
            </w:r>
          </w:p>
        </w:tc>
        <w:tc>
          <w:tcPr>
            <w:tcW w:w="887" w:type="dxa"/>
          </w:tcPr>
          <w:p w14:paraId="75D00E7A">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单价（元）</w:t>
            </w:r>
          </w:p>
        </w:tc>
        <w:tc>
          <w:tcPr>
            <w:tcW w:w="988" w:type="dxa"/>
          </w:tcPr>
          <w:p w14:paraId="34B65DF0">
            <w:pPr>
              <w:spacing w:line="360" w:lineRule="auto"/>
              <w:rPr>
                <w:rFonts w:hint="default"/>
                <w:sz w:val="24"/>
                <w:szCs w:val="32"/>
                <w:vertAlign w:val="baseline"/>
                <w:lang w:val="en-US" w:eastAsia="zh-CN"/>
              </w:rPr>
            </w:pPr>
            <w:r>
              <w:rPr>
                <w:rFonts w:hint="eastAsia"/>
                <w:sz w:val="24"/>
                <w:szCs w:val="32"/>
                <w:vertAlign w:val="baseline"/>
                <w:lang w:val="en-US" w:eastAsia="zh-CN"/>
              </w:rPr>
              <w:t>总价（元）</w:t>
            </w:r>
          </w:p>
        </w:tc>
      </w:tr>
      <w:tr w14:paraId="003C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8ACBCEA">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1478" w:type="dxa"/>
          </w:tcPr>
          <w:p w14:paraId="00309EFC">
            <w:pPr>
              <w:spacing w:line="360" w:lineRule="auto"/>
              <w:rPr>
                <w:rFonts w:hint="eastAsia" w:eastAsiaTheme="minorEastAsia"/>
                <w:sz w:val="24"/>
                <w:szCs w:val="32"/>
                <w:vertAlign w:val="baseline"/>
                <w:lang w:eastAsia="zh-CN"/>
              </w:rPr>
            </w:pPr>
            <w:r>
              <w:rPr>
                <w:rFonts w:hint="eastAsia"/>
                <w:sz w:val="24"/>
                <w:szCs w:val="32"/>
                <w:vertAlign w:val="baseline"/>
              </w:rPr>
              <w:t>清华同方</w:t>
            </w:r>
            <w:r>
              <w:rPr>
                <w:rFonts w:hint="eastAsia"/>
                <w:sz w:val="24"/>
                <w:szCs w:val="32"/>
                <w:vertAlign w:val="baseline"/>
                <w:lang w:eastAsia="zh-CN"/>
              </w:rPr>
              <w:t>、超翔TZ830-P73</w:t>
            </w:r>
          </w:p>
        </w:tc>
        <w:tc>
          <w:tcPr>
            <w:tcW w:w="3835" w:type="dxa"/>
          </w:tcPr>
          <w:p w14:paraId="26EB5995">
            <w:pPr>
              <w:spacing w:line="360" w:lineRule="auto"/>
              <w:rPr>
                <w:rFonts w:hint="eastAsia"/>
                <w:sz w:val="24"/>
                <w:szCs w:val="32"/>
                <w:vertAlign w:val="baseline"/>
              </w:rPr>
            </w:pPr>
            <w:r>
              <w:rPr>
                <w:rFonts w:hint="eastAsia"/>
                <w:sz w:val="24"/>
                <w:szCs w:val="32"/>
                <w:vertAlign w:val="baseline"/>
              </w:rPr>
              <w:t>1、▲处理器：采用国产兆芯KX-U6780A处理器，CPU物理核心数≥8核，主频≥2.7GHz，末级缓存缓存容量≥8MB，典型功耗≤70W；</w:t>
            </w:r>
          </w:p>
          <w:p w14:paraId="0566C928">
            <w:pPr>
              <w:spacing w:line="360" w:lineRule="auto"/>
              <w:rPr>
                <w:rFonts w:hint="eastAsia"/>
                <w:sz w:val="24"/>
                <w:szCs w:val="32"/>
                <w:vertAlign w:val="baseline"/>
              </w:rPr>
            </w:pPr>
            <w:r>
              <w:rPr>
                <w:rFonts w:hint="eastAsia"/>
                <w:sz w:val="24"/>
                <w:szCs w:val="32"/>
                <w:vertAlign w:val="baseline"/>
              </w:rPr>
              <w:t>2、▲内存：≥32GB DDR4内存，内存读写速率≥3200MT/s，不少于4个内存插槽，内存插槽满配时提供的最高内存容量≥64GB；</w:t>
            </w:r>
          </w:p>
          <w:p w14:paraId="47BD568C">
            <w:pPr>
              <w:spacing w:line="360" w:lineRule="auto"/>
              <w:rPr>
                <w:rFonts w:hint="eastAsia"/>
                <w:sz w:val="24"/>
                <w:szCs w:val="32"/>
                <w:vertAlign w:val="baseline"/>
              </w:rPr>
            </w:pPr>
            <w:r>
              <w:rPr>
                <w:rFonts w:hint="eastAsia"/>
                <w:sz w:val="24"/>
                <w:szCs w:val="32"/>
                <w:vertAlign w:val="baseline"/>
              </w:rPr>
              <w:t>3、硬盘：≥512GB M.2接口SSD固态硬盘+1T机械硬盘，最大可扩展至1T SSD+2T机械硬盘，有硬盘减震功能；</w:t>
            </w:r>
          </w:p>
          <w:p w14:paraId="6151D651">
            <w:pPr>
              <w:spacing w:line="360" w:lineRule="auto"/>
              <w:rPr>
                <w:rFonts w:hint="eastAsia"/>
                <w:sz w:val="24"/>
                <w:szCs w:val="32"/>
                <w:vertAlign w:val="baseline"/>
              </w:rPr>
            </w:pPr>
            <w:r>
              <w:rPr>
                <w:rFonts w:hint="eastAsia"/>
                <w:sz w:val="24"/>
                <w:szCs w:val="32"/>
                <w:vertAlign w:val="baseline"/>
              </w:rPr>
              <w:t>4、显卡：2G独立显卡；</w:t>
            </w:r>
          </w:p>
          <w:p w14:paraId="3744A2CB">
            <w:pPr>
              <w:spacing w:line="360" w:lineRule="auto"/>
              <w:rPr>
                <w:rFonts w:hint="eastAsia"/>
                <w:sz w:val="24"/>
                <w:szCs w:val="32"/>
                <w:vertAlign w:val="baseline"/>
              </w:rPr>
            </w:pPr>
            <w:r>
              <w:rPr>
                <w:rFonts w:hint="eastAsia"/>
                <w:sz w:val="24"/>
                <w:szCs w:val="32"/>
                <w:vertAlign w:val="baseline"/>
              </w:rPr>
              <w:t>5、▲主板接口：配置≥1个PCIe x16、≥1个PCIe x1；配置USB总数≥12个，其中机箱前面板≥4个USB接口（含2个USB3.0接口），≥1个M.2接口，≥4个SATA 接口；主板集成10/100M/1000M 自适应以太网卡，原厂可配置同品牌网络防雷器，有网络端口防雷功能；</w:t>
            </w:r>
          </w:p>
          <w:p w14:paraId="19C2245E">
            <w:pPr>
              <w:spacing w:line="360" w:lineRule="auto"/>
              <w:rPr>
                <w:rFonts w:hint="eastAsia"/>
                <w:sz w:val="24"/>
                <w:szCs w:val="32"/>
                <w:vertAlign w:val="baseline"/>
              </w:rPr>
            </w:pPr>
            <w:r>
              <w:rPr>
                <w:rFonts w:hint="eastAsia"/>
                <w:sz w:val="24"/>
                <w:szCs w:val="32"/>
                <w:vertAlign w:val="baseline"/>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 位，显示屏色域≥99%  sRGB，显示屏色准△E≤4，显示屏响应时间≤8ms，显示屏亮度≥250尼特，显示屏亮度一致性≥75%，显示屏对比度≥1000：1；</w:t>
            </w:r>
          </w:p>
          <w:p w14:paraId="59554AC9">
            <w:pPr>
              <w:spacing w:line="360" w:lineRule="auto"/>
              <w:rPr>
                <w:rFonts w:hint="eastAsia"/>
                <w:sz w:val="24"/>
                <w:szCs w:val="32"/>
                <w:vertAlign w:val="baseline"/>
              </w:rPr>
            </w:pPr>
            <w:r>
              <w:rPr>
                <w:rFonts w:hint="eastAsia"/>
                <w:sz w:val="24"/>
                <w:szCs w:val="32"/>
                <w:vertAlign w:val="baseline"/>
              </w:rPr>
              <w:t>7、键鼠：同品牌USB光电鼠标、键盘，键盘防水且自带导水孔；</w:t>
            </w:r>
          </w:p>
          <w:p w14:paraId="05BD2512">
            <w:pPr>
              <w:spacing w:line="360" w:lineRule="auto"/>
              <w:rPr>
                <w:rFonts w:hint="eastAsia"/>
                <w:sz w:val="24"/>
                <w:szCs w:val="32"/>
                <w:vertAlign w:val="baseline"/>
              </w:rPr>
            </w:pPr>
            <w:r>
              <w:rPr>
                <w:rFonts w:hint="eastAsia"/>
                <w:sz w:val="24"/>
                <w:szCs w:val="32"/>
                <w:vertAlign w:val="baseline"/>
              </w:rPr>
              <w:t>8、▲机箱：顶置提手，前置至少具备1个网络故障灯，以便于快速诊断网路通畅情况，机型体积≥15L；整机防尘等级不低于国际标准IP5X级；</w:t>
            </w:r>
          </w:p>
          <w:p w14:paraId="0ACB8E4A">
            <w:pPr>
              <w:spacing w:line="360" w:lineRule="auto"/>
              <w:rPr>
                <w:rFonts w:hint="eastAsia"/>
                <w:sz w:val="24"/>
                <w:szCs w:val="32"/>
                <w:vertAlign w:val="baseline"/>
              </w:rPr>
            </w:pPr>
            <w:r>
              <w:rPr>
                <w:rFonts w:hint="eastAsia"/>
                <w:sz w:val="24"/>
                <w:szCs w:val="32"/>
                <w:vertAlign w:val="baseline"/>
              </w:rPr>
              <w:t>9、电源：≥200W节能电源；                                                                                                                                                                                                                                                                                        10、软件：国产正版统信操作系统；融合桌面云平台管理软件；多媒体管理软件；</w:t>
            </w:r>
          </w:p>
          <w:p w14:paraId="39389792">
            <w:pPr>
              <w:keepNext w:val="0"/>
              <w:keepLines w:val="0"/>
              <w:widowControl/>
              <w:suppressLineNumbers w:val="0"/>
              <w:jc w:val="left"/>
              <w:rPr>
                <w:rFonts w:hint="default" w:eastAsiaTheme="minorEastAsia"/>
                <w:sz w:val="24"/>
                <w:szCs w:val="32"/>
                <w:vertAlign w:val="baseline"/>
                <w:lang w:val="en-US" w:eastAsia="zh-CN"/>
              </w:rPr>
            </w:pPr>
            <w:r>
              <w:rPr>
                <w:rFonts w:hint="eastAsia"/>
                <w:sz w:val="24"/>
                <w:szCs w:val="32"/>
                <w:vertAlign w:val="baseline"/>
                <w:lang w:val="en-US" w:eastAsia="zh-CN"/>
              </w:rPr>
              <w:t>11、</w:t>
            </w:r>
            <w:r>
              <w:rPr>
                <w:rFonts w:hint="eastAsia"/>
                <w:sz w:val="24"/>
                <w:szCs w:val="32"/>
                <w:vertAlign w:val="baseline"/>
              </w:rPr>
              <w:t>▲</w:t>
            </w:r>
            <w:r>
              <w:rPr>
                <w:rFonts w:hint="eastAsia" w:asciiTheme="minorEastAsia" w:hAnsiTheme="minorEastAsia" w:eastAsiaTheme="minorEastAsia" w:cstheme="minorEastAsia"/>
                <w:color w:val="000000"/>
                <w:kern w:val="0"/>
                <w:sz w:val="24"/>
                <w:szCs w:val="24"/>
                <w:lang w:val="en-US" w:eastAsia="zh-CN" w:bidi="ar"/>
              </w:rPr>
              <w:t>供货时需提供软件制造厂家针对本项目出具的加盖公章的“正版证明文件”及“售后服务承诺书”原件。</w:t>
            </w:r>
          </w:p>
        </w:tc>
        <w:tc>
          <w:tcPr>
            <w:tcW w:w="775" w:type="dxa"/>
          </w:tcPr>
          <w:p w14:paraId="6EFCF383">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112套</w:t>
            </w:r>
          </w:p>
        </w:tc>
        <w:tc>
          <w:tcPr>
            <w:tcW w:w="887" w:type="dxa"/>
          </w:tcPr>
          <w:p w14:paraId="7ECCAB4F">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4500</w:t>
            </w:r>
          </w:p>
        </w:tc>
        <w:tc>
          <w:tcPr>
            <w:tcW w:w="988" w:type="dxa"/>
          </w:tcPr>
          <w:p w14:paraId="65E2BCF9">
            <w:pPr>
              <w:spacing w:line="360" w:lineRule="auto"/>
              <w:rPr>
                <w:rFonts w:hint="default"/>
                <w:sz w:val="24"/>
                <w:szCs w:val="32"/>
                <w:vertAlign w:val="baseline"/>
                <w:lang w:val="en-US" w:eastAsia="zh-CN"/>
              </w:rPr>
            </w:pPr>
            <w:r>
              <w:rPr>
                <w:rFonts w:hint="eastAsia"/>
                <w:sz w:val="24"/>
                <w:szCs w:val="32"/>
                <w:vertAlign w:val="baseline"/>
                <w:lang w:val="en-US" w:eastAsia="zh-CN"/>
              </w:rPr>
              <w:t>504000</w:t>
            </w:r>
          </w:p>
        </w:tc>
      </w:tr>
      <w:tr w14:paraId="1B4D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E632AC8">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1478" w:type="dxa"/>
          </w:tcPr>
          <w:p w14:paraId="3C204162">
            <w:pPr>
              <w:spacing w:line="360" w:lineRule="auto"/>
              <w:rPr>
                <w:rFonts w:hint="eastAsia" w:eastAsiaTheme="minorEastAsia"/>
                <w:sz w:val="24"/>
                <w:szCs w:val="32"/>
                <w:vertAlign w:val="baseline"/>
                <w:lang w:eastAsia="zh-CN"/>
              </w:rPr>
            </w:pPr>
            <w:r>
              <w:rPr>
                <w:rFonts w:hint="eastAsia"/>
                <w:sz w:val="24"/>
                <w:szCs w:val="32"/>
                <w:vertAlign w:val="baseline"/>
              </w:rPr>
              <w:t>清华同方</w:t>
            </w:r>
            <w:r>
              <w:rPr>
                <w:rFonts w:hint="eastAsia"/>
                <w:sz w:val="24"/>
                <w:szCs w:val="32"/>
                <w:vertAlign w:val="baseline"/>
                <w:lang w:eastAsia="zh-CN"/>
              </w:rPr>
              <w:t>、超翔H880-P90</w:t>
            </w:r>
          </w:p>
        </w:tc>
        <w:tc>
          <w:tcPr>
            <w:tcW w:w="3835" w:type="dxa"/>
          </w:tcPr>
          <w:p w14:paraId="3AC0E9E4">
            <w:pPr>
              <w:spacing w:line="360" w:lineRule="auto"/>
              <w:rPr>
                <w:rFonts w:hint="eastAsia"/>
                <w:sz w:val="24"/>
                <w:szCs w:val="32"/>
                <w:vertAlign w:val="baseline"/>
              </w:rPr>
            </w:pPr>
            <w:r>
              <w:rPr>
                <w:rFonts w:hint="eastAsia"/>
                <w:sz w:val="24"/>
                <w:szCs w:val="32"/>
                <w:vertAlign w:val="baseline"/>
              </w:rPr>
              <w:t>1、▲处理器：采用国产海光C86-3G 3350处理器，CPU为8核16线程，主频≥3.0GHz，末级缓存缓存容量≥16MB，典型功耗≤65W；</w:t>
            </w:r>
          </w:p>
          <w:p w14:paraId="4DA35E1C">
            <w:pPr>
              <w:spacing w:line="360" w:lineRule="auto"/>
              <w:rPr>
                <w:rFonts w:hint="eastAsia"/>
                <w:sz w:val="24"/>
                <w:szCs w:val="32"/>
                <w:vertAlign w:val="baseline"/>
              </w:rPr>
            </w:pPr>
            <w:r>
              <w:rPr>
                <w:rFonts w:hint="eastAsia"/>
                <w:sz w:val="24"/>
                <w:szCs w:val="32"/>
                <w:vertAlign w:val="baseline"/>
              </w:rPr>
              <w:t>2、▲内存：配置≥</w:t>
            </w:r>
            <w:r>
              <w:rPr>
                <w:rFonts w:hint="eastAsia"/>
                <w:sz w:val="24"/>
                <w:szCs w:val="32"/>
                <w:vertAlign w:val="baseline"/>
                <w:lang w:val="en-US" w:eastAsia="zh-CN"/>
              </w:rPr>
              <w:t>32</w:t>
            </w:r>
            <w:r>
              <w:rPr>
                <w:rFonts w:hint="eastAsia"/>
                <w:sz w:val="24"/>
                <w:szCs w:val="32"/>
                <w:vertAlign w:val="baseline"/>
              </w:rPr>
              <w:t>GB DDR4内存，内存读写速率≥3200MT/s，不少于4根内存插槽，内存插槽满配时提供的最高内存容量≥128GB；</w:t>
            </w:r>
          </w:p>
          <w:p w14:paraId="6F146F86">
            <w:pPr>
              <w:spacing w:line="360" w:lineRule="auto"/>
              <w:rPr>
                <w:rFonts w:hint="eastAsia"/>
                <w:sz w:val="24"/>
                <w:szCs w:val="32"/>
                <w:vertAlign w:val="baseline"/>
              </w:rPr>
            </w:pPr>
            <w:r>
              <w:rPr>
                <w:rFonts w:hint="eastAsia"/>
                <w:sz w:val="24"/>
                <w:szCs w:val="32"/>
                <w:vertAlign w:val="baseline"/>
              </w:rPr>
              <w:t>3、硬盘：≥512GB M.2接口SSD固态硬盘+1T机械硬盘，最大可扩展至1T SSD+2T机械硬盘，支持硬盘减震功能；</w:t>
            </w:r>
          </w:p>
          <w:p w14:paraId="4AA887C9">
            <w:pPr>
              <w:spacing w:line="360" w:lineRule="auto"/>
              <w:rPr>
                <w:rFonts w:hint="eastAsia"/>
                <w:sz w:val="24"/>
                <w:szCs w:val="32"/>
                <w:vertAlign w:val="baseline"/>
              </w:rPr>
            </w:pPr>
            <w:r>
              <w:rPr>
                <w:rFonts w:hint="eastAsia"/>
                <w:sz w:val="24"/>
                <w:szCs w:val="32"/>
                <w:vertAlign w:val="baseline"/>
              </w:rPr>
              <w:t>4、显卡：配置独立显卡，显存容量≥2GB，至少支持 VGA、HDMI、DVI、DP、 Type-C 中 2种显示接口，并与显示器接口相匹</w:t>
            </w:r>
          </w:p>
          <w:p w14:paraId="062DAC82">
            <w:pPr>
              <w:spacing w:line="360" w:lineRule="auto"/>
              <w:rPr>
                <w:rFonts w:hint="eastAsia"/>
                <w:sz w:val="24"/>
                <w:szCs w:val="32"/>
                <w:vertAlign w:val="baseline"/>
              </w:rPr>
            </w:pPr>
            <w:r>
              <w:rPr>
                <w:rFonts w:hint="eastAsia"/>
                <w:sz w:val="24"/>
                <w:szCs w:val="32"/>
                <w:vertAlign w:val="baseline"/>
              </w:rPr>
              <w:t>5、▲主板接口：配置≥2个PCIe x16, ≥1个PCIe x8, ≥1个PCIe x1；配置USB总数≥11个，其中USB3.0接口≥9个，≥1个M.2接口 PCIE4.0协议，≥4个SATA 接口；主板集成10/100M/1000M 自适应以太网卡，原厂可配置同品牌网络防雷器，有网络端口防雷功能；</w:t>
            </w:r>
          </w:p>
          <w:p w14:paraId="57652335">
            <w:pPr>
              <w:spacing w:line="360" w:lineRule="auto"/>
              <w:rPr>
                <w:rFonts w:hint="eastAsia"/>
                <w:sz w:val="24"/>
                <w:szCs w:val="32"/>
                <w:vertAlign w:val="baseline"/>
              </w:rPr>
            </w:pPr>
            <w:r>
              <w:rPr>
                <w:rFonts w:hint="eastAsia"/>
                <w:sz w:val="24"/>
                <w:szCs w:val="32"/>
                <w:vertAlign w:val="baseline"/>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 位，显示屏色域≥99%  sRGB，显示屏色准△E≤4，显示屏响应时间≤8ms，显示屏亮度≥250 尼特，显示屏亮度一致性≥75%，显示屏对比度≥1000：1；</w:t>
            </w:r>
          </w:p>
          <w:p w14:paraId="1A3A181C">
            <w:pPr>
              <w:spacing w:line="360" w:lineRule="auto"/>
              <w:rPr>
                <w:rFonts w:hint="eastAsia"/>
                <w:sz w:val="24"/>
                <w:szCs w:val="32"/>
                <w:vertAlign w:val="baseline"/>
              </w:rPr>
            </w:pPr>
            <w:r>
              <w:rPr>
                <w:rFonts w:hint="eastAsia"/>
                <w:sz w:val="24"/>
                <w:szCs w:val="32"/>
                <w:vertAlign w:val="baseline"/>
              </w:rPr>
              <w:t>7、键鼠：同品牌USB光电鼠标、键盘，键盘防水且自带导水孔；</w:t>
            </w:r>
          </w:p>
          <w:p w14:paraId="34FF917B">
            <w:pPr>
              <w:spacing w:line="360" w:lineRule="auto"/>
              <w:rPr>
                <w:rFonts w:hint="eastAsia"/>
                <w:sz w:val="24"/>
                <w:szCs w:val="32"/>
                <w:vertAlign w:val="baseline"/>
              </w:rPr>
            </w:pPr>
            <w:r>
              <w:rPr>
                <w:rFonts w:hint="eastAsia"/>
                <w:sz w:val="24"/>
                <w:szCs w:val="32"/>
                <w:vertAlign w:val="baseline"/>
              </w:rPr>
              <w:t>8、▲机箱：具备顶置提手，方便搬运；机箱前置至少具备1个网络故障灯，以便于快速诊断网路通畅情况，机型体积不小于25L；整机防尘等级不低于国际标准IP5X级；</w:t>
            </w:r>
          </w:p>
          <w:p w14:paraId="0A556E43">
            <w:pPr>
              <w:spacing w:line="360" w:lineRule="auto"/>
              <w:rPr>
                <w:rFonts w:hint="eastAsia"/>
                <w:sz w:val="24"/>
                <w:szCs w:val="32"/>
                <w:vertAlign w:val="baseline"/>
              </w:rPr>
            </w:pPr>
            <w:r>
              <w:rPr>
                <w:rFonts w:hint="eastAsia"/>
                <w:sz w:val="24"/>
                <w:szCs w:val="32"/>
                <w:vertAlign w:val="baseline"/>
              </w:rPr>
              <w:t>9、电源：≥200W节能电源；                                                                                                                                                                                                                                                                                     10、软件：国产正版统信操作系统；融合桌面云平台管理软件；多媒体管理软件；</w:t>
            </w:r>
          </w:p>
          <w:p w14:paraId="489C732C">
            <w:pPr>
              <w:keepNext w:val="0"/>
              <w:keepLines w:val="0"/>
              <w:widowControl/>
              <w:suppressLineNumbers w:val="0"/>
              <w:jc w:val="left"/>
              <w:rPr>
                <w:rFonts w:hint="default" w:eastAsiaTheme="minorEastAsia"/>
                <w:sz w:val="24"/>
                <w:szCs w:val="32"/>
                <w:vertAlign w:val="baseline"/>
                <w:lang w:val="en-US" w:eastAsia="zh-CN"/>
              </w:rPr>
            </w:pPr>
            <w:r>
              <w:rPr>
                <w:rFonts w:hint="eastAsia"/>
                <w:sz w:val="24"/>
                <w:szCs w:val="32"/>
                <w:vertAlign w:val="baseline"/>
                <w:lang w:val="en-US" w:eastAsia="zh-CN"/>
              </w:rPr>
              <w:t>11、</w:t>
            </w:r>
            <w:r>
              <w:rPr>
                <w:rFonts w:hint="eastAsia"/>
                <w:sz w:val="24"/>
                <w:szCs w:val="32"/>
                <w:vertAlign w:val="baseline"/>
              </w:rPr>
              <w:t>▲</w:t>
            </w:r>
            <w:r>
              <w:rPr>
                <w:rFonts w:hint="eastAsia" w:asciiTheme="minorEastAsia" w:hAnsiTheme="minorEastAsia" w:eastAsiaTheme="minorEastAsia" w:cstheme="minorEastAsia"/>
                <w:color w:val="000000"/>
                <w:kern w:val="0"/>
                <w:sz w:val="24"/>
                <w:szCs w:val="24"/>
                <w:lang w:val="en-US" w:eastAsia="zh-CN" w:bidi="ar"/>
              </w:rPr>
              <w:t>供货时需提供软件制造厂家针对本项目出具的加盖公章的“正版证明文件”及“售后服务承诺书”原件。</w:t>
            </w:r>
          </w:p>
        </w:tc>
        <w:tc>
          <w:tcPr>
            <w:tcW w:w="775" w:type="dxa"/>
          </w:tcPr>
          <w:p w14:paraId="5811A4AD">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2套</w:t>
            </w:r>
          </w:p>
        </w:tc>
        <w:tc>
          <w:tcPr>
            <w:tcW w:w="887" w:type="dxa"/>
          </w:tcPr>
          <w:p w14:paraId="35B55242">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4500</w:t>
            </w:r>
          </w:p>
        </w:tc>
        <w:tc>
          <w:tcPr>
            <w:tcW w:w="988" w:type="dxa"/>
          </w:tcPr>
          <w:p w14:paraId="4292C785">
            <w:pPr>
              <w:spacing w:line="360" w:lineRule="auto"/>
              <w:rPr>
                <w:rFonts w:hint="default"/>
                <w:sz w:val="24"/>
                <w:szCs w:val="32"/>
                <w:vertAlign w:val="baseline"/>
                <w:lang w:val="en-US" w:eastAsia="zh-CN"/>
              </w:rPr>
            </w:pPr>
            <w:r>
              <w:rPr>
                <w:rFonts w:hint="eastAsia"/>
                <w:sz w:val="24"/>
                <w:szCs w:val="32"/>
                <w:vertAlign w:val="baseline"/>
                <w:lang w:val="en-US" w:eastAsia="zh-CN"/>
              </w:rPr>
              <w:t>9000</w:t>
            </w:r>
          </w:p>
        </w:tc>
      </w:tr>
      <w:tr w14:paraId="2631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8" w:type="dxa"/>
            <w:gridSpan w:val="6"/>
          </w:tcPr>
          <w:p w14:paraId="78323B69">
            <w:pPr>
              <w:spacing w:line="360" w:lineRule="auto"/>
              <w:rPr>
                <w:rFonts w:hint="eastAsia"/>
                <w:sz w:val="24"/>
                <w:szCs w:val="32"/>
              </w:rPr>
            </w:pPr>
            <w:r>
              <w:rPr>
                <w:rFonts w:hint="eastAsia"/>
                <w:sz w:val="24"/>
                <w:szCs w:val="32"/>
              </w:rPr>
              <w:t>商务条款：</w:t>
            </w:r>
          </w:p>
          <w:p w14:paraId="330E1463">
            <w:pPr>
              <w:numPr>
                <w:ilvl w:val="0"/>
                <w:numId w:val="1"/>
              </w:numPr>
              <w:spacing w:line="360" w:lineRule="auto"/>
              <w:rPr>
                <w:rFonts w:hint="eastAsia"/>
                <w:sz w:val="24"/>
                <w:szCs w:val="32"/>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lang w:val="en-US" w:eastAsia="zh-CN"/>
              </w:rPr>
              <w:t>合同签订期：自中标通知书发出之日起7个工作日内，</w:t>
            </w:r>
          </w:p>
          <w:p w14:paraId="34572AC3">
            <w:pPr>
              <w:numPr>
                <w:ilvl w:val="0"/>
                <w:numId w:val="1"/>
              </w:numPr>
              <w:spacing w:line="360" w:lineRule="auto"/>
              <w:rPr>
                <w:rFonts w:hint="default"/>
                <w:sz w:val="24"/>
                <w:szCs w:val="32"/>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lang w:val="en-US" w:eastAsia="zh-CN"/>
              </w:rPr>
              <w:t>交货期：自合同签订起之日7个工作日内交货、安装调试完毕。</w:t>
            </w:r>
          </w:p>
          <w:p w14:paraId="40226D6B">
            <w:pPr>
              <w:numPr>
                <w:ilvl w:val="0"/>
                <w:numId w:val="1"/>
              </w:numPr>
              <w:spacing w:line="360" w:lineRule="auto"/>
              <w:rPr>
                <w:rFonts w:hint="default"/>
                <w:sz w:val="24"/>
                <w:szCs w:val="32"/>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lang w:val="en-US" w:eastAsia="zh-CN"/>
              </w:rPr>
              <w:t>交货地点：采购人指定地点。</w:t>
            </w:r>
          </w:p>
          <w:p w14:paraId="18D874F4">
            <w:pPr>
              <w:numPr>
                <w:ilvl w:val="0"/>
                <w:numId w:val="1"/>
              </w:numPr>
              <w:spacing w:line="360" w:lineRule="auto"/>
              <w:rPr>
                <w:rFonts w:hint="default"/>
                <w:sz w:val="24"/>
                <w:szCs w:val="32"/>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lang w:val="en-US" w:eastAsia="zh-CN"/>
              </w:rPr>
              <w:t>交货方式：现场交货。</w:t>
            </w:r>
          </w:p>
          <w:p w14:paraId="083532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eastAsiaTheme="minorEastAsia"/>
                <w:sz w:val="24"/>
                <w:szCs w:val="32"/>
                <w:lang w:val="en-US" w:eastAsia="zh-CN"/>
              </w:rPr>
            </w:pPr>
            <w:r>
              <w:rPr>
                <w:rFonts w:hint="eastAsia" w:asciiTheme="minorEastAsia" w:hAnsi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lang w:val="en-US" w:eastAsia="zh-CN"/>
              </w:rPr>
              <w:t>质保期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color w:val="auto"/>
                <w:sz w:val="24"/>
                <w:szCs w:val="24"/>
                <w:highlight w:val="none"/>
              </w:rPr>
              <w:t>所有竞标产品必须是厂家合法渠道的全新正品，按国家有关产品“三包”规定执行“三包”，</w:t>
            </w:r>
            <w:r>
              <w:rPr>
                <w:rFonts w:hint="eastAsia" w:asciiTheme="minorEastAsia" w:hAnsiTheme="minorEastAsia" w:eastAsiaTheme="minorEastAsia" w:cstheme="minorEastAsia"/>
                <w:b w:val="0"/>
                <w:bCs w:val="0"/>
                <w:color w:val="auto"/>
                <w:sz w:val="24"/>
                <w:szCs w:val="24"/>
                <w:highlight w:val="none"/>
                <w:lang w:val="en-US" w:eastAsia="zh-CN"/>
              </w:rPr>
              <w:t>项目整体</w:t>
            </w:r>
            <w:r>
              <w:rPr>
                <w:rFonts w:hint="eastAsia" w:asciiTheme="minorEastAsia" w:hAnsiTheme="minorEastAsia" w:eastAsiaTheme="minorEastAsia" w:cstheme="minorEastAsia"/>
                <w:b w:val="0"/>
                <w:bCs w:val="0"/>
                <w:color w:val="auto"/>
                <w:sz w:val="24"/>
                <w:szCs w:val="24"/>
                <w:highlight w:val="none"/>
              </w:rPr>
              <w:t>质保期至少为</w:t>
            </w:r>
            <w:r>
              <w:rPr>
                <w:rFonts w:hint="eastAsia" w:asciiTheme="minorEastAsia" w:hAnsiTheme="minorEastAsia" w:cstheme="minorEastAsia"/>
                <w:b w:val="0"/>
                <w:bCs w:val="0"/>
                <w:color w:val="auto"/>
                <w:sz w:val="24"/>
                <w:szCs w:val="24"/>
                <w:highlight w:val="none"/>
                <w:lang w:val="en-US" w:eastAsia="zh-CN"/>
              </w:rPr>
              <w:t>三</w:t>
            </w:r>
            <w:r>
              <w:rPr>
                <w:rFonts w:hint="eastAsia" w:asciiTheme="minorEastAsia" w:hAnsiTheme="minorEastAsia" w:eastAsiaTheme="minorEastAsia" w:cstheme="minorEastAsia"/>
                <w:b w:val="0"/>
                <w:bCs w:val="0"/>
                <w:color w:val="auto"/>
                <w:sz w:val="24"/>
                <w:szCs w:val="24"/>
                <w:highlight w:val="none"/>
              </w:rPr>
              <w:t>年（各分项另有要求的，以各分项要求为准），自验收合格之日起计算；质保期内，成交</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将负责处理并解决故障，并免费更换有故障的零、部件及免费更换有质量问题的货物，一切费用由成交</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负责</w:t>
            </w:r>
            <w:r>
              <w:rPr>
                <w:rFonts w:hint="eastAsia" w:asciiTheme="minorEastAsia" w:hAnsiTheme="minorEastAsia" w:eastAsiaTheme="minorEastAsia" w:cstheme="minorEastAsia"/>
                <w:b w:val="0"/>
                <w:bCs w:val="0"/>
                <w:color w:val="auto"/>
                <w:sz w:val="24"/>
                <w:szCs w:val="24"/>
                <w:highlight w:val="none"/>
                <w:lang w:eastAsia="zh-CN"/>
              </w:rPr>
              <w:t>。</w:t>
            </w:r>
          </w:p>
        </w:tc>
      </w:tr>
      <w:tr w14:paraId="4D96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8" w:type="dxa"/>
            <w:gridSpan w:val="6"/>
          </w:tcPr>
          <w:p w14:paraId="4A260316">
            <w:pPr>
              <w:spacing w:line="360" w:lineRule="auto"/>
              <w:rPr>
                <w:rFonts w:hint="eastAsia"/>
                <w:sz w:val="24"/>
                <w:szCs w:val="32"/>
                <w:lang w:val="en-US" w:eastAsia="zh-CN"/>
              </w:rPr>
            </w:pPr>
            <w:r>
              <w:rPr>
                <w:rFonts w:hint="eastAsia"/>
                <w:sz w:val="24"/>
                <w:szCs w:val="32"/>
                <w:lang w:val="en-US" w:eastAsia="zh-CN"/>
              </w:rPr>
              <w:t>其他要求：</w:t>
            </w:r>
          </w:p>
          <w:p w14:paraId="2EED3E36">
            <w:pPr>
              <w:spacing w:line="360" w:lineRule="auto"/>
              <w:rPr>
                <w:rFonts w:hint="eastAsia"/>
                <w:sz w:val="24"/>
                <w:szCs w:val="32"/>
              </w:rPr>
            </w:pP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rPr>
              <w:t xml:space="preserve">1、投标人请务必认真了解项目采购需求和要求，本项目供应商报价仅限推荐品牌及型号，不接受推荐品牌及型号外的产品，供应商不得以任何理由更改设备的品牌、配置。 </w:t>
            </w:r>
          </w:p>
          <w:p w14:paraId="61DFB861">
            <w:pPr>
              <w:spacing w:line="360" w:lineRule="auto"/>
              <w:rPr>
                <w:rFonts w:hint="eastAsia"/>
                <w:sz w:val="24"/>
                <w:szCs w:val="32"/>
              </w:rPr>
            </w:pPr>
            <w:r>
              <w:rPr>
                <w:rFonts w:hint="eastAsia"/>
                <w:sz w:val="24"/>
                <w:szCs w:val="32"/>
              </w:rPr>
              <w:t>2、</w:t>
            </w: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rPr>
              <w:t xml:space="preserve">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 </w:t>
            </w:r>
          </w:p>
          <w:p w14:paraId="43A84A66">
            <w:pPr>
              <w:spacing w:line="360" w:lineRule="auto"/>
              <w:rPr>
                <w:rFonts w:hint="eastAsia" w:eastAsiaTheme="minorEastAsia"/>
                <w:color w:val="FF0000"/>
                <w:sz w:val="24"/>
                <w:szCs w:val="32"/>
                <w:lang w:eastAsia="zh-CN"/>
              </w:rPr>
            </w:pPr>
            <w:r>
              <w:rPr>
                <w:rFonts w:hint="eastAsia"/>
                <w:sz w:val="24"/>
                <w:szCs w:val="32"/>
              </w:rPr>
              <w:t>3、</w:t>
            </w: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rPr>
              <w:t>供应商响应时，必须满足采购需求的全部功能，供应商须对附件中的参数要求及商务要求进行全部响应</w:t>
            </w:r>
            <w:r>
              <w:rPr>
                <w:rFonts w:hint="eastAsia"/>
                <w:sz w:val="24"/>
                <w:szCs w:val="32"/>
                <w:lang w:eastAsia="zh-CN"/>
              </w:rPr>
              <w:t>。</w:t>
            </w:r>
          </w:p>
          <w:p w14:paraId="10632AC5">
            <w:pPr>
              <w:spacing w:line="360" w:lineRule="auto"/>
              <w:rPr>
                <w:rFonts w:hint="eastAsia"/>
                <w:sz w:val="24"/>
                <w:szCs w:val="32"/>
              </w:rPr>
            </w:pPr>
            <w:r>
              <w:rPr>
                <w:rFonts w:hint="eastAsia"/>
                <w:sz w:val="24"/>
                <w:szCs w:val="32"/>
                <w:lang w:val="en-US" w:eastAsia="zh-CN"/>
              </w:rPr>
              <w:t>4</w:t>
            </w:r>
            <w:r>
              <w:rPr>
                <w:rFonts w:hint="eastAsia"/>
                <w:sz w:val="24"/>
                <w:szCs w:val="32"/>
              </w:rPr>
              <w:t>、</w:t>
            </w: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rPr>
              <w:t>报价必须包含所有货物、</w:t>
            </w:r>
            <w:r>
              <w:rPr>
                <w:rFonts w:hint="eastAsia"/>
                <w:sz w:val="24"/>
                <w:szCs w:val="32"/>
                <w:lang w:val="en-US" w:eastAsia="zh-CN"/>
              </w:rPr>
              <w:t>安装调试、综合布线、搬运、</w:t>
            </w:r>
            <w:r>
              <w:rPr>
                <w:rFonts w:hint="eastAsia"/>
                <w:sz w:val="24"/>
                <w:szCs w:val="32"/>
              </w:rPr>
              <w:t xml:space="preserve">随配附件、售后服务、培训、税金及其他所有可能发生的一切费用，采购人不再支付任何费用。 </w:t>
            </w:r>
          </w:p>
          <w:p w14:paraId="7B9B5455">
            <w:pPr>
              <w:spacing w:line="360" w:lineRule="auto"/>
              <w:rPr>
                <w:rFonts w:hint="eastAsia"/>
                <w:sz w:val="24"/>
                <w:szCs w:val="32"/>
              </w:rPr>
            </w:pPr>
            <w:r>
              <w:rPr>
                <w:rFonts w:hint="eastAsia"/>
                <w:sz w:val="24"/>
                <w:szCs w:val="32"/>
                <w:lang w:val="en-US" w:eastAsia="zh-CN"/>
              </w:rPr>
              <w:t>5</w:t>
            </w:r>
            <w:r>
              <w:rPr>
                <w:rFonts w:hint="eastAsia"/>
                <w:sz w:val="24"/>
                <w:szCs w:val="32"/>
              </w:rPr>
              <w:t>、</w:t>
            </w: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rPr>
              <w:t>为了保障采购人的正常使用，保障高效的售后服务，保证设备的稳定运行，为确保货物质量，签订合同前中标单位须提供生产厂家针对此项目售后服务保证函原件及供货证明原件，否则不予验收通过。</w:t>
            </w:r>
          </w:p>
          <w:p w14:paraId="4DAB8ECE">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sz w:val="24"/>
                <w:szCs w:val="32"/>
                <w:lang w:val="en-US" w:eastAsia="zh-CN"/>
              </w:rPr>
              <w:t>6</w:t>
            </w:r>
            <w:r>
              <w:rPr>
                <w:rFonts w:hint="eastAsia"/>
                <w:sz w:val="24"/>
                <w:szCs w:val="32"/>
              </w:rPr>
              <w:t>、</w:t>
            </w:r>
            <w:r>
              <w:rPr>
                <w:rFonts w:hint="eastAsia" w:asciiTheme="minorEastAsia" w:hAnsiTheme="minorEastAsia" w:eastAsiaTheme="minorEastAsia" w:cstheme="minorEastAsia"/>
                <w:color w:val="auto"/>
                <w:sz w:val="24"/>
                <w:szCs w:val="24"/>
                <w:highlight w:val="none"/>
                <w:lang w:eastAsia="zh-CN"/>
              </w:rPr>
              <w:t>▲</w:t>
            </w:r>
            <w:r>
              <w:rPr>
                <w:rFonts w:hint="eastAsia"/>
                <w:sz w:val="24"/>
                <w:szCs w:val="32"/>
              </w:rPr>
              <w:t>验收过程中，如采购人觉得有必要，可以邀请有资质的第三方检测机构对中标</w:t>
            </w:r>
            <w:r>
              <w:rPr>
                <w:rFonts w:hint="eastAsia"/>
                <w:sz w:val="24"/>
                <w:szCs w:val="32"/>
                <w:lang w:val="en-US" w:eastAsia="zh-CN"/>
              </w:rPr>
              <w:t>人提供的产品进行检测，费用由中标人负担。</w:t>
            </w:r>
          </w:p>
        </w:tc>
      </w:tr>
    </w:tbl>
    <w:p w14:paraId="7CAA75C9">
      <w:pPr>
        <w:spacing w:line="360" w:lineRule="auto"/>
        <w:rPr>
          <w:rFonts w:hint="eastAsia"/>
          <w:sz w:val="24"/>
          <w:szCs w:val="32"/>
        </w:rPr>
      </w:pPr>
    </w:p>
    <w:p w14:paraId="147681A8">
      <w:pPr>
        <w:spacing w:line="360" w:lineRule="auto"/>
        <w:rPr>
          <w:rFonts w:hint="eastAsia"/>
          <w:sz w:val="24"/>
          <w:szCs w:val="32"/>
        </w:rPr>
      </w:pPr>
    </w:p>
    <w:p w14:paraId="5A6F5689">
      <w:pPr>
        <w:spacing w:line="360" w:lineRule="auto"/>
        <w:rPr>
          <w:rFonts w:hint="eastAsia"/>
          <w:sz w:val="24"/>
          <w:szCs w:val="32"/>
        </w:rPr>
      </w:pPr>
    </w:p>
    <w:p w14:paraId="22620A59">
      <w:pPr>
        <w:spacing w:line="360" w:lineRule="auto"/>
        <w:rPr>
          <w:rFonts w:hint="eastAsia"/>
          <w:sz w:val="24"/>
          <w:szCs w:val="32"/>
        </w:rPr>
      </w:pPr>
    </w:p>
    <w:p w14:paraId="046F6961">
      <w:pPr>
        <w:spacing w:line="360" w:lineRule="auto"/>
        <w:rPr>
          <w:rFonts w:hint="eastAsia"/>
          <w:sz w:val="24"/>
          <w:szCs w:val="32"/>
        </w:rPr>
      </w:pPr>
    </w:p>
    <w:p w14:paraId="0DD8CD04">
      <w:pPr>
        <w:spacing w:line="360" w:lineRule="auto"/>
        <w:rPr>
          <w:rFonts w:hint="eastAsia"/>
          <w:sz w:val="24"/>
          <w:szCs w:val="32"/>
        </w:rPr>
      </w:pPr>
    </w:p>
    <w:p w14:paraId="1968F780">
      <w:pPr>
        <w:spacing w:line="360" w:lineRule="auto"/>
        <w:rPr>
          <w:rFonts w:hint="eastAsia"/>
          <w:sz w:val="24"/>
          <w:szCs w:val="32"/>
        </w:rPr>
      </w:pPr>
    </w:p>
    <w:p w14:paraId="1DC78B9A">
      <w:pPr>
        <w:spacing w:line="360" w:lineRule="auto"/>
        <w:rPr>
          <w:rFonts w:hint="eastAsia"/>
          <w:sz w:val="24"/>
          <w:szCs w:val="32"/>
        </w:rPr>
      </w:pPr>
    </w:p>
    <w:p w14:paraId="75A2CE52">
      <w:pPr>
        <w:spacing w:line="360" w:lineRule="auto"/>
        <w:rPr>
          <w:rFonts w:hint="eastAsia"/>
          <w:sz w:val="24"/>
          <w:szCs w:val="32"/>
        </w:rPr>
      </w:pPr>
    </w:p>
    <w:p w14:paraId="31D93AA4">
      <w:pPr>
        <w:spacing w:line="360" w:lineRule="auto"/>
        <w:rPr>
          <w:rFonts w:hint="eastAsia"/>
          <w:sz w:val="24"/>
          <w:szCs w:val="32"/>
        </w:rPr>
      </w:pPr>
    </w:p>
    <w:p w14:paraId="47A82156">
      <w:pPr>
        <w:spacing w:line="360" w:lineRule="auto"/>
        <w:rPr>
          <w:rFonts w:hint="eastAsia"/>
          <w:sz w:val="24"/>
          <w:szCs w:val="32"/>
        </w:rPr>
      </w:pPr>
    </w:p>
    <w:p w14:paraId="452474B0">
      <w:pPr>
        <w:spacing w:line="360" w:lineRule="auto"/>
        <w:rPr>
          <w:rFonts w:hint="eastAsia"/>
          <w:sz w:val="24"/>
          <w:szCs w:val="32"/>
        </w:rPr>
      </w:pPr>
    </w:p>
    <w:p w14:paraId="4EF32016">
      <w:pPr>
        <w:spacing w:line="360" w:lineRule="auto"/>
        <w:rPr>
          <w:rFonts w:hint="eastAsia"/>
          <w:sz w:val="24"/>
          <w:szCs w:val="32"/>
        </w:rPr>
      </w:pPr>
    </w:p>
    <w:p w14:paraId="782D5CCB">
      <w:pPr>
        <w:spacing w:line="240" w:lineRule="auto"/>
        <w:rPr>
          <w:rFonts w:hint="eastAsia"/>
          <w:sz w:val="24"/>
          <w:szCs w:val="32"/>
        </w:rPr>
      </w:pPr>
      <w:bookmarkStart w:id="0" w:name="_GoBack"/>
      <w:bookmarkEnd w:id="0"/>
    </w:p>
    <w:p w14:paraId="19AA8FBE">
      <w:pPr>
        <w:spacing w:line="360" w:lineRule="auto"/>
        <w:rPr>
          <w:sz w:val="2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6B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1469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21469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23A9A"/>
    <w:multiLevelType w:val="singleLevel"/>
    <w:tmpl w:val="72B23A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F1A56"/>
    <w:rsid w:val="07155C37"/>
    <w:rsid w:val="0E792F4F"/>
    <w:rsid w:val="134F24D1"/>
    <w:rsid w:val="14645DD3"/>
    <w:rsid w:val="1F3F1A56"/>
    <w:rsid w:val="1F9C65D9"/>
    <w:rsid w:val="240F5DAD"/>
    <w:rsid w:val="27274567"/>
    <w:rsid w:val="2E3F3416"/>
    <w:rsid w:val="303E6B3F"/>
    <w:rsid w:val="318B7370"/>
    <w:rsid w:val="32FC65B8"/>
    <w:rsid w:val="3B650037"/>
    <w:rsid w:val="3C4B284C"/>
    <w:rsid w:val="43645D23"/>
    <w:rsid w:val="45EC57D9"/>
    <w:rsid w:val="4B2772B4"/>
    <w:rsid w:val="4CD86AB8"/>
    <w:rsid w:val="53BD07B5"/>
    <w:rsid w:val="5C56496F"/>
    <w:rsid w:val="60996106"/>
    <w:rsid w:val="6A2B4273"/>
    <w:rsid w:val="6A964802"/>
    <w:rsid w:val="6EF55764"/>
    <w:rsid w:val="7D35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2122</Words>
  <Characters>2464</Characters>
  <Lines>0</Lines>
  <Paragraphs>0</Paragraphs>
  <TotalTime>9</TotalTime>
  <ScaleCrop>false</ScaleCrop>
  <LinksUpToDate>false</LinksUpToDate>
  <CharactersWithSpaces>3054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2024-12-16T19:55:00Z</dcterms:created>
  <dc:creator>WPS_1460469467</dc:creator>
  <cp:lastModifiedBy>Echo</cp:lastModifiedBy>
  <dcterms:modified xsi:type="dcterms:W3CDTF">2025-03-04T04:55:16Z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C1EAF553701C46A9B6D88626DA10FABE_13</vt:lpwstr>
  </property>
  <property fmtid="{D5CDD505-2E9C-101B-9397-08002B2CF9AE}" pid="4" name="KSOTemplateDocerSaveRecord">
    <vt:lpwstr>eyJoZGlkIjoiZTk1MThlNjk3NGU1MWU0NzUzZTBjMDg4OWUzNDE1Y2QiLCJ1c2VySWQiOiI1MDMwNzEzNDgifQ==</vt:lpwstr>
  </property>
</Properties>
</file>