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2B4B8">
      <w:pPr>
        <w:pStyle w:val="2"/>
        <w:adjustRightInd w:val="0"/>
        <w:spacing w:before="0" w:after="0" w:line="360" w:lineRule="auto"/>
        <w:jc w:val="center"/>
        <w:rPr>
          <w:rFonts w:hint="eastAsia" w:ascii="宋体" w:hAnsi="宋体" w:cs="Arial"/>
          <w:color w:val="auto"/>
          <w:sz w:val="36"/>
          <w:szCs w:val="36"/>
          <w:highlight w:val="none"/>
        </w:rPr>
      </w:pPr>
      <w:bookmarkStart w:id="0" w:name="_Toc9012"/>
    </w:p>
    <w:p w14:paraId="7593CA2E">
      <w:pPr>
        <w:pStyle w:val="2"/>
        <w:adjustRightInd w:val="0"/>
        <w:spacing w:before="0" w:after="0" w:line="360" w:lineRule="auto"/>
        <w:jc w:val="center"/>
        <w:rPr>
          <w:rFonts w:hint="eastAsia" w:ascii="宋体" w:hAnsi="宋体" w:cs="Arial"/>
          <w:color w:val="auto"/>
          <w:sz w:val="36"/>
          <w:szCs w:val="36"/>
          <w:highlight w:val="none"/>
        </w:rPr>
      </w:pPr>
    </w:p>
    <w:p w14:paraId="548D69D6">
      <w:pPr>
        <w:pStyle w:val="2"/>
        <w:adjustRightInd w:val="0"/>
        <w:spacing w:before="0" w:after="0" w:line="360" w:lineRule="auto"/>
        <w:jc w:val="center"/>
        <w:rPr>
          <w:rFonts w:hint="eastAsia" w:ascii="宋体" w:hAnsi="宋体" w:cs="Arial"/>
          <w:color w:val="auto"/>
          <w:sz w:val="36"/>
          <w:szCs w:val="36"/>
          <w:highlight w:val="none"/>
        </w:rPr>
      </w:pPr>
    </w:p>
    <w:p w14:paraId="21089FD3">
      <w:pPr>
        <w:pStyle w:val="2"/>
        <w:adjustRightInd w:val="0"/>
        <w:spacing w:before="0" w:after="0" w:line="360" w:lineRule="auto"/>
        <w:jc w:val="center"/>
        <w:rPr>
          <w:rFonts w:hint="eastAsia" w:ascii="宋体" w:hAnsi="宋体" w:cs="Arial"/>
          <w:color w:val="auto"/>
          <w:sz w:val="36"/>
          <w:szCs w:val="36"/>
          <w:highlight w:val="none"/>
        </w:rPr>
      </w:pPr>
    </w:p>
    <w:p w14:paraId="70D01A74">
      <w:pPr>
        <w:pStyle w:val="2"/>
        <w:adjustRightInd w:val="0"/>
        <w:spacing w:before="0" w:after="0" w:line="360" w:lineRule="auto"/>
        <w:jc w:val="center"/>
        <w:rPr>
          <w:rFonts w:hint="eastAsia" w:ascii="宋体" w:hAnsi="宋体" w:cs="Arial"/>
          <w:color w:val="auto"/>
          <w:sz w:val="36"/>
          <w:szCs w:val="36"/>
          <w:highlight w:val="none"/>
        </w:rPr>
      </w:pPr>
    </w:p>
    <w:p w14:paraId="7743596C">
      <w:pPr>
        <w:pStyle w:val="2"/>
        <w:adjustRightInd w:val="0"/>
        <w:spacing w:before="0" w:after="0" w:line="360" w:lineRule="auto"/>
        <w:jc w:val="center"/>
        <w:rPr>
          <w:rFonts w:hint="eastAsia" w:ascii="宋体" w:hAnsi="宋体" w:cs="Arial"/>
          <w:color w:val="auto"/>
          <w:sz w:val="36"/>
          <w:szCs w:val="36"/>
          <w:highlight w:val="none"/>
        </w:rPr>
      </w:pPr>
    </w:p>
    <w:p w14:paraId="73C78023">
      <w:pPr>
        <w:pStyle w:val="2"/>
        <w:adjustRightInd w:val="0"/>
        <w:spacing w:before="0" w:after="0" w:line="360" w:lineRule="auto"/>
        <w:jc w:val="center"/>
        <w:rPr>
          <w:rFonts w:hint="eastAsia" w:ascii="宋体" w:hAnsi="宋体" w:cs="Arial"/>
          <w:color w:val="auto"/>
          <w:sz w:val="36"/>
          <w:szCs w:val="36"/>
          <w:highlight w:val="none"/>
        </w:rPr>
      </w:pPr>
    </w:p>
    <w:p w14:paraId="707F650E">
      <w:pPr>
        <w:pStyle w:val="2"/>
        <w:adjustRightInd w:val="0"/>
        <w:spacing w:before="0" w:after="0" w:line="360" w:lineRule="auto"/>
        <w:jc w:val="center"/>
        <w:rPr>
          <w:rFonts w:hint="eastAsia" w:ascii="宋体" w:hAnsi="宋体" w:cs="Arial"/>
          <w:color w:val="auto"/>
          <w:sz w:val="36"/>
          <w:szCs w:val="36"/>
          <w:highlight w:val="none"/>
        </w:rPr>
      </w:pPr>
    </w:p>
    <w:p w14:paraId="540B2913">
      <w:pPr>
        <w:pStyle w:val="2"/>
        <w:adjustRightInd w:val="0"/>
        <w:spacing w:before="0" w:after="0" w:line="360" w:lineRule="auto"/>
        <w:jc w:val="center"/>
        <w:rPr>
          <w:rFonts w:hint="eastAsia" w:ascii="宋体" w:hAnsi="宋体" w:cs="Arial"/>
          <w:color w:val="auto"/>
          <w:sz w:val="36"/>
          <w:szCs w:val="36"/>
          <w:highlight w:val="none"/>
        </w:rPr>
      </w:pPr>
    </w:p>
    <w:p w14:paraId="4990BFEB">
      <w:pPr>
        <w:pStyle w:val="2"/>
        <w:adjustRightInd w:val="0"/>
        <w:spacing w:before="0" w:after="0" w:line="360" w:lineRule="auto"/>
        <w:jc w:val="center"/>
        <w:rPr>
          <w:rFonts w:hint="eastAsia" w:ascii="宋体" w:hAnsi="宋体" w:cs="Arial"/>
          <w:color w:val="auto"/>
          <w:sz w:val="36"/>
          <w:szCs w:val="36"/>
          <w:highlight w:val="none"/>
        </w:rPr>
      </w:pPr>
    </w:p>
    <w:p w14:paraId="7F488399">
      <w:pPr>
        <w:pStyle w:val="2"/>
        <w:adjustRightInd w:val="0"/>
        <w:spacing w:before="0" w:after="0" w:line="360" w:lineRule="auto"/>
        <w:jc w:val="center"/>
        <w:rPr>
          <w:rFonts w:hint="eastAsia" w:ascii="宋体" w:hAnsi="宋体" w:cs="Arial"/>
          <w:color w:val="auto"/>
          <w:sz w:val="36"/>
          <w:szCs w:val="36"/>
          <w:highlight w:val="none"/>
        </w:rPr>
      </w:pPr>
    </w:p>
    <w:p w14:paraId="22768A4B">
      <w:pPr>
        <w:pStyle w:val="2"/>
        <w:adjustRightInd w:val="0"/>
        <w:spacing w:before="0" w:after="0" w:line="360" w:lineRule="auto"/>
        <w:jc w:val="center"/>
        <w:rPr>
          <w:rFonts w:hint="eastAsia" w:ascii="宋体" w:hAnsi="宋体" w:cs="Arial"/>
          <w:color w:val="auto"/>
          <w:sz w:val="36"/>
          <w:szCs w:val="36"/>
          <w:highlight w:val="none"/>
        </w:rPr>
      </w:pPr>
      <w:r>
        <w:rPr>
          <w:rFonts w:hint="eastAsia" w:ascii="宋体" w:hAnsi="宋体" w:cs="Arial"/>
          <w:color w:val="auto"/>
          <w:sz w:val="36"/>
          <w:szCs w:val="36"/>
          <w:highlight w:val="none"/>
        </w:rPr>
        <w:t>采购需求书</w:t>
      </w:r>
      <w:bookmarkEnd w:id="0"/>
    </w:p>
    <w:p w14:paraId="70E9503E">
      <w:pPr>
        <w:spacing w:line="360" w:lineRule="auto"/>
        <w:ind w:right="-135"/>
        <w:jc w:val="center"/>
        <w:rPr>
          <w:rFonts w:hint="eastAsia" w:ascii="宋体" w:hAnsi="宋体" w:cs="Arial"/>
          <w:b/>
          <w:color w:val="auto"/>
          <w:szCs w:val="21"/>
          <w:highlight w:val="none"/>
        </w:rPr>
        <w:sectPr>
          <w:footerReference r:id="rId5" w:type="default"/>
          <w:pgSz w:w="11907" w:h="16840" w:orient="landscape"/>
          <w:pgMar w:top="1418" w:right="1418" w:bottom="1418" w:left="1418" w:header="851" w:footer="992" w:gutter="0"/>
          <w:cols w:space="720" w:num="1"/>
          <w:docGrid w:linePitch="312" w:charSpace="0"/>
        </w:sectPr>
      </w:pPr>
    </w:p>
    <w:p w14:paraId="43ABF135">
      <w:pPr>
        <w:spacing w:line="360" w:lineRule="auto"/>
        <w:jc w:val="center"/>
        <w:rPr>
          <w:rFonts w:hint="eastAsia" w:ascii="宋体" w:hAnsi="宋体" w:cs="宋体"/>
          <w:b/>
          <w:bCs/>
          <w:color w:val="auto"/>
          <w:sz w:val="28"/>
          <w:szCs w:val="28"/>
          <w:highlight w:val="none"/>
        </w:rPr>
      </w:pPr>
    </w:p>
    <w:p w14:paraId="35CE7722">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采购需求编制说明</w:t>
      </w:r>
    </w:p>
    <w:p w14:paraId="2F660A90">
      <w:pPr>
        <w:pStyle w:val="39"/>
        <w:spacing w:line="360" w:lineRule="auto"/>
        <w:ind w:firstLine="440" w:firstLineChars="200"/>
        <w:jc w:val="left"/>
        <w:rPr>
          <w:rFonts w:eastAsia="PMingLiU"/>
          <w:color w:val="auto"/>
          <w:highlight w:val="none"/>
        </w:rPr>
      </w:pPr>
    </w:p>
    <w:p w14:paraId="15DC2EF7">
      <w:pPr>
        <w:pStyle w:val="3"/>
        <w:adjustRightInd w:val="0"/>
        <w:snapToGrid w:val="0"/>
        <w:spacing w:before="0" w:after="0" w:line="360" w:lineRule="auto"/>
        <w:rPr>
          <w:rFonts w:ascii="仿宋_GB2312" w:eastAsia="仿宋_GB2312" w:cs="Arial"/>
          <w:color w:val="auto"/>
          <w:sz w:val="21"/>
          <w:szCs w:val="21"/>
          <w:highlight w:val="none"/>
        </w:rPr>
      </w:pPr>
      <w:bookmarkStart w:id="1" w:name="_Toc455825364"/>
      <w:bookmarkStart w:id="2" w:name="_Toc13041024"/>
      <w:r>
        <w:rPr>
          <w:rFonts w:hint="eastAsia" w:ascii="仿宋_GB2312" w:eastAsia="仿宋_GB2312" w:cs="Arial"/>
          <w:color w:val="auto"/>
          <w:sz w:val="21"/>
          <w:szCs w:val="21"/>
          <w:highlight w:val="none"/>
        </w:rPr>
        <w:t>一、项目概况</w:t>
      </w:r>
      <w:bookmarkEnd w:id="1"/>
      <w:bookmarkEnd w:id="2"/>
    </w:p>
    <w:p w14:paraId="6F292CB2">
      <w:pPr>
        <w:widowControl/>
        <w:adjustRightInd w:val="0"/>
        <w:snapToGrid w:val="0"/>
        <w:spacing w:line="360" w:lineRule="auto"/>
        <w:ind w:left="40" w:leftChars="19" w:firstLine="444" w:firstLineChars="200"/>
        <w:jc w:val="left"/>
        <w:textAlignment w:val="bottom"/>
        <w:rPr>
          <w:rFonts w:hint="eastAsia"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因项目建设需要，采购信息化建设设备一批</w:t>
      </w:r>
      <w:r>
        <w:rPr>
          <w:rFonts w:hint="eastAsia" w:ascii="仿宋_GB2312" w:hAnsi="宋体" w:eastAsia="仿宋_GB2312" w:cs="宋体"/>
          <w:color w:val="auto"/>
          <w:spacing w:val="6"/>
          <w:kern w:val="0"/>
          <w:szCs w:val="21"/>
          <w:highlight w:val="none"/>
          <w:lang w:eastAsia="zh-CN"/>
        </w:rPr>
        <w:t>，</w:t>
      </w:r>
      <w:r>
        <w:rPr>
          <w:rFonts w:hint="eastAsia" w:ascii="仿宋_GB2312" w:hAnsi="宋体" w:eastAsia="仿宋_GB2312" w:cs="宋体"/>
          <w:color w:val="auto"/>
          <w:spacing w:val="6"/>
          <w:kern w:val="0"/>
          <w:szCs w:val="21"/>
          <w:highlight w:val="none"/>
          <w:lang w:val="en-US" w:eastAsia="zh-CN"/>
        </w:rPr>
        <w:t>预算金额为740000元</w:t>
      </w:r>
      <w:r>
        <w:rPr>
          <w:rFonts w:hint="eastAsia" w:ascii="仿宋_GB2312" w:hAnsi="宋体" w:eastAsia="仿宋_GB2312" w:cs="宋体"/>
          <w:color w:val="auto"/>
          <w:spacing w:val="6"/>
          <w:kern w:val="0"/>
          <w:szCs w:val="21"/>
          <w:highlight w:val="none"/>
        </w:rPr>
        <w:t>。</w:t>
      </w:r>
    </w:p>
    <w:p w14:paraId="606B678C">
      <w:pPr>
        <w:pStyle w:val="3"/>
        <w:adjustRightInd w:val="0"/>
        <w:snapToGrid w:val="0"/>
        <w:spacing w:before="0" w:after="0" w:line="360" w:lineRule="auto"/>
        <w:rPr>
          <w:rFonts w:ascii="仿宋_GB2312" w:eastAsia="仿宋_GB2312" w:cs="Arial"/>
          <w:color w:val="auto"/>
          <w:sz w:val="21"/>
          <w:szCs w:val="21"/>
          <w:highlight w:val="none"/>
        </w:rPr>
      </w:pPr>
      <w:bookmarkStart w:id="3" w:name="_Toc455825365"/>
      <w:bookmarkStart w:id="4" w:name="_Toc13041025"/>
      <w:r>
        <w:rPr>
          <w:rFonts w:hint="eastAsia" w:ascii="仿宋_GB2312" w:eastAsia="仿宋_GB2312" w:cs="Arial"/>
          <w:color w:val="auto"/>
          <w:sz w:val="21"/>
          <w:szCs w:val="21"/>
          <w:highlight w:val="none"/>
        </w:rPr>
        <w:t>二、项目内容</w:t>
      </w:r>
      <w:bookmarkEnd w:id="3"/>
      <w:bookmarkEnd w:id="4"/>
      <w:bookmarkStart w:id="13" w:name="_GoBack"/>
      <w:bookmarkEnd w:id="13"/>
    </w:p>
    <w:p w14:paraId="55098F81">
      <w:pPr>
        <w:widowControl/>
        <w:adjustRightInd w:val="0"/>
        <w:snapToGrid w:val="0"/>
        <w:spacing w:line="360" w:lineRule="auto"/>
        <w:ind w:left="40" w:leftChars="19" w:firstLine="444" w:firstLineChars="200"/>
        <w:jc w:val="left"/>
        <w:textAlignment w:val="bottom"/>
        <w:rPr>
          <w:rFonts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采购信息化建设设备一批。</w:t>
      </w:r>
    </w:p>
    <w:p w14:paraId="46688AAB">
      <w:pPr>
        <w:pStyle w:val="3"/>
        <w:adjustRightInd w:val="0"/>
        <w:snapToGrid w:val="0"/>
        <w:spacing w:before="0" w:after="0" w:line="360" w:lineRule="auto"/>
        <w:rPr>
          <w:rFonts w:hint="eastAsia" w:ascii="仿宋_GB2312" w:eastAsia="仿宋_GB2312" w:cs="Arial"/>
          <w:color w:val="auto"/>
          <w:sz w:val="21"/>
          <w:szCs w:val="21"/>
          <w:highlight w:val="none"/>
          <w:lang w:val="en-US" w:eastAsia="zh-CN"/>
        </w:rPr>
      </w:pPr>
      <w:bookmarkStart w:id="5" w:name="_Toc13041026"/>
      <w:bookmarkStart w:id="6" w:name="_Toc455825366"/>
      <w:r>
        <w:rPr>
          <w:rFonts w:hint="eastAsia" w:ascii="仿宋_GB2312" w:eastAsia="仿宋_GB2312" w:cs="Arial"/>
          <w:color w:val="auto"/>
          <w:sz w:val="21"/>
          <w:szCs w:val="21"/>
          <w:highlight w:val="none"/>
        </w:rPr>
        <w:t>三、</w:t>
      </w:r>
      <w:bookmarkEnd w:id="5"/>
      <w:bookmarkEnd w:id="6"/>
      <w:r>
        <w:rPr>
          <w:rFonts w:hint="eastAsia" w:ascii="仿宋_GB2312" w:eastAsia="仿宋_GB2312" w:cs="Arial"/>
          <w:color w:val="auto"/>
          <w:sz w:val="21"/>
          <w:szCs w:val="21"/>
          <w:highlight w:val="none"/>
          <w:lang w:val="en-US" w:eastAsia="zh-CN"/>
        </w:rPr>
        <w:t>交货时间</w:t>
      </w:r>
    </w:p>
    <w:p w14:paraId="4AEEFF65">
      <w:pPr>
        <w:spacing w:line="360" w:lineRule="auto"/>
        <w:ind w:firstLine="403"/>
        <w:jc w:val="left"/>
        <w:rPr>
          <w:rFonts w:ascii="仿宋" w:hAnsi="仿宋" w:eastAsia="仿宋" w:cs="宋体"/>
          <w:color w:val="auto"/>
          <w:kern w:val="1"/>
          <w:highlight w:val="none"/>
          <w:shd w:val="clear" w:color="auto" w:fill="FFFFFF"/>
        </w:rPr>
      </w:pPr>
      <w:r>
        <w:rPr>
          <w:rFonts w:hint="eastAsia" w:ascii="仿宋" w:hAnsi="仿宋" w:eastAsia="仿宋" w:cs="宋体"/>
          <w:color w:val="auto"/>
          <w:kern w:val="1"/>
          <w:highlight w:val="none"/>
          <w:shd w:val="clear" w:color="auto" w:fill="FFFFFF"/>
        </w:rPr>
        <w:t>自</w:t>
      </w:r>
      <w:r>
        <w:rPr>
          <w:rFonts w:hint="eastAsia" w:ascii="仿宋" w:hAnsi="仿宋" w:eastAsia="仿宋" w:cs="宋体"/>
          <w:color w:val="auto"/>
          <w:kern w:val="1"/>
          <w:highlight w:val="none"/>
          <w:shd w:val="clear" w:color="auto" w:fill="FFFFFF"/>
          <w:lang w:val="en-US" w:eastAsia="zh-CN"/>
        </w:rPr>
        <w:t>签订合同之日起10</w:t>
      </w:r>
      <w:r>
        <w:rPr>
          <w:rFonts w:hint="eastAsia" w:ascii="仿宋" w:hAnsi="仿宋" w:eastAsia="仿宋" w:cs="宋体"/>
          <w:color w:val="auto"/>
          <w:kern w:val="1"/>
          <w:highlight w:val="none"/>
          <w:shd w:val="clear" w:color="auto" w:fill="FFFFFF"/>
        </w:rPr>
        <w:t>个</w:t>
      </w:r>
      <w:r>
        <w:rPr>
          <w:rFonts w:hint="eastAsia" w:ascii="仿宋" w:hAnsi="仿宋" w:eastAsia="仿宋" w:cs="宋体"/>
          <w:color w:val="auto"/>
          <w:kern w:val="1"/>
          <w:highlight w:val="none"/>
          <w:shd w:val="clear" w:color="auto" w:fill="FFFFFF"/>
          <w:lang w:val="en-US" w:eastAsia="zh-CN"/>
        </w:rPr>
        <w:t>工作</w:t>
      </w:r>
      <w:r>
        <w:rPr>
          <w:rFonts w:hint="eastAsia" w:ascii="仿宋" w:hAnsi="仿宋" w:eastAsia="仿宋" w:cs="宋体"/>
          <w:color w:val="auto"/>
          <w:kern w:val="1"/>
          <w:highlight w:val="none"/>
          <w:shd w:val="clear" w:color="auto" w:fill="FFFFFF"/>
        </w:rPr>
        <w:t>日。</w:t>
      </w:r>
    </w:p>
    <w:p w14:paraId="0EDDF19C">
      <w:pPr>
        <w:pStyle w:val="3"/>
        <w:adjustRightInd w:val="0"/>
        <w:snapToGrid w:val="0"/>
        <w:spacing w:before="0" w:after="0" w:line="360" w:lineRule="auto"/>
        <w:rPr>
          <w:rFonts w:ascii="仿宋_GB2312" w:eastAsia="仿宋_GB2312" w:cs="Arial"/>
          <w:color w:val="auto"/>
          <w:sz w:val="21"/>
          <w:szCs w:val="21"/>
          <w:highlight w:val="none"/>
        </w:rPr>
      </w:pPr>
      <w:bookmarkStart w:id="7" w:name="_Toc455825367"/>
      <w:bookmarkStart w:id="8" w:name="_Toc13041027"/>
      <w:r>
        <w:rPr>
          <w:rFonts w:hint="eastAsia" w:ascii="仿宋_GB2312" w:eastAsia="仿宋_GB2312" w:cs="Arial"/>
          <w:color w:val="auto"/>
          <w:sz w:val="21"/>
          <w:szCs w:val="21"/>
          <w:highlight w:val="none"/>
        </w:rPr>
        <w:t>四、技术标准</w:t>
      </w:r>
      <w:bookmarkEnd w:id="7"/>
      <w:bookmarkEnd w:id="8"/>
    </w:p>
    <w:p w14:paraId="6F720B69">
      <w:pPr>
        <w:widowControl/>
        <w:adjustRightInd w:val="0"/>
        <w:snapToGrid w:val="0"/>
        <w:spacing w:line="360" w:lineRule="auto"/>
        <w:ind w:left="40" w:leftChars="19" w:firstLine="444" w:firstLineChars="200"/>
        <w:jc w:val="left"/>
        <w:textAlignment w:val="bottom"/>
        <w:rPr>
          <w:rFonts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（1）本项目应符合国家或行业的质量检验评定标准。</w:t>
      </w:r>
    </w:p>
    <w:p w14:paraId="1554DEA3">
      <w:pPr>
        <w:widowControl/>
        <w:adjustRightInd w:val="0"/>
        <w:snapToGrid w:val="0"/>
        <w:spacing w:line="360" w:lineRule="auto"/>
        <w:ind w:left="40" w:leftChars="19" w:firstLine="444" w:firstLineChars="200"/>
        <w:jc w:val="left"/>
        <w:textAlignment w:val="bottom"/>
        <w:rPr>
          <w:rFonts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（2）建设单位对本次招标要求的质量标准为：合格。</w:t>
      </w:r>
    </w:p>
    <w:p w14:paraId="4FB7006A">
      <w:pPr>
        <w:widowControl/>
        <w:adjustRightInd w:val="0"/>
        <w:snapToGrid w:val="0"/>
        <w:spacing w:line="360" w:lineRule="auto"/>
        <w:ind w:left="40" w:leftChars="19" w:firstLine="444" w:firstLineChars="200"/>
        <w:jc w:val="left"/>
        <w:textAlignment w:val="bottom"/>
        <w:rPr>
          <w:rFonts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（3）本项目除按上述质量要求外，应遵守有关的国家规范及当地政府相关部门的有关规定：</w:t>
      </w:r>
    </w:p>
    <w:p w14:paraId="650DB514">
      <w:pPr>
        <w:pStyle w:val="3"/>
        <w:adjustRightInd w:val="0"/>
        <w:snapToGrid w:val="0"/>
        <w:spacing w:before="0" w:after="0" w:line="360" w:lineRule="auto"/>
        <w:rPr>
          <w:rFonts w:ascii="仿宋_GB2312" w:eastAsia="仿宋_GB2312" w:cs="Arial"/>
          <w:color w:val="auto"/>
          <w:sz w:val="21"/>
          <w:szCs w:val="21"/>
          <w:highlight w:val="none"/>
        </w:rPr>
      </w:pPr>
      <w:bookmarkStart w:id="9" w:name="_Toc13041028"/>
      <w:bookmarkStart w:id="10" w:name="_Toc455825368"/>
      <w:r>
        <w:rPr>
          <w:rFonts w:hint="eastAsia" w:ascii="仿宋_GB2312" w:eastAsia="仿宋_GB2312" w:cs="Arial"/>
          <w:color w:val="auto"/>
          <w:sz w:val="21"/>
          <w:szCs w:val="21"/>
          <w:highlight w:val="none"/>
        </w:rPr>
        <w:t>五、验收</w:t>
      </w:r>
      <w:bookmarkEnd w:id="9"/>
      <w:bookmarkEnd w:id="10"/>
    </w:p>
    <w:p w14:paraId="2A1A1813">
      <w:pPr>
        <w:spacing w:line="500" w:lineRule="exact"/>
        <w:ind w:firstLine="444" w:firstLineChars="200"/>
        <w:rPr>
          <w:rFonts w:ascii="仿宋_GB2312" w:hAnsi="宋体" w:eastAsia="仿宋_GB2312" w:cs="宋体"/>
          <w:color w:val="auto"/>
          <w:spacing w:val="6"/>
          <w:kern w:val="0"/>
          <w:szCs w:val="21"/>
          <w:highlight w:val="none"/>
        </w:rPr>
      </w:pPr>
      <w:r>
        <w:rPr>
          <w:rFonts w:hint="eastAsia" w:ascii="仿宋_GB2312" w:hAnsi="宋体" w:eastAsia="仿宋_GB2312" w:cs="宋体"/>
          <w:color w:val="auto"/>
          <w:spacing w:val="6"/>
          <w:kern w:val="0"/>
          <w:szCs w:val="21"/>
          <w:highlight w:val="none"/>
        </w:rPr>
        <w:t>验收条件及标准：中标人必须提供原装正品的、全新的、符合有关质量标准的产品。设备到货安装后，招标人现场根据国家标准、招标文件要求及投标文件承诺逐条对应进行核验，如验收不合格，中标人应按照招标文件承诺进行更换、调试，直至达到招标文件要求为止。</w:t>
      </w:r>
    </w:p>
    <w:p w14:paraId="306E4652">
      <w:pPr>
        <w:pStyle w:val="3"/>
        <w:adjustRightInd w:val="0"/>
        <w:snapToGrid w:val="0"/>
        <w:spacing w:before="0" w:after="0" w:line="360" w:lineRule="auto"/>
        <w:rPr>
          <w:rFonts w:ascii="仿宋_GB2312" w:eastAsia="仿宋_GB2312" w:cs="Arial"/>
          <w:color w:val="auto"/>
          <w:sz w:val="21"/>
          <w:szCs w:val="21"/>
          <w:highlight w:val="none"/>
        </w:rPr>
      </w:pPr>
      <w:bookmarkStart w:id="11" w:name="_Toc13041029"/>
      <w:bookmarkStart w:id="12" w:name="_Toc455825369"/>
      <w:r>
        <w:rPr>
          <w:rFonts w:hint="eastAsia" w:ascii="仿宋_GB2312" w:eastAsia="仿宋_GB2312" w:cs="Arial"/>
          <w:color w:val="auto"/>
          <w:sz w:val="21"/>
          <w:szCs w:val="21"/>
          <w:highlight w:val="none"/>
        </w:rPr>
        <w:t>六、其他要求</w:t>
      </w:r>
      <w:bookmarkEnd w:id="11"/>
      <w:bookmarkEnd w:id="12"/>
    </w:p>
    <w:p w14:paraId="726FB1B7">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仿宋" w:eastAsia="仿宋_GB2312" w:cs="仿宋"/>
          <w:color w:val="auto"/>
          <w:kern w:val="21"/>
          <w:szCs w:val="28"/>
          <w:highlight w:val="none"/>
        </w:rPr>
        <w:t>标识“★”的技术及商务要求必须满足，不满足视为投标无效。</w:t>
      </w:r>
    </w:p>
    <w:p w14:paraId="5FF45543">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宋体" w:eastAsia="仿宋_GB2312"/>
          <w:color w:val="auto"/>
          <w:szCs w:val="24"/>
          <w:highlight w:val="none"/>
        </w:rPr>
        <w:t>★</w:t>
      </w:r>
      <w:r>
        <w:rPr>
          <w:rFonts w:hint="eastAsia" w:ascii="仿宋_GB2312" w:hAnsi="宋体" w:eastAsia="仿宋_GB2312" w:cs="Arial"/>
          <w:color w:val="auto"/>
          <w:szCs w:val="21"/>
          <w:highlight w:val="none"/>
        </w:rPr>
        <w:t>投标报价为招标人指定地点的现场交货价，包括：</w:t>
      </w:r>
    </w:p>
    <w:p w14:paraId="015509DB">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货物的价格；</w:t>
      </w:r>
    </w:p>
    <w:p w14:paraId="0A8E8940">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货物的标准附件、备品备件、专用工具的价格；</w:t>
      </w:r>
    </w:p>
    <w:p w14:paraId="20C1AAE3">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运输、装卸、调试、培训、技术支持、系统设计及售后服务等费用；</w:t>
      </w:r>
    </w:p>
    <w:p w14:paraId="6F7B2CED">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必要的保险费用和各项税费；</w:t>
      </w:r>
    </w:p>
    <w:p w14:paraId="23F3AB05">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包括安装费用；</w:t>
      </w:r>
    </w:p>
    <w:p w14:paraId="0B1889AE">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含整个项目所有需要的设备、外设、线缆、管材及埋管并完成所有工程和服务，以及施工时对装饰面、其它专业造成的破坏进行修补等及其他所有成本及合同包含的应有环保、文明施工、安全施工、风险费、责任等费用；</w:t>
      </w:r>
    </w:p>
    <w:p w14:paraId="4583D2F5">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包含软件定制费用，接口开发费用（包含信号源接口音视频采集、传输，中控接口协议编码转发，坐席终端管控，大屏信号接口对接及显示区域划分）；</w:t>
      </w:r>
    </w:p>
    <w:p w14:paraId="2FFFCEFD">
      <w:pPr>
        <w:numPr>
          <w:ilvl w:val="0"/>
          <w:numId w:val="2"/>
        </w:numPr>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包含项目通过最终验收产生的费用。</w:t>
      </w:r>
    </w:p>
    <w:p w14:paraId="2375945B">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宋体" w:eastAsia="仿宋_GB2312"/>
          <w:color w:val="auto"/>
          <w:szCs w:val="24"/>
          <w:highlight w:val="none"/>
        </w:rPr>
        <w:t>★</w:t>
      </w:r>
      <w:r>
        <w:rPr>
          <w:rFonts w:hint="eastAsia" w:ascii="仿宋_GB2312" w:hAnsi="宋体" w:eastAsia="仿宋_GB2312" w:cs="Arial"/>
          <w:color w:val="auto"/>
          <w:szCs w:val="21"/>
          <w:highlight w:val="none"/>
        </w:rPr>
        <w:t>投标人对本项目提供软硬件壹年的免费质保服务、运维服务等，能够提供7*24小时电话技术支持。</w:t>
      </w:r>
    </w:p>
    <w:p w14:paraId="6C841061">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宋体" w:eastAsia="仿宋_GB2312"/>
          <w:color w:val="auto"/>
          <w:szCs w:val="24"/>
          <w:highlight w:val="none"/>
        </w:rPr>
        <w:t>★本</w:t>
      </w:r>
      <w:r>
        <w:rPr>
          <w:rFonts w:hint="eastAsia" w:ascii="仿宋_GB2312" w:hAnsi="宋体" w:eastAsia="仿宋_GB2312" w:cs="Arial"/>
          <w:color w:val="auto"/>
          <w:szCs w:val="21"/>
          <w:highlight w:val="none"/>
        </w:rPr>
        <w:t>项目交付后。提供故障类型分级响应机制，在接到系统故障报修通知后，一般故障1小时内提出解决方案、24</w:t>
      </w:r>
      <w:r>
        <w:rPr>
          <w:rFonts w:ascii="仿宋_GB2312" w:hAnsi="宋体" w:eastAsia="仿宋_GB2312" w:cs="Arial"/>
          <w:color w:val="auto"/>
          <w:szCs w:val="21"/>
          <w:highlight w:val="none"/>
        </w:rPr>
        <w:t>小时内修复。重大故障8小时内提出方案，48小时内修复，不可抗拒因素造成的故障除外。投标人须做出无推诿承诺，即投标人应提供特殊措施，无论由于哪一方产生的问题而使整体系统发生不正常情况时，在得到用户通知后，全力协助招标方尽快恢复系统正常运行。每次重大故障解决后的4小时内提交《重大故障报告》。</w:t>
      </w:r>
    </w:p>
    <w:p w14:paraId="21639192">
      <w:pPr>
        <w:adjustRightInd w:val="0"/>
        <w:snapToGrid w:val="0"/>
        <w:spacing w:line="360" w:lineRule="auto"/>
        <w:ind w:left="360"/>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备注：</w:t>
      </w:r>
      <w:r>
        <w:rPr>
          <w:rFonts w:ascii="仿宋_GB2312" w:hAnsi="宋体" w:eastAsia="仿宋_GB2312" w:cs="Arial"/>
          <w:color w:val="auto"/>
          <w:szCs w:val="21"/>
          <w:highlight w:val="none"/>
        </w:rPr>
        <w:t>1）一般故障：硬件类前端单点故障、软件类单用户故障；2）重大故障：任何影响系统运行，造成业务中断的问题。</w:t>
      </w:r>
    </w:p>
    <w:p w14:paraId="34C3218B">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宋体" w:eastAsia="仿宋_GB2312"/>
          <w:color w:val="auto"/>
          <w:szCs w:val="24"/>
          <w:highlight w:val="none"/>
        </w:rPr>
        <w:t>★</w:t>
      </w:r>
      <w:r>
        <w:rPr>
          <w:rFonts w:hint="eastAsia" w:ascii="仿宋_GB2312" w:hAnsi="仿宋" w:eastAsia="仿宋_GB2312" w:cs="仿宋"/>
          <w:color w:val="auto"/>
          <w:kern w:val="21"/>
          <w:szCs w:val="28"/>
          <w:highlight w:val="none"/>
        </w:rPr>
        <w:t>投标人在广西区内成立专业的服务保障和技术支持队伍，以保证项目实施的服务质量和售后快速响应。技术支持队伍不少于10人。（机构有效期须包含整个质保期或者提供与第三方单位签订的合作协议，合作期限须包含整个质保期）</w:t>
      </w:r>
      <w:r>
        <w:rPr>
          <w:rFonts w:ascii="仿宋_GB2312" w:hAnsi="仿宋" w:eastAsia="仿宋_GB2312" w:cs="仿宋"/>
          <w:color w:val="auto"/>
          <w:kern w:val="21"/>
          <w:szCs w:val="28"/>
          <w:highlight w:val="none"/>
        </w:rPr>
        <w:t>。</w:t>
      </w:r>
    </w:p>
    <w:p w14:paraId="1021DB71">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培训要求：提供所有系统和设备操作使用和日常维护的现场培训。4</w:t>
      </w:r>
    </w:p>
    <w:p w14:paraId="02BF4F92">
      <w:pPr>
        <w:numPr>
          <w:ilvl w:val="0"/>
          <w:numId w:val="1"/>
        </w:numPr>
        <w:adjustRightInd w:val="0"/>
        <w:snapToGrid w:val="0"/>
        <w:spacing w:line="360" w:lineRule="auto"/>
        <w:rPr>
          <w:rFonts w:ascii="仿宋_GB2312" w:hAnsi="宋体" w:eastAsia="仿宋_GB2312" w:cs="Arial"/>
          <w:color w:val="auto"/>
          <w:szCs w:val="21"/>
          <w:highlight w:val="none"/>
        </w:rPr>
      </w:pPr>
      <w:r>
        <w:rPr>
          <w:rFonts w:hint="eastAsia" w:ascii="宋体" w:hAnsi="宋体" w:cs="仿宋"/>
          <w:color w:val="auto"/>
          <w:kern w:val="0"/>
          <w:szCs w:val="21"/>
          <w:highlight w:val="none"/>
        </w:rPr>
        <w:t>诚信要求：</w:t>
      </w:r>
      <w:r>
        <w:rPr>
          <w:rFonts w:hint="eastAsia" w:ascii="宋体" w:hAnsi="宋体" w:cs="仿宋"/>
          <w:bCs/>
          <w:color w:val="auto"/>
          <w:szCs w:val="21"/>
          <w:highlight w:val="none"/>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p w14:paraId="3CC1C01E">
      <w:pPr>
        <w:numPr>
          <w:ilvl w:val="0"/>
          <w:numId w:val="1"/>
        </w:numPr>
        <w:adjustRightInd w:val="0"/>
        <w:snapToGrid w:val="0"/>
        <w:spacing w:line="360" w:lineRule="auto"/>
        <w:rPr>
          <w:rFonts w:ascii="宋体" w:hAnsi="宋体"/>
          <w:color w:val="auto"/>
          <w:szCs w:val="24"/>
          <w:highlight w:val="none"/>
        </w:rPr>
      </w:pPr>
      <w:r>
        <w:rPr>
          <w:rFonts w:hint="eastAsia" w:ascii="仿宋_GB2312" w:hAnsi="宋体" w:eastAsia="仿宋_GB2312"/>
          <w:color w:val="auto"/>
          <w:szCs w:val="24"/>
          <w:highlight w:val="none"/>
        </w:rPr>
        <w:t>★</w:t>
      </w:r>
      <w:r>
        <w:rPr>
          <w:rFonts w:hint="eastAsia" w:ascii="仿宋_GB2312" w:hAnsi="宋体" w:eastAsia="仿宋_GB2312" w:cs="Arial"/>
          <w:color w:val="auto"/>
          <w:szCs w:val="21"/>
          <w:highlight w:val="none"/>
        </w:rPr>
        <w:t>对中标人的要求：为保证本项目的整体性和完整性，属于本项目必须配备但在采购需求中未详尽列出的相关设备、设施（如接口设备、缆线、软件等）在合同金额范围内，均必须由中标人免费提供。</w:t>
      </w:r>
    </w:p>
    <w:p w14:paraId="13E4705B">
      <w:pPr>
        <w:adjustRightInd w:val="0"/>
        <w:snapToGrid w:val="0"/>
        <w:spacing w:line="360" w:lineRule="auto"/>
        <w:rPr>
          <w:rFonts w:ascii="宋体" w:hAnsi="宋体"/>
          <w:color w:val="auto"/>
          <w:szCs w:val="24"/>
          <w:highlight w:val="none"/>
        </w:rPr>
      </w:pPr>
    </w:p>
    <w:p w14:paraId="19D596A7">
      <w:pPr>
        <w:adjustRightInd w:val="0"/>
        <w:snapToGrid w:val="0"/>
        <w:spacing w:line="360" w:lineRule="auto"/>
        <w:rPr>
          <w:rFonts w:ascii="宋体" w:hAnsi="宋体"/>
          <w:color w:val="auto"/>
          <w:szCs w:val="24"/>
          <w:highlight w:val="none"/>
        </w:rPr>
      </w:pPr>
    </w:p>
    <w:p w14:paraId="43FF078A">
      <w:pPr>
        <w:adjustRightInd w:val="0"/>
        <w:snapToGrid w:val="0"/>
        <w:spacing w:line="360" w:lineRule="auto"/>
        <w:rPr>
          <w:rFonts w:ascii="宋体" w:hAnsi="宋体"/>
          <w:color w:val="auto"/>
          <w:szCs w:val="24"/>
          <w:highlight w:val="none"/>
        </w:rPr>
      </w:pPr>
    </w:p>
    <w:p w14:paraId="73FD3390">
      <w:pPr>
        <w:adjustRightInd w:val="0"/>
        <w:snapToGrid w:val="0"/>
        <w:spacing w:line="360" w:lineRule="auto"/>
        <w:rPr>
          <w:rFonts w:ascii="宋体" w:hAnsi="宋体"/>
          <w:color w:val="auto"/>
          <w:szCs w:val="24"/>
          <w:highlight w:val="none"/>
        </w:rPr>
      </w:pPr>
    </w:p>
    <w:p w14:paraId="7D73C238">
      <w:pPr>
        <w:adjustRightInd w:val="0"/>
        <w:snapToGrid w:val="0"/>
        <w:spacing w:line="360" w:lineRule="auto"/>
        <w:rPr>
          <w:rFonts w:ascii="宋体" w:hAnsi="宋体"/>
          <w:color w:val="auto"/>
          <w:szCs w:val="24"/>
          <w:highlight w:val="none"/>
        </w:rPr>
      </w:pPr>
    </w:p>
    <w:p w14:paraId="729F198E">
      <w:pPr>
        <w:adjustRightInd w:val="0"/>
        <w:snapToGrid w:val="0"/>
        <w:spacing w:line="360" w:lineRule="auto"/>
        <w:rPr>
          <w:rFonts w:ascii="宋体" w:hAnsi="宋体"/>
          <w:color w:val="auto"/>
          <w:szCs w:val="24"/>
          <w:highlight w:val="none"/>
        </w:rPr>
      </w:pPr>
    </w:p>
    <w:p w14:paraId="7D282BDF">
      <w:pPr>
        <w:adjustRightInd w:val="0"/>
        <w:snapToGrid w:val="0"/>
        <w:spacing w:line="360" w:lineRule="auto"/>
        <w:rPr>
          <w:rFonts w:ascii="宋体" w:hAnsi="宋体"/>
          <w:color w:val="auto"/>
          <w:szCs w:val="24"/>
          <w:highlight w:val="none"/>
        </w:rPr>
      </w:pPr>
    </w:p>
    <w:p w14:paraId="0F8E7454">
      <w:pPr>
        <w:adjustRightInd w:val="0"/>
        <w:snapToGrid w:val="0"/>
        <w:spacing w:line="360" w:lineRule="auto"/>
        <w:rPr>
          <w:rFonts w:ascii="宋体" w:hAnsi="宋体"/>
          <w:color w:val="auto"/>
          <w:szCs w:val="24"/>
          <w:highlight w:val="none"/>
        </w:rPr>
      </w:pPr>
    </w:p>
    <w:p w14:paraId="6018D6F5">
      <w:pPr>
        <w:adjustRightInd w:val="0"/>
        <w:snapToGrid w:val="0"/>
        <w:spacing w:line="360" w:lineRule="auto"/>
        <w:rPr>
          <w:rFonts w:ascii="宋体" w:hAnsi="宋体"/>
          <w:color w:val="auto"/>
          <w:szCs w:val="24"/>
          <w:highlight w:val="none"/>
        </w:rPr>
      </w:pPr>
    </w:p>
    <w:p w14:paraId="1FFFB9FB">
      <w:pPr>
        <w:adjustRightInd w:val="0"/>
        <w:snapToGrid w:val="0"/>
        <w:spacing w:line="360" w:lineRule="auto"/>
        <w:rPr>
          <w:rFonts w:ascii="宋体" w:hAnsi="宋体"/>
          <w:color w:val="auto"/>
          <w:szCs w:val="24"/>
          <w:highlight w:val="none"/>
        </w:rPr>
      </w:pPr>
    </w:p>
    <w:p w14:paraId="5E6FF8F9">
      <w:pPr>
        <w:numPr>
          <w:ilvl w:val="0"/>
          <w:numId w:val="0"/>
        </w:numPr>
        <w:adjustRightInd w:val="0"/>
        <w:snapToGrid w:val="0"/>
        <w:spacing w:line="360" w:lineRule="auto"/>
        <w:ind w:leftChars="0"/>
        <w:jc w:val="center"/>
        <w:rPr>
          <w:rFonts w:ascii="仿宋_GB2312" w:hAnsi="宋体" w:eastAsia="仿宋_GB2312" w:cs="Arial"/>
          <w:color w:val="auto"/>
          <w:szCs w:val="21"/>
          <w:highlight w:val="none"/>
        </w:rPr>
      </w:pPr>
      <w:r>
        <w:rPr>
          <w:rFonts w:hint="eastAsia" w:ascii="宋体" w:hAnsi="宋体"/>
          <w:color w:val="auto"/>
          <w:szCs w:val="24"/>
          <w:lang w:val="en-US" w:eastAsia="zh-CN"/>
        </w:rPr>
        <w:t>采购需求清单</w:t>
      </w:r>
    </w:p>
    <w:tbl>
      <w:tblPr>
        <w:tblStyle w:val="16"/>
        <w:tblW w:w="0" w:type="auto"/>
        <w:tblInd w:w="113" w:type="dxa"/>
        <w:tblLayout w:type="autofit"/>
        <w:tblCellMar>
          <w:top w:w="0" w:type="dxa"/>
          <w:left w:w="108" w:type="dxa"/>
          <w:bottom w:w="0" w:type="dxa"/>
          <w:right w:w="108" w:type="dxa"/>
        </w:tblCellMar>
      </w:tblPr>
      <w:tblGrid>
        <w:gridCol w:w="417"/>
        <w:gridCol w:w="470"/>
        <w:gridCol w:w="1220"/>
        <w:gridCol w:w="5160"/>
        <w:gridCol w:w="417"/>
        <w:gridCol w:w="725"/>
      </w:tblGrid>
      <w:tr w14:paraId="4D5B560A">
        <w:tblPrEx>
          <w:tblCellMar>
            <w:top w:w="0" w:type="dxa"/>
            <w:left w:w="108" w:type="dxa"/>
            <w:bottom w:w="0" w:type="dxa"/>
            <w:right w:w="108" w:type="dxa"/>
          </w:tblCellMar>
        </w:tblPrEx>
        <w:trPr>
          <w:trHeight w:val="3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15718F">
            <w:pPr>
              <w:widowControl/>
              <w:jc w:val="left"/>
              <w:rPr>
                <w:rFonts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1266CE30">
            <w:pPr>
              <w:widowControl/>
              <w:jc w:val="left"/>
              <w:rPr>
                <w:rFonts w:hint="eastAsia"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　</w:t>
            </w:r>
          </w:p>
        </w:tc>
        <w:tc>
          <w:tcPr>
            <w:tcW w:w="0" w:type="auto"/>
            <w:tcBorders>
              <w:top w:val="single" w:color="auto" w:sz="4" w:space="0"/>
              <w:left w:val="nil"/>
              <w:bottom w:val="single" w:color="auto" w:sz="4" w:space="0"/>
              <w:right w:val="single" w:color="auto" w:sz="4" w:space="0"/>
            </w:tcBorders>
            <w:shd w:val="clear" w:color="auto" w:fill="auto"/>
            <w:vAlign w:val="center"/>
          </w:tcPr>
          <w:p w14:paraId="200636E1">
            <w:pPr>
              <w:widowControl/>
              <w:jc w:val="left"/>
              <w:rPr>
                <w:rFonts w:hint="eastAsia"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设备名称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04222912">
            <w:pPr>
              <w:widowControl/>
              <w:jc w:val="left"/>
              <w:rPr>
                <w:rFonts w:hint="eastAsia"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规格描述</w:t>
            </w:r>
          </w:p>
        </w:tc>
        <w:tc>
          <w:tcPr>
            <w:tcW w:w="0" w:type="auto"/>
            <w:tcBorders>
              <w:top w:val="single" w:color="auto" w:sz="4" w:space="0"/>
              <w:left w:val="nil"/>
              <w:bottom w:val="single" w:color="auto" w:sz="4" w:space="0"/>
              <w:right w:val="nil"/>
            </w:tcBorders>
            <w:shd w:val="clear" w:color="auto" w:fill="auto"/>
            <w:vAlign w:val="center"/>
          </w:tcPr>
          <w:p w14:paraId="539C54E0">
            <w:pPr>
              <w:widowControl/>
              <w:jc w:val="left"/>
              <w:rPr>
                <w:rFonts w:hint="eastAsia"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99A433">
            <w:pPr>
              <w:widowControl/>
              <w:jc w:val="left"/>
              <w:rPr>
                <w:rFonts w:hint="eastAsia"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数量</w:t>
            </w:r>
          </w:p>
        </w:tc>
      </w:tr>
      <w:tr w14:paraId="5F9B430F">
        <w:tblPrEx>
          <w:tblCellMar>
            <w:top w:w="0" w:type="dxa"/>
            <w:left w:w="108" w:type="dxa"/>
            <w:bottom w:w="0" w:type="dxa"/>
            <w:right w:w="108" w:type="dxa"/>
          </w:tblCellMar>
        </w:tblPrEx>
        <w:trPr>
          <w:trHeight w:val="364" w:hRule="atLeast"/>
        </w:trPr>
        <w:tc>
          <w:tcPr>
            <w:tcW w:w="0" w:type="auto"/>
            <w:gridSpan w:val="5"/>
            <w:tcBorders>
              <w:top w:val="single" w:color="auto" w:sz="4" w:space="0"/>
              <w:left w:val="single" w:color="auto" w:sz="4" w:space="0"/>
              <w:bottom w:val="single" w:color="auto" w:sz="4" w:space="0"/>
              <w:right w:val="nil"/>
            </w:tcBorders>
            <w:shd w:val="clear" w:color="000000" w:fill="BFBFBF"/>
            <w:vAlign w:val="center"/>
          </w:tcPr>
          <w:p w14:paraId="3E25362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一、显示屏部分</w:t>
            </w:r>
          </w:p>
        </w:tc>
        <w:tc>
          <w:tcPr>
            <w:tcW w:w="0" w:type="auto"/>
            <w:tcBorders>
              <w:top w:val="nil"/>
              <w:left w:val="single" w:color="auto" w:sz="4" w:space="0"/>
              <w:bottom w:val="single" w:color="auto" w:sz="4" w:space="0"/>
              <w:right w:val="single" w:color="auto" w:sz="4" w:space="0"/>
            </w:tcBorders>
            <w:shd w:val="clear" w:color="000000" w:fill="BFBFBF"/>
            <w:vAlign w:val="center"/>
          </w:tcPr>
          <w:p w14:paraId="4C0A4F77">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w:t>
            </w:r>
          </w:p>
        </w:tc>
      </w:tr>
      <w:tr w14:paraId="0B9F1779">
        <w:tblPrEx>
          <w:tblCellMar>
            <w:top w:w="0" w:type="dxa"/>
            <w:left w:w="108" w:type="dxa"/>
            <w:bottom w:w="0" w:type="dxa"/>
            <w:right w:w="108" w:type="dxa"/>
          </w:tblCellMar>
        </w:tblPrEx>
        <w:trPr>
          <w:trHeight w:val="387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4A4042C">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 </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75419A1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显示工程</w:t>
            </w:r>
          </w:p>
        </w:tc>
        <w:tc>
          <w:tcPr>
            <w:tcW w:w="0" w:type="auto"/>
            <w:tcBorders>
              <w:top w:val="nil"/>
              <w:left w:val="nil"/>
              <w:bottom w:val="single" w:color="auto" w:sz="4" w:space="0"/>
              <w:right w:val="single" w:color="auto" w:sz="4" w:space="0"/>
            </w:tcBorders>
            <w:shd w:val="clear" w:color="auto" w:fill="auto"/>
            <w:vAlign w:val="center"/>
          </w:tcPr>
          <w:p w14:paraId="7FF33CC0">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室内P1.8全彩弧形显示屏</w:t>
            </w:r>
          </w:p>
        </w:tc>
        <w:tc>
          <w:tcPr>
            <w:tcW w:w="0" w:type="auto"/>
            <w:tcBorders>
              <w:top w:val="nil"/>
              <w:left w:val="nil"/>
              <w:bottom w:val="single" w:color="auto" w:sz="4" w:space="0"/>
              <w:right w:val="nil"/>
            </w:tcBorders>
            <w:shd w:val="clear" w:color="auto" w:fill="auto"/>
            <w:vAlign w:val="center"/>
          </w:tcPr>
          <w:p w14:paraId="1107DAF5">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1、屏体尺寸：长21.12m*高4m；</w:t>
            </w:r>
          </w:p>
          <w:p w14:paraId="2BC20C3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2、像素点间距：1.86mm，柔性模组；</w:t>
            </w:r>
          </w:p>
          <w:p w14:paraId="2D44BF4B">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3、单元板尺寸：320*160；</w:t>
            </w:r>
          </w:p>
          <w:p w14:paraId="63224FE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4、模组排列：66*25=1650</w:t>
            </w:r>
          </w:p>
          <w:p w14:paraId="6300F68F">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5、亮度≧450cd/m2；</w:t>
            </w:r>
          </w:p>
          <w:p w14:paraId="449154F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6、刷新率：3840Hz；</w:t>
            </w:r>
          </w:p>
          <w:p w14:paraId="6B095191">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7、整屏分辨率：11352*2150=24406800</w:t>
            </w:r>
          </w:p>
          <w:p w14:paraId="077F575C">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8.像素组成：1R1G1B</w:t>
            </w:r>
          </w:p>
          <w:p w14:paraId="1CF6980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9.像素点密度（点/㎡）288000点/㎡</w:t>
            </w:r>
          </w:p>
          <w:p w14:paraId="75C388F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10.换帧频率（Hz）：60hz</w:t>
            </w:r>
          </w:p>
          <w:p w14:paraId="0CC37CFF">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11.弯曲弧度：≥150°</w:t>
            </w:r>
          </w:p>
          <w:p w14:paraId="4442D9CE">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10.模组底壳材质：硅胶软底壳</w:t>
            </w:r>
          </w:p>
          <w:p w14:paraId="5954801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11.平整度（mm）：≤ 0.3  mm</w:t>
            </w:r>
          </w:p>
          <w:p w14:paraId="1F01628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12.安装/维护方式：前或后安装/维护</w:t>
            </w:r>
          </w:p>
          <w:p w14:paraId="6FB8E92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14.色温（K）：10000-12000 K可调节</w:t>
            </w:r>
          </w:p>
          <w:p w14:paraId="7488A85E">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15.水平/垂直视角：X:150°  /  Y:120°</w:t>
            </w:r>
          </w:p>
          <w:p w14:paraId="5A6DCF9C">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16.对比度：≥6000:1</w:t>
            </w:r>
          </w:p>
          <w:p w14:paraId="046F830F">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17.根据设计弧度订制钣金箱体</w:t>
            </w:r>
          </w:p>
        </w:tc>
        <w:tc>
          <w:tcPr>
            <w:tcW w:w="0" w:type="auto"/>
            <w:tcBorders>
              <w:top w:val="nil"/>
              <w:left w:val="single" w:color="auto" w:sz="4" w:space="0"/>
              <w:bottom w:val="single" w:color="auto" w:sz="4" w:space="0"/>
              <w:right w:val="nil"/>
            </w:tcBorders>
            <w:shd w:val="clear" w:color="auto" w:fill="auto"/>
            <w:vAlign w:val="center"/>
          </w:tcPr>
          <w:p w14:paraId="7393A15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平方</w:t>
            </w:r>
          </w:p>
        </w:tc>
        <w:tc>
          <w:tcPr>
            <w:tcW w:w="0" w:type="auto"/>
            <w:tcBorders>
              <w:top w:val="nil"/>
              <w:left w:val="single" w:color="auto" w:sz="4" w:space="0"/>
              <w:bottom w:val="single" w:color="auto" w:sz="4" w:space="0"/>
              <w:right w:val="single" w:color="auto" w:sz="4" w:space="0"/>
            </w:tcBorders>
            <w:shd w:val="clear" w:color="auto" w:fill="auto"/>
            <w:vAlign w:val="center"/>
          </w:tcPr>
          <w:p w14:paraId="41EF89B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84.48 </w:t>
            </w:r>
          </w:p>
        </w:tc>
      </w:tr>
      <w:tr w14:paraId="19CEDE49">
        <w:tblPrEx>
          <w:tblCellMar>
            <w:top w:w="0" w:type="dxa"/>
            <w:left w:w="108" w:type="dxa"/>
            <w:bottom w:w="0" w:type="dxa"/>
            <w:right w:w="108" w:type="dxa"/>
          </w:tblCellMar>
        </w:tblPrEx>
        <w:trPr>
          <w:trHeight w:val="36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A51CBE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2 </w:t>
            </w:r>
          </w:p>
        </w:tc>
        <w:tc>
          <w:tcPr>
            <w:tcW w:w="0" w:type="auto"/>
            <w:vMerge w:val="continue"/>
            <w:tcBorders>
              <w:top w:val="nil"/>
              <w:left w:val="single" w:color="auto" w:sz="4" w:space="0"/>
              <w:bottom w:val="single" w:color="000000" w:sz="4" w:space="0"/>
              <w:right w:val="single" w:color="auto" w:sz="4" w:space="0"/>
            </w:tcBorders>
            <w:vAlign w:val="center"/>
          </w:tcPr>
          <w:p w14:paraId="0C0B4AB2">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69E03EF9">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接收卡</w:t>
            </w:r>
          </w:p>
        </w:tc>
        <w:tc>
          <w:tcPr>
            <w:tcW w:w="0" w:type="auto"/>
            <w:tcBorders>
              <w:top w:val="nil"/>
              <w:left w:val="nil"/>
              <w:bottom w:val="single" w:color="auto" w:sz="4" w:space="0"/>
              <w:right w:val="nil"/>
            </w:tcBorders>
            <w:shd w:val="clear" w:color="auto" w:fill="auto"/>
            <w:vAlign w:val="center"/>
          </w:tcPr>
          <w:p w14:paraId="4BDF81AC">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1.单卡最大带载 512×512像素，最多支持 24 组RGB 并行数据；</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2.支持色彩管理，将显示色域在多个色域之间自由切换，使显示屏色彩更精准。</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3.支持18Bit+,使LED显示屏灰阶提升4倍，有效处理低亮时灰度丢失问题，使图像显示更细腻。</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4.采用 12 个标准HUB75接口，具有高稳定性和高可靠性，适用于多种环境的搭建；</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5.支持逐点亮度校正，可以对每个灯点的亮度进行校正，使整屏的亮度达到高度均匀一致，提高显示屏的画质；</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6.快速亮暗线调节在调试软件上进行快速亮暗线调节，快速解决因箱体及模组拼接造成的显示屏亮暗线，调节过程中即时生效，简单易用。</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7.配合支持 3D 功能的独立主控，在软件或独立主控的操作面板上开启 3D 功能，并设置 3D 参数，使画面显示 3D 效果。</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8.支持Mapping功能开启，每个箱体上会显示数字，清楚告诉您当前箱体是哪个网口下的哪张接收卡，直观的看到显示屏连接状况。</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9.支持预存画面设置，可以将指定图片设置为显示屏的开机、网线断开或无视频源信号时的画面或者最后一帧画面</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10.通过电源指示灯和状态指示灯不同闪烁状态可以判断，屏体工作状态，无需软件；</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11.★可配合多功能卡，实现当温度高于设定值时，自动断电，或打开风扇空调降低温度，保证屏体安全（需要提供第三方检测机构出具的CNAS、 CMA、ilac-MRA的检测报告 ，需加盖生产厂家公章）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12.▲为保证产品的智能化，需提供智能LED显示屏运行状态监控系统和监控方法相关证书复印件，加盖生产厂家公章；</w:t>
            </w:r>
            <w:r>
              <w:rPr>
                <w:rFonts w:hint="eastAsia" w:ascii="微软雅黑" w:hAnsi="微软雅黑" w:eastAsia="微软雅黑" w:cs="宋体"/>
                <w:color w:val="auto"/>
                <w:kern w:val="0"/>
                <w:sz w:val="16"/>
                <w:szCs w:val="16"/>
                <w:highlight w:val="none"/>
              </w:rPr>
              <w:br w:type="textWrapping"/>
            </w:r>
            <w:r>
              <w:rPr>
                <w:rFonts w:hint="eastAsia" w:ascii="Segoe UI Symbol" w:hAnsi="Segoe UI Symbol" w:eastAsia="微软雅黑" w:cs="宋体"/>
                <w:color w:val="auto"/>
                <w:kern w:val="0"/>
                <w:sz w:val="16"/>
                <w:szCs w:val="16"/>
                <w:highlight w:val="none"/>
              </w:rPr>
              <w:t>13.</w:t>
            </w:r>
            <w:r>
              <w:rPr>
                <w:rFonts w:ascii="Segoe UI Symbol" w:hAnsi="Segoe UI Symbol" w:eastAsia="微软雅黑" w:cs="宋体"/>
                <w:color w:val="auto"/>
                <w:kern w:val="0"/>
                <w:sz w:val="16"/>
                <w:szCs w:val="16"/>
                <w:highlight w:val="none"/>
              </w:rPr>
              <w:t>✭</w:t>
            </w:r>
            <w:r>
              <w:rPr>
                <w:rFonts w:hint="eastAsia" w:ascii="微软雅黑" w:hAnsi="微软雅黑" w:eastAsia="微软雅黑" w:cs="宋体"/>
                <w:color w:val="auto"/>
                <w:kern w:val="0"/>
                <w:sz w:val="16"/>
                <w:szCs w:val="16"/>
                <w:highlight w:val="none"/>
              </w:rPr>
              <w:t>RGB独立Gamma调节技术增加调节维度，通过对“红 Gamma”、“绿 Gamma”、“蓝 Gamma”分别进行调节，有效控制显示屏低灰不均匀、白平衡漂移等问题，使画面更加真实，提高色彩调节的灵活性，（需要提供第三方检测机构出具的CNAS、 CMA、ilac-MRA的检测报告 ，需加盖生产厂家公章）</w:t>
            </w:r>
            <w:r>
              <w:rPr>
                <w:rFonts w:hint="eastAsia" w:ascii="微软雅黑" w:hAnsi="微软雅黑" w:eastAsia="微软雅黑" w:cs="宋体"/>
                <w:color w:val="auto"/>
                <w:kern w:val="0"/>
                <w:sz w:val="16"/>
                <w:szCs w:val="16"/>
                <w:highlight w:val="none"/>
              </w:rPr>
              <w:br w:type="textWrapping"/>
            </w:r>
            <w:r>
              <w:rPr>
                <w:rFonts w:hint="eastAsia" w:ascii="Segoe UI Symbol" w:hAnsi="Segoe UI Symbol" w:eastAsia="微软雅黑" w:cs="宋体"/>
                <w:color w:val="auto"/>
                <w:kern w:val="0"/>
                <w:sz w:val="16"/>
                <w:szCs w:val="16"/>
                <w:highlight w:val="none"/>
              </w:rPr>
              <w:t>14.</w:t>
            </w:r>
            <w:r>
              <w:rPr>
                <w:rFonts w:ascii="Segoe UI Symbol" w:hAnsi="Segoe UI Symbol" w:eastAsia="微软雅黑" w:cs="宋体"/>
                <w:color w:val="auto"/>
                <w:kern w:val="0"/>
                <w:sz w:val="16"/>
                <w:szCs w:val="16"/>
                <w:highlight w:val="none"/>
              </w:rPr>
              <w:t>✭</w:t>
            </w:r>
            <w:r>
              <w:rPr>
                <w:rFonts w:hint="eastAsia" w:ascii="微软雅黑" w:hAnsi="微软雅黑" w:eastAsia="微软雅黑" w:cs="宋体"/>
                <w:color w:val="auto"/>
                <w:kern w:val="0"/>
                <w:sz w:val="16"/>
                <w:szCs w:val="16"/>
                <w:highlight w:val="none"/>
              </w:rPr>
              <w:t>可以监测自身的温度和电压，无需其他外设，在软件上可以查看接收卡的温度和电压，检测发送设备与接收卡间或接收卡与接收卡间的网络通讯质量，记录错误包数，协助排除网络通讯隐患，（需要提供第三方检测机构出具的CNAS、 CMA、ilac-MRA的检测报告 ，需加盖生产厂家公章）</w:t>
            </w:r>
            <w:r>
              <w:rPr>
                <w:rFonts w:hint="eastAsia" w:ascii="微软雅黑" w:hAnsi="微软雅黑" w:eastAsia="微软雅黑" w:cs="宋体"/>
                <w:color w:val="auto"/>
                <w:kern w:val="0"/>
                <w:sz w:val="16"/>
                <w:szCs w:val="16"/>
                <w:highlight w:val="none"/>
              </w:rPr>
              <w:br w:type="textWrapping"/>
            </w:r>
            <w:r>
              <w:rPr>
                <w:rFonts w:hint="eastAsia" w:ascii="Segoe UI Symbol" w:hAnsi="Segoe UI Symbol" w:eastAsia="微软雅黑" w:cs="宋体"/>
                <w:color w:val="auto"/>
                <w:kern w:val="0"/>
                <w:sz w:val="16"/>
                <w:szCs w:val="16"/>
                <w:highlight w:val="none"/>
              </w:rPr>
              <w:t>15.</w:t>
            </w:r>
            <w:r>
              <w:rPr>
                <w:rFonts w:ascii="Segoe UI Symbol" w:hAnsi="Segoe UI Symbol" w:eastAsia="微软雅黑" w:cs="宋体"/>
                <w:color w:val="auto"/>
                <w:kern w:val="0"/>
                <w:sz w:val="16"/>
                <w:szCs w:val="16"/>
                <w:highlight w:val="none"/>
              </w:rPr>
              <w:t>✭</w:t>
            </w:r>
            <w:r>
              <w:rPr>
                <w:rFonts w:hint="eastAsia" w:ascii="微软雅黑" w:hAnsi="微软雅黑" w:eastAsia="微软雅黑" w:cs="宋体"/>
                <w:color w:val="auto"/>
                <w:kern w:val="0"/>
                <w:sz w:val="16"/>
                <w:szCs w:val="16"/>
                <w:highlight w:val="none"/>
              </w:rPr>
              <w:t>可配合多功能卡，实现当温度高于设定值时，自动断电，或打开风扇空调降低温度，保证屏体安全（需要提供第三方检测机构出具的CNAS、 CMA、ilac-MRA的检测报告 ，需加盖生产厂家公章）</w:t>
            </w:r>
            <w:r>
              <w:rPr>
                <w:rFonts w:hint="eastAsia" w:ascii="微软雅黑" w:hAnsi="微软雅黑" w:eastAsia="微软雅黑" w:cs="宋体"/>
                <w:color w:val="auto"/>
                <w:kern w:val="0"/>
                <w:sz w:val="16"/>
                <w:szCs w:val="16"/>
                <w:highlight w:val="none"/>
              </w:rPr>
              <w:br w:type="textWrapping"/>
            </w:r>
            <w:r>
              <w:rPr>
                <w:rFonts w:hint="eastAsia" w:ascii="Segoe UI Symbol" w:hAnsi="Segoe UI Symbol" w:eastAsia="微软雅黑" w:cs="宋体"/>
                <w:color w:val="auto"/>
                <w:kern w:val="0"/>
                <w:sz w:val="16"/>
                <w:szCs w:val="16"/>
                <w:highlight w:val="none"/>
              </w:rPr>
              <w:t>16.</w:t>
            </w:r>
            <w:r>
              <w:rPr>
                <w:rFonts w:ascii="Segoe UI Symbol" w:hAnsi="Segoe UI Symbol" w:eastAsia="微软雅黑" w:cs="宋体"/>
                <w:color w:val="auto"/>
                <w:kern w:val="0"/>
                <w:sz w:val="16"/>
                <w:szCs w:val="16"/>
                <w:highlight w:val="none"/>
              </w:rPr>
              <w:t>✭</w:t>
            </w:r>
            <w:r>
              <w:rPr>
                <w:rFonts w:hint="eastAsia" w:ascii="微软雅黑" w:hAnsi="微软雅黑" w:eastAsia="微软雅黑" w:cs="宋体"/>
                <w:color w:val="auto"/>
                <w:kern w:val="0"/>
                <w:sz w:val="16"/>
                <w:szCs w:val="16"/>
                <w:highlight w:val="none"/>
              </w:rPr>
              <w:t>在软件上可以将指定图片设置为显示屏的开机画面、网线断开或无视频源信号时的画面，接收卡出厂时保存了两份应用程序，以防程序更新过程异常导致的接收卡死锁问题（需要提供第三方检测机构出具的CNAS、 CMA、ilac-MRA的检测报告 ，需加盖生产厂家公章）</w:t>
            </w:r>
          </w:p>
        </w:tc>
        <w:tc>
          <w:tcPr>
            <w:tcW w:w="0" w:type="auto"/>
            <w:tcBorders>
              <w:top w:val="nil"/>
              <w:left w:val="single" w:color="auto" w:sz="4" w:space="0"/>
              <w:bottom w:val="single" w:color="auto" w:sz="4" w:space="0"/>
              <w:right w:val="nil"/>
            </w:tcBorders>
            <w:shd w:val="clear" w:color="auto" w:fill="auto"/>
            <w:vAlign w:val="center"/>
          </w:tcPr>
          <w:p w14:paraId="1D598AD5">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张</w:t>
            </w:r>
          </w:p>
        </w:tc>
        <w:tc>
          <w:tcPr>
            <w:tcW w:w="0" w:type="auto"/>
            <w:tcBorders>
              <w:top w:val="nil"/>
              <w:left w:val="single" w:color="auto" w:sz="4" w:space="0"/>
              <w:bottom w:val="single" w:color="auto" w:sz="4" w:space="0"/>
              <w:right w:val="single" w:color="auto" w:sz="4" w:space="0"/>
            </w:tcBorders>
            <w:shd w:val="clear" w:color="auto" w:fill="auto"/>
            <w:vAlign w:val="center"/>
          </w:tcPr>
          <w:p w14:paraId="43BBD13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264.00 </w:t>
            </w:r>
          </w:p>
        </w:tc>
      </w:tr>
      <w:tr w14:paraId="67DEAD71">
        <w:tblPrEx>
          <w:tblCellMar>
            <w:top w:w="0" w:type="dxa"/>
            <w:left w:w="108" w:type="dxa"/>
            <w:bottom w:w="0" w:type="dxa"/>
            <w:right w:w="108" w:type="dxa"/>
          </w:tblCellMar>
        </w:tblPrEx>
        <w:trPr>
          <w:trHeight w:val="61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001AE59">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3 </w:t>
            </w:r>
          </w:p>
        </w:tc>
        <w:tc>
          <w:tcPr>
            <w:tcW w:w="0" w:type="auto"/>
            <w:vMerge w:val="continue"/>
            <w:tcBorders>
              <w:top w:val="nil"/>
              <w:left w:val="single" w:color="auto" w:sz="4" w:space="0"/>
              <w:bottom w:val="single" w:color="000000" w:sz="4" w:space="0"/>
              <w:right w:val="single" w:color="auto" w:sz="4" w:space="0"/>
            </w:tcBorders>
            <w:vAlign w:val="center"/>
          </w:tcPr>
          <w:p w14:paraId="17D2B83A">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5306062B">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专用驱动电源（5V/40A）</w:t>
            </w:r>
          </w:p>
        </w:tc>
        <w:tc>
          <w:tcPr>
            <w:tcW w:w="0" w:type="auto"/>
            <w:tcBorders>
              <w:top w:val="nil"/>
              <w:left w:val="nil"/>
              <w:bottom w:val="single" w:color="auto" w:sz="4" w:space="0"/>
              <w:right w:val="single" w:color="auto" w:sz="4" w:space="0"/>
            </w:tcBorders>
            <w:shd w:val="clear" w:color="auto" w:fill="auto"/>
            <w:vAlign w:val="center"/>
          </w:tcPr>
          <w:p w14:paraId="3B92691F">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一款 200W 无风扇设计的 LED 显示驱动电源，输入电压范围：176～264VAC，可适用于 LED 显示屏、LED 指示灯等多种 LED 显示领域， 本系列产品为超薄设计，高度仅为 30mm，可适应多种箱体尺寸要求。超高的效率，紧凑的外壳设计，良好的散热，保障了本系列产品可长期稳定的工作。</w:t>
            </w:r>
          </w:p>
        </w:tc>
        <w:tc>
          <w:tcPr>
            <w:tcW w:w="0" w:type="auto"/>
            <w:tcBorders>
              <w:top w:val="nil"/>
              <w:left w:val="nil"/>
              <w:bottom w:val="single" w:color="auto" w:sz="4" w:space="0"/>
              <w:right w:val="nil"/>
            </w:tcBorders>
            <w:shd w:val="clear" w:color="auto" w:fill="auto"/>
            <w:vAlign w:val="center"/>
          </w:tcPr>
          <w:p w14:paraId="212A970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套</w:t>
            </w:r>
          </w:p>
        </w:tc>
        <w:tc>
          <w:tcPr>
            <w:tcW w:w="0" w:type="auto"/>
            <w:tcBorders>
              <w:top w:val="nil"/>
              <w:left w:val="single" w:color="auto" w:sz="4" w:space="0"/>
              <w:bottom w:val="single" w:color="auto" w:sz="4" w:space="0"/>
              <w:right w:val="single" w:color="auto" w:sz="4" w:space="0"/>
            </w:tcBorders>
            <w:shd w:val="clear" w:color="auto" w:fill="auto"/>
            <w:vAlign w:val="center"/>
          </w:tcPr>
          <w:p w14:paraId="1E44F5A3">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297.00 </w:t>
            </w:r>
          </w:p>
        </w:tc>
      </w:tr>
      <w:tr w14:paraId="01A8B49A">
        <w:tblPrEx>
          <w:tblCellMar>
            <w:top w:w="0" w:type="dxa"/>
            <w:left w:w="108" w:type="dxa"/>
            <w:bottom w:w="0" w:type="dxa"/>
            <w:right w:w="108" w:type="dxa"/>
          </w:tblCellMar>
        </w:tblPrEx>
        <w:trPr>
          <w:trHeight w:val="364"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784C7B4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4 </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5576C53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控制工程</w:t>
            </w:r>
          </w:p>
        </w:tc>
        <w:tc>
          <w:tcPr>
            <w:tcW w:w="0" w:type="auto"/>
            <w:tcBorders>
              <w:top w:val="nil"/>
              <w:left w:val="nil"/>
              <w:bottom w:val="single" w:color="auto" w:sz="4" w:space="0"/>
              <w:right w:val="single" w:color="auto" w:sz="4" w:space="0"/>
            </w:tcBorders>
            <w:shd w:val="clear" w:color="auto" w:fill="auto"/>
            <w:vAlign w:val="center"/>
          </w:tcPr>
          <w:p w14:paraId="0F67775B">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拼接处理器</w:t>
            </w:r>
          </w:p>
        </w:tc>
        <w:tc>
          <w:tcPr>
            <w:tcW w:w="0" w:type="auto"/>
            <w:tcBorders>
              <w:top w:val="nil"/>
              <w:left w:val="nil"/>
              <w:bottom w:val="single" w:color="auto" w:sz="4" w:space="0"/>
              <w:right w:val="nil"/>
            </w:tcBorders>
            <w:shd w:val="clear" w:color="auto" w:fill="auto"/>
            <w:vAlign w:val="center"/>
          </w:tcPr>
          <w:p w14:paraId="2902345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1、采用纯硬件FPGA架构设计、CrossPoint总线交换技术，单台设备总线带宽可达4160Gbps，可保证视频信号无损、无压缩处理，实现超高清画质展示，19英寸标准机架式安装；</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2、整机规模支持不少于60路输入接口、40路输出接口；</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单张输出卡不少于16个图层输出，跨接口不减图层，支持图像任意开窗、叠加、漫游、无极缩放；支持图层参数设置、图层翻转、图层锁定、图层冻结等；（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▲4、支持不少于5张16网口+2*SFP输出卡、20网口输出卡或4光口输出卡，单卡带载不少于2080万像素；（投标人提供CMA或CNAS认可的检测机构出具的测试报告并加盖生产厂商鲜章）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▲5、支持直接对LED大屏亮度进行0-255级的精细调节；（投标人提供CMA或CNAS认可的检测机构出具的测试报告并加盖生产厂商鲜章）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6、支持通过rtsp、Onvif、GB28181等方式对接主流安防系统；单张IPC板卡支持不少于64路D1/16路200W/8路400W/4路800W解码，支持批量添加IPC；（投标人提供CMA或CNAS认可的检测机构出具的测试报告并加盖生产厂商鲜章）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7、内置不小于7英寸触摸屏，可通过触摸屏进行监测状态查看、参数设置、固件升级、预监回显等操作；MTBF可不间断工作300000小时以上，平均修复时间MTTR小于15分钟；（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8、输出支持90度倍数旋转和水平、垂直镜像功能，无需依靠显卡和软件的特殊设置，满足横拼和竖拼混合拼接、大小屏拼接、不规则拼接组合等，满足点对点显示的创意拼接场景，画面无拉伸变形；（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9、支持HDR功能、10Bit输入输出，可实现高动态范围、广色域、高对比度的显示效果；（投标人提供CMA或CNAS认可的检测机构出具的测试报告并加盖生产厂商鲜章）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10、支持3D立体显示功能，实现沉浸式展示，支持XR场景控制应用；（投标人提供CMA或CNAS认可的检测机构出具的测试报告并加盖生产厂商鲜章）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11、支持通过软件调整同步参数，解决图像展示出现的运动撕裂、错位等现象,支持输入源同步；（投标人提供CMA或CNAS认可的检测机构出具的测试报告并加盖生产厂商鲜章）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12、可视化Web管理界面可直接支持输入源反控功能，实现软KVM的应用；（投标人提供CMA或CNAS认可的检测机构出具的测试报告并加盖生产厂商鲜章）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13、系统需具备良好的兼容性，拼接器配置软件至少需支持Windows、Linux、IOS、Android、中标麒麟、银河麒麟、统信UOS、凝思磐石、红帽等操作系统；（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14、为了提升设备的故障排查效率，可监测设备输入输出板卡、接口、电源、 风扇实时状态,支持设备在线自检，包括但不限于设备运行情况、CPU、内存情况、温度等，支持主动报警、颜色告警等智能运维；支持查看光口连接的后端设备以及其对应网口的连接状态；（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15、支持全链路备份功能，可基于设备、板卡、接口等实现主备的无感切换；（投标人提供CMA或CNAS认可的检测机构出具的测试报告并加盖生产厂商鲜章）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▲16、产品需兼容国产操作系统至少需提供与麒麟操作系统认证证书；(投标人提供证明材料复印件并加盖生产厂商鲜章）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17、为了保证产品软件成熟度，至少需提供产品软件著作权、生产厂商软件成熟度认证等证书；(投标人提供证明材料复印件并加盖生产厂商鲜章）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18、为了保证产品质量所投产品厂家至少需具有ISO9001质量管理体系认证、ISO14001环境管理体系认证、ISO45001职业健康安全管理体系认证、ISO27001信息安全管理体系证书、ISO20000信息技术服务体系认证、GB/T29490知识产权管理体系体系认证证书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19、为了保证产品售后服务质量所投产品厂家需具有GB/T 27922 五星售后服务评价体系认证证书。（投标人提供证明材料复印件并加盖生产厂商鲜章）</w:t>
            </w:r>
          </w:p>
        </w:tc>
        <w:tc>
          <w:tcPr>
            <w:tcW w:w="0" w:type="auto"/>
            <w:tcBorders>
              <w:top w:val="nil"/>
              <w:left w:val="single" w:color="auto" w:sz="4" w:space="0"/>
              <w:bottom w:val="single" w:color="auto" w:sz="4" w:space="0"/>
              <w:right w:val="nil"/>
            </w:tcBorders>
            <w:shd w:val="clear" w:color="auto" w:fill="auto"/>
            <w:vAlign w:val="center"/>
          </w:tcPr>
          <w:p w14:paraId="4BDDB9EB">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套</w:t>
            </w:r>
          </w:p>
        </w:tc>
        <w:tc>
          <w:tcPr>
            <w:tcW w:w="0" w:type="auto"/>
            <w:tcBorders>
              <w:top w:val="nil"/>
              <w:left w:val="single" w:color="auto" w:sz="4" w:space="0"/>
              <w:bottom w:val="single" w:color="auto" w:sz="4" w:space="0"/>
              <w:right w:val="single" w:color="auto" w:sz="4" w:space="0"/>
            </w:tcBorders>
            <w:shd w:val="clear" w:color="auto" w:fill="auto"/>
            <w:vAlign w:val="center"/>
          </w:tcPr>
          <w:p w14:paraId="2A461FE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0B8A0AC4">
        <w:tblPrEx>
          <w:tblCellMar>
            <w:top w:w="0" w:type="dxa"/>
            <w:left w:w="108" w:type="dxa"/>
            <w:bottom w:w="0" w:type="dxa"/>
            <w:right w:w="108" w:type="dxa"/>
          </w:tblCellMar>
        </w:tblPrEx>
        <w:trPr>
          <w:trHeight w:val="666" w:hRule="atLeast"/>
        </w:trPr>
        <w:tc>
          <w:tcPr>
            <w:tcW w:w="0" w:type="auto"/>
            <w:vMerge w:val="continue"/>
            <w:tcBorders>
              <w:top w:val="nil"/>
              <w:left w:val="single" w:color="auto" w:sz="4" w:space="0"/>
              <w:bottom w:val="single" w:color="000000" w:sz="4" w:space="0"/>
              <w:right w:val="single" w:color="auto" w:sz="4" w:space="0"/>
            </w:tcBorders>
            <w:vAlign w:val="center"/>
          </w:tcPr>
          <w:p w14:paraId="4390E98F">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1444D6EF">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627EFCB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无线接入点</w:t>
            </w:r>
          </w:p>
        </w:tc>
        <w:tc>
          <w:tcPr>
            <w:tcW w:w="0" w:type="auto"/>
            <w:tcBorders>
              <w:top w:val="nil"/>
              <w:left w:val="nil"/>
              <w:bottom w:val="single" w:color="auto" w:sz="4" w:space="0"/>
              <w:right w:val="single" w:color="auto" w:sz="4" w:space="0"/>
            </w:tcBorders>
            <w:shd w:val="clear" w:color="auto" w:fill="auto"/>
            <w:vAlign w:val="center"/>
          </w:tcPr>
          <w:p w14:paraId="4631823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1、支持IEEE 802.11a/b/g/n/ac/ax无线协议；</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2、最高无线速率2976Mbps（2.4GHz 574Mbps，5GHz 2402Mbps）；</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3、4个10/100/1000Mbps速率自适应WAN/LAN自适应口；</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4、外置全向天线：2根2.4G天线，3根5G天线；</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5、支持IP与MAC地址绑定，AP隔离、端口自定义；</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6、支持WPA-PSK、WPA2-PSK、WPA3无线加密。</w:t>
            </w:r>
          </w:p>
        </w:tc>
        <w:tc>
          <w:tcPr>
            <w:tcW w:w="0" w:type="auto"/>
            <w:tcBorders>
              <w:top w:val="nil"/>
              <w:left w:val="nil"/>
              <w:bottom w:val="single" w:color="auto" w:sz="4" w:space="0"/>
              <w:right w:val="nil"/>
            </w:tcBorders>
            <w:shd w:val="clear" w:color="auto" w:fill="auto"/>
            <w:vAlign w:val="center"/>
          </w:tcPr>
          <w:p w14:paraId="60FB62B7">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台</w:t>
            </w:r>
          </w:p>
        </w:tc>
        <w:tc>
          <w:tcPr>
            <w:tcW w:w="0" w:type="auto"/>
            <w:tcBorders>
              <w:top w:val="nil"/>
              <w:left w:val="single" w:color="auto" w:sz="4" w:space="0"/>
              <w:bottom w:val="single" w:color="auto" w:sz="4" w:space="0"/>
              <w:right w:val="single" w:color="auto" w:sz="4" w:space="0"/>
            </w:tcBorders>
            <w:shd w:val="clear" w:color="auto" w:fill="auto"/>
            <w:vAlign w:val="center"/>
          </w:tcPr>
          <w:p w14:paraId="5347DAD7">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3ECE186B">
        <w:tblPrEx>
          <w:tblCellMar>
            <w:top w:w="0" w:type="dxa"/>
            <w:left w:w="108" w:type="dxa"/>
            <w:bottom w:w="0" w:type="dxa"/>
            <w:right w:w="108" w:type="dxa"/>
          </w:tblCellMar>
        </w:tblPrEx>
        <w:trPr>
          <w:trHeight w:val="364" w:hRule="atLeast"/>
        </w:trPr>
        <w:tc>
          <w:tcPr>
            <w:tcW w:w="0" w:type="auto"/>
            <w:vMerge w:val="continue"/>
            <w:tcBorders>
              <w:top w:val="nil"/>
              <w:left w:val="single" w:color="auto" w:sz="4" w:space="0"/>
              <w:bottom w:val="single" w:color="000000" w:sz="4" w:space="0"/>
              <w:right w:val="single" w:color="auto" w:sz="4" w:space="0"/>
            </w:tcBorders>
            <w:vAlign w:val="center"/>
          </w:tcPr>
          <w:p w14:paraId="44618D51">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0F921DCB">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2388F1D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可视化控制平台</w:t>
            </w:r>
          </w:p>
        </w:tc>
        <w:tc>
          <w:tcPr>
            <w:tcW w:w="0" w:type="auto"/>
            <w:tcBorders>
              <w:top w:val="nil"/>
              <w:left w:val="nil"/>
              <w:bottom w:val="single" w:color="auto" w:sz="4" w:space="0"/>
              <w:right w:val="single" w:color="auto" w:sz="4" w:space="0"/>
            </w:tcBorders>
            <w:shd w:val="clear" w:color="auto" w:fill="auto"/>
            <w:vAlign w:val="center"/>
          </w:tcPr>
          <w:p w14:paraId="77A11049">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1、支持苹果、安卓、鸿蒙触控移动端，windows操作系统；支持苹果、华为应用商店下载和安装，支持多个客户端操作同步；（投标人提供CMA或CNAS认可的检测机构出具的测试报告并加盖生产厂商鲜章）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可实现对多媒体播控服务器、视频拼接处理器、和智能中央控制器等设备一站式集中管控，通过移动平板或触控一体机对设备进行全可视化控制；（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支持多媒体服务器和播控系统的可视化控制，至少需支持多媒体节目进行切换、播放、暂停、停止、音量加减、播放进度等操作，支持PPT翻页控制；（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4、支持实时显示多媒体播控系统的媒体素材、节目内容和大屏画面等，至少需支持媒体库目录层级显示、收起和打开等操作；（投标人提供CMA或CNAS认可的检测机构出具的测试报告并加盖生产厂商鲜章）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5、支持多媒体播控系统媒体素材拖拽式快速切换图层，至少需支持图层位置、大小、优先级调节，图层多角度的旋转；（投标人提供CMA或CNAS认可的检测机构出具的测试报告并加盖生产厂商鲜章）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6、支持对拼接处理系统系统的可视化控制，至少需实时显示输入源画面预监、大屏画面回显和场景布局等；（投标人提供CMA或CNAS认可的检测机构出具的测试报告并加盖生产厂商鲜章）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7、支持对大屏图层一键快速布局和显示，图层可快速替换、清除、冻结、锁定，支持图层优先级调整；（投标人提供CMA或CNAS认可的检测机构出具的测试报告并加盖生产厂商鲜章）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8、支持一键切换大屏场景，场景支持轮巡开启和关闭，支持实时和预编两种上屏模式；（投标人提供CMA或CNAS认可的检测机构出具的测试报告并加盖生产厂商鲜章）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9、支持大屏黑屏、冻结、清除等操作，支持操作区域锁定、实时视频画面关闭和开启；（投标人提供CMA或CNAS认可的检测机构出具的测试报告并加盖生产厂商鲜章）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10、支持LED大屏亮度调节功能，调节完成可一键固化，系统和大屏重启后亮度不变；（投标人提供CMA或CNAS认可的检测机构出具的测试报告并加盖生产厂商鲜章）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11、支持图层反控，可远程操控被控主机，进行相关键鼠操作；（投标人提供CMA或CNAS认可的检测机构出具的测试报告并加盖生产厂商鲜章）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12、支持输入输出单通道音量推拉杆调节，一键静音，实时声压可视化显示，支持混音和音频多路输出配置，可一键清除通道配置；（投标人提供CMA或CNAS认可的检测机构出具的测试报告并加盖生产厂商鲜章）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13、支持灯光、窗帘、音频、电视、LED大屏、电视盒等环境设备进行集中控制；（投标人提供CMA或CNAS认可的检测机构出具的测试报告并加盖生产厂商鲜章）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14、支持局域网中IPC摄像头画面预览，可控制IPC云台上下左右、拉近、拉远、变焦、光圈、预置位保存及调用等；（投标人提供CMA或CNAS认可的检测机构出具的测试报告并加盖生产厂商鲜章）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15、支持按区域生成多套拓扑图，清晰展示信号源，设备和屏幕连接状态并异常告警；支持全链路拓扑连接全景化展示，支持拓扑的自由放大缩小；（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16、支持日月视图的切换显示当前预案排布信息，支持一键调用手动预案或定时触发自动预案；（投标人提供CMA或CNAS认可的检测机构出具的测试报告并加盖生产厂商鲜章）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17、支持账号密码、指纹、人脸识别等多种登录方式，支持不同等级的告警消息和系统消息实时推送及查看；（投标人提供CMA或CNAS认可的检测机构出具的测试报告并加盖生产厂商鲜章）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▲18、产品需兼容国产操作系统至少需提供与麒麟操作系统认证证书；(投标人提供证明材料复印件并加盖生产厂商鲜章）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▲19、为了保证产品软件成熟度至少需提供可视化平台软件著作权、软件产品证书、生产厂商软件成熟度认证等证书；(投标人提供证明材料复印件并加盖生产厂商鲜章）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20、为了保证产品质量所投产品厂家至少需具有ISO9001质量管理体系认证、ISO14001环境管理体系认证、ISO45001职业健康安全管理体系认证、ISO27001信息安全管理体系证书、ISO20000信息技术服务体系认证、GB/T29490知识产权管理体系体系认证证书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21、为了保证产品售后服务质量所投产品厂家需具有GB/T 27922 五星售后服务评价体系认证证书。（投标人提供证明材料复印件并加盖生产厂商鲜章）</w:t>
            </w:r>
          </w:p>
        </w:tc>
        <w:tc>
          <w:tcPr>
            <w:tcW w:w="0" w:type="auto"/>
            <w:tcBorders>
              <w:top w:val="nil"/>
              <w:left w:val="nil"/>
              <w:bottom w:val="single" w:color="auto" w:sz="4" w:space="0"/>
              <w:right w:val="nil"/>
            </w:tcBorders>
            <w:shd w:val="clear" w:color="auto" w:fill="auto"/>
            <w:vAlign w:val="center"/>
          </w:tcPr>
          <w:p w14:paraId="368C7063">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套</w:t>
            </w:r>
          </w:p>
        </w:tc>
        <w:tc>
          <w:tcPr>
            <w:tcW w:w="0" w:type="auto"/>
            <w:tcBorders>
              <w:top w:val="nil"/>
              <w:left w:val="single" w:color="auto" w:sz="4" w:space="0"/>
              <w:bottom w:val="single" w:color="auto" w:sz="4" w:space="0"/>
              <w:right w:val="single" w:color="auto" w:sz="4" w:space="0"/>
            </w:tcBorders>
            <w:shd w:val="clear" w:color="auto" w:fill="auto"/>
            <w:vAlign w:val="center"/>
          </w:tcPr>
          <w:p w14:paraId="03C21C3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06FE89B9">
        <w:tblPrEx>
          <w:tblCellMar>
            <w:top w:w="0" w:type="dxa"/>
            <w:left w:w="108" w:type="dxa"/>
            <w:bottom w:w="0" w:type="dxa"/>
            <w:right w:w="108" w:type="dxa"/>
          </w:tblCellMar>
        </w:tblPrEx>
        <w:trPr>
          <w:trHeight w:val="364" w:hRule="atLeast"/>
        </w:trPr>
        <w:tc>
          <w:tcPr>
            <w:tcW w:w="0" w:type="auto"/>
            <w:vMerge w:val="continue"/>
            <w:tcBorders>
              <w:top w:val="nil"/>
              <w:left w:val="single" w:color="auto" w:sz="4" w:space="0"/>
              <w:bottom w:val="single" w:color="000000" w:sz="4" w:space="0"/>
              <w:right w:val="single" w:color="auto" w:sz="4" w:space="0"/>
            </w:tcBorders>
            <w:vAlign w:val="center"/>
          </w:tcPr>
          <w:p w14:paraId="4DA4650A">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4F36E788">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5D4A4251">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开关模块</w:t>
            </w:r>
          </w:p>
        </w:tc>
        <w:tc>
          <w:tcPr>
            <w:tcW w:w="0" w:type="auto"/>
            <w:tcBorders>
              <w:top w:val="nil"/>
              <w:left w:val="nil"/>
              <w:bottom w:val="single" w:color="auto" w:sz="4" w:space="0"/>
              <w:right w:val="single" w:color="auto" w:sz="4" w:space="0"/>
            </w:tcBorders>
            <w:shd w:val="clear" w:color="auto" w:fill="auto"/>
            <w:vAlign w:val="center"/>
          </w:tcPr>
          <w:p w14:paraId="0FAE7CB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1、支持不少于8路10A继电器，最大负载能力≥500W，设备总负载能力≥4000W；</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2、每路通道具备对应的指示灯状态，常亮表示打开，常暗表示关闭；</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3、支持离线操作，可通过按键打开/关闭对应通道；</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4、支持设置模块ID，每个导轨模块的ID唯一，ID可设置范围为“1～99”；</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5、支持设置模块群组ID，将多个模块划分为同一个群组，只需发一条群组码6、可同时控制，群组ID可设置范围为“1～32”；</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7、支持设置时间间隔，可设置范围为“00-50”；</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8、支持多种控制模式，如：闭合互锁模式、点动互锁模式、继电器模式和点动模式。</w:t>
            </w:r>
          </w:p>
        </w:tc>
        <w:tc>
          <w:tcPr>
            <w:tcW w:w="0" w:type="auto"/>
            <w:tcBorders>
              <w:top w:val="nil"/>
              <w:left w:val="nil"/>
              <w:bottom w:val="single" w:color="auto" w:sz="4" w:space="0"/>
              <w:right w:val="nil"/>
            </w:tcBorders>
            <w:shd w:val="clear" w:color="auto" w:fill="auto"/>
            <w:vAlign w:val="center"/>
          </w:tcPr>
          <w:p w14:paraId="7FD32965">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台</w:t>
            </w:r>
          </w:p>
        </w:tc>
        <w:tc>
          <w:tcPr>
            <w:tcW w:w="0" w:type="auto"/>
            <w:tcBorders>
              <w:top w:val="nil"/>
              <w:left w:val="single" w:color="auto" w:sz="4" w:space="0"/>
              <w:bottom w:val="single" w:color="auto" w:sz="4" w:space="0"/>
              <w:right w:val="single" w:color="auto" w:sz="4" w:space="0"/>
            </w:tcBorders>
            <w:shd w:val="clear" w:color="auto" w:fill="auto"/>
            <w:vAlign w:val="center"/>
          </w:tcPr>
          <w:p w14:paraId="3750B9DE">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2EC774EF">
        <w:tblPrEx>
          <w:tblCellMar>
            <w:top w:w="0" w:type="dxa"/>
            <w:left w:w="108" w:type="dxa"/>
            <w:bottom w:w="0" w:type="dxa"/>
            <w:right w:w="108" w:type="dxa"/>
          </w:tblCellMar>
        </w:tblPrEx>
        <w:trPr>
          <w:trHeight w:val="364" w:hRule="atLeast"/>
        </w:trPr>
        <w:tc>
          <w:tcPr>
            <w:tcW w:w="0" w:type="auto"/>
            <w:vMerge w:val="continue"/>
            <w:tcBorders>
              <w:top w:val="nil"/>
              <w:left w:val="single" w:color="auto" w:sz="4" w:space="0"/>
              <w:bottom w:val="single" w:color="000000" w:sz="4" w:space="0"/>
              <w:right w:val="single" w:color="auto" w:sz="4" w:space="0"/>
            </w:tcBorders>
            <w:vAlign w:val="center"/>
          </w:tcPr>
          <w:p w14:paraId="297F4E40">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7A1646CD">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2AB9391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发送卡</w:t>
            </w:r>
          </w:p>
        </w:tc>
        <w:tc>
          <w:tcPr>
            <w:tcW w:w="0" w:type="auto"/>
            <w:tcBorders>
              <w:top w:val="nil"/>
              <w:left w:val="nil"/>
              <w:bottom w:val="single" w:color="auto" w:sz="4" w:space="0"/>
              <w:right w:val="single" w:color="auto" w:sz="4" w:space="0"/>
            </w:tcBorders>
            <w:shd w:val="clear" w:color="auto" w:fill="auto"/>
            <w:vAlign w:val="center"/>
          </w:tcPr>
          <w:p w14:paraId="563B56F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1、最大带载 1040 万像素点，最大带载宽度10240像素，最大高度10240 像素；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2、当输出位深为 8bit 时，单网口最大带载 65 万像素点，当输出位深为 10bit 时，单网口最大带载 32 万像素点；</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3、OPT1 复制或热备份输出 1~8 网口数据，OPT2 复制或热备份输出 9~16 网口数据；</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4、支持网口间备份。</w:t>
            </w:r>
          </w:p>
        </w:tc>
        <w:tc>
          <w:tcPr>
            <w:tcW w:w="0" w:type="auto"/>
            <w:tcBorders>
              <w:top w:val="nil"/>
              <w:left w:val="nil"/>
              <w:bottom w:val="single" w:color="auto" w:sz="4" w:space="0"/>
              <w:right w:val="nil"/>
            </w:tcBorders>
            <w:shd w:val="clear" w:color="auto" w:fill="auto"/>
            <w:vAlign w:val="center"/>
          </w:tcPr>
          <w:p w14:paraId="206EB233">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张</w:t>
            </w:r>
          </w:p>
        </w:tc>
        <w:tc>
          <w:tcPr>
            <w:tcW w:w="0" w:type="auto"/>
            <w:tcBorders>
              <w:top w:val="nil"/>
              <w:left w:val="single" w:color="auto" w:sz="4" w:space="0"/>
              <w:bottom w:val="single" w:color="auto" w:sz="4" w:space="0"/>
              <w:right w:val="single" w:color="auto" w:sz="4" w:space="0"/>
            </w:tcBorders>
            <w:shd w:val="clear" w:color="auto" w:fill="auto"/>
            <w:vAlign w:val="center"/>
          </w:tcPr>
          <w:p w14:paraId="6E68C95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3.00 </w:t>
            </w:r>
          </w:p>
        </w:tc>
      </w:tr>
      <w:tr w14:paraId="742ECC23">
        <w:tblPrEx>
          <w:tblCellMar>
            <w:top w:w="0" w:type="dxa"/>
            <w:left w:w="108" w:type="dxa"/>
            <w:bottom w:w="0" w:type="dxa"/>
            <w:right w:w="108" w:type="dxa"/>
          </w:tblCellMar>
        </w:tblPrEx>
        <w:trPr>
          <w:trHeight w:val="364" w:hRule="atLeast"/>
        </w:trPr>
        <w:tc>
          <w:tcPr>
            <w:tcW w:w="0" w:type="auto"/>
            <w:vMerge w:val="continue"/>
            <w:tcBorders>
              <w:top w:val="nil"/>
              <w:left w:val="single" w:color="auto" w:sz="4" w:space="0"/>
              <w:bottom w:val="single" w:color="000000" w:sz="4" w:space="0"/>
              <w:right w:val="single" w:color="auto" w:sz="4" w:space="0"/>
            </w:tcBorders>
            <w:vAlign w:val="center"/>
          </w:tcPr>
          <w:p w14:paraId="28F92B7E">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12CB3FCB">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7DDFC0A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输入卡</w:t>
            </w:r>
          </w:p>
        </w:tc>
        <w:tc>
          <w:tcPr>
            <w:tcW w:w="0" w:type="auto"/>
            <w:tcBorders>
              <w:top w:val="nil"/>
              <w:left w:val="nil"/>
              <w:bottom w:val="single" w:color="auto" w:sz="4" w:space="0"/>
              <w:right w:val="single" w:color="auto" w:sz="4" w:space="0"/>
            </w:tcBorders>
            <w:shd w:val="clear" w:color="auto" w:fill="auto"/>
            <w:vAlign w:val="center"/>
          </w:tcPr>
          <w:p w14:paraId="7D5186FC">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1、支持2组输入，每组1路HDMI 2.0和1路DP 1.2接口，每组单次仅支持一个接口输入；</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2、支持 8192×1080@60Hz、4096×2160@60Hz分辨率并向下兼容；</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3、支持 HDCP 2.2协议；</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4、支持伴随音频输入。</w:t>
            </w:r>
          </w:p>
        </w:tc>
        <w:tc>
          <w:tcPr>
            <w:tcW w:w="0" w:type="auto"/>
            <w:tcBorders>
              <w:top w:val="nil"/>
              <w:left w:val="nil"/>
              <w:bottom w:val="single" w:color="auto" w:sz="4" w:space="0"/>
              <w:right w:val="nil"/>
            </w:tcBorders>
            <w:shd w:val="clear" w:color="auto" w:fill="auto"/>
            <w:vAlign w:val="center"/>
          </w:tcPr>
          <w:p w14:paraId="494E433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张</w:t>
            </w:r>
          </w:p>
        </w:tc>
        <w:tc>
          <w:tcPr>
            <w:tcW w:w="0" w:type="auto"/>
            <w:tcBorders>
              <w:top w:val="nil"/>
              <w:left w:val="single" w:color="auto" w:sz="4" w:space="0"/>
              <w:bottom w:val="single" w:color="auto" w:sz="4" w:space="0"/>
              <w:right w:val="single" w:color="auto" w:sz="4" w:space="0"/>
            </w:tcBorders>
            <w:shd w:val="clear" w:color="auto" w:fill="auto"/>
            <w:vAlign w:val="center"/>
          </w:tcPr>
          <w:p w14:paraId="1DB16652">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6.00 </w:t>
            </w:r>
          </w:p>
        </w:tc>
      </w:tr>
      <w:tr w14:paraId="5C231B05">
        <w:tblPrEx>
          <w:tblCellMar>
            <w:top w:w="0" w:type="dxa"/>
            <w:left w:w="108" w:type="dxa"/>
            <w:bottom w:w="0" w:type="dxa"/>
            <w:right w:w="108" w:type="dxa"/>
          </w:tblCellMar>
        </w:tblPrEx>
        <w:trPr>
          <w:trHeight w:val="462" w:hRule="atLeast"/>
        </w:trPr>
        <w:tc>
          <w:tcPr>
            <w:tcW w:w="0" w:type="auto"/>
            <w:vMerge w:val="continue"/>
            <w:tcBorders>
              <w:top w:val="nil"/>
              <w:left w:val="single" w:color="auto" w:sz="4" w:space="0"/>
              <w:bottom w:val="single" w:color="000000" w:sz="4" w:space="0"/>
              <w:right w:val="single" w:color="auto" w:sz="4" w:space="0"/>
            </w:tcBorders>
            <w:vAlign w:val="center"/>
          </w:tcPr>
          <w:p w14:paraId="52579AD3">
            <w:pPr>
              <w:widowControl/>
              <w:jc w:val="left"/>
              <w:rPr>
                <w:rFonts w:ascii="微软雅黑" w:hAnsi="微软雅黑" w:eastAsia="微软雅黑" w:cs="宋体"/>
                <w:color w:val="auto"/>
                <w:kern w:val="0"/>
                <w:sz w:val="16"/>
                <w:szCs w:val="16"/>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14:paraId="180F52DF">
            <w:pPr>
              <w:widowControl/>
              <w:jc w:val="left"/>
              <w:rPr>
                <w:rFonts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auto" w:fill="auto"/>
            <w:vAlign w:val="center"/>
          </w:tcPr>
          <w:p w14:paraId="38B38AD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多媒体服务器</w:t>
            </w:r>
          </w:p>
        </w:tc>
        <w:tc>
          <w:tcPr>
            <w:tcW w:w="0" w:type="auto"/>
            <w:tcBorders>
              <w:top w:val="single" w:color="auto" w:sz="4" w:space="0"/>
              <w:left w:val="nil"/>
              <w:bottom w:val="single" w:color="auto" w:sz="4" w:space="0"/>
              <w:right w:val="single" w:color="auto" w:sz="4" w:space="0"/>
            </w:tcBorders>
            <w:shd w:val="clear" w:color="000000" w:fill="auto"/>
            <w:vAlign w:val="center"/>
          </w:tcPr>
          <w:p w14:paraId="6067FF19">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1、支持替代多台电脑主机，满足超大分辨率点对点显示带载，外壳防护等级符合GB/T4208-2017中IP20的要求；</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2、为保证设备稳定运行，MTBF可不间断工作需≥300000小时，平均修复时间MTTR＜15分钟，噪声≤45dB（A）；(投标人提供CMA或CNAS认可的检测机构出具的测试报告并加盖生产厂商鲜章）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3、支持2个8K(8192x4320@60帧)或8个4K(4096x2160@60帧)的视频硬件解码播放，无卡顿，丢帧现象，视频播放的帧率不小于60帧；兼容主动快门式3D功能，分辨率可设置为8192×4320@60Hz，可流畅播放各种3D定制素材，达到沉浸式效果；(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4、硬件配置要求不低于64G 高速内存、硬盘不低于1T SSD；本次配置不少于2张独立显卡；(投标人提供CMA或CNAS认可的检测机构出具的测试报告并加盖生产厂商鲜章）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5、支持不少于1路MIC IN 、Line IN、Line OUT音频接口，前面板支持不少于2×USB 3.0，后面板支持不少于4xUSB 3.0、4xUSB2.0，不少于1x2.5Gb 网络端口，不少于7路 PCIE 3.0 插槽；(投标人提供CMA或CNAS认可的检测机构出具的测试报告并加盖生产厂商鲜章）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▲6、单张显卡输出不少于4×DP 1.4，输出分辨率支持4x 4096 x 2160 @ 120 Hz，4x 5120 x 2880 @ 60 Hz，2x 7680 x 4320 @ 60 Hz，支持1个硬件解码 8K×4K@60fps的SDR视频文件流畅播放；(投标人提供CMA或CNAS认可的检测机构出具的测试报告并加盖生产厂商鲜章）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7、整机支持拆分成不少于1024个子输出，每个子输出支持任意角度旋转，可对子输出接口位置任意进行排序，可显示不规则的拼接画面；支持输出接口虚拟放大和缩小，支持输出接口标记，快速定位输出接口的位置；(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8、支持图层的无限扩展，支持将媒体库的媒体添加到节目中，支持从本地媒体画面或输入源画面中选择颜色后，按照所选颜色进行抠像处理；(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9、支持通过同步卡实现服务器输出热备份功能，播放画面实时同步，切换无黑屏、闪屏，画面连续播放不卡顿;支持一键主备交换，支持测试画面和输出显示进行控制；单机支持多个同规格媒体分组帧同步；(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10、支持时间线管理，基于时间线进行播放内容的编排播放和外部控制，实现多媒体服务器与第三方设备的联动控制，支持多通道音频，实现多个媒体素材的音频独立输出；(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11、支持预编辑，减少操作失误，支持直切、淡入淡出和渐变黑屏的切换特效，支持测试画面和输出显示进行控制；(投标人提供CMA或CNAS认可的检测机构出具的测试报告并加盖生产厂商鲜章）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12、支持对节目中任意一个媒体按区域进行画质调节、曲线调节、色温调节、多声道映射裁剪，遮罩，支持NDI媒体、采集设备、网站、流媒体、播放合集的播放；(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 xml:space="preserve"> 13、支持节目播放、暂停、停止、音量调节，支持多画面同时播放时按照主计时媒体进行跳转，支持主KV节目位置信息复制，拓展屏支持右键解锁，软件支持异常自恢复机制，支持页签功能播放多个网页，降低网页播放资源占用，自带转码器，可实现 H.264（AVC）、H.265（HEVC）编码或 VP9 编码的转码播放；(投标人提供CMA或CNAS认可的检测机构出具的测试报告并加盖生产厂商鲜章）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14、支持可视化平台软件对播放画面的编辑和控制，支持一键软件远程开关机控制；(投标人提供CMA或CNAS认可的检测机构出具的测试报告并加盖生产厂商鲜章）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15、支持多种视频、图片、音频、office文件的播放；视频格式支持不少于：H.265 (HEVC)、 VP9、HAP、HAP-Alpha、VC1、AV1、ProRes、MPEG4、WMV2等；图片格式支持不少于：jpeg、bmp、png、gif等；音频格式支持不少于：aac、flac、amr、ape、wav、wma等；office文件支持不少于：ppt、pptx；(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16、设备要求可靠稳定运行，需要具有抗电强度试验、泄漏电流试验、绝缘电阻试验、湿热环境可靠性测试、电磁兼容检测；(投标人提供CMA或CNAS认可的检测机构出具的测试报告并加盖生产厂商鲜章）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▲17、产品需兼容国产操作系统至少需提供与麒麟操作系统认证证书；(投标人提供证明材料复印件并加盖生产厂商鲜章）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18、提供产品3C、节能认证等证明材料；（投标人提供证明材料复印件并加盖生产厂商鲜章）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▲19、为了保证产品软件成熟度，至少需提供全媒体总控平台软件著作权、生产厂商软件成熟度认证等证书；(投标人提供证明材料复印件并加盖生产厂商鲜章）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20、为了保证产品质量所投产品厂家至少需具有ISO9001质量管理体系认证、ISO14001环境管理体系认证、ISO45001职业健康安全管理体系认证、ISO27001信息安全管理体系证书、ISO20000信息技术服务体系认证、GB/T29490知识产权管理体系体系认证证书等证书；（投标人提供证明材料复印件并加盖生产厂商鲜章）</w:t>
            </w:r>
            <w:r>
              <w:rPr>
                <w:rFonts w:hint="eastAsia" w:ascii="微软雅黑" w:hAnsi="微软雅黑" w:eastAsia="微软雅黑" w:cs="宋体"/>
                <w:color w:val="auto"/>
                <w:kern w:val="0"/>
                <w:sz w:val="16"/>
                <w:szCs w:val="16"/>
                <w:highlight w:val="none"/>
              </w:rPr>
              <w:br w:type="textWrapping"/>
            </w:r>
            <w:r>
              <w:rPr>
                <w:rFonts w:hint="eastAsia" w:ascii="微软雅黑" w:hAnsi="微软雅黑" w:eastAsia="微软雅黑" w:cs="宋体"/>
                <w:color w:val="auto"/>
                <w:kern w:val="0"/>
                <w:sz w:val="16"/>
                <w:szCs w:val="16"/>
                <w:highlight w:val="none"/>
              </w:rPr>
              <w:t>21、为了保证产品售后服务质量所投产品厂家需具有GB/T 27922 五星售后服务评价体系认证证书。（投标人提供证明材料复印件并加盖生产厂商鲜章）</w:t>
            </w:r>
          </w:p>
        </w:tc>
        <w:tc>
          <w:tcPr>
            <w:tcW w:w="0" w:type="auto"/>
            <w:tcBorders>
              <w:top w:val="nil"/>
              <w:left w:val="nil"/>
              <w:bottom w:val="single" w:color="auto" w:sz="4" w:space="0"/>
              <w:right w:val="nil"/>
            </w:tcBorders>
            <w:shd w:val="clear" w:color="auto" w:fill="auto"/>
            <w:vAlign w:val="center"/>
          </w:tcPr>
          <w:p w14:paraId="65CC0FA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台</w:t>
            </w:r>
          </w:p>
        </w:tc>
        <w:tc>
          <w:tcPr>
            <w:tcW w:w="0" w:type="auto"/>
            <w:tcBorders>
              <w:top w:val="nil"/>
              <w:left w:val="single" w:color="auto" w:sz="4" w:space="0"/>
              <w:bottom w:val="single" w:color="auto" w:sz="4" w:space="0"/>
              <w:right w:val="single" w:color="auto" w:sz="4" w:space="0"/>
            </w:tcBorders>
            <w:shd w:val="clear" w:color="auto" w:fill="auto"/>
            <w:vAlign w:val="center"/>
          </w:tcPr>
          <w:p w14:paraId="36875A7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3C33A798">
        <w:tblPrEx>
          <w:tblCellMar>
            <w:top w:w="0" w:type="dxa"/>
            <w:left w:w="108" w:type="dxa"/>
            <w:bottom w:w="0" w:type="dxa"/>
            <w:right w:w="108" w:type="dxa"/>
          </w:tblCellMar>
        </w:tblPrEx>
        <w:trPr>
          <w:trHeight w:val="36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8DE735D">
            <w:pPr>
              <w:widowControl/>
              <w:jc w:val="left"/>
              <w:rPr>
                <w:rFonts w:hint="eastAsia" w:ascii="微软雅黑" w:hAnsi="微软雅黑" w:eastAsia="微软雅黑" w:cs="宋体"/>
                <w:color w:val="auto"/>
                <w:kern w:val="0"/>
                <w:sz w:val="16"/>
                <w:szCs w:val="16"/>
                <w:highlight w:val="none"/>
                <w:lang w:eastAsia="zh-CN"/>
              </w:rPr>
            </w:pPr>
            <w:r>
              <w:rPr>
                <w:rFonts w:hint="eastAsia" w:ascii="微软雅黑" w:hAnsi="微软雅黑" w:eastAsia="微软雅黑" w:cs="宋体"/>
                <w:color w:val="auto"/>
                <w:kern w:val="0"/>
                <w:sz w:val="16"/>
                <w:szCs w:val="16"/>
                <w:highlight w:val="none"/>
                <w:lang w:val="en-US" w:eastAsia="zh-CN"/>
              </w:rPr>
              <w:t>5</w:t>
            </w:r>
          </w:p>
        </w:tc>
        <w:tc>
          <w:tcPr>
            <w:tcW w:w="0" w:type="auto"/>
            <w:tcBorders>
              <w:top w:val="nil"/>
              <w:left w:val="nil"/>
              <w:bottom w:val="nil"/>
              <w:right w:val="single" w:color="auto" w:sz="4" w:space="0"/>
            </w:tcBorders>
            <w:shd w:val="clear" w:color="auto" w:fill="auto"/>
            <w:vAlign w:val="center"/>
          </w:tcPr>
          <w:p w14:paraId="45FA2971">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系统软件工程</w:t>
            </w:r>
          </w:p>
        </w:tc>
        <w:tc>
          <w:tcPr>
            <w:tcW w:w="0" w:type="auto"/>
            <w:tcBorders>
              <w:top w:val="nil"/>
              <w:left w:val="nil"/>
              <w:bottom w:val="single" w:color="auto" w:sz="4" w:space="0"/>
              <w:right w:val="single" w:color="auto" w:sz="4" w:space="0"/>
            </w:tcBorders>
            <w:shd w:val="clear" w:color="auto" w:fill="auto"/>
            <w:vAlign w:val="center"/>
          </w:tcPr>
          <w:p w14:paraId="1684A055">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播控软件</w:t>
            </w:r>
          </w:p>
        </w:tc>
        <w:tc>
          <w:tcPr>
            <w:tcW w:w="0" w:type="auto"/>
            <w:tcBorders>
              <w:top w:val="nil"/>
              <w:left w:val="nil"/>
              <w:bottom w:val="single" w:color="auto" w:sz="4" w:space="0"/>
              <w:right w:val="single" w:color="auto" w:sz="4" w:space="0"/>
            </w:tcBorders>
            <w:shd w:val="clear" w:color="auto" w:fill="auto"/>
            <w:vAlign w:val="center"/>
          </w:tcPr>
          <w:p w14:paraId="28B5CE45">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标准版显示模组拼接控制软件</w:t>
            </w:r>
          </w:p>
        </w:tc>
        <w:tc>
          <w:tcPr>
            <w:tcW w:w="0" w:type="auto"/>
            <w:tcBorders>
              <w:top w:val="nil"/>
              <w:left w:val="nil"/>
              <w:bottom w:val="single" w:color="auto" w:sz="4" w:space="0"/>
              <w:right w:val="nil"/>
            </w:tcBorders>
            <w:shd w:val="clear" w:color="auto" w:fill="auto"/>
            <w:vAlign w:val="center"/>
          </w:tcPr>
          <w:p w14:paraId="5ECC6CF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套</w:t>
            </w:r>
          </w:p>
        </w:tc>
        <w:tc>
          <w:tcPr>
            <w:tcW w:w="0" w:type="auto"/>
            <w:tcBorders>
              <w:top w:val="nil"/>
              <w:left w:val="single" w:color="auto" w:sz="4" w:space="0"/>
              <w:bottom w:val="single" w:color="auto" w:sz="4" w:space="0"/>
              <w:right w:val="single" w:color="auto" w:sz="4" w:space="0"/>
            </w:tcBorders>
            <w:shd w:val="clear" w:color="auto" w:fill="auto"/>
            <w:vAlign w:val="center"/>
          </w:tcPr>
          <w:p w14:paraId="5AC0153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3BE8A31B">
        <w:tblPrEx>
          <w:tblCellMar>
            <w:top w:w="0" w:type="dxa"/>
            <w:left w:w="108" w:type="dxa"/>
            <w:bottom w:w="0" w:type="dxa"/>
            <w:right w:w="108" w:type="dxa"/>
          </w:tblCellMar>
        </w:tblPrEx>
        <w:trPr>
          <w:trHeight w:val="1263"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1ECB615">
            <w:pPr>
              <w:widowControl/>
              <w:jc w:val="left"/>
              <w:rPr>
                <w:rFonts w:hint="eastAsia" w:ascii="微软雅黑" w:hAnsi="微软雅黑" w:eastAsia="微软雅黑" w:cs="宋体"/>
                <w:color w:val="auto"/>
                <w:kern w:val="0"/>
                <w:sz w:val="16"/>
                <w:szCs w:val="16"/>
                <w:highlight w:val="none"/>
                <w:lang w:eastAsia="zh-CN"/>
              </w:rPr>
            </w:pPr>
            <w:r>
              <w:rPr>
                <w:rFonts w:hint="eastAsia" w:ascii="微软雅黑" w:hAnsi="微软雅黑" w:eastAsia="微软雅黑" w:cs="宋体"/>
                <w:color w:val="auto"/>
                <w:kern w:val="0"/>
                <w:sz w:val="16"/>
                <w:szCs w:val="16"/>
                <w:highlight w:val="none"/>
                <w:lang w:val="en-US" w:eastAsia="zh-CN"/>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8C9176D">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电力工程</w:t>
            </w:r>
          </w:p>
        </w:tc>
        <w:tc>
          <w:tcPr>
            <w:tcW w:w="0" w:type="auto"/>
            <w:tcBorders>
              <w:top w:val="nil"/>
              <w:left w:val="nil"/>
              <w:bottom w:val="single" w:color="auto" w:sz="4" w:space="0"/>
              <w:right w:val="single" w:color="auto" w:sz="4" w:space="0"/>
            </w:tcBorders>
            <w:shd w:val="clear" w:color="auto" w:fill="auto"/>
            <w:vAlign w:val="center"/>
          </w:tcPr>
          <w:p w14:paraId="6E64ECD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配电柜系统</w:t>
            </w:r>
          </w:p>
        </w:tc>
        <w:tc>
          <w:tcPr>
            <w:tcW w:w="0" w:type="auto"/>
            <w:tcBorders>
              <w:top w:val="nil"/>
              <w:left w:val="nil"/>
              <w:bottom w:val="single" w:color="auto" w:sz="4" w:space="0"/>
              <w:right w:val="nil"/>
            </w:tcBorders>
            <w:shd w:val="clear" w:color="auto" w:fill="auto"/>
            <w:vAlign w:val="center"/>
          </w:tcPr>
          <w:p w14:paraId="3434A2B4">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120KW带PLC配电柜、大屏接线及安装</w:t>
            </w:r>
          </w:p>
        </w:tc>
        <w:tc>
          <w:tcPr>
            <w:tcW w:w="0" w:type="auto"/>
            <w:tcBorders>
              <w:top w:val="nil"/>
              <w:left w:val="single" w:color="auto" w:sz="4" w:space="0"/>
              <w:bottom w:val="single" w:color="auto" w:sz="4" w:space="0"/>
              <w:right w:val="nil"/>
            </w:tcBorders>
            <w:shd w:val="clear" w:color="auto" w:fill="auto"/>
            <w:vAlign w:val="center"/>
          </w:tcPr>
          <w:p w14:paraId="341E9CEA">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台</w:t>
            </w:r>
          </w:p>
        </w:tc>
        <w:tc>
          <w:tcPr>
            <w:tcW w:w="0" w:type="auto"/>
            <w:tcBorders>
              <w:top w:val="nil"/>
              <w:left w:val="single" w:color="auto" w:sz="4" w:space="0"/>
              <w:bottom w:val="single" w:color="auto" w:sz="4" w:space="0"/>
              <w:right w:val="single" w:color="auto" w:sz="4" w:space="0"/>
            </w:tcBorders>
            <w:shd w:val="clear" w:color="auto" w:fill="auto"/>
            <w:vAlign w:val="center"/>
          </w:tcPr>
          <w:p w14:paraId="625114D9">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1.00 </w:t>
            </w:r>
          </w:p>
        </w:tc>
      </w:tr>
      <w:tr w14:paraId="63568039">
        <w:tblPrEx>
          <w:tblCellMar>
            <w:top w:w="0" w:type="dxa"/>
            <w:left w:w="108" w:type="dxa"/>
            <w:bottom w:w="0" w:type="dxa"/>
            <w:right w:w="108" w:type="dxa"/>
          </w:tblCellMar>
        </w:tblPrEx>
        <w:trPr>
          <w:trHeight w:val="794" w:hRule="atLeast"/>
        </w:trPr>
        <w:tc>
          <w:tcPr>
            <w:tcW w:w="0" w:type="auto"/>
            <w:vMerge w:val="restart"/>
            <w:tcBorders>
              <w:top w:val="nil"/>
              <w:left w:val="single" w:color="auto" w:sz="4" w:space="0"/>
              <w:right w:val="single" w:color="auto" w:sz="4" w:space="0"/>
            </w:tcBorders>
            <w:shd w:val="clear" w:color="auto" w:fill="auto"/>
            <w:vAlign w:val="center"/>
          </w:tcPr>
          <w:p w14:paraId="18F83F15">
            <w:pPr>
              <w:widowControl/>
              <w:jc w:val="left"/>
              <w:rPr>
                <w:rFonts w:hint="eastAsia" w:ascii="微软雅黑" w:hAnsi="微软雅黑" w:eastAsia="微软雅黑" w:cs="宋体"/>
                <w:color w:val="auto"/>
                <w:kern w:val="0"/>
                <w:sz w:val="16"/>
                <w:szCs w:val="16"/>
                <w:highlight w:val="none"/>
                <w:lang w:eastAsia="zh-CN"/>
              </w:rPr>
            </w:pPr>
            <w:r>
              <w:rPr>
                <w:rFonts w:hint="eastAsia" w:ascii="微软雅黑" w:hAnsi="微软雅黑" w:eastAsia="微软雅黑" w:cs="宋体"/>
                <w:color w:val="auto"/>
                <w:kern w:val="0"/>
                <w:sz w:val="16"/>
                <w:szCs w:val="16"/>
                <w:highlight w:val="none"/>
                <w:lang w:val="en-US" w:eastAsia="zh-CN"/>
              </w:rPr>
              <w:t>7</w:t>
            </w:r>
          </w:p>
        </w:tc>
        <w:tc>
          <w:tcPr>
            <w:tcW w:w="0" w:type="auto"/>
            <w:vMerge w:val="restart"/>
            <w:tcBorders>
              <w:top w:val="nil"/>
              <w:left w:val="single" w:color="auto" w:sz="4" w:space="0"/>
              <w:right w:val="single" w:color="auto" w:sz="4" w:space="0"/>
            </w:tcBorders>
            <w:shd w:val="clear" w:color="000000" w:fill="FFFFFF"/>
            <w:vAlign w:val="center"/>
          </w:tcPr>
          <w:p w14:paraId="4D845788">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框架支撑工程</w:t>
            </w:r>
          </w:p>
        </w:tc>
        <w:tc>
          <w:tcPr>
            <w:tcW w:w="0" w:type="auto"/>
            <w:tcBorders>
              <w:top w:val="nil"/>
              <w:left w:val="nil"/>
              <w:bottom w:val="single" w:color="auto" w:sz="4" w:space="0"/>
              <w:right w:val="single" w:color="auto" w:sz="4" w:space="0"/>
            </w:tcBorders>
            <w:shd w:val="clear" w:color="000000" w:fill="FFFFFF"/>
            <w:vAlign w:val="center"/>
          </w:tcPr>
          <w:p w14:paraId="285DE3D0">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钢结构+包边</w:t>
            </w:r>
          </w:p>
        </w:tc>
        <w:tc>
          <w:tcPr>
            <w:tcW w:w="0" w:type="auto"/>
            <w:tcBorders>
              <w:top w:val="nil"/>
              <w:left w:val="nil"/>
              <w:bottom w:val="single" w:color="auto" w:sz="4" w:space="0"/>
              <w:right w:val="nil"/>
            </w:tcBorders>
            <w:shd w:val="clear" w:color="000000" w:fill="FFFFFF"/>
            <w:vAlign w:val="center"/>
          </w:tcPr>
          <w:p w14:paraId="19B019E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显示屏专用钢结构</w:t>
            </w:r>
          </w:p>
        </w:tc>
        <w:tc>
          <w:tcPr>
            <w:tcW w:w="0" w:type="auto"/>
            <w:vMerge w:val="restart"/>
            <w:tcBorders>
              <w:top w:val="nil"/>
              <w:left w:val="single" w:color="auto" w:sz="4" w:space="0"/>
              <w:right w:val="nil"/>
            </w:tcBorders>
            <w:shd w:val="clear" w:color="000000" w:fill="FFFFFF"/>
            <w:vAlign w:val="center"/>
          </w:tcPr>
          <w:p w14:paraId="5194987B">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平方</w:t>
            </w:r>
          </w:p>
        </w:tc>
        <w:tc>
          <w:tcPr>
            <w:tcW w:w="0" w:type="auto"/>
            <w:vMerge w:val="restart"/>
            <w:tcBorders>
              <w:top w:val="nil"/>
              <w:left w:val="single" w:color="auto" w:sz="4" w:space="0"/>
              <w:right w:val="single" w:color="auto" w:sz="4" w:space="0"/>
            </w:tcBorders>
            <w:shd w:val="clear" w:color="000000" w:fill="FFFFFF"/>
            <w:vAlign w:val="center"/>
          </w:tcPr>
          <w:p w14:paraId="0466991E">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xml:space="preserve">87 </w:t>
            </w:r>
          </w:p>
        </w:tc>
      </w:tr>
      <w:tr w14:paraId="65E833FC">
        <w:tblPrEx>
          <w:tblCellMar>
            <w:top w:w="0" w:type="dxa"/>
            <w:left w:w="108" w:type="dxa"/>
            <w:bottom w:w="0" w:type="dxa"/>
            <w:right w:w="108" w:type="dxa"/>
          </w:tblCellMar>
        </w:tblPrEx>
        <w:trPr>
          <w:trHeight w:val="364"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14:paraId="695F345B">
            <w:pPr>
              <w:widowControl/>
              <w:jc w:val="left"/>
              <w:rPr>
                <w:rFonts w:hint="eastAsia" w:ascii="微软雅黑" w:hAnsi="微软雅黑" w:eastAsia="微软雅黑" w:cs="宋体"/>
                <w:color w:val="auto"/>
                <w:kern w:val="0"/>
                <w:sz w:val="16"/>
                <w:szCs w:val="16"/>
                <w:highlight w:val="none"/>
                <w:lang w:val="en-US" w:eastAsia="zh-CN"/>
              </w:rPr>
            </w:pPr>
          </w:p>
        </w:tc>
        <w:tc>
          <w:tcPr>
            <w:tcW w:w="0" w:type="auto"/>
            <w:vMerge w:val="continue"/>
            <w:tcBorders>
              <w:left w:val="single" w:color="auto" w:sz="4" w:space="0"/>
              <w:bottom w:val="single" w:color="000000" w:sz="4" w:space="0"/>
              <w:right w:val="single" w:color="auto" w:sz="4" w:space="0"/>
            </w:tcBorders>
            <w:shd w:val="clear" w:color="000000" w:fill="FFFFFF"/>
            <w:vAlign w:val="center"/>
          </w:tcPr>
          <w:p w14:paraId="5FCF660C">
            <w:pPr>
              <w:widowControl/>
              <w:jc w:val="left"/>
              <w:rPr>
                <w:rFonts w:hint="eastAsia" w:ascii="微软雅黑" w:hAnsi="微软雅黑" w:eastAsia="微软雅黑" w:cs="宋体"/>
                <w:color w:val="auto"/>
                <w:kern w:val="0"/>
                <w:sz w:val="16"/>
                <w:szCs w:val="16"/>
                <w:highlight w:val="none"/>
              </w:rPr>
            </w:pPr>
          </w:p>
        </w:tc>
        <w:tc>
          <w:tcPr>
            <w:tcW w:w="0" w:type="auto"/>
            <w:tcBorders>
              <w:top w:val="nil"/>
              <w:left w:val="nil"/>
              <w:bottom w:val="single" w:color="auto" w:sz="4" w:space="0"/>
              <w:right w:val="single" w:color="auto" w:sz="4" w:space="0"/>
            </w:tcBorders>
            <w:shd w:val="clear" w:color="000000" w:fill="FFFFFF"/>
            <w:vAlign w:val="center"/>
          </w:tcPr>
          <w:p w14:paraId="173046B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户内弧形箱体</w:t>
            </w:r>
          </w:p>
        </w:tc>
        <w:tc>
          <w:tcPr>
            <w:tcW w:w="0" w:type="auto"/>
            <w:tcBorders>
              <w:top w:val="nil"/>
              <w:left w:val="nil"/>
              <w:bottom w:val="single" w:color="auto" w:sz="4" w:space="0"/>
              <w:right w:val="nil"/>
            </w:tcBorders>
            <w:shd w:val="clear" w:color="000000" w:fill="FFFFFF"/>
            <w:vAlign w:val="center"/>
          </w:tcPr>
          <w:p w14:paraId="505EF6AE">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订制钣金箱体</w:t>
            </w:r>
          </w:p>
        </w:tc>
        <w:tc>
          <w:tcPr>
            <w:tcW w:w="0" w:type="auto"/>
            <w:vMerge w:val="continue"/>
            <w:tcBorders>
              <w:left w:val="single" w:color="auto" w:sz="4" w:space="0"/>
              <w:bottom w:val="single" w:color="auto" w:sz="4" w:space="0"/>
              <w:right w:val="nil"/>
            </w:tcBorders>
            <w:shd w:val="clear" w:color="000000" w:fill="FFFFFF"/>
            <w:vAlign w:val="center"/>
          </w:tcPr>
          <w:p w14:paraId="1CD5FD71">
            <w:pPr>
              <w:widowControl/>
              <w:jc w:val="left"/>
              <w:rPr>
                <w:rFonts w:hint="eastAsia" w:ascii="微软雅黑" w:hAnsi="微软雅黑" w:eastAsia="微软雅黑" w:cs="宋体"/>
                <w:color w:val="auto"/>
                <w:kern w:val="0"/>
                <w:sz w:val="16"/>
                <w:szCs w:val="16"/>
                <w:highlight w:val="none"/>
              </w:rPr>
            </w:pPr>
          </w:p>
        </w:tc>
        <w:tc>
          <w:tcPr>
            <w:tcW w:w="0" w:type="auto"/>
            <w:vMerge w:val="continue"/>
            <w:tcBorders>
              <w:left w:val="single" w:color="auto" w:sz="4" w:space="0"/>
              <w:bottom w:val="single" w:color="auto" w:sz="4" w:space="0"/>
              <w:right w:val="single" w:color="auto" w:sz="4" w:space="0"/>
            </w:tcBorders>
            <w:shd w:val="clear" w:color="000000" w:fill="FFFFFF"/>
            <w:vAlign w:val="center"/>
          </w:tcPr>
          <w:p w14:paraId="141186E6">
            <w:pPr>
              <w:widowControl/>
              <w:jc w:val="left"/>
              <w:rPr>
                <w:rFonts w:hint="eastAsia" w:ascii="微软雅黑" w:hAnsi="微软雅黑" w:eastAsia="微软雅黑" w:cs="宋体"/>
                <w:color w:val="auto"/>
                <w:kern w:val="0"/>
                <w:sz w:val="16"/>
                <w:szCs w:val="16"/>
                <w:highlight w:val="none"/>
              </w:rPr>
            </w:pPr>
          </w:p>
        </w:tc>
      </w:tr>
      <w:tr w14:paraId="6B300345">
        <w:tblPrEx>
          <w:tblCellMar>
            <w:top w:w="0" w:type="dxa"/>
            <w:left w:w="108" w:type="dxa"/>
            <w:bottom w:w="0" w:type="dxa"/>
            <w:right w:w="108" w:type="dxa"/>
          </w:tblCellMar>
        </w:tblPrEx>
        <w:trPr>
          <w:trHeight w:val="364" w:hRule="atLeast"/>
        </w:trPr>
        <w:tc>
          <w:tcPr>
            <w:tcW w:w="0" w:type="auto"/>
            <w:gridSpan w:val="6"/>
            <w:tcBorders>
              <w:left w:val="single" w:color="auto" w:sz="4" w:space="0"/>
              <w:bottom w:val="single" w:color="auto" w:sz="4" w:space="0"/>
              <w:right w:val="single" w:color="auto" w:sz="4" w:space="0"/>
            </w:tcBorders>
            <w:shd w:val="clear" w:color="auto" w:fill="BEBEBE" w:themeFill="background1" w:themeFillShade="BF"/>
            <w:vAlign w:val="center"/>
          </w:tcPr>
          <w:p w14:paraId="1B56B66F">
            <w:pPr>
              <w:widowControl/>
              <w:jc w:val="left"/>
              <w:rPr>
                <w:rFonts w:hint="default"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二、其他要求</w:t>
            </w:r>
          </w:p>
        </w:tc>
      </w:tr>
      <w:tr w14:paraId="3EAC5F1E">
        <w:tblPrEx>
          <w:tblCellMar>
            <w:top w:w="0" w:type="dxa"/>
            <w:left w:w="108" w:type="dxa"/>
            <w:bottom w:w="0" w:type="dxa"/>
            <w:right w:w="108" w:type="dxa"/>
          </w:tblCellMar>
        </w:tblPrEx>
        <w:trPr>
          <w:trHeight w:val="364" w:hRule="atLeast"/>
        </w:trPr>
        <w:tc>
          <w:tcPr>
            <w:tcW w:w="0" w:type="auto"/>
            <w:tcBorders>
              <w:left w:val="single" w:color="auto" w:sz="4" w:space="0"/>
              <w:bottom w:val="single" w:color="auto" w:sz="4" w:space="0"/>
              <w:right w:val="single" w:color="auto" w:sz="4" w:space="0"/>
            </w:tcBorders>
            <w:shd w:val="clear" w:color="auto" w:fill="auto"/>
            <w:vAlign w:val="center"/>
          </w:tcPr>
          <w:p w14:paraId="509C181B">
            <w:pPr>
              <w:widowControl/>
              <w:jc w:val="left"/>
              <w:rPr>
                <w:rFonts w:hint="default"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1</w:t>
            </w:r>
          </w:p>
        </w:tc>
        <w:tc>
          <w:tcPr>
            <w:tcW w:w="0" w:type="auto"/>
            <w:tcBorders>
              <w:left w:val="single" w:color="auto" w:sz="4" w:space="0"/>
              <w:bottom w:val="single" w:color="000000" w:sz="4" w:space="0"/>
              <w:right w:val="single" w:color="auto" w:sz="4" w:space="0"/>
            </w:tcBorders>
            <w:shd w:val="clear" w:color="000000" w:fill="FFFFFF"/>
            <w:vAlign w:val="center"/>
          </w:tcPr>
          <w:p w14:paraId="64E0BF22">
            <w:pPr>
              <w:widowControl/>
              <w:jc w:val="left"/>
              <w:rPr>
                <w:rFonts w:hint="eastAsia"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技术要求</w:t>
            </w:r>
          </w:p>
        </w:tc>
        <w:tc>
          <w:tcPr>
            <w:tcW w:w="0" w:type="auto"/>
            <w:tcBorders>
              <w:top w:val="nil"/>
              <w:left w:val="nil"/>
              <w:bottom w:val="single" w:color="auto" w:sz="4" w:space="0"/>
              <w:right w:val="single" w:color="auto" w:sz="4" w:space="0"/>
            </w:tcBorders>
            <w:shd w:val="clear" w:color="000000" w:fill="FFFFFF"/>
            <w:vAlign w:val="center"/>
          </w:tcPr>
          <w:p w14:paraId="55DF79B8">
            <w:pPr>
              <w:widowControl/>
              <w:jc w:val="left"/>
              <w:rPr>
                <w:rFonts w:hint="default"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对接要求</w:t>
            </w:r>
          </w:p>
        </w:tc>
        <w:tc>
          <w:tcPr>
            <w:tcW w:w="0" w:type="auto"/>
            <w:tcBorders>
              <w:top w:val="nil"/>
              <w:left w:val="nil"/>
              <w:bottom w:val="single" w:color="auto" w:sz="4" w:space="0"/>
              <w:right w:val="nil"/>
            </w:tcBorders>
            <w:shd w:val="clear" w:color="000000" w:fill="FFFFFF"/>
            <w:vAlign w:val="center"/>
          </w:tcPr>
          <w:p w14:paraId="5E22350C">
            <w:pPr>
              <w:widowControl/>
              <w:jc w:val="left"/>
              <w:rPr>
                <w:rFonts w:hint="default"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与配套沙盘、中控系统对接，实现中控系统可操作LED屏幕、沙盘灯光</w:t>
            </w:r>
          </w:p>
        </w:tc>
        <w:tc>
          <w:tcPr>
            <w:tcW w:w="0" w:type="auto"/>
            <w:tcBorders>
              <w:left w:val="single" w:color="auto" w:sz="4" w:space="0"/>
              <w:bottom w:val="single" w:color="auto" w:sz="4" w:space="0"/>
              <w:right w:val="nil"/>
            </w:tcBorders>
            <w:shd w:val="clear" w:color="000000" w:fill="FFFFFF"/>
            <w:vAlign w:val="center"/>
          </w:tcPr>
          <w:p w14:paraId="2C6ED9E4">
            <w:pPr>
              <w:widowControl/>
              <w:jc w:val="left"/>
              <w:rPr>
                <w:rFonts w:hint="eastAsia"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项</w:t>
            </w:r>
          </w:p>
        </w:tc>
        <w:tc>
          <w:tcPr>
            <w:tcW w:w="0" w:type="auto"/>
            <w:tcBorders>
              <w:left w:val="single" w:color="auto" w:sz="4" w:space="0"/>
              <w:bottom w:val="single" w:color="auto" w:sz="4" w:space="0"/>
              <w:right w:val="single" w:color="auto" w:sz="4" w:space="0"/>
            </w:tcBorders>
            <w:shd w:val="clear" w:color="000000" w:fill="FFFFFF"/>
            <w:vAlign w:val="center"/>
          </w:tcPr>
          <w:p w14:paraId="6CF81289">
            <w:pPr>
              <w:widowControl/>
              <w:jc w:val="left"/>
              <w:rPr>
                <w:rFonts w:hint="eastAsia" w:ascii="微软雅黑" w:hAnsi="微软雅黑" w:eastAsia="微软雅黑" w:cs="宋体"/>
                <w:color w:val="auto"/>
                <w:kern w:val="0"/>
                <w:sz w:val="16"/>
                <w:szCs w:val="16"/>
                <w:highlight w:val="none"/>
                <w:lang w:val="en-US" w:eastAsia="zh-CN"/>
              </w:rPr>
            </w:pPr>
            <w:r>
              <w:rPr>
                <w:rFonts w:hint="eastAsia" w:ascii="微软雅黑" w:hAnsi="微软雅黑" w:eastAsia="微软雅黑" w:cs="宋体"/>
                <w:color w:val="auto"/>
                <w:kern w:val="0"/>
                <w:sz w:val="16"/>
                <w:szCs w:val="16"/>
                <w:highlight w:val="none"/>
                <w:lang w:val="en-US" w:eastAsia="zh-CN"/>
              </w:rPr>
              <w:t>1</w:t>
            </w:r>
          </w:p>
        </w:tc>
      </w:tr>
      <w:tr w14:paraId="2C25BE9A">
        <w:tblPrEx>
          <w:tblCellMar>
            <w:top w:w="0" w:type="dxa"/>
            <w:left w:w="108" w:type="dxa"/>
            <w:bottom w:w="0" w:type="dxa"/>
            <w:right w:w="108" w:type="dxa"/>
          </w:tblCellMar>
        </w:tblPrEx>
        <w:trPr>
          <w:trHeight w:val="36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5FEF2A1">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　</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2710B8B6">
            <w:pPr>
              <w:widowControl/>
              <w:jc w:val="left"/>
              <w:rPr>
                <w:rFonts w:hint="eastAsia" w:ascii="微软雅黑" w:hAnsi="微软雅黑" w:eastAsia="微软雅黑" w:cs="宋体"/>
                <w:color w:val="auto"/>
                <w:kern w:val="0"/>
                <w:sz w:val="16"/>
                <w:szCs w:val="16"/>
                <w:highlight w:val="none"/>
              </w:rPr>
            </w:pPr>
            <w:r>
              <w:rPr>
                <w:rFonts w:hint="eastAsia" w:ascii="微软雅黑" w:hAnsi="微软雅黑" w:eastAsia="微软雅黑" w:cs="宋体"/>
                <w:color w:val="auto"/>
                <w:kern w:val="0"/>
                <w:sz w:val="16"/>
                <w:szCs w:val="16"/>
                <w:highlight w:val="none"/>
              </w:rPr>
              <w:t>合计</w:t>
            </w:r>
          </w:p>
        </w:tc>
      </w:tr>
      <w:tr w14:paraId="7BF9A314">
        <w:tblPrEx>
          <w:tblCellMar>
            <w:top w:w="0" w:type="dxa"/>
            <w:left w:w="108" w:type="dxa"/>
            <w:bottom w:w="0" w:type="dxa"/>
            <w:right w:w="108" w:type="dxa"/>
          </w:tblCellMar>
        </w:tblPrEx>
        <w:trPr>
          <w:trHeight w:val="364"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A93B35">
            <w:pPr>
              <w:widowControl/>
              <w:jc w:val="left"/>
              <w:rPr>
                <w:rFonts w:hint="eastAsia" w:ascii="微软雅黑" w:hAnsi="微软雅黑" w:eastAsia="微软雅黑" w:cs="宋体"/>
                <w:color w:val="auto"/>
                <w:kern w:val="0"/>
                <w:sz w:val="16"/>
                <w:szCs w:val="16"/>
                <w:highlight w:val="none"/>
              </w:rPr>
            </w:pP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7A350FC">
            <w:pPr>
              <w:widowControl/>
              <w:jc w:val="left"/>
              <w:rPr>
                <w:rFonts w:hint="eastAsia" w:ascii="微软雅黑" w:hAnsi="微软雅黑" w:eastAsia="微软雅黑" w:cs="宋体"/>
                <w:color w:val="auto"/>
                <w:kern w:val="0"/>
                <w:sz w:val="16"/>
                <w:szCs w:val="16"/>
                <w:highlight w:val="none"/>
              </w:rPr>
            </w:pPr>
          </w:p>
        </w:tc>
      </w:tr>
    </w:tbl>
    <w:p w14:paraId="1DA3E1D0">
      <w:pPr>
        <w:adjustRightInd w:val="0"/>
        <w:snapToGrid w:val="0"/>
        <w:spacing w:line="360" w:lineRule="auto"/>
        <w:rPr>
          <w:rFonts w:ascii="宋体" w:hAnsi="宋体"/>
          <w:color w:val="auto"/>
          <w:szCs w:val="24"/>
          <w:highlight w:val="none"/>
        </w:rPr>
      </w:pPr>
    </w:p>
    <w:p w14:paraId="7B7D7F54">
      <w:pPr>
        <w:adjustRightInd w:val="0"/>
        <w:snapToGrid w:val="0"/>
        <w:spacing w:line="360" w:lineRule="auto"/>
        <w:rPr>
          <w:rFonts w:ascii="宋体" w:hAnsi="宋体"/>
          <w:color w:val="auto"/>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02"/>
        <w:gridCol w:w="7032"/>
      </w:tblGrid>
      <w:tr w14:paraId="0989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1" w:type="dxa"/>
            <w:vAlign w:val="center"/>
          </w:tcPr>
          <w:p w14:paraId="40CF8B97">
            <w:pPr>
              <w:jc w:val="center"/>
              <w:rPr>
                <w:rFonts w:hint="eastAsia" w:ascii="宋体" w:hAnsi="宋体"/>
                <w:color w:val="auto"/>
                <w:kern w:val="0"/>
                <w:highlight w:val="none"/>
              </w:rPr>
            </w:pPr>
            <w:r>
              <w:rPr>
                <w:rFonts w:hint="eastAsia" w:ascii="宋体" w:hAnsi="宋体"/>
                <w:color w:val="auto"/>
                <w:kern w:val="0"/>
                <w:highlight w:val="none"/>
              </w:rPr>
              <w:t>6</w:t>
            </w:r>
          </w:p>
        </w:tc>
        <w:tc>
          <w:tcPr>
            <w:tcW w:w="941" w:type="dxa"/>
            <w:vAlign w:val="center"/>
          </w:tcPr>
          <w:p w14:paraId="0E11D3E2">
            <w:pPr>
              <w:jc w:val="center"/>
              <w:rPr>
                <w:rFonts w:hint="eastAsia" w:ascii="宋体" w:hAnsi="宋体"/>
                <w:color w:val="auto"/>
                <w:kern w:val="0"/>
                <w:highlight w:val="none"/>
              </w:rPr>
            </w:pPr>
            <w:r>
              <w:rPr>
                <w:rFonts w:hint="eastAsia" w:ascii="宋体" w:hAnsi="宋体"/>
                <w:color w:val="auto"/>
                <w:kern w:val="0"/>
                <w:highlight w:val="none"/>
              </w:rPr>
              <w:t>付款方式</w:t>
            </w:r>
          </w:p>
        </w:tc>
        <w:tc>
          <w:tcPr>
            <w:tcW w:w="7519" w:type="dxa"/>
            <w:vAlign w:val="center"/>
          </w:tcPr>
          <w:p w14:paraId="1F05BA35">
            <w:pPr>
              <w:rPr>
                <w:rFonts w:hint="eastAsia" w:ascii="宋体" w:hAnsi="宋体" w:eastAsia="宋体"/>
                <w:color w:val="auto"/>
                <w:kern w:val="0"/>
                <w:highlight w:val="none"/>
              </w:rPr>
            </w:pPr>
            <w:r>
              <w:rPr>
                <w:rFonts w:hint="eastAsia" w:ascii="宋体" w:hAnsi="宋体" w:eastAsia="宋体"/>
                <w:color w:val="auto"/>
                <w:kern w:val="0"/>
                <w:highlight w:val="none"/>
              </w:rPr>
              <w:t>供应商交货完毕并验收合格后，一次性付清合同款。</w:t>
            </w:r>
          </w:p>
        </w:tc>
      </w:tr>
      <w:tr w14:paraId="272D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11E804B">
            <w:pPr>
              <w:jc w:val="center"/>
              <w:rPr>
                <w:rFonts w:hint="eastAsia" w:ascii="宋体" w:hAnsi="宋体"/>
                <w:color w:val="auto"/>
                <w:kern w:val="0"/>
                <w:highlight w:val="none"/>
              </w:rPr>
            </w:pPr>
            <w:r>
              <w:rPr>
                <w:rFonts w:hint="eastAsia" w:ascii="宋体" w:hAnsi="宋体"/>
                <w:color w:val="auto"/>
                <w:kern w:val="0"/>
                <w:highlight w:val="none"/>
              </w:rPr>
              <w:t>9</w:t>
            </w:r>
          </w:p>
        </w:tc>
        <w:tc>
          <w:tcPr>
            <w:tcW w:w="941" w:type="dxa"/>
            <w:vAlign w:val="center"/>
          </w:tcPr>
          <w:p w14:paraId="4EA1E0E5">
            <w:pPr>
              <w:jc w:val="center"/>
              <w:rPr>
                <w:rFonts w:hint="eastAsia" w:ascii="宋体" w:hAnsi="宋体"/>
                <w:color w:val="auto"/>
                <w:kern w:val="0"/>
                <w:highlight w:val="none"/>
              </w:rPr>
            </w:pPr>
            <w:r>
              <w:rPr>
                <w:rFonts w:hint="eastAsia" w:ascii="宋体" w:hAnsi="宋体"/>
                <w:color w:val="auto"/>
                <w:kern w:val="0"/>
                <w:highlight w:val="none"/>
              </w:rPr>
              <w:t>培训</w:t>
            </w:r>
          </w:p>
        </w:tc>
        <w:tc>
          <w:tcPr>
            <w:tcW w:w="7519" w:type="dxa"/>
            <w:vAlign w:val="center"/>
          </w:tcPr>
          <w:p w14:paraId="7A8ED994">
            <w:pPr>
              <w:rPr>
                <w:rFonts w:hint="eastAsia" w:ascii="宋体" w:hAnsi="宋体"/>
                <w:color w:val="auto"/>
                <w:kern w:val="0"/>
                <w:highlight w:val="none"/>
              </w:rPr>
            </w:pPr>
            <w:r>
              <w:rPr>
                <w:rFonts w:hint="eastAsia" w:ascii="宋体" w:hAnsi="宋体"/>
                <w:color w:val="auto"/>
                <w:kern w:val="0"/>
                <w:highlight w:val="none"/>
              </w:rPr>
              <w:t>供应商对其提供产品或服务的使用和操作应尽培训义务。供应商应提供对采购人的基本培训，使采购人使用人员熟练掌握所培训内容，熟练掌握全部功能，培训的相关费用包括在供应商报价中，采购人不再另行支付。</w:t>
            </w:r>
          </w:p>
        </w:tc>
      </w:tr>
      <w:tr w14:paraId="7217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2AFD064">
            <w:pPr>
              <w:jc w:val="center"/>
              <w:rPr>
                <w:rFonts w:hint="eastAsia" w:ascii="宋体" w:hAnsi="宋体"/>
                <w:color w:val="auto"/>
                <w:kern w:val="0"/>
                <w:highlight w:val="none"/>
              </w:rPr>
            </w:pPr>
            <w:r>
              <w:rPr>
                <w:rFonts w:hint="eastAsia" w:ascii="宋体" w:hAnsi="宋体"/>
                <w:color w:val="auto"/>
                <w:kern w:val="0"/>
                <w:highlight w:val="none"/>
              </w:rPr>
              <w:t>10</w:t>
            </w:r>
          </w:p>
        </w:tc>
        <w:tc>
          <w:tcPr>
            <w:tcW w:w="941" w:type="dxa"/>
            <w:vAlign w:val="center"/>
          </w:tcPr>
          <w:p w14:paraId="10113249">
            <w:pPr>
              <w:jc w:val="center"/>
              <w:rPr>
                <w:rFonts w:hint="eastAsia" w:ascii="宋体" w:hAnsi="宋体"/>
                <w:color w:val="auto"/>
                <w:kern w:val="0"/>
                <w:highlight w:val="none"/>
              </w:rPr>
            </w:pPr>
            <w:r>
              <w:rPr>
                <w:rFonts w:hint="eastAsia" w:ascii="宋体" w:hAnsi="宋体"/>
                <w:color w:val="auto"/>
                <w:kern w:val="0"/>
                <w:highlight w:val="none"/>
              </w:rPr>
              <w:t>▲知识产权</w:t>
            </w:r>
          </w:p>
        </w:tc>
        <w:tc>
          <w:tcPr>
            <w:tcW w:w="7519" w:type="dxa"/>
            <w:vAlign w:val="center"/>
          </w:tcPr>
          <w:p w14:paraId="214B1139">
            <w:pPr>
              <w:rPr>
                <w:rFonts w:hint="eastAsia" w:ascii="宋体" w:hAnsi="宋体"/>
                <w:color w:val="auto"/>
                <w:kern w:val="0"/>
                <w:highlight w:val="none"/>
              </w:rPr>
            </w:pPr>
            <w:r>
              <w:rPr>
                <w:rFonts w:hint="eastAsia" w:ascii="宋体" w:hAnsi="宋体"/>
                <w:color w:val="auto"/>
                <w:kern w:val="0"/>
                <w:highlight w:val="none"/>
              </w:rPr>
              <w:t>采购人在中华人民共和国境内使用供应商提供的产品、服务、推广平台、课程教学设计、制作的课程、微课、PPT文稿及文本、视频、使用的题库，不受第三方提出的侵犯其专利权或其它知识产权的起诉。如果第三方提出侵权指控，成交供应商应承担由此而引起的一切法律责任和费用。成交供应商按成交金额的10%赔偿采购人，并支付采购人5万元每次违约金。</w:t>
            </w:r>
          </w:p>
        </w:tc>
      </w:tr>
      <w:tr w14:paraId="6FBD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F00E4A8">
            <w:pPr>
              <w:jc w:val="center"/>
              <w:rPr>
                <w:rFonts w:hint="eastAsia" w:ascii="宋体" w:hAnsi="宋体"/>
                <w:color w:val="auto"/>
                <w:kern w:val="0"/>
                <w:highlight w:val="none"/>
              </w:rPr>
            </w:pPr>
            <w:r>
              <w:rPr>
                <w:rFonts w:hint="eastAsia" w:ascii="宋体" w:hAnsi="宋体"/>
                <w:color w:val="auto"/>
                <w:kern w:val="0"/>
                <w:highlight w:val="none"/>
              </w:rPr>
              <w:t>11</w:t>
            </w:r>
          </w:p>
        </w:tc>
        <w:tc>
          <w:tcPr>
            <w:tcW w:w="941" w:type="dxa"/>
            <w:vAlign w:val="center"/>
          </w:tcPr>
          <w:p w14:paraId="56B460BF">
            <w:pPr>
              <w:pStyle w:val="13"/>
              <w:jc w:val="both"/>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▲诚信要求</w:t>
            </w:r>
          </w:p>
        </w:tc>
        <w:tc>
          <w:tcPr>
            <w:tcW w:w="7519" w:type="dxa"/>
          </w:tcPr>
          <w:p w14:paraId="077742B2">
            <w:pPr>
              <w:jc w:val="left"/>
              <w:rPr>
                <w:rFonts w:hint="eastAsia" w:ascii="宋体" w:hAnsi="宋体"/>
                <w:color w:val="auto"/>
                <w:kern w:val="0"/>
                <w:szCs w:val="21"/>
                <w:highlight w:val="none"/>
              </w:rPr>
            </w:pPr>
            <w:r>
              <w:rPr>
                <w:rFonts w:hint="eastAsia" w:ascii="宋体" w:hAnsi="宋体" w:cs="仿宋"/>
                <w:bCs/>
                <w:color w:val="auto"/>
                <w:kern w:val="0"/>
                <w:szCs w:val="21"/>
                <w:highlight w:val="none"/>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14:paraId="75F2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1731C4F">
            <w:pPr>
              <w:jc w:val="center"/>
              <w:rPr>
                <w:rFonts w:hint="eastAsia" w:ascii="宋体" w:hAnsi="宋体"/>
                <w:color w:val="auto"/>
                <w:kern w:val="0"/>
                <w:highlight w:val="none"/>
              </w:rPr>
            </w:pPr>
            <w:r>
              <w:rPr>
                <w:rFonts w:hint="eastAsia" w:ascii="宋体" w:hAnsi="宋体"/>
                <w:color w:val="auto"/>
                <w:kern w:val="0"/>
                <w:highlight w:val="none"/>
              </w:rPr>
              <w:t>12</w:t>
            </w:r>
          </w:p>
        </w:tc>
        <w:tc>
          <w:tcPr>
            <w:tcW w:w="941" w:type="dxa"/>
            <w:vAlign w:val="center"/>
          </w:tcPr>
          <w:p w14:paraId="7E16FA6F">
            <w:pPr>
              <w:pStyle w:val="13"/>
              <w:jc w:val="both"/>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w:t>
            </w:r>
            <w:r>
              <w:rPr>
                <w:rFonts w:hint="eastAsia" w:ascii="宋体" w:hAnsi="宋体" w:cs="仿宋"/>
                <w:bCs/>
                <w:color w:val="auto"/>
                <w:kern w:val="0"/>
                <w:szCs w:val="21"/>
                <w:highlight w:val="none"/>
              </w:rPr>
              <w:t>节能产品认证</w:t>
            </w:r>
          </w:p>
        </w:tc>
        <w:tc>
          <w:tcPr>
            <w:tcW w:w="7519" w:type="dxa"/>
          </w:tcPr>
          <w:p w14:paraId="78820991">
            <w:pPr>
              <w:jc w:val="left"/>
              <w:rPr>
                <w:rFonts w:hint="eastAsia" w:ascii="宋体" w:hAnsi="宋体" w:cs="仿宋"/>
                <w:bCs/>
                <w:color w:val="auto"/>
                <w:kern w:val="0"/>
                <w:szCs w:val="21"/>
                <w:highlight w:val="none"/>
              </w:rPr>
            </w:pPr>
            <w:r>
              <w:rPr>
                <w:rFonts w:hint="eastAsia" w:ascii="宋体" w:hAnsi="宋体" w:cs="仿宋"/>
                <w:bCs/>
                <w:color w:val="auto"/>
                <w:kern w:val="0"/>
                <w:szCs w:val="21"/>
                <w:highlight w:val="none"/>
              </w:rPr>
              <w:t>属《</w:t>
            </w:r>
            <w:r>
              <w:rPr>
                <w:rFonts w:hint="eastAsia" w:ascii="宋体" w:hAnsi="宋体" w:cs="仿宋"/>
                <w:color w:val="auto"/>
                <w:kern w:val="0"/>
                <w:szCs w:val="21"/>
                <w:highlight w:val="none"/>
              </w:rPr>
              <w:t>节能产品政府采购品目清单</w:t>
            </w:r>
            <w:r>
              <w:rPr>
                <w:rFonts w:hint="eastAsia" w:ascii="宋体" w:hAnsi="宋体" w:cs="仿宋"/>
                <w:bCs/>
                <w:color w:val="auto"/>
                <w:kern w:val="0"/>
                <w:szCs w:val="21"/>
                <w:highlight w:val="none"/>
              </w:rPr>
              <w:t>》范围内的产品，</w:t>
            </w:r>
            <w:r>
              <w:rPr>
                <w:rFonts w:hint="eastAsia" w:ascii="宋体" w:hAnsi="宋体"/>
                <w:color w:val="auto"/>
                <w:kern w:val="0"/>
                <w:szCs w:val="21"/>
                <w:highlight w:val="none"/>
              </w:rPr>
              <w:t>合同签订前，成交供应商</w:t>
            </w:r>
            <w:r>
              <w:rPr>
                <w:rFonts w:hint="eastAsia" w:ascii="宋体" w:hAnsi="宋体" w:cs="仿宋"/>
                <w:bCs/>
                <w:color w:val="auto"/>
                <w:kern w:val="0"/>
                <w:szCs w:val="21"/>
                <w:highlight w:val="none"/>
              </w:rPr>
              <w:t>必须提供国家确定的认证机构出具的、处于有效期之内的节能产品认证证书。</w:t>
            </w:r>
          </w:p>
        </w:tc>
      </w:tr>
      <w:tr w14:paraId="1D4B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964AC44">
            <w:pPr>
              <w:jc w:val="center"/>
              <w:rPr>
                <w:rFonts w:hint="eastAsia" w:ascii="宋体" w:hAnsi="宋体"/>
                <w:color w:val="auto"/>
                <w:kern w:val="0"/>
                <w:highlight w:val="none"/>
              </w:rPr>
            </w:pPr>
            <w:r>
              <w:rPr>
                <w:rFonts w:hint="eastAsia" w:ascii="宋体" w:hAnsi="宋体"/>
                <w:color w:val="auto"/>
                <w:kern w:val="0"/>
                <w:highlight w:val="none"/>
              </w:rPr>
              <w:t>13</w:t>
            </w:r>
          </w:p>
        </w:tc>
        <w:tc>
          <w:tcPr>
            <w:tcW w:w="941" w:type="dxa"/>
            <w:vAlign w:val="center"/>
          </w:tcPr>
          <w:p w14:paraId="339EF629">
            <w:pPr>
              <w:pStyle w:val="13"/>
              <w:jc w:val="both"/>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▲环境标志认证</w:t>
            </w:r>
          </w:p>
        </w:tc>
        <w:tc>
          <w:tcPr>
            <w:tcW w:w="7519" w:type="dxa"/>
          </w:tcPr>
          <w:p w14:paraId="75A7C6DC">
            <w:pPr>
              <w:jc w:val="left"/>
              <w:rPr>
                <w:rFonts w:hint="eastAsia" w:ascii="宋体" w:hAnsi="宋体" w:cs="仿宋"/>
                <w:bCs/>
                <w:color w:val="auto"/>
                <w:kern w:val="0"/>
                <w:szCs w:val="21"/>
                <w:highlight w:val="none"/>
              </w:rPr>
            </w:pPr>
            <w:r>
              <w:rPr>
                <w:rFonts w:hint="eastAsia" w:ascii="宋体" w:hAnsi="宋体" w:cs="仿宋"/>
                <w:bCs/>
                <w:color w:val="auto"/>
                <w:kern w:val="0"/>
                <w:szCs w:val="21"/>
                <w:highlight w:val="none"/>
              </w:rPr>
              <w:t>属《环境标志产品政府采购品目清单》范围内的产品，</w:t>
            </w:r>
            <w:r>
              <w:rPr>
                <w:rFonts w:hint="eastAsia" w:ascii="宋体" w:hAnsi="宋体"/>
                <w:color w:val="auto"/>
                <w:kern w:val="0"/>
                <w:szCs w:val="21"/>
                <w:highlight w:val="none"/>
              </w:rPr>
              <w:t>合同签订前，成交供应商</w:t>
            </w:r>
            <w:r>
              <w:rPr>
                <w:rFonts w:hint="eastAsia" w:ascii="宋体" w:hAnsi="宋体" w:cs="仿宋"/>
                <w:bCs/>
                <w:color w:val="auto"/>
                <w:kern w:val="0"/>
                <w:szCs w:val="21"/>
                <w:highlight w:val="none"/>
              </w:rPr>
              <w:t>必须提供国家确定的认证机构出具的、处于有效期之内的环境标志产品认证证书。</w:t>
            </w:r>
          </w:p>
        </w:tc>
      </w:tr>
      <w:tr w14:paraId="0346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30EE853">
            <w:pPr>
              <w:jc w:val="center"/>
              <w:rPr>
                <w:rFonts w:hint="eastAsia"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4</w:t>
            </w:r>
          </w:p>
        </w:tc>
        <w:tc>
          <w:tcPr>
            <w:tcW w:w="941" w:type="dxa"/>
            <w:vAlign w:val="center"/>
          </w:tcPr>
          <w:p w14:paraId="0EDF1B41">
            <w:pPr>
              <w:jc w:val="center"/>
              <w:rPr>
                <w:rFonts w:hint="eastAsia" w:ascii="宋体" w:hAnsi="宋体"/>
                <w:color w:val="auto"/>
                <w:kern w:val="0"/>
                <w:highlight w:val="none"/>
              </w:rPr>
            </w:pPr>
            <w:r>
              <w:rPr>
                <w:rFonts w:hint="eastAsia" w:ascii="宋体" w:hAnsi="宋体"/>
                <w:color w:val="auto"/>
                <w:kern w:val="0"/>
                <w:highlight w:val="none"/>
              </w:rPr>
              <w:t>其它</w:t>
            </w:r>
          </w:p>
        </w:tc>
        <w:tc>
          <w:tcPr>
            <w:tcW w:w="7519" w:type="dxa"/>
            <w:vAlign w:val="center"/>
          </w:tcPr>
          <w:p w14:paraId="0247BBE4">
            <w:pPr>
              <w:rPr>
                <w:rFonts w:hint="eastAsia" w:ascii="宋体" w:hAnsi="宋体"/>
                <w:color w:val="auto"/>
                <w:kern w:val="0"/>
                <w:highlight w:val="none"/>
              </w:rPr>
            </w:pPr>
            <w:r>
              <w:rPr>
                <w:rFonts w:hint="eastAsia" w:ascii="宋体" w:hAnsi="宋体"/>
                <w:color w:val="auto"/>
                <w:kern w:val="0"/>
                <w:highlight w:val="none"/>
              </w:rPr>
              <w:t>1.标注▲的技术要求为实质性技术要求。供应商在报价文件中应就实质性技术要求提供技术支持资料，未提供的将视为未实质性响应该要求。采购方有权不予接受报价，不予验收通过。</w:t>
            </w:r>
          </w:p>
          <w:p w14:paraId="7F283CAF">
            <w:pPr>
              <w:rPr>
                <w:rFonts w:hint="eastAsia" w:ascii="宋体" w:hAnsi="宋体"/>
                <w:color w:val="auto"/>
                <w:kern w:val="0"/>
                <w:highlight w:val="none"/>
              </w:rPr>
            </w:pPr>
            <w:r>
              <w:rPr>
                <w:rFonts w:hint="eastAsia" w:ascii="宋体" w:hAnsi="宋体"/>
                <w:color w:val="auto"/>
                <w:kern w:val="0"/>
                <w:highlight w:val="none"/>
              </w:rPr>
              <w:t>▲2.根据《中华人民共和国政府采购法》和</w:t>
            </w:r>
            <w:r>
              <w:rPr>
                <w:rFonts w:hint="eastAsia" w:ascii="宋体" w:hAnsi="宋体"/>
                <w:color w:val="auto"/>
                <w:kern w:val="0"/>
                <w:szCs w:val="21"/>
                <w:highlight w:val="none"/>
              </w:rPr>
              <w:t>《中华人民共和国反垄断法》，没有正当理由，不得以低于成本的价格销售商品。</w:t>
            </w:r>
            <w:r>
              <w:rPr>
                <w:rFonts w:hint="eastAsia" w:ascii="宋体" w:hAnsi="宋体"/>
                <w:color w:val="auto"/>
                <w:kern w:val="0"/>
                <w:highlight w:val="none"/>
              </w:rPr>
              <w:t xml:space="preserve"> </w:t>
            </w:r>
          </w:p>
          <w:p w14:paraId="0BB98BFA">
            <w:pPr>
              <w:pStyle w:val="13"/>
              <w:rPr>
                <w:rFonts w:hint="eastAsia" w:ascii="宋体" w:hAnsi="宋体"/>
                <w:color w:val="auto"/>
                <w:kern w:val="0"/>
                <w:sz w:val="21"/>
                <w:szCs w:val="21"/>
                <w:highlight w:val="none"/>
              </w:rPr>
            </w:pPr>
            <w:r>
              <w:rPr>
                <w:rFonts w:hint="eastAsia" w:ascii="宋体" w:hAnsi="宋体"/>
                <w:color w:val="auto"/>
                <w:kern w:val="0"/>
                <w:sz w:val="21"/>
                <w:szCs w:val="21"/>
                <w:highlight w:val="none"/>
              </w:rPr>
              <w:t>★3.合同签订前，成交供应商需提供以下证明材料，若无法提供以下材料或者提供材料经查实存在问题，依法取消中标资格。</w:t>
            </w:r>
          </w:p>
          <w:p w14:paraId="16614F78">
            <w:pPr>
              <w:pStyle w:val="13"/>
              <w:rPr>
                <w:rFonts w:hint="eastAsia" w:ascii="宋体" w:hAnsi="宋体"/>
                <w:color w:val="auto"/>
                <w:kern w:val="0"/>
                <w:sz w:val="21"/>
                <w:szCs w:val="21"/>
                <w:highlight w:val="none"/>
              </w:rPr>
            </w:pPr>
            <w:r>
              <w:rPr>
                <w:rFonts w:hint="eastAsia" w:ascii="宋体" w:hAnsi="宋体"/>
                <w:color w:val="auto"/>
                <w:kern w:val="0"/>
                <w:sz w:val="21"/>
                <w:szCs w:val="21"/>
                <w:highlight w:val="none"/>
              </w:rPr>
              <w:t>（1）全彩LED显示屏屏体具有CCC认证证书及节能认证证书。</w:t>
            </w:r>
          </w:p>
          <w:p w14:paraId="7ABE200E">
            <w:pPr>
              <w:pStyle w:val="13"/>
              <w:rPr>
                <w:rFonts w:hint="eastAsia" w:ascii="宋体" w:hAnsi="宋体"/>
                <w:color w:val="auto"/>
                <w:kern w:val="0"/>
                <w:sz w:val="21"/>
                <w:szCs w:val="21"/>
                <w:highlight w:val="none"/>
              </w:rPr>
            </w:pPr>
            <w:r>
              <w:rPr>
                <w:rFonts w:hint="eastAsia" w:ascii="宋体" w:hAnsi="宋体"/>
                <w:color w:val="auto"/>
                <w:kern w:val="0"/>
                <w:sz w:val="21"/>
                <w:szCs w:val="21"/>
                <w:highlight w:val="none"/>
              </w:rPr>
              <w:t>（2）LED显示屏制造厂商同时具有：有效的ISO9001质量管理体系认证证书、ISO14001环境管理体系认证证书、ISO45001职业健康安全管理体系认证证书、ISO27001信息安全管理体系认证证书，且认证证书的认证范围都包含LED显示屏的设计、生产、安装</w:t>
            </w:r>
          </w:p>
          <w:p w14:paraId="7E7350FB">
            <w:pPr>
              <w:pStyle w:val="13"/>
              <w:rPr>
                <w:rFonts w:hint="eastAsia" w:asciiTheme="minorHAnsi" w:hAnsiTheme="minorHAnsi" w:eastAsiaTheme="minorEastAsia"/>
                <w:color w:val="auto"/>
                <w:kern w:val="0"/>
                <w:szCs w:val="18"/>
                <w:highlight w:val="none"/>
              </w:rPr>
            </w:pPr>
            <w:r>
              <w:rPr>
                <w:rFonts w:hint="eastAsia" w:ascii="宋体" w:hAnsi="宋体"/>
                <w:color w:val="auto"/>
                <w:kern w:val="0"/>
                <w:sz w:val="21"/>
                <w:szCs w:val="21"/>
                <w:highlight w:val="none"/>
              </w:rPr>
              <w:t>（3）LED显示屏制造厂商必须是LED显示屏研发、生产制造一体化厂商，不接受委托贴牌OEM等厂家设备，保证LED显示屏制造厂商专业性与实施规范性，成交供应商就本项目投入本单位电气工程专业及LED显示技术专业的高级工程师，提供本单位具有电气工程专业职称和电工证的售后服务人员，具有安全生产许可证，电子与智能化工程专业承包贰级及以上资质，提供证书复印件并加盖单位公章。</w:t>
            </w:r>
          </w:p>
        </w:tc>
      </w:tr>
    </w:tbl>
    <w:p w14:paraId="4C62E9C9">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1E1F">
    <w:pPr>
      <w:pStyle w:val="13"/>
      <w:jc w:val="center"/>
    </w:pPr>
    <w:r>
      <w:fldChar w:fldCharType="begin"/>
    </w:r>
    <w:r>
      <w:rPr>
        <w:rStyle w:val="19"/>
      </w:rPr>
      <w:instrText xml:space="preserve"> PAGE </w:instrText>
    </w:r>
    <w:r>
      <w:fldChar w:fldCharType="separate"/>
    </w:r>
    <w:r>
      <w:rPr>
        <w:rStyle w:val="19"/>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157A3"/>
    <w:multiLevelType w:val="multilevel"/>
    <w:tmpl w:val="2B6157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E2231E"/>
    <w:multiLevelType w:val="multilevel"/>
    <w:tmpl w:val="75E2231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8F"/>
    <w:rsid w:val="00390964"/>
    <w:rsid w:val="0076278F"/>
    <w:rsid w:val="00A37FE2"/>
    <w:rsid w:val="022B4884"/>
    <w:rsid w:val="06F1383A"/>
    <w:rsid w:val="22137CD6"/>
    <w:rsid w:val="304068BA"/>
    <w:rsid w:val="334E5D5A"/>
    <w:rsid w:val="44D57F3E"/>
    <w:rsid w:val="4B123D89"/>
    <w:rsid w:val="4BFD7100"/>
    <w:rsid w:val="52203989"/>
    <w:rsid w:val="7C461570"/>
    <w:rsid w:val="7FEB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21"/>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0"/>
    <w:unhideWhenUsed/>
    <w:qFormat/>
    <w:uiPriority w:val="99"/>
    <w:pPr>
      <w:spacing w:after="120"/>
    </w:pPr>
    <w:rPr>
      <w:rFonts w:asciiTheme="minorHAnsi" w:hAnsiTheme="minorHAnsi" w:eastAsiaTheme="minorEastAsia" w:cstheme="minorBidi"/>
      <w:szCs w:val="22"/>
    </w:rPr>
  </w:style>
  <w:style w:type="paragraph" w:styleId="12">
    <w:name w:val="Plain Text"/>
    <w:basedOn w:val="11"/>
    <w:next w:val="11"/>
    <w:link w:val="41"/>
    <w:unhideWhenUsed/>
    <w:qFormat/>
    <w:uiPriority w:val="99"/>
    <w:rPr>
      <w:rFonts w:ascii="宋体" w:hAnsi="宋体" w:eastAsia="宋体"/>
      <w:sz w:val="52"/>
    </w:rPr>
  </w:style>
  <w:style w:type="paragraph" w:styleId="13">
    <w:name w:val="footer"/>
    <w:basedOn w:val="1"/>
    <w:link w:val="38"/>
    <w:qFormat/>
    <w:uiPriority w:val="99"/>
    <w:pPr>
      <w:tabs>
        <w:tab w:val="center" w:pos="4153"/>
        <w:tab w:val="right" w:pos="8306"/>
      </w:tabs>
      <w:snapToGrid w:val="0"/>
      <w:jc w:val="left"/>
    </w:pPr>
    <w:rPr>
      <w:sz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标题 4 字符"/>
    <w:basedOn w:val="18"/>
    <w:link w:val="5"/>
    <w:semiHidden/>
    <w:qFormat/>
    <w:uiPriority w:val="9"/>
    <w:rPr>
      <w:rFonts w:cstheme="majorBidi"/>
      <w:color w:val="2F5597" w:themeColor="accent1" w:themeShade="BF"/>
      <w:sz w:val="28"/>
      <w:szCs w:val="28"/>
    </w:rPr>
  </w:style>
  <w:style w:type="character" w:customStyle="1" w:styleId="21">
    <w:name w:val="标题 1 字符"/>
    <w:basedOn w:val="18"/>
    <w:link w:val="2"/>
    <w:qFormat/>
    <w:uiPriority w:val="0"/>
    <w:rPr>
      <w:rFonts w:asciiTheme="majorHAnsi" w:hAnsiTheme="majorHAnsi" w:eastAsiaTheme="majorEastAsia" w:cstheme="majorBidi"/>
      <w:color w:val="2F5597" w:themeColor="accent1" w:themeShade="BF"/>
      <w:sz w:val="48"/>
      <w:szCs w:val="48"/>
    </w:rPr>
  </w:style>
  <w:style w:type="character" w:customStyle="1" w:styleId="22">
    <w:name w:val="标题 2 字符"/>
    <w:basedOn w:val="18"/>
    <w:link w:val="3"/>
    <w:qFormat/>
    <w:uiPriority w:val="0"/>
    <w:rPr>
      <w:rFonts w:asciiTheme="majorHAnsi" w:hAnsiTheme="majorHAnsi" w:eastAsiaTheme="majorEastAsia" w:cstheme="majorBidi"/>
      <w:color w:val="2F5597"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5 字符"/>
    <w:basedOn w:val="18"/>
    <w:link w:val="6"/>
    <w:semiHidden/>
    <w:qFormat/>
    <w:uiPriority w:val="9"/>
    <w:rPr>
      <w:rFonts w:cstheme="majorBidi"/>
      <w:color w:val="2F5597" w:themeColor="accent1" w:themeShade="BF"/>
      <w:sz w:val="24"/>
    </w:rPr>
  </w:style>
  <w:style w:type="character" w:customStyle="1" w:styleId="25">
    <w:name w:val="标题 6 字符"/>
    <w:basedOn w:val="18"/>
    <w:link w:val="7"/>
    <w:semiHidden/>
    <w:qFormat/>
    <w:uiPriority w:val="9"/>
    <w:rPr>
      <w:rFonts w:cstheme="majorBidi"/>
      <w:b/>
      <w:bCs/>
      <w:color w:val="2F5597"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脚 字符"/>
    <w:basedOn w:val="18"/>
    <w:link w:val="13"/>
    <w:qFormat/>
    <w:uiPriority w:val="99"/>
    <w:rPr>
      <w:rFonts w:ascii="Times New Roman" w:hAnsi="Times New Roman" w:eastAsia="宋体" w:cs="Times New Roman"/>
      <w:sz w:val="18"/>
      <w:szCs w:val="20"/>
      <w14:ligatures w14:val="none"/>
    </w:rPr>
  </w:style>
  <w:style w:type="paragraph" w:customStyle="1" w:styleId="39">
    <w:name w:val="Body text|1"/>
    <w:basedOn w:val="1"/>
    <w:qFormat/>
    <w:uiPriority w:val="0"/>
    <w:pPr>
      <w:spacing w:line="420" w:lineRule="auto"/>
      <w:ind w:firstLine="400"/>
    </w:pPr>
    <w:rPr>
      <w:rFonts w:ascii="宋体" w:hAnsi="宋体" w:cs="宋体"/>
      <w:sz w:val="22"/>
      <w:szCs w:val="22"/>
      <w:lang w:val="zh-TW" w:eastAsia="zh-TW" w:bidi="zh-TW"/>
    </w:rPr>
  </w:style>
  <w:style w:type="character" w:customStyle="1" w:styleId="40">
    <w:name w:val="正文文本 字符"/>
    <w:basedOn w:val="18"/>
    <w:link w:val="11"/>
    <w:qFormat/>
    <w:uiPriority w:val="99"/>
    <w:rPr>
      <w:sz w:val="21"/>
      <w:szCs w:val="22"/>
      <w14:ligatures w14:val="none"/>
    </w:rPr>
  </w:style>
  <w:style w:type="character" w:customStyle="1" w:styleId="41">
    <w:name w:val="纯文本 字符"/>
    <w:basedOn w:val="18"/>
    <w:link w:val="12"/>
    <w:qFormat/>
    <w:uiPriority w:val="99"/>
    <w:rPr>
      <w:rFonts w:ascii="宋体" w:hAnsi="宋体" w:eastAsia="宋体"/>
      <w:sz w:val="52"/>
      <w:szCs w:val="22"/>
      <w14:ligatures w14:val="none"/>
    </w:rPr>
  </w:style>
  <w:style w:type="character" w:customStyle="1" w:styleId="42">
    <w:name w:val="font41"/>
    <w:basedOn w:val="1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1266</Words>
  <Characters>1273</Characters>
  <Lines>106</Lines>
  <Paragraphs>30</Paragraphs>
  <TotalTime>431</TotalTime>
  <ScaleCrop>false</ScaleCrop>
  <LinksUpToDate>false</LinksUpToDate>
  <CharactersWithSpaces>1275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2025-06-08T08:09:00Z</dcterms:created>
  <dc:creator>李华德</dc:creator>
  <cp:lastModifiedBy>昌</cp:lastModifiedBy>
  <dcterms:modified xsi:type="dcterms:W3CDTF">2025-07-18T07:21:24Z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4059C7C1F7774E108B2E832E7869F231_13</vt:lpwstr>
  </property>
  <property fmtid="{D5CDD505-2E9C-101B-9397-08002B2CF9AE}" pid="4" name="KSOTemplateDocerSaveRecord">
    <vt:lpwstr>eyJoZGlkIjoiNjAyMTMzNTRlNmE0YzRiMzYxMWFjZTViOWZkZTk1NTMiLCJ1c2VySWQiOiI1MTE3MjUzOTEifQ==</vt:lpwstr>
  </property>
</Properties>
</file>