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E8B3">
      <w:pPr>
        <w:widowControl/>
        <w:jc w:val="center"/>
        <w:rPr>
          <w:rFonts w:ascii="宋体" w:hAnsi="宋体" w:eastAsia="宋体" w:cs="宋体"/>
          <w:b/>
          <w:kern w:val="0"/>
          <w:sz w:val="32"/>
          <w:szCs w:val="24"/>
        </w:rPr>
      </w:pPr>
      <w:r>
        <w:rPr>
          <w:rFonts w:hint="eastAsia" w:ascii="宋体" w:hAnsi="宋体" w:eastAsia="宋体" w:cs="宋体"/>
          <w:b/>
          <w:kern w:val="0"/>
          <w:sz w:val="32"/>
          <w:szCs w:val="24"/>
        </w:rPr>
        <w:t>广西经贸职业技术学院</w:t>
      </w:r>
    </w:p>
    <w:p w14:paraId="2F7DE4C2">
      <w:pPr>
        <w:widowControl/>
        <w:jc w:val="center"/>
        <w:rPr>
          <w:rFonts w:ascii="宋体" w:hAnsi="宋体" w:eastAsia="宋体" w:cs="宋体"/>
          <w:b/>
          <w:kern w:val="0"/>
          <w:sz w:val="32"/>
          <w:szCs w:val="24"/>
        </w:rPr>
      </w:pPr>
      <w:r>
        <w:rPr>
          <w:rFonts w:hint="eastAsia" w:ascii="宋体" w:hAnsi="宋体" w:eastAsia="宋体" w:cs="宋体"/>
          <w:b/>
          <w:kern w:val="0"/>
          <w:sz w:val="32"/>
          <w:szCs w:val="24"/>
        </w:rPr>
        <w:t>在线询价采购文件</w:t>
      </w:r>
    </w:p>
    <w:p w14:paraId="6D65B9AF">
      <w:pPr>
        <w:pStyle w:val="9"/>
        <w:spacing w:line="360" w:lineRule="auto"/>
        <w:jc w:val="center"/>
        <w:rPr>
          <w:rFonts w:ascii="宋体" w:hAnsi="宋体" w:eastAsia="宋体"/>
          <w:b/>
          <w:sz w:val="36"/>
          <w:szCs w:val="22"/>
        </w:rPr>
      </w:pPr>
      <w:r>
        <w:rPr>
          <w:rFonts w:hint="eastAsia" w:ascii="宋体" w:hAnsi="宋体" w:eastAsia="宋体"/>
          <w:b/>
          <w:sz w:val="36"/>
          <w:szCs w:val="22"/>
        </w:rPr>
        <w:t>(适用于政府集中采购品目标的采购</w:t>
      </w:r>
      <w:r>
        <w:rPr>
          <w:rFonts w:ascii="宋体" w:hAnsi="宋体" w:eastAsia="宋体"/>
          <w:b/>
          <w:sz w:val="36"/>
          <w:szCs w:val="22"/>
        </w:rPr>
        <w:t>)</w:t>
      </w:r>
    </w:p>
    <w:p w14:paraId="0BBDB621">
      <w:pPr>
        <w:widowControl/>
        <w:jc w:val="left"/>
        <w:rPr>
          <w:rFonts w:ascii="宋体" w:hAnsi="宋体" w:eastAsia="宋体" w:cs="宋体"/>
          <w:b/>
          <w:kern w:val="0"/>
          <w:szCs w:val="21"/>
          <w:highlight w:val="none"/>
        </w:rPr>
      </w:pPr>
      <w:r>
        <w:rPr>
          <w:rFonts w:hint="eastAsia" w:ascii="宋体" w:hAnsi="宋体" w:eastAsia="宋体" w:cs="宋体"/>
          <w:b/>
          <w:kern w:val="0"/>
          <w:szCs w:val="21"/>
          <w:highlight w:val="none"/>
        </w:rPr>
        <w:t>组织形式：</w:t>
      </w:r>
      <w:r>
        <w:rPr>
          <w:rFonts w:hint="eastAsia" w:ascii="宋体" w:hAnsi="宋体" w:eastAsia="宋体" w:cs="宋体"/>
          <w:kern w:val="0"/>
          <w:szCs w:val="21"/>
          <w:highlight w:val="none"/>
        </w:rPr>
        <w:t xml:space="preserve">政府集中采购             </w:t>
      </w:r>
      <w:r>
        <w:rPr>
          <w:rFonts w:hint="eastAsia" w:ascii="宋体" w:hAnsi="宋体" w:eastAsia="宋体" w:cs="宋体"/>
          <w:b/>
          <w:kern w:val="0"/>
          <w:szCs w:val="21"/>
          <w:highlight w:val="none"/>
        </w:rPr>
        <w:t>采购方式：</w:t>
      </w:r>
      <w:r>
        <w:rPr>
          <w:rFonts w:hint="eastAsia" w:ascii="宋体" w:hAnsi="宋体" w:eastAsia="宋体" w:cs="宋体"/>
          <w:kern w:val="0"/>
          <w:szCs w:val="21"/>
          <w:highlight w:val="none"/>
        </w:rPr>
        <w:t>政府采购云平台（</w:t>
      </w:r>
      <w:r>
        <w:rPr>
          <w:rFonts w:ascii="宋体" w:hAnsi="宋体" w:eastAsia="宋体" w:cs="宋体"/>
          <w:kern w:val="0"/>
          <w:szCs w:val="21"/>
          <w:highlight w:val="none"/>
        </w:rPr>
        <w:t>电子卖场</w:t>
      </w:r>
      <w:r>
        <w:rPr>
          <w:rFonts w:hint="eastAsia" w:ascii="宋体" w:hAnsi="宋体" w:eastAsia="宋体" w:cs="宋体"/>
          <w:kern w:val="0"/>
          <w:szCs w:val="21"/>
          <w:highlight w:val="none"/>
        </w:rPr>
        <w:t>）</w:t>
      </w:r>
      <w:r>
        <w:rPr>
          <w:rFonts w:ascii="宋体" w:hAnsi="宋体" w:eastAsia="宋体" w:cs="宋体"/>
          <w:kern w:val="0"/>
          <w:szCs w:val="21"/>
          <w:highlight w:val="none"/>
        </w:rPr>
        <w:t>-在线询价</w:t>
      </w:r>
    </w:p>
    <w:p w14:paraId="0800C6B1">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项目名称：</w:t>
      </w:r>
      <w:r>
        <w:rPr>
          <w:rFonts w:hint="eastAsia" w:ascii="宋体" w:hAnsi="宋体" w:eastAsia="宋体" w:cs="宋体"/>
          <w:kern w:val="0"/>
          <w:szCs w:val="21"/>
          <w:highlight w:val="none"/>
        </w:rPr>
        <w:t>教务系统服务器（超融合一体机及配套）项目</w:t>
      </w:r>
    </w:p>
    <w:p w14:paraId="20D31858">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采购预算：</w:t>
      </w:r>
      <w:r>
        <w:rPr>
          <w:rFonts w:hint="eastAsia" w:ascii="宋体" w:hAnsi="宋体" w:eastAsia="宋体" w:cs="宋体"/>
          <w:kern w:val="0"/>
          <w:szCs w:val="21"/>
          <w:highlight w:val="none"/>
          <w:lang w:val="en-US" w:eastAsia="zh-CN"/>
        </w:rPr>
        <w:t>567600</w:t>
      </w:r>
      <w:r>
        <w:rPr>
          <w:rFonts w:hint="eastAsia" w:ascii="宋体" w:hAnsi="宋体" w:eastAsia="宋体" w:cs="宋体"/>
          <w:kern w:val="0"/>
          <w:szCs w:val="21"/>
          <w:highlight w:val="none"/>
        </w:rPr>
        <w:t>.00元</w:t>
      </w:r>
    </w:p>
    <w:p w14:paraId="5D59A99B">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采购申请部门：</w:t>
      </w:r>
      <w:r>
        <w:rPr>
          <w:rFonts w:hint="eastAsia" w:ascii="宋体" w:hAnsi="宋体" w:eastAsia="宋体" w:cs="宋体"/>
          <w:kern w:val="0"/>
          <w:szCs w:val="21"/>
          <w:highlight w:val="none"/>
          <w:lang w:val="en-US" w:eastAsia="zh-CN"/>
        </w:rPr>
        <w:t>教务科研</w:t>
      </w:r>
      <w:r>
        <w:rPr>
          <w:rFonts w:ascii="宋体" w:hAnsi="宋体" w:eastAsia="宋体" w:cs="宋体"/>
          <w:kern w:val="0"/>
          <w:szCs w:val="21"/>
          <w:highlight w:val="none"/>
        </w:rPr>
        <w:t>处</w:t>
      </w:r>
    </w:p>
    <w:p w14:paraId="0D186400">
      <w:pPr>
        <w:tabs>
          <w:tab w:val="left" w:pos="180"/>
          <w:tab w:val="left" w:pos="1620"/>
        </w:tabs>
        <w:spacing w:line="276" w:lineRule="auto"/>
        <w:rPr>
          <w:rFonts w:ascii="宋体" w:hAnsi="宋体" w:eastAsia="宋体"/>
          <w:b/>
          <w:bCs/>
          <w:szCs w:val="21"/>
        </w:rPr>
      </w:pPr>
      <w:r>
        <w:rPr>
          <w:rFonts w:hint="eastAsia" w:ascii="宋体" w:hAnsi="宋体" w:eastAsia="宋体"/>
          <w:b/>
          <w:bCs/>
          <w:szCs w:val="21"/>
        </w:rPr>
        <w:t>说明：</w:t>
      </w:r>
    </w:p>
    <w:p w14:paraId="7CEB99C1">
      <w:pPr>
        <w:tabs>
          <w:tab w:val="left" w:pos="180"/>
          <w:tab w:val="left" w:pos="1620"/>
        </w:tabs>
        <w:spacing w:line="276" w:lineRule="auto"/>
        <w:rPr>
          <w:rFonts w:ascii="宋体" w:hAnsi="宋体" w:eastAsia="宋体"/>
          <w:szCs w:val="21"/>
          <w:u w:val="single"/>
        </w:rPr>
      </w:pPr>
      <w:r>
        <w:rPr>
          <w:rFonts w:ascii="宋体" w:hAnsi="宋体" w:eastAsia="宋体"/>
          <w:b/>
          <w:bCs/>
          <w:szCs w:val="21"/>
        </w:rPr>
        <w:t>1.</w:t>
      </w:r>
      <w:r>
        <w:rPr>
          <w:rFonts w:hint="eastAsia" w:ascii="宋体" w:hAnsi="宋体" w:eastAsia="宋体"/>
          <w:szCs w:val="21"/>
        </w:rPr>
        <w:t>采购标的对应的中小企业划分标准所属行业：根据《关于印发中小企业划型标准规定的通知》（工信部联企业〔2011〕300号），本次采购标的属于</w:t>
      </w:r>
      <w:r>
        <w:rPr>
          <w:rFonts w:hint="eastAsia" w:ascii="宋体" w:hAnsi="宋体" w:eastAsia="宋体"/>
          <w:szCs w:val="21"/>
          <w:u w:val="single"/>
        </w:rPr>
        <w:t>：（1）农、林、牧、渔业；（2）工业；（3）建筑业；（4）批发业；</w:t>
      </w:r>
      <w:r>
        <w:rPr>
          <w:rFonts w:hint="eastAsia" w:ascii="宋体" w:hAnsi="宋体" w:eastAsia="宋体"/>
          <w:szCs w:val="21"/>
          <w:highlight w:val="none"/>
          <w:u w:val="single"/>
        </w:rPr>
        <w:t>（5）零售业；</w:t>
      </w:r>
      <w:r>
        <w:rPr>
          <w:rFonts w:hint="eastAsia" w:ascii="宋体" w:hAnsi="宋体" w:eastAsia="宋体"/>
          <w:szCs w:val="21"/>
          <w:u w:val="single"/>
        </w:rPr>
        <w:t xml:space="preserve">（6）交通运输业；（7）仓储业；（8）邮政业；（9）住宿业；（10）餐饮业；（11）信息传输业；（12）软件和信息技术服务业；（13）房地产开发经营；（14）物业管理；（15）租赁和商务服务业；（16）其他未列明行业。 </w:t>
      </w:r>
      <w:r>
        <w:rPr>
          <w:rFonts w:ascii="宋体" w:hAnsi="宋体" w:eastAsia="宋体"/>
          <w:szCs w:val="21"/>
          <w:u w:val="single"/>
        </w:rPr>
        <w:t xml:space="preserve"> </w:t>
      </w:r>
    </w:p>
    <w:p w14:paraId="53CC7DA4">
      <w:pPr>
        <w:tabs>
          <w:tab w:val="left" w:pos="180"/>
          <w:tab w:val="left" w:pos="1620"/>
        </w:tabs>
        <w:spacing w:line="276" w:lineRule="auto"/>
        <w:rPr>
          <w:rFonts w:ascii="宋体" w:hAnsi="宋体" w:eastAsia="宋体"/>
          <w:b/>
          <w:bCs/>
          <w:szCs w:val="21"/>
          <w:u w:val="single"/>
        </w:rPr>
      </w:pPr>
      <w:r>
        <w:rPr>
          <w:rFonts w:hint="eastAsia" w:ascii="宋体" w:hAnsi="宋体" w:eastAsia="宋体"/>
          <w:b/>
          <w:bCs/>
          <w:szCs w:val="21"/>
          <w:u w:val="single"/>
        </w:rPr>
        <w:t>选择其中一项。</w:t>
      </w:r>
    </w:p>
    <w:p w14:paraId="66FCF0B7">
      <w:pPr>
        <w:widowControl/>
        <w:jc w:val="left"/>
        <w:rPr>
          <w:rFonts w:ascii="宋体" w:hAnsi="宋体" w:eastAsia="宋体" w:cs="宋体"/>
          <w:b/>
          <w:color w:val="FF0000"/>
          <w:kern w:val="0"/>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60"/>
        <w:gridCol w:w="7893"/>
        <w:gridCol w:w="846"/>
        <w:gridCol w:w="730"/>
        <w:gridCol w:w="1176"/>
        <w:gridCol w:w="1496"/>
      </w:tblGrid>
      <w:tr w14:paraId="73FF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7" w:type="dxa"/>
            <w:vAlign w:val="center"/>
          </w:tcPr>
          <w:p w14:paraId="13C55EEA">
            <w:pPr>
              <w:jc w:val="center"/>
              <w:rPr>
                <w:rFonts w:ascii="宋体" w:hAnsi="宋体" w:eastAsia="宋体" w:cs="宋体"/>
                <w:b/>
                <w:szCs w:val="21"/>
              </w:rPr>
            </w:pPr>
            <w:r>
              <w:rPr>
                <w:rFonts w:hint="eastAsia" w:ascii="宋体" w:hAnsi="宋体" w:eastAsia="宋体" w:cs="宋体"/>
                <w:b/>
                <w:szCs w:val="21"/>
              </w:rPr>
              <w:t>序号</w:t>
            </w:r>
          </w:p>
        </w:tc>
        <w:tc>
          <w:tcPr>
            <w:tcW w:w="1260" w:type="dxa"/>
            <w:shd w:val="clear" w:color="auto" w:fill="auto"/>
            <w:vAlign w:val="center"/>
          </w:tcPr>
          <w:p w14:paraId="15D6E132">
            <w:pPr>
              <w:jc w:val="center"/>
              <w:rPr>
                <w:rFonts w:ascii="宋体" w:hAnsi="宋体" w:eastAsia="宋体" w:cs="宋体"/>
                <w:b/>
                <w:szCs w:val="21"/>
              </w:rPr>
            </w:pPr>
            <w:r>
              <w:rPr>
                <w:rFonts w:hint="eastAsia" w:ascii="宋体" w:hAnsi="宋体" w:eastAsia="宋体" w:cs="宋体"/>
                <w:b/>
                <w:szCs w:val="21"/>
              </w:rPr>
              <w:t>*商品名称</w:t>
            </w:r>
          </w:p>
        </w:tc>
        <w:tc>
          <w:tcPr>
            <w:tcW w:w="7893" w:type="dxa"/>
            <w:shd w:val="clear" w:color="auto" w:fill="auto"/>
            <w:vAlign w:val="center"/>
          </w:tcPr>
          <w:p w14:paraId="6F89F8C1">
            <w:pPr>
              <w:jc w:val="center"/>
              <w:rPr>
                <w:rFonts w:ascii="宋体" w:hAnsi="宋体" w:eastAsia="宋体" w:cs="宋体"/>
                <w:b/>
                <w:szCs w:val="21"/>
              </w:rPr>
            </w:pPr>
            <w:r>
              <w:rPr>
                <w:rFonts w:hint="eastAsia" w:ascii="宋体" w:hAnsi="宋体" w:eastAsia="宋体" w:cs="宋体"/>
                <w:b/>
                <w:szCs w:val="21"/>
              </w:rPr>
              <w:t>*参数</w:t>
            </w:r>
          </w:p>
        </w:tc>
        <w:tc>
          <w:tcPr>
            <w:tcW w:w="846" w:type="dxa"/>
            <w:shd w:val="clear" w:color="auto" w:fill="auto"/>
            <w:vAlign w:val="center"/>
          </w:tcPr>
          <w:p w14:paraId="1B18E9CB">
            <w:pPr>
              <w:jc w:val="center"/>
              <w:rPr>
                <w:rFonts w:ascii="宋体" w:hAnsi="宋体" w:eastAsia="宋体" w:cs="宋体"/>
                <w:b/>
                <w:szCs w:val="21"/>
              </w:rPr>
            </w:pPr>
            <w:r>
              <w:rPr>
                <w:rFonts w:hint="eastAsia" w:ascii="宋体" w:hAnsi="宋体" w:eastAsia="宋体" w:cs="宋体"/>
                <w:b/>
                <w:szCs w:val="21"/>
              </w:rPr>
              <w:t>*数量</w:t>
            </w:r>
          </w:p>
        </w:tc>
        <w:tc>
          <w:tcPr>
            <w:tcW w:w="730" w:type="dxa"/>
            <w:shd w:val="clear" w:color="auto" w:fill="auto"/>
            <w:vAlign w:val="center"/>
          </w:tcPr>
          <w:p w14:paraId="25CDD6F5">
            <w:pPr>
              <w:jc w:val="center"/>
              <w:rPr>
                <w:rFonts w:ascii="宋体" w:hAnsi="宋体" w:eastAsia="宋体" w:cs="宋体"/>
                <w:b/>
                <w:szCs w:val="21"/>
              </w:rPr>
            </w:pPr>
            <w:r>
              <w:rPr>
                <w:rFonts w:hint="eastAsia" w:ascii="宋体" w:hAnsi="宋体" w:eastAsia="宋体" w:cs="宋体"/>
                <w:b/>
                <w:szCs w:val="21"/>
              </w:rPr>
              <w:t>*单位</w:t>
            </w:r>
          </w:p>
        </w:tc>
        <w:tc>
          <w:tcPr>
            <w:tcW w:w="1176" w:type="dxa"/>
            <w:vAlign w:val="center"/>
          </w:tcPr>
          <w:p w14:paraId="64BC300C">
            <w:pPr>
              <w:jc w:val="center"/>
              <w:rPr>
                <w:rFonts w:ascii="宋体" w:hAnsi="宋体" w:eastAsia="宋体" w:cs="宋体"/>
                <w:b/>
                <w:szCs w:val="21"/>
              </w:rPr>
            </w:pPr>
            <w:r>
              <w:rPr>
                <w:rFonts w:hint="eastAsia" w:ascii="宋体" w:hAnsi="宋体" w:eastAsia="宋体" w:cs="宋体"/>
                <w:b/>
                <w:szCs w:val="21"/>
              </w:rPr>
              <w:t>*控制总价(元)</w:t>
            </w:r>
          </w:p>
        </w:tc>
        <w:tc>
          <w:tcPr>
            <w:tcW w:w="1496" w:type="dxa"/>
            <w:vAlign w:val="center"/>
          </w:tcPr>
          <w:p w14:paraId="228C1B4C">
            <w:pPr>
              <w:jc w:val="center"/>
              <w:rPr>
                <w:rFonts w:ascii="宋体" w:hAnsi="宋体" w:eastAsia="宋体" w:cs="宋体"/>
                <w:szCs w:val="21"/>
              </w:rPr>
            </w:pPr>
            <w:r>
              <w:rPr>
                <w:rFonts w:hint="eastAsia" w:ascii="宋体" w:hAnsi="宋体" w:eastAsia="宋体" w:cs="宋体"/>
                <w:b/>
                <w:szCs w:val="21"/>
              </w:rPr>
              <w:t>参考品牌及型号</w:t>
            </w:r>
          </w:p>
        </w:tc>
      </w:tr>
      <w:tr w14:paraId="692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dxa"/>
            <w:vAlign w:val="center"/>
          </w:tcPr>
          <w:p w14:paraId="3BF6C27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60" w:type="dxa"/>
            <w:shd w:val="clear" w:color="auto" w:fill="auto"/>
            <w:vAlign w:val="center"/>
          </w:tcPr>
          <w:p w14:paraId="048FD077">
            <w:pPr>
              <w:jc w:val="center"/>
              <w:rPr>
                <w:rFonts w:ascii="宋体" w:hAnsi="宋体" w:eastAsia="宋体" w:cs="宋体"/>
                <w:szCs w:val="21"/>
              </w:rPr>
            </w:pPr>
            <w:r>
              <w:rPr>
                <w:rFonts w:hint="eastAsia" w:ascii="宋体" w:hAnsi="宋体" w:eastAsia="宋体" w:cs="宋体"/>
                <w:szCs w:val="21"/>
              </w:rPr>
              <w:t>服务器（超融合一体机及配套）</w:t>
            </w:r>
          </w:p>
        </w:tc>
        <w:tc>
          <w:tcPr>
            <w:tcW w:w="7893" w:type="dxa"/>
            <w:shd w:val="clear" w:color="auto" w:fill="auto"/>
            <w:vAlign w:val="center"/>
          </w:tcPr>
          <w:p w14:paraId="73E6025E">
            <w:pPr>
              <w:pStyle w:val="2"/>
              <w:rPr>
                <w:b w:val="0"/>
                <w:bCs/>
                <w:highlight w:val="none"/>
              </w:rPr>
            </w:pPr>
            <w:r>
              <w:rPr>
                <w:rFonts w:hint="eastAsia"/>
                <w:b w:val="0"/>
                <w:bCs/>
                <w:highlight w:val="none"/>
              </w:rPr>
              <w:t>一、超融合一体机</w:t>
            </w:r>
          </w:p>
          <w:p w14:paraId="2C3F9643">
            <w:pPr>
              <w:rPr>
                <w:rFonts w:cs="微软雅黑"/>
                <w:b w:val="0"/>
                <w:bCs/>
                <w:kern w:val="0"/>
                <w:highlight w:val="none"/>
              </w:rPr>
            </w:pPr>
            <w:r>
              <w:rPr>
                <w:rFonts w:hint="eastAsia" w:cs="微软雅黑"/>
                <w:b w:val="0"/>
                <w:bCs/>
                <w:kern w:val="0"/>
                <w:highlight w:val="none"/>
                <w:lang w:eastAsia="zh-CN"/>
              </w:rPr>
              <w:t>▲</w:t>
            </w:r>
            <w:r>
              <w:rPr>
                <w:rFonts w:cs="微软雅黑"/>
                <w:b w:val="0"/>
                <w:bCs/>
                <w:kern w:val="0"/>
                <w:highlight w:val="none"/>
              </w:rPr>
              <w:t>1、规格：2U的</w:t>
            </w:r>
            <w:r>
              <w:rPr>
                <w:rFonts w:hint="eastAsia" w:cs="微软雅黑"/>
                <w:b w:val="0"/>
                <w:bCs/>
                <w:kern w:val="0"/>
                <w:highlight w:val="none"/>
                <w:lang w:val="en-US" w:eastAsia="zh-CN"/>
              </w:rPr>
              <w:t>超融合一体机</w:t>
            </w:r>
            <w:r>
              <w:rPr>
                <w:rFonts w:cs="微软雅黑"/>
                <w:b w:val="0"/>
                <w:bCs/>
                <w:kern w:val="0"/>
                <w:highlight w:val="none"/>
              </w:rPr>
              <w:t>。</w:t>
            </w:r>
          </w:p>
          <w:p w14:paraId="1B9B0F35">
            <w:pPr>
              <w:rPr>
                <w:rFonts w:cs="微软雅黑"/>
                <w:b w:val="0"/>
                <w:bCs/>
                <w:kern w:val="0"/>
                <w:highlight w:val="none"/>
              </w:rPr>
            </w:pPr>
            <w:r>
              <w:rPr>
                <w:rFonts w:hint="eastAsia" w:cs="微软雅黑"/>
                <w:b w:val="0"/>
                <w:bCs/>
                <w:kern w:val="0"/>
                <w:highlight w:val="none"/>
                <w:lang w:eastAsia="zh-CN"/>
              </w:rPr>
              <w:t>▲</w:t>
            </w:r>
            <w:r>
              <w:rPr>
                <w:rFonts w:cs="微软雅黑"/>
                <w:b w:val="0"/>
                <w:bCs/>
                <w:kern w:val="0"/>
                <w:highlight w:val="none"/>
              </w:rPr>
              <w:t>2、内存：配置</w:t>
            </w:r>
            <w:r>
              <w:rPr>
                <w:rFonts w:hint="eastAsia" w:cs="微软雅黑"/>
                <w:b w:val="0"/>
                <w:bCs/>
                <w:kern w:val="0"/>
                <w:highlight w:val="none"/>
                <w:lang w:eastAsia="zh-CN"/>
              </w:rPr>
              <w:t>≥</w:t>
            </w:r>
            <w:r>
              <w:rPr>
                <w:rFonts w:hint="eastAsia" w:cs="微软雅黑"/>
                <w:b w:val="0"/>
                <w:bCs/>
                <w:kern w:val="0"/>
                <w:highlight w:val="none"/>
                <w:lang w:val="en-US" w:eastAsia="zh-CN"/>
              </w:rPr>
              <w:t>16</w:t>
            </w:r>
            <w:r>
              <w:rPr>
                <w:rFonts w:cs="微软雅黑"/>
                <w:b w:val="0"/>
                <w:bCs/>
                <w:kern w:val="0"/>
                <w:highlight w:val="none"/>
              </w:rPr>
              <w:t>*32GB内存；内存插槽数量</w:t>
            </w:r>
            <w:r>
              <w:rPr>
                <w:rFonts w:hint="eastAsia" w:cs="微软雅黑"/>
                <w:b w:val="0"/>
                <w:bCs/>
                <w:kern w:val="0"/>
                <w:highlight w:val="none"/>
                <w:lang w:eastAsia="zh-CN"/>
              </w:rPr>
              <w:t>≥</w:t>
            </w:r>
            <w:r>
              <w:rPr>
                <w:rFonts w:cs="微软雅黑"/>
                <w:b w:val="0"/>
                <w:bCs/>
                <w:kern w:val="0"/>
                <w:highlight w:val="none"/>
              </w:rPr>
              <w:t>32个，最大内存可扩展至2TB；具备内存回收机制，实现内存资源的动态复用，保障服务器的性能</w:t>
            </w:r>
          </w:p>
          <w:p w14:paraId="7186B084">
            <w:pPr>
              <w:rPr>
                <w:rFonts w:cs="微软雅黑"/>
                <w:b w:val="0"/>
                <w:bCs/>
                <w:kern w:val="0"/>
                <w:highlight w:val="none"/>
              </w:rPr>
            </w:pPr>
            <w:r>
              <w:rPr>
                <w:rFonts w:hint="eastAsia" w:cs="微软雅黑"/>
                <w:b w:val="0"/>
                <w:bCs/>
                <w:kern w:val="0"/>
                <w:highlight w:val="none"/>
                <w:lang w:eastAsia="zh-CN"/>
              </w:rPr>
              <w:t>▲</w:t>
            </w:r>
            <w:r>
              <w:rPr>
                <w:rFonts w:cs="微软雅黑"/>
                <w:b w:val="0"/>
                <w:bCs/>
                <w:kern w:val="0"/>
                <w:highlight w:val="none"/>
              </w:rPr>
              <w:t>3、硬盘：</w:t>
            </w:r>
            <w:r>
              <w:rPr>
                <w:rFonts w:hint="eastAsia" w:cs="微软雅黑"/>
                <w:b w:val="0"/>
                <w:bCs/>
                <w:kern w:val="0"/>
                <w:highlight w:val="none"/>
                <w:lang w:val="en-US" w:eastAsia="zh-CN"/>
              </w:rPr>
              <w:t>≥</w:t>
            </w:r>
            <w:r>
              <w:rPr>
                <w:rFonts w:cs="微软雅黑"/>
                <w:b w:val="0"/>
                <w:bCs/>
                <w:kern w:val="0"/>
                <w:highlight w:val="none"/>
              </w:rPr>
              <w:t>2块240G SSD系统盘、</w:t>
            </w:r>
            <w:r>
              <w:rPr>
                <w:rFonts w:hint="eastAsia" w:cs="微软雅黑"/>
                <w:b w:val="0"/>
                <w:bCs/>
                <w:kern w:val="0"/>
                <w:highlight w:val="none"/>
                <w:lang w:eastAsia="zh-CN"/>
              </w:rPr>
              <w:t>≥</w:t>
            </w:r>
            <w:r>
              <w:rPr>
                <w:rFonts w:hint="eastAsia" w:cs="微软雅黑"/>
                <w:b w:val="0"/>
                <w:bCs/>
                <w:kern w:val="0"/>
                <w:highlight w:val="none"/>
                <w:lang w:val="en-US" w:eastAsia="zh-CN"/>
              </w:rPr>
              <w:t>4</w:t>
            </w:r>
            <w:r>
              <w:rPr>
                <w:rFonts w:cs="微软雅黑"/>
                <w:b w:val="0"/>
                <w:bCs/>
                <w:kern w:val="0"/>
                <w:highlight w:val="none"/>
              </w:rPr>
              <w:t>块960G SSD缓存盘、配置</w:t>
            </w:r>
            <w:r>
              <w:rPr>
                <w:rFonts w:hint="eastAsia" w:cs="微软雅黑"/>
                <w:b w:val="0"/>
                <w:bCs/>
                <w:kern w:val="0"/>
                <w:highlight w:val="none"/>
                <w:lang w:eastAsia="zh-CN"/>
              </w:rPr>
              <w:t>≥</w:t>
            </w:r>
            <w:r>
              <w:rPr>
                <w:rFonts w:hint="eastAsia" w:cs="微软雅黑"/>
                <w:b w:val="0"/>
                <w:bCs/>
                <w:kern w:val="0"/>
                <w:highlight w:val="none"/>
                <w:lang w:val="en-US" w:eastAsia="zh-CN"/>
              </w:rPr>
              <w:t>6</w:t>
            </w:r>
            <w:r>
              <w:rPr>
                <w:rFonts w:cs="微软雅黑"/>
                <w:b w:val="0"/>
                <w:bCs/>
                <w:kern w:val="0"/>
                <w:highlight w:val="none"/>
              </w:rPr>
              <w:t>块</w:t>
            </w:r>
            <w:r>
              <w:rPr>
                <w:rFonts w:hint="eastAsia" w:cs="微软雅黑"/>
                <w:b w:val="0"/>
                <w:bCs/>
                <w:kern w:val="0"/>
                <w:highlight w:val="none"/>
              </w:rPr>
              <w:t>8</w:t>
            </w:r>
            <w:r>
              <w:rPr>
                <w:rFonts w:cs="微软雅黑"/>
                <w:b w:val="0"/>
                <w:bCs/>
                <w:kern w:val="0"/>
                <w:highlight w:val="none"/>
              </w:rPr>
              <w:t>T SATA数据盘，支持热插拔SAS/SATA硬盘，兼容2.5英寸和3.5英寸硬盘，配备</w:t>
            </w:r>
            <w:r>
              <w:rPr>
                <w:rFonts w:hint="eastAsia" w:cs="微软雅黑"/>
                <w:b w:val="0"/>
                <w:bCs/>
                <w:kern w:val="0"/>
                <w:highlight w:val="none"/>
                <w:lang w:eastAsia="zh-CN"/>
              </w:rPr>
              <w:t>≥</w:t>
            </w:r>
            <w:r>
              <w:rPr>
                <w:rFonts w:cs="微软雅黑"/>
                <w:b w:val="0"/>
                <w:bCs/>
                <w:kern w:val="0"/>
                <w:highlight w:val="none"/>
              </w:rPr>
              <w:t>12个2.5/3.5寸硬盘槽；。</w:t>
            </w:r>
          </w:p>
          <w:p w14:paraId="3FB16239">
            <w:pPr>
              <w:rPr>
                <w:rFonts w:cs="微软雅黑"/>
                <w:b w:val="0"/>
                <w:bCs/>
                <w:kern w:val="0"/>
                <w:highlight w:val="none"/>
              </w:rPr>
            </w:pPr>
            <w:r>
              <w:rPr>
                <w:rFonts w:hint="eastAsia" w:cs="微软雅黑"/>
                <w:b w:val="0"/>
                <w:bCs/>
                <w:kern w:val="0"/>
                <w:highlight w:val="none"/>
                <w:lang w:eastAsia="zh-CN"/>
              </w:rPr>
              <w:t>▲</w:t>
            </w:r>
            <w:r>
              <w:rPr>
                <w:rFonts w:cs="微软雅黑"/>
                <w:b w:val="0"/>
                <w:bCs/>
                <w:kern w:val="0"/>
                <w:highlight w:val="none"/>
              </w:rPr>
              <w:t>4、处理器：配置</w:t>
            </w:r>
            <w:r>
              <w:rPr>
                <w:rFonts w:hint="eastAsia" w:cs="微软雅黑"/>
                <w:b w:val="0"/>
                <w:bCs/>
                <w:kern w:val="0"/>
                <w:highlight w:val="none"/>
                <w:lang w:eastAsia="zh-CN"/>
              </w:rPr>
              <w:t>≥</w:t>
            </w:r>
            <w:r>
              <w:rPr>
                <w:rFonts w:cs="微软雅黑"/>
                <w:b w:val="0"/>
                <w:bCs/>
                <w:kern w:val="0"/>
                <w:highlight w:val="none"/>
              </w:rPr>
              <w:t>2颗</w:t>
            </w:r>
            <w:r>
              <w:rPr>
                <w:rFonts w:hint="eastAsia" w:cs="微软雅黑"/>
                <w:b w:val="0"/>
                <w:bCs/>
                <w:kern w:val="0"/>
                <w:highlight w:val="none"/>
              </w:rPr>
              <w:t>Xeon Gold 6326</w:t>
            </w:r>
            <w:r>
              <w:rPr>
                <w:rFonts w:hint="eastAsia" w:cs="微软雅黑"/>
                <w:b w:val="0"/>
                <w:bCs/>
                <w:kern w:val="0"/>
                <w:highlight w:val="none"/>
                <w:lang w:val="en-US" w:eastAsia="zh-CN"/>
              </w:rPr>
              <w:t xml:space="preserve"> </w:t>
            </w:r>
            <w:r>
              <w:rPr>
                <w:rFonts w:cs="微软雅黑"/>
                <w:b w:val="0"/>
                <w:bCs/>
                <w:kern w:val="0"/>
                <w:highlight w:val="none"/>
              </w:rPr>
              <w:t>处理器</w:t>
            </w:r>
            <w:r>
              <w:rPr>
                <w:rFonts w:hint="eastAsia" w:cs="微软雅黑"/>
                <w:b w:val="0"/>
                <w:bCs/>
                <w:kern w:val="0"/>
                <w:highlight w:val="none"/>
                <w:lang w:val="en-US" w:eastAsia="zh-CN"/>
              </w:rPr>
              <w:t>（16核心）</w:t>
            </w:r>
            <w:r>
              <w:rPr>
                <w:rFonts w:cs="微软雅黑"/>
                <w:b w:val="0"/>
                <w:bCs/>
                <w:kern w:val="0"/>
                <w:highlight w:val="none"/>
              </w:rPr>
              <w:t>，主频</w:t>
            </w:r>
            <w:r>
              <w:rPr>
                <w:rFonts w:hint="eastAsia" w:cs="微软雅黑"/>
                <w:b w:val="0"/>
                <w:bCs/>
                <w:kern w:val="0"/>
                <w:highlight w:val="none"/>
                <w:lang w:eastAsia="zh-CN"/>
              </w:rPr>
              <w:t>≥</w:t>
            </w:r>
            <w:r>
              <w:rPr>
                <w:rFonts w:cs="微软雅黑"/>
                <w:b w:val="0"/>
                <w:bCs/>
                <w:kern w:val="0"/>
                <w:highlight w:val="none"/>
              </w:rPr>
              <w:t>2.</w:t>
            </w:r>
            <w:r>
              <w:rPr>
                <w:rFonts w:hint="eastAsia" w:cs="微软雅黑"/>
                <w:b w:val="0"/>
                <w:bCs/>
                <w:kern w:val="0"/>
                <w:highlight w:val="none"/>
                <w:lang w:val="en-US" w:eastAsia="zh-CN"/>
              </w:rPr>
              <w:t>8</w:t>
            </w:r>
            <w:r>
              <w:rPr>
                <w:rFonts w:cs="微软雅黑"/>
                <w:b w:val="0"/>
                <w:bCs/>
                <w:kern w:val="0"/>
                <w:highlight w:val="none"/>
              </w:rPr>
              <w:t>GHZ。</w:t>
            </w:r>
          </w:p>
          <w:p w14:paraId="6CBB5A3A">
            <w:pPr>
              <w:rPr>
                <w:rFonts w:cs="微软雅黑"/>
                <w:b w:val="0"/>
                <w:bCs/>
                <w:kern w:val="0"/>
                <w:highlight w:val="none"/>
              </w:rPr>
            </w:pPr>
            <w:r>
              <w:rPr>
                <w:rFonts w:cs="微软雅黑"/>
                <w:b w:val="0"/>
                <w:bCs/>
                <w:kern w:val="0"/>
                <w:highlight w:val="none"/>
              </w:rPr>
              <w:t xml:space="preserve"> 5、设备配备</w:t>
            </w:r>
            <w:r>
              <w:rPr>
                <w:rFonts w:hint="eastAsia" w:cs="微软雅黑"/>
                <w:b w:val="0"/>
                <w:bCs/>
                <w:kern w:val="0"/>
                <w:highlight w:val="none"/>
                <w:lang w:eastAsia="zh-CN"/>
              </w:rPr>
              <w:t>≥</w:t>
            </w:r>
            <w:r>
              <w:rPr>
                <w:rFonts w:hint="eastAsia" w:cs="微软雅黑"/>
                <w:b w:val="0"/>
                <w:bCs/>
                <w:color w:val="auto"/>
                <w:kern w:val="0"/>
                <w:highlight w:val="none"/>
                <w:lang w:val="en-US" w:eastAsia="zh-CN"/>
              </w:rPr>
              <w:t>6</w:t>
            </w:r>
            <w:r>
              <w:rPr>
                <w:rFonts w:cs="微软雅黑"/>
                <w:b w:val="0"/>
                <w:bCs/>
                <w:color w:val="auto"/>
                <w:kern w:val="0"/>
                <w:highlight w:val="none"/>
              </w:rPr>
              <w:t>个</w:t>
            </w:r>
            <w:r>
              <w:rPr>
                <w:rFonts w:hint="eastAsia" w:cs="微软雅黑"/>
                <w:b w:val="0"/>
                <w:bCs/>
                <w:color w:val="auto"/>
                <w:kern w:val="0"/>
                <w:highlight w:val="none"/>
              </w:rPr>
              <w:t>千兆电</w:t>
            </w:r>
            <w:r>
              <w:rPr>
                <w:rFonts w:cs="微软雅黑"/>
                <w:b w:val="0"/>
                <w:bCs/>
                <w:color w:val="auto"/>
                <w:kern w:val="0"/>
                <w:highlight w:val="none"/>
              </w:rPr>
              <w:t>口和2个</w:t>
            </w:r>
            <w:r>
              <w:rPr>
                <w:rFonts w:hint="eastAsia" w:cs="微软雅黑"/>
                <w:b w:val="0"/>
                <w:bCs/>
                <w:color w:val="auto"/>
                <w:kern w:val="0"/>
                <w:highlight w:val="none"/>
              </w:rPr>
              <w:t>万兆光</w:t>
            </w:r>
            <w:r>
              <w:rPr>
                <w:rFonts w:cs="微软雅黑"/>
                <w:b w:val="0"/>
                <w:bCs/>
                <w:color w:val="auto"/>
                <w:kern w:val="0"/>
                <w:highlight w:val="none"/>
              </w:rPr>
              <w:t>口（包含</w:t>
            </w:r>
            <w:r>
              <w:rPr>
                <w:rFonts w:hint="eastAsia" w:cs="微软雅黑"/>
                <w:b w:val="0"/>
                <w:bCs/>
                <w:color w:val="auto"/>
                <w:kern w:val="0"/>
                <w:highlight w:val="none"/>
                <w:lang w:val="en-US" w:eastAsia="zh-CN"/>
              </w:rPr>
              <w:t>4个</w:t>
            </w:r>
            <w:r>
              <w:rPr>
                <w:rFonts w:cs="微软雅黑"/>
                <w:b w:val="0"/>
                <w:bCs/>
                <w:color w:val="auto"/>
                <w:kern w:val="0"/>
                <w:highlight w:val="none"/>
              </w:rPr>
              <w:t>万兆多模光模块</w:t>
            </w:r>
            <w:r>
              <w:rPr>
                <w:rFonts w:hint="eastAsia" w:cs="微软雅黑"/>
                <w:b w:val="0"/>
                <w:bCs/>
                <w:color w:val="auto"/>
                <w:kern w:val="0"/>
                <w:highlight w:val="none"/>
                <w:lang w:val="en-US" w:eastAsia="zh-CN"/>
              </w:rPr>
              <w:t>和2根</w:t>
            </w:r>
            <w:r>
              <w:rPr>
                <w:rFonts w:cs="微软雅黑"/>
                <w:b w:val="0"/>
                <w:bCs/>
                <w:color w:val="auto"/>
                <w:kern w:val="0"/>
                <w:highlight w:val="none"/>
              </w:rPr>
              <w:t>多模光纤线）</w:t>
            </w:r>
            <w:r>
              <w:rPr>
                <w:rFonts w:cs="微软雅黑"/>
                <w:b w:val="0"/>
                <w:bCs/>
                <w:kern w:val="0"/>
                <w:highlight w:val="none"/>
              </w:rPr>
              <w:t>；配置冗余电源。</w:t>
            </w:r>
          </w:p>
          <w:p w14:paraId="50E2DBC9">
            <w:pPr>
              <w:rPr>
                <w:rFonts w:cs="微软雅黑"/>
                <w:b w:val="0"/>
                <w:bCs/>
                <w:kern w:val="0"/>
                <w:highlight w:val="none"/>
              </w:rPr>
            </w:pPr>
            <w:r>
              <w:rPr>
                <w:rFonts w:cs="微软雅黑"/>
                <w:b w:val="0"/>
                <w:bCs/>
                <w:kern w:val="0"/>
                <w:highlight w:val="none"/>
              </w:rPr>
              <w:t>6、RAID功能：提供raid 0/1/10并支持直通。</w:t>
            </w:r>
          </w:p>
          <w:p w14:paraId="26A99602">
            <w:pPr>
              <w:rPr>
                <w:rFonts w:cs="微软雅黑"/>
                <w:b w:val="0"/>
                <w:bCs/>
                <w:kern w:val="0"/>
                <w:highlight w:val="none"/>
              </w:rPr>
            </w:pPr>
            <w:r>
              <w:rPr>
                <w:rFonts w:cs="微软雅黑"/>
                <w:b w:val="0"/>
                <w:bCs/>
                <w:kern w:val="0"/>
                <w:highlight w:val="none"/>
              </w:rPr>
              <w:t>7、包含</w:t>
            </w:r>
            <w:r>
              <w:rPr>
                <w:rFonts w:cs="微软雅黑"/>
                <w:b w:val="0"/>
                <w:bCs/>
                <w:color w:val="auto"/>
                <w:kern w:val="0"/>
                <w:highlight w:val="none"/>
              </w:rPr>
              <w:t>免费</w:t>
            </w:r>
            <w:r>
              <w:rPr>
                <w:rFonts w:hint="eastAsia" w:cs="微软雅黑"/>
                <w:b w:val="0"/>
                <w:bCs/>
                <w:color w:val="auto"/>
                <w:kern w:val="0"/>
                <w:highlight w:val="none"/>
                <w:lang w:val="en-US" w:eastAsia="zh-CN"/>
              </w:rPr>
              <w:t>5</w:t>
            </w:r>
            <w:r>
              <w:rPr>
                <w:rFonts w:cs="微软雅黑"/>
                <w:b w:val="0"/>
                <w:bCs/>
                <w:color w:val="auto"/>
                <w:kern w:val="0"/>
                <w:highlight w:val="none"/>
              </w:rPr>
              <w:t>年硬件</w:t>
            </w:r>
            <w:r>
              <w:rPr>
                <w:rFonts w:hint="eastAsia" w:cs="微软雅黑"/>
                <w:b w:val="0"/>
                <w:bCs/>
                <w:color w:val="auto"/>
                <w:kern w:val="0"/>
                <w:highlight w:val="none"/>
                <w:lang w:eastAsia="zh-CN"/>
              </w:rPr>
              <w:t>质保及软件升级</w:t>
            </w:r>
            <w:r>
              <w:rPr>
                <w:rFonts w:cs="微软雅黑"/>
                <w:b w:val="0"/>
                <w:bCs/>
                <w:color w:val="auto"/>
                <w:kern w:val="0"/>
                <w:highlight w:val="none"/>
              </w:rPr>
              <w:t>服务。</w:t>
            </w:r>
          </w:p>
          <w:p w14:paraId="23C343C3">
            <w:pPr>
              <w:rPr>
                <w:rFonts w:hint="eastAsia" w:cs="微软雅黑"/>
                <w:b w:val="0"/>
                <w:bCs/>
                <w:kern w:val="0"/>
                <w:highlight w:val="none"/>
              </w:rPr>
            </w:pPr>
            <w:r>
              <w:rPr>
                <w:rFonts w:hint="eastAsia" w:cs="微软雅黑"/>
                <w:b w:val="0"/>
                <w:bCs/>
                <w:kern w:val="0"/>
                <w:highlight w:val="none"/>
                <w:lang w:eastAsia="zh-CN"/>
              </w:rPr>
              <w:t>▲</w:t>
            </w:r>
            <w:r>
              <w:rPr>
                <w:rFonts w:hint="eastAsia" w:cs="微软雅黑"/>
                <w:b w:val="0"/>
                <w:bCs/>
                <w:kern w:val="0"/>
                <w:highlight w:val="none"/>
              </w:rPr>
              <w:t>8、为方便运维管理，需要与学校信息中心现有超融合集群统一管理，实现以下功能：</w:t>
            </w:r>
          </w:p>
          <w:p w14:paraId="73A5EFA3">
            <w:pPr>
              <w:rPr>
                <w:rFonts w:hint="eastAsia" w:cs="微软雅黑"/>
                <w:b w:val="0"/>
                <w:bCs/>
                <w:kern w:val="0"/>
                <w:highlight w:val="none"/>
              </w:rPr>
            </w:pPr>
            <w:r>
              <w:rPr>
                <w:rFonts w:hint="eastAsia" w:cs="微软雅黑"/>
                <w:b w:val="0"/>
                <w:bCs/>
                <w:kern w:val="0"/>
                <w:highlight w:val="none"/>
              </w:rPr>
              <w:t>（1）实现虚拟机跨集群迁移（业务不中断），完成系统的平滑升级；</w:t>
            </w:r>
          </w:p>
          <w:p w14:paraId="7F29C00B">
            <w:pPr>
              <w:rPr>
                <w:rFonts w:hint="eastAsia" w:cs="微软雅黑"/>
                <w:b w:val="0"/>
                <w:bCs/>
                <w:kern w:val="0"/>
                <w:highlight w:val="none"/>
              </w:rPr>
            </w:pPr>
            <w:r>
              <w:rPr>
                <w:rFonts w:hint="eastAsia" w:cs="微软雅黑"/>
                <w:b w:val="0"/>
                <w:bCs/>
                <w:kern w:val="0"/>
                <w:highlight w:val="none"/>
              </w:rPr>
              <w:t>（2）平台可实现对集群内所有虚拟机配置资源（CPU、内存、硬盘）动态热分配；</w:t>
            </w:r>
          </w:p>
          <w:p w14:paraId="2CD76210">
            <w:pPr>
              <w:rPr>
                <w:rFonts w:hint="eastAsia" w:cs="微软雅黑"/>
                <w:b w:val="0"/>
                <w:bCs/>
                <w:kern w:val="0"/>
                <w:highlight w:val="none"/>
              </w:rPr>
            </w:pPr>
            <w:r>
              <w:rPr>
                <w:rFonts w:hint="eastAsia" w:cs="微软雅黑"/>
                <w:b w:val="0"/>
                <w:bCs/>
                <w:kern w:val="0"/>
                <w:highlight w:val="none"/>
              </w:rPr>
              <w:t>（3）对集群内所有虚拟机全生命周期进行管理（包括虚拟机创建、更新、备份、恢复等功能）；</w:t>
            </w:r>
          </w:p>
          <w:p w14:paraId="230CC60E">
            <w:pPr>
              <w:rPr>
                <w:rFonts w:hint="eastAsia" w:cs="微软雅黑"/>
                <w:b w:val="0"/>
                <w:bCs/>
                <w:kern w:val="0"/>
                <w:highlight w:val="none"/>
              </w:rPr>
            </w:pPr>
            <w:r>
              <w:rPr>
                <w:rFonts w:hint="eastAsia" w:cs="微软雅黑"/>
                <w:b w:val="0"/>
                <w:bCs/>
                <w:kern w:val="0"/>
                <w:highlight w:val="none"/>
              </w:rPr>
              <w:t>（4）可以对两套集群资源实时监控和分析资源使用情况，以优化性能。</w:t>
            </w:r>
          </w:p>
          <w:p w14:paraId="3F59A366">
            <w:pPr>
              <w:pStyle w:val="2"/>
              <w:rPr>
                <w:b w:val="0"/>
                <w:bCs/>
                <w:highlight w:val="none"/>
              </w:rPr>
            </w:pPr>
            <w:r>
              <w:rPr>
                <w:rFonts w:hint="eastAsia"/>
                <w:b w:val="0"/>
                <w:bCs/>
                <w:highlight w:val="none"/>
              </w:rPr>
              <w:t>二、网络虚拟化软件</w:t>
            </w:r>
          </w:p>
          <w:p w14:paraId="4C85E3E1">
            <w:pPr>
              <w:rPr>
                <w:rFonts w:hint="eastAsia"/>
                <w:b w:val="0"/>
                <w:bCs/>
                <w:highlight w:val="none"/>
              </w:rPr>
            </w:pPr>
            <w:r>
              <w:rPr>
                <w:rFonts w:hint="eastAsia"/>
                <w:b w:val="0"/>
                <w:bCs/>
                <w:highlight w:val="none"/>
              </w:rPr>
              <w:t>1、支持管理网、业务网、数据通信网（VXLAN）和存储网复用相同物理网口。推荐两个或四个网口聚合，最多支持8个网口聚合。网口复用后，支持对不同网络平面进行流量控制和VLAN隔离，为网络中的每个虚拟机提供内置的网络故障切换和负载均衡能力，实现更高的硬件可用性和容错能力</w:t>
            </w:r>
          </w:p>
          <w:p w14:paraId="6B0A317E">
            <w:pPr>
              <w:rPr>
                <w:rFonts w:hint="eastAsia"/>
                <w:b w:val="0"/>
                <w:bCs/>
                <w:highlight w:val="none"/>
              </w:rPr>
            </w:pPr>
            <w:r>
              <w:rPr>
                <w:rFonts w:hint="eastAsia"/>
                <w:b w:val="0"/>
                <w:bCs/>
                <w:highlight w:val="none"/>
              </w:rPr>
              <w:t>▲2、在管理平台上可以通过拖拽虚拟设备图标和连线就能完成网络拓扑的构建，快速的实现整个业务逻辑，支持对整个平台虚拟设备实现统一的管理，提升运维管理的工作效率。（需提供产品功能截图，并加盖投标人公章）</w:t>
            </w:r>
          </w:p>
          <w:p w14:paraId="16B66AA6">
            <w:pPr>
              <w:rPr>
                <w:rFonts w:hint="eastAsia"/>
                <w:b w:val="0"/>
                <w:bCs/>
                <w:highlight w:val="none"/>
              </w:rPr>
            </w:pPr>
            <w:r>
              <w:rPr>
                <w:rFonts w:hint="eastAsia"/>
                <w:b w:val="0"/>
                <w:bCs/>
                <w:highlight w:val="none"/>
              </w:rPr>
              <w:t>3、超融合能够提供端口镜像功能，支持将超融合内部网络流量镜像到内部虚拟机、nfv、外部安全设备进行流量审计，可联动安全态势感知平台进行流量检测</w:t>
            </w:r>
          </w:p>
          <w:p w14:paraId="2FC2FA8E">
            <w:pPr>
              <w:rPr>
                <w:rFonts w:hint="eastAsia"/>
                <w:b w:val="0"/>
                <w:bCs/>
                <w:highlight w:val="none"/>
              </w:rPr>
            </w:pPr>
            <w:r>
              <w:rPr>
                <w:rFonts w:hint="eastAsia"/>
                <w:b w:val="0"/>
                <w:bCs/>
                <w:highlight w:val="none"/>
              </w:rPr>
              <w:t>▲4</w:t>
            </w:r>
            <w:r>
              <w:rPr>
                <w:rFonts w:hint="eastAsia"/>
                <w:b w:val="0"/>
                <w:bCs/>
                <w:highlight w:val="none"/>
                <w:lang w:eastAsia="zh-CN"/>
              </w:rPr>
              <w:t>、</w:t>
            </w:r>
            <w:r>
              <w:rPr>
                <w:rFonts w:hint="eastAsia"/>
                <w:b w:val="0"/>
                <w:bCs/>
                <w:highlight w:val="none"/>
              </w:rPr>
              <w:t>支持跳转连通性探测页面，可以设置探测对象信息，包括网口、对象类型、IP地址，可以点击开始探测按钮查看探测页面信息，可以在网络连通性探测页面查看网络探测是否成功（需提供产品功能截图，并加盖投标人公章）</w:t>
            </w:r>
          </w:p>
          <w:p w14:paraId="713651D0">
            <w:pPr>
              <w:rPr>
                <w:rFonts w:hint="eastAsia"/>
                <w:b w:val="0"/>
                <w:bCs/>
                <w:highlight w:val="none"/>
              </w:rPr>
            </w:pPr>
            <w:r>
              <w:rPr>
                <w:rFonts w:hint="eastAsia"/>
                <w:b w:val="0"/>
                <w:bCs/>
                <w:highlight w:val="none"/>
              </w:rPr>
              <w:t>▲5</w:t>
            </w:r>
            <w:r>
              <w:rPr>
                <w:rFonts w:hint="eastAsia"/>
                <w:b w:val="0"/>
                <w:bCs/>
                <w:highlight w:val="none"/>
                <w:lang w:eastAsia="zh-CN"/>
              </w:rPr>
              <w:t>、</w:t>
            </w:r>
            <w:r>
              <w:rPr>
                <w:rFonts w:hint="eastAsia"/>
                <w:b w:val="0"/>
                <w:bCs/>
                <w:highlight w:val="none"/>
              </w:rPr>
              <w:t>超融合需提供网络可视化组件，可在图形化界面上观察到所有虚拟机的流量走向与访问关系，包括源IP、目的IP、访问次数、服务类型等。（需提供产品界面截图，并加盖投标人公章）</w:t>
            </w:r>
          </w:p>
          <w:p w14:paraId="7B18D74B">
            <w:pPr>
              <w:rPr>
                <w:rFonts w:hint="eastAsia"/>
                <w:b w:val="0"/>
                <w:bCs/>
                <w:highlight w:val="none"/>
              </w:rPr>
            </w:pPr>
            <w:r>
              <w:rPr>
                <w:rFonts w:hint="eastAsia"/>
                <w:b w:val="0"/>
                <w:bCs/>
                <w:highlight w:val="none"/>
              </w:rPr>
              <w:t>6、可以支持手动指定虚拟路由器运行在固定的物理主机上，可以自动将虚拟路由器规划到高性能和高吞吐的物理主机上。</w:t>
            </w:r>
          </w:p>
          <w:p w14:paraId="3B50E634">
            <w:pPr>
              <w:rPr>
                <w:rFonts w:hint="eastAsia"/>
                <w:b w:val="0"/>
                <w:bCs/>
                <w:highlight w:val="none"/>
              </w:rPr>
            </w:pPr>
            <w:r>
              <w:rPr>
                <w:rFonts w:hint="eastAsia"/>
                <w:b w:val="0"/>
                <w:bCs/>
                <w:highlight w:val="none"/>
              </w:rPr>
              <w:t>7、分布式防火墙中可以进行创建策略操作，可以对已创建策略进行设置，包括源、目的和状态等信息，可以查看已创建的策略列表项信息，可以点击分布式防火墙中的实时拦截日志跳转到拦截日志和直通页面，可以进行实时拦截日志操作，可以查看实时拦截日志列表信息，包括时间、源、IP地址、协议（ICMP）、数据包大小和匹配策略名称，可以通过开启数据直通临时排查数据流量问题。</w:t>
            </w:r>
          </w:p>
          <w:p w14:paraId="57B7C392">
            <w:pPr>
              <w:rPr>
                <w:rFonts w:hint="eastAsia"/>
                <w:b w:val="0"/>
                <w:bCs/>
                <w:highlight w:val="none"/>
              </w:rPr>
            </w:pPr>
            <w:r>
              <w:rPr>
                <w:rFonts w:hint="eastAsia"/>
                <w:b w:val="0"/>
                <w:bCs/>
                <w:highlight w:val="none"/>
              </w:rPr>
              <w:t>▲8</w:t>
            </w:r>
            <w:r>
              <w:rPr>
                <w:rFonts w:hint="eastAsia"/>
                <w:b w:val="0"/>
                <w:bCs/>
                <w:highlight w:val="none"/>
                <w:lang w:eastAsia="zh-CN"/>
              </w:rPr>
              <w:t>、</w:t>
            </w:r>
            <w:r>
              <w:rPr>
                <w:rFonts w:hint="eastAsia"/>
                <w:b w:val="0"/>
                <w:bCs/>
                <w:highlight w:val="none"/>
              </w:rPr>
              <w:t>支持创建分布式虚拟防火墙，可基于虚拟机、虚拟机组、虚拟机标签、IP、IP范围、IP组构建安全防火墙，当虚拟机在不同的物理节点之间迁移时，安全策略随之移动（需提供产品功能截图，并加盖投标人公章）</w:t>
            </w:r>
          </w:p>
          <w:p w14:paraId="1AAE2E44">
            <w:pPr>
              <w:pStyle w:val="2"/>
              <w:rPr>
                <w:b w:val="0"/>
                <w:bCs/>
                <w:highlight w:val="none"/>
              </w:rPr>
            </w:pPr>
            <w:r>
              <w:rPr>
                <w:rFonts w:hint="eastAsia"/>
                <w:b w:val="0"/>
                <w:bCs/>
                <w:highlight w:val="none"/>
              </w:rPr>
              <w:t>三、</w:t>
            </w:r>
            <w:r>
              <w:rPr>
                <w:rFonts w:hint="eastAsia"/>
                <w:b w:val="0"/>
                <w:bCs/>
                <w:highlight w:val="none"/>
                <w:lang w:val="en-US" w:eastAsia="zh-CN"/>
              </w:rPr>
              <w:t>计算虚拟化软件</w:t>
            </w:r>
          </w:p>
          <w:p w14:paraId="275A5AB3">
            <w:pPr>
              <w:rPr>
                <w:rFonts w:hint="eastAsia"/>
                <w:b w:val="0"/>
                <w:bCs/>
                <w:highlight w:val="none"/>
              </w:rPr>
            </w:pPr>
            <w:r>
              <w:rPr>
                <w:rFonts w:hint="eastAsia"/>
                <w:b w:val="0"/>
                <w:bCs/>
                <w:highlight w:val="none"/>
              </w:rPr>
              <w:t>▲1</w:t>
            </w:r>
            <w:r>
              <w:rPr>
                <w:rFonts w:hint="eastAsia"/>
                <w:b w:val="0"/>
                <w:bCs/>
                <w:highlight w:val="none"/>
                <w:lang w:eastAsia="zh-CN"/>
              </w:rPr>
              <w:t>、</w:t>
            </w:r>
            <w:r>
              <w:rPr>
                <w:rFonts w:hint="eastAsia"/>
                <w:b w:val="0"/>
                <w:bCs/>
                <w:highlight w:val="none"/>
              </w:rPr>
              <w:t xml:space="preserve">虚拟化软件非OEM或贴牌产品，采用分布式管理架构，去中心化，管理平台不依赖于某一个虚拟机或物理机部署，采用分布式架构保障平台更可靠，虚拟化软件应基于KVM开发，可维护性好，部署时无需绑定安装OpenStack相关组件 </w:t>
            </w:r>
          </w:p>
          <w:p w14:paraId="2775B72E">
            <w:pPr>
              <w:rPr>
                <w:rFonts w:hint="eastAsia"/>
                <w:b w:val="0"/>
                <w:bCs/>
                <w:highlight w:val="none"/>
              </w:rPr>
            </w:pPr>
            <w:r>
              <w:rPr>
                <w:rFonts w:hint="eastAsia"/>
                <w:b w:val="0"/>
                <w:bCs/>
                <w:highlight w:val="none"/>
              </w:rPr>
              <w:t>▲2</w:t>
            </w:r>
            <w:r>
              <w:rPr>
                <w:rFonts w:hint="eastAsia"/>
                <w:b w:val="0"/>
                <w:bCs/>
                <w:highlight w:val="none"/>
                <w:lang w:eastAsia="zh-CN"/>
              </w:rPr>
              <w:t>、</w:t>
            </w:r>
            <w:r>
              <w:rPr>
                <w:rFonts w:hint="eastAsia"/>
                <w:b w:val="0"/>
                <w:bCs/>
                <w:highlight w:val="none"/>
              </w:rPr>
              <w:t>可以支持扩展同一品牌的存储虚拟化、网络功能虚拟化、虚拟应用防火墙、虚拟应用交付、SSL VPN软件、数据库审计软件等功能组件的，并支持统一管理，以保障平台的扩展性和兼容性。（需提供产品功能截图，并加盖投标人公章）</w:t>
            </w:r>
          </w:p>
          <w:p w14:paraId="75B48537">
            <w:pPr>
              <w:rPr>
                <w:rFonts w:hint="eastAsia"/>
                <w:b w:val="0"/>
                <w:bCs/>
                <w:highlight w:val="none"/>
              </w:rPr>
            </w:pPr>
            <w:r>
              <w:rPr>
                <w:rFonts w:hint="eastAsia"/>
                <w:b w:val="0"/>
                <w:bCs/>
                <w:highlight w:val="none"/>
              </w:rPr>
              <w:t>3、支持纳管第三方主流虚拟化平台，可对Vmware平台上的虚拟机进行管理，支持在本地管理平台实现对VMware vCenter中的虚拟机备份，并能够在超融合的平台实现VMware虚拟机的启动恢复。</w:t>
            </w:r>
          </w:p>
          <w:p w14:paraId="39ED7755">
            <w:pPr>
              <w:rPr>
                <w:rFonts w:hint="eastAsia"/>
                <w:b w:val="0"/>
                <w:bCs/>
                <w:highlight w:val="none"/>
              </w:rPr>
            </w:pPr>
            <w:r>
              <w:rPr>
                <w:rFonts w:hint="eastAsia"/>
                <w:b w:val="0"/>
                <w:bCs/>
                <w:highlight w:val="none"/>
              </w:rPr>
              <w:t>▲4</w:t>
            </w:r>
            <w:r>
              <w:rPr>
                <w:rFonts w:hint="eastAsia"/>
                <w:b w:val="0"/>
                <w:bCs/>
                <w:highlight w:val="none"/>
                <w:lang w:eastAsia="zh-CN"/>
              </w:rPr>
              <w:t>、</w:t>
            </w:r>
            <w:r>
              <w:rPr>
                <w:rFonts w:hint="eastAsia"/>
                <w:b w:val="0"/>
                <w:bCs/>
                <w:highlight w:val="none"/>
              </w:rPr>
              <w:t>支持UPS QoS（UPS联动），为尽可能保障数据中心断电场景下的业务，可在市电断电时通过UPS临时供应电量，当UPS电量过低时，按照虚拟机优先级先将不重要的虚拟机进行软关机。（需提供产品功能截图，并加盖投标人公章）</w:t>
            </w:r>
          </w:p>
          <w:p w14:paraId="3BEB89EB">
            <w:pPr>
              <w:rPr>
                <w:rFonts w:hint="eastAsia"/>
                <w:b w:val="0"/>
                <w:bCs/>
                <w:highlight w:val="none"/>
              </w:rPr>
            </w:pPr>
            <w:r>
              <w:rPr>
                <w:rFonts w:hint="eastAsia"/>
                <w:b w:val="0"/>
                <w:bCs/>
                <w:highlight w:val="none"/>
              </w:rPr>
              <w:t>▲5</w:t>
            </w:r>
            <w:r>
              <w:rPr>
                <w:rFonts w:hint="eastAsia"/>
                <w:b w:val="0"/>
                <w:bCs/>
                <w:highlight w:val="none"/>
                <w:lang w:eastAsia="zh-CN"/>
              </w:rPr>
              <w:t>、</w:t>
            </w:r>
            <w:r>
              <w:rPr>
                <w:rFonts w:hint="eastAsia"/>
                <w:b w:val="0"/>
                <w:bCs/>
                <w:highlight w:val="none"/>
              </w:rPr>
              <w:t>当扫描到物理主机的内存条出现ECC CE和UE错误时，能够将对应内存空间进行隔离并定位故障内存的槽位，减少硬件问题对业务的影响。（需提供产品功能截图，并加盖投标人公章）</w:t>
            </w:r>
          </w:p>
          <w:p w14:paraId="17B8C70D">
            <w:pPr>
              <w:rPr>
                <w:rFonts w:hint="eastAsia"/>
                <w:b w:val="0"/>
                <w:bCs/>
                <w:highlight w:val="none"/>
              </w:rPr>
            </w:pPr>
            <w:r>
              <w:rPr>
                <w:rFonts w:hint="eastAsia"/>
                <w:b w:val="0"/>
                <w:bCs/>
                <w:highlight w:val="none"/>
              </w:rPr>
              <w:t>6、为了更好的保护用户数据，虚拟化软件自带无代理备份功能，无需安装备份软件，支持设置定期全量备份、增量备份、差异备份，支持用户灵活配置备份策略，备份文件保留时间最高可以达到15年，支持将虚拟机的备份文件定期归档到第二存储。</w:t>
            </w:r>
          </w:p>
          <w:p w14:paraId="4D2FC285">
            <w:pPr>
              <w:rPr>
                <w:rFonts w:hint="eastAsia"/>
                <w:b w:val="0"/>
                <w:bCs/>
                <w:highlight w:val="none"/>
              </w:rPr>
            </w:pPr>
            <w:r>
              <w:rPr>
                <w:rFonts w:hint="eastAsia"/>
                <w:b w:val="0"/>
                <w:bCs/>
                <w:highlight w:val="none"/>
              </w:rPr>
              <w:t>7、每个虚拟机都可以安装独立的操作系统，应支持Windows、 Linux，并且支持国产操作系统包括：红旗linux、中标麒麟、中标普华、深度linux等。</w:t>
            </w:r>
          </w:p>
          <w:p w14:paraId="633FED85">
            <w:pPr>
              <w:rPr>
                <w:rFonts w:hint="eastAsia"/>
                <w:b w:val="0"/>
                <w:bCs/>
                <w:highlight w:val="none"/>
              </w:rPr>
            </w:pPr>
            <w:r>
              <w:rPr>
                <w:rFonts w:hint="eastAsia"/>
                <w:b w:val="0"/>
                <w:bCs/>
                <w:highlight w:val="none"/>
              </w:rPr>
              <w:t>▲8</w:t>
            </w:r>
            <w:r>
              <w:rPr>
                <w:rFonts w:hint="eastAsia"/>
                <w:b w:val="0"/>
                <w:bCs/>
                <w:highlight w:val="none"/>
                <w:lang w:eastAsia="zh-CN"/>
              </w:rPr>
              <w:t>、</w:t>
            </w:r>
            <w:r>
              <w:rPr>
                <w:rFonts w:hint="eastAsia"/>
                <w:b w:val="0"/>
                <w:bCs/>
                <w:highlight w:val="none"/>
              </w:rPr>
              <w:t>为避免主机假死导致系列问题发生，支持识别假死主机并标签化为亚健康主机，通过邮件或短信告警提醒用户进行处理，并限制重要业务在亚健康主机上运行，规避风险。（需提供产品功能截图，并加盖投标人公章）</w:t>
            </w:r>
          </w:p>
          <w:p w14:paraId="7C91360C">
            <w:pPr>
              <w:rPr>
                <w:rFonts w:hint="eastAsia"/>
                <w:b w:val="0"/>
                <w:bCs/>
                <w:highlight w:val="none"/>
              </w:rPr>
            </w:pPr>
            <w:r>
              <w:rPr>
                <w:rFonts w:hint="eastAsia"/>
                <w:b w:val="0"/>
                <w:bCs/>
                <w:highlight w:val="none"/>
              </w:rPr>
              <w:t>9、支持设置告警类型（紧急和普通）、告警内容（集群、主机、虚拟机、CPU、内存、磁盘），针对告警信息平台可自动给出告警处理建议，同时支持将告警信息以短信和邮件方式发送给管理员。</w:t>
            </w:r>
          </w:p>
          <w:p w14:paraId="26645C84">
            <w:pPr>
              <w:rPr>
                <w:rFonts w:hAnsi="宋体" w:cs="宋体"/>
                <w:b w:val="0"/>
                <w:bCs/>
                <w:szCs w:val="21"/>
                <w:highlight w:val="none"/>
              </w:rPr>
            </w:pPr>
            <w:r>
              <w:rPr>
                <w:rFonts w:hint="eastAsia"/>
                <w:b w:val="0"/>
                <w:bCs/>
                <w:highlight w:val="none"/>
              </w:rPr>
              <w:t>▲10</w:t>
            </w:r>
            <w:r>
              <w:rPr>
                <w:rFonts w:hint="eastAsia"/>
                <w:b w:val="0"/>
                <w:bCs/>
                <w:highlight w:val="none"/>
                <w:lang w:eastAsia="zh-CN"/>
              </w:rPr>
              <w:t>、</w:t>
            </w:r>
            <w:r>
              <w:rPr>
                <w:rFonts w:hint="eastAsia"/>
                <w:b w:val="0"/>
                <w:bCs/>
                <w:highlight w:val="none"/>
              </w:rPr>
              <w:t>提供基于PowerShell的CLI命令行功能，通过PowerShell脚本可简化用户运维操作。（提供产品功能截图或命令行说明手册，并加盖投标人公章）</w:t>
            </w:r>
          </w:p>
          <w:p w14:paraId="3197ECEC">
            <w:pPr>
              <w:pStyle w:val="2"/>
              <w:spacing w:beforeLines="0" w:afterLines="0"/>
              <w:rPr>
                <w:rFonts w:hint="eastAsia"/>
                <w:b w:val="0"/>
                <w:bCs/>
                <w:sz w:val="24"/>
                <w:szCs w:val="32"/>
                <w:highlight w:val="none"/>
              </w:rPr>
            </w:pPr>
            <w:r>
              <w:rPr>
                <w:rFonts w:hint="eastAsia"/>
                <w:b w:val="0"/>
                <w:bCs/>
                <w:highlight w:val="none"/>
              </w:rPr>
              <w:t>四、</w:t>
            </w:r>
            <w:r>
              <w:rPr>
                <w:rFonts w:hint="eastAsia"/>
                <w:b w:val="0"/>
                <w:bCs/>
                <w:sz w:val="24"/>
                <w:szCs w:val="32"/>
                <w:highlight w:val="none"/>
              </w:rPr>
              <w:t>云计算管理软件</w:t>
            </w:r>
          </w:p>
          <w:p w14:paraId="2ADD2FCC">
            <w:pPr>
              <w:spacing w:beforeLines="0" w:afterLines="0"/>
              <w:rPr>
                <w:rFonts w:hint="eastAsia" w:eastAsia="宋体"/>
                <w:b w:val="0"/>
                <w:bCs/>
                <w:sz w:val="21"/>
                <w:szCs w:val="24"/>
                <w:highlight w:val="none"/>
              </w:rPr>
            </w:pPr>
            <w:r>
              <w:rPr>
                <w:rFonts w:hint="eastAsia" w:eastAsia="宋体"/>
                <w:b w:val="0"/>
                <w:bCs/>
                <w:sz w:val="21"/>
                <w:szCs w:val="24"/>
                <w:highlight w:val="none"/>
              </w:rPr>
              <w:t xml:space="preserve">1、支持查看资源池整体资源使用情况（CPU、内存、磁盘总容量及使用率，物理主机、云主机、集群的总数、运行状态等） </w:t>
            </w:r>
          </w:p>
          <w:p w14:paraId="687786E9">
            <w:pPr>
              <w:spacing w:beforeLines="0" w:afterLines="0"/>
              <w:rPr>
                <w:rFonts w:hint="eastAsia" w:eastAsia="宋体"/>
                <w:b w:val="0"/>
                <w:bCs/>
                <w:sz w:val="21"/>
                <w:szCs w:val="24"/>
                <w:highlight w:val="none"/>
              </w:rPr>
            </w:pPr>
            <w:r>
              <w:rPr>
                <w:rFonts w:hint="eastAsia" w:eastAsia="宋体"/>
                <w:b w:val="0"/>
                <w:bCs/>
                <w:sz w:val="21"/>
                <w:szCs w:val="24"/>
                <w:highlight w:val="none"/>
              </w:rPr>
              <w:t>2、支持查看物理主机、云主机（CPU、内存占用）资源占用排行榜Top5</w:t>
            </w:r>
          </w:p>
          <w:p w14:paraId="06FBD539">
            <w:pPr>
              <w:spacing w:beforeLines="0" w:afterLines="0"/>
              <w:rPr>
                <w:rFonts w:hint="eastAsia" w:eastAsia="宋体"/>
                <w:b w:val="0"/>
                <w:bCs/>
                <w:sz w:val="21"/>
                <w:szCs w:val="24"/>
                <w:highlight w:val="none"/>
              </w:rPr>
            </w:pPr>
            <w:r>
              <w:rPr>
                <w:rFonts w:hint="eastAsia" w:eastAsia="宋体"/>
                <w:b w:val="0"/>
                <w:bCs/>
                <w:sz w:val="21"/>
                <w:szCs w:val="24"/>
                <w:highlight w:val="none"/>
              </w:rPr>
              <w:t>▲3</w:t>
            </w:r>
            <w:r>
              <w:rPr>
                <w:rFonts w:hint="eastAsia"/>
                <w:b w:val="0"/>
                <w:bCs/>
                <w:sz w:val="21"/>
                <w:szCs w:val="24"/>
                <w:highlight w:val="none"/>
                <w:lang w:eastAsia="zh-CN"/>
              </w:rPr>
              <w:t>、</w:t>
            </w:r>
            <w:r>
              <w:rPr>
                <w:rFonts w:hint="eastAsia" w:eastAsia="宋体"/>
                <w:b w:val="0"/>
                <w:bCs/>
                <w:sz w:val="21"/>
                <w:szCs w:val="24"/>
                <w:highlight w:val="none"/>
              </w:rPr>
              <w:t xml:space="preserve">支持纳管多版本超融合HCI和VMware资源池，应具备大规模资源池的纳管能力，可支持跨地域的多集群管理，多集群的物理节点纳管规模应超过1000台 </w:t>
            </w:r>
          </w:p>
          <w:p w14:paraId="74A7E1A6">
            <w:pPr>
              <w:spacing w:beforeLines="0" w:afterLines="0"/>
              <w:rPr>
                <w:rFonts w:hint="eastAsia" w:eastAsia="宋体"/>
                <w:b w:val="0"/>
                <w:bCs/>
                <w:sz w:val="21"/>
                <w:szCs w:val="24"/>
                <w:highlight w:val="none"/>
              </w:rPr>
            </w:pPr>
            <w:r>
              <w:rPr>
                <w:rFonts w:hint="eastAsia" w:eastAsia="宋体"/>
                <w:b w:val="0"/>
                <w:bCs/>
                <w:sz w:val="21"/>
                <w:szCs w:val="24"/>
                <w:highlight w:val="none"/>
              </w:rPr>
              <w:t>4、支持点击单个资源池后显示资源池计算资源的占用率和使用率、存储资源使用率、和监控概览</w:t>
            </w:r>
          </w:p>
          <w:p w14:paraId="740880DD">
            <w:pPr>
              <w:spacing w:beforeLines="0" w:afterLines="0"/>
              <w:rPr>
                <w:rFonts w:hint="eastAsia" w:eastAsia="宋体"/>
                <w:b w:val="0"/>
                <w:bCs/>
                <w:sz w:val="21"/>
                <w:szCs w:val="24"/>
                <w:highlight w:val="none"/>
              </w:rPr>
            </w:pPr>
            <w:r>
              <w:rPr>
                <w:rFonts w:hint="eastAsia" w:eastAsia="宋体"/>
                <w:b w:val="0"/>
                <w:bCs/>
                <w:sz w:val="21"/>
                <w:szCs w:val="24"/>
                <w:highlight w:val="none"/>
              </w:rPr>
              <w:t>5、支持点击单个资源池后显示资源池物理主机的信息（管理口IP、规格、CPU使用率、内存使用率、资源数等）</w:t>
            </w:r>
          </w:p>
          <w:p w14:paraId="473431EC">
            <w:pPr>
              <w:spacing w:beforeLines="0" w:afterLines="0"/>
              <w:rPr>
                <w:rFonts w:hint="eastAsia" w:eastAsia="宋体"/>
                <w:b w:val="0"/>
                <w:bCs/>
                <w:sz w:val="21"/>
                <w:szCs w:val="24"/>
                <w:highlight w:val="none"/>
              </w:rPr>
            </w:pPr>
            <w:r>
              <w:rPr>
                <w:rFonts w:hint="eastAsia" w:eastAsia="宋体"/>
                <w:b w:val="0"/>
                <w:bCs/>
                <w:sz w:val="21"/>
                <w:szCs w:val="24"/>
                <w:highlight w:val="none"/>
              </w:rPr>
              <w:t>6、支持点击单个资源池后显示资源池所有资源列表（物理主机、存储资源、云主机、NFV设备等）以及其对应的规格和资源使用率</w:t>
            </w:r>
          </w:p>
          <w:p w14:paraId="16ECC06D">
            <w:pPr>
              <w:spacing w:beforeLines="0" w:afterLines="0"/>
              <w:rPr>
                <w:rFonts w:hint="eastAsia" w:eastAsia="宋体"/>
                <w:b w:val="0"/>
                <w:bCs/>
                <w:sz w:val="21"/>
                <w:szCs w:val="24"/>
                <w:highlight w:val="none"/>
              </w:rPr>
            </w:pPr>
            <w:r>
              <w:rPr>
                <w:rFonts w:hint="eastAsia" w:eastAsia="宋体"/>
                <w:b w:val="0"/>
                <w:bCs/>
                <w:sz w:val="21"/>
                <w:szCs w:val="24"/>
                <w:highlight w:val="none"/>
              </w:rPr>
              <w:t>7、支持点击单个超融合集群后显示集群中存储的名称、类型、性能标签、所属集群、总容量、使用率、IO速率、其上运行的云主机数</w:t>
            </w:r>
          </w:p>
          <w:p w14:paraId="43D80138">
            <w:pPr>
              <w:spacing w:beforeLines="0" w:afterLines="0"/>
              <w:rPr>
                <w:rFonts w:hint="eastAsia" w:eastAsia="宋体"/>
                <w:b w:val="0"/>
                <w:bCs/>
                <w:sz w:val="21"/>
                <w:szCs w:val="24"/>
                <w:highlight w:val="none"/>
              </w:rPr>
            </w:pPr>
            <w:r>
              <w:rPr>
                <w:rFonts w:hint="eastAsia" w:eastAsia="宋体"/>
                <w:b w:val="0"/>
                <w:bCs/>
                <w:sz w:val="21"/>
                <w:szCs w:val="24"/>
                <w:highlight w:val="none"/>
              </w:rPr>
              <w:t>8、支持异构纳管，支持同时纳管ARM\X86架构的HCI集群及资源管理</w:t>
            </w:r>
          </w:p>
          <w:p w14:paraId="7A04B9E6">
            <w:pPr>
              <w:spacing w:beforeLines="0" w:afterLines="0"/>
              <w:rPr>
                <w:rFonts w:hint="eastAsia" w:eastAsia="宋体"/>
                <w:b w:val="0"/>
                <w:bCs/>
                <w:sz w:val="21"/>
                <w:szCs w:val="24"/>
                <w:highlight w:val="none"/>
              </w:rPr>
            </w:pPr>
            <w:r>
              <w:rPr>
                <w:rFonts w:hint="eastAsia" w:eastAsia="宋体"/>
                <w:b w:val="0"/>
                <w:bCs/>
                <w:sz w:val="21"/>
                <w:szCs w:val="24"/>
                <w:highlight w:val="none"/>
              </w:rPr>
              <w:t>9、支持单个或批量创建超融合HCI类型云主机，创建时支持选择镜像、资源池、计算规格（CPU、内存、插槽数、每个插槽核数、运行位置等）、存储规格（虚拟存储盘、物理磁盘等）、网络规格（支持添加网卡）、USB（添加USB设备）及其他高级选项（设定云主机自动开机、标记为重要虚拟机、自动异常重启、启用CPU热添加、内存热添加、UUID、内存回收机制）</w:t>
            </w:r>
          </w:p>
          <w:p w14:paraId="15DB1A7F">
            <w:pPr>
              <w:pStyle w:val="2"/>
              <w:rPr>
                <w:rFonts w:hint="eastAsia" w:eastAsia="宋体"/>
                <w:b w:val="0"/>
                <w:bCs/>
                <w:sz w:val="21"/>
                <w:szCs w:val="24"/>
                <w:highlight w:val="none"/>
              </w:rPr>
            </w:pPr>
            <w:r>
              <w:rPr>
                <w:rFonts w:hint="eastAsia"/>
                <w:b w:val="0"/>
                <w:bCs/>
                <w:sz w:val="21"/>
                <w:szCs w:val="24"/>
                <w:highlight w:val="none"/>
                <w:lang w:val="en-US" w:eastAsia="zh-CN"/>
              </w:rPr>
              <w:t>▲10</w:t>
            </w:r>
            <w:r>
              <w:rPr>
                <w:rFonts w:hint="eastAsia"/>
                <w:b w:val="0"/>
                <w:bCs/>
                <w:sz w:val="21"/>
                <w:szCs w:val="24"/>
                <w:highlight w:val="none"/>
                <w:lang w:eastAsia="zh-CN"/>
              </w:rPr>
              <w:t>、</w:t>
            </w:r>
            <w:r>
              <w:rPr>
                <w:rFonts w:hint="eastAsia" w:eastAsia="宋体"/>
                <w:b w:val="0"/>
                <w:bCs/>
                <w:sz w:val="21"/>
                <w:szCs w:val="24"/>
                <w:highlight w:val="none"/>
              </w:rPr>
              <w:t>云平台支持对接Google OTP统一登录认证系统，支持对接CAS统一登录认证系统（需提供产品功能截图，并加盖投标人公章 ）</w:t>
            </w:r>
          </w:p>
          <w:p w14:paraId="75726A72">
            <w:pPr>
              <w:pStyle w:val="2"/>
              <w:rPr>
                <w:b w:val="0"/>
                <w:bCs/>
                <w:highlight w:val="none"/>
              </w:rPr>
            </w:pPr>
            <w:r>
              <w:rPr>
                <w:rFonts w:hint="eastAsia"/>
                <w:b w:val="0"/>
                <w:bCs/>
                <w:highlight w:val="none"/>
                <w:lang w:val="en-US" w:eastAsia="zh-CN"/>
              </w:rPr>
              <w:t>五、</w:t>
            </w:r>
            <w:r>
              <w:rPr>
                <w:rFonts w:hint="eastAsia"/>
                <w:b w:val="0"/>
                <w:bCs/>
                <w:highlight w:val="none"/>
              </w:rPr>
              <w:t>存储虚拟化软件</w:t>
            </w:r>
          </w:p>
          <w:p w14:paraId="4803BF45">
            <w:pPr>
              <w:rPr>
                <w:rFonts w:hint="eastAsia"/>
                <w:b w:val="0"/>
                <w:bCs/>
                <w:highlight w:val="none"/>
              </w:rPr>
            </w:pPr>
            <w:r>
              <w:rPr>
                <w:rFonts w:hint="eastAsia"/>
                <w:b w:val="0"/>
                <w:bCs/>
                <w:highlight w:val="none"/>
              </w:rPr>
              <w:t>1、分布式存储能够提供超高性能，性能随着节点数增加而线性增长，三节点集群能够提供百万级IOPS和12GB/s以上的带宽能力。</w:t>
            </w:r>
          </w:p>
          <w:p w14:paraId="301E7AAE">
            <w:pPr>
              <w:rPr>
                <w:rFonts w:hint="eastAsia"/>
                <w:b w:val="0"/>
                <w:bCs/>
                <w:highlight w:val="none"/>
              </w:rPr>
            </w:pPr>
            <w:r>
              <w:rPr>
                <w:rFonts w:hint="eastAsia"/>
                <w:b w:val="0"/>
                <w:bCs/>
                <w:highlight w:val="none"/>
              </w:rPr>
              <w:t>▲2</w:t>
            </w:r>
            <w:r>
              <w:rPr>
                <w:rFonts w:hint="eastAsia"/>
                <w:b w:val="0"/>
                <w:bCs/>
                <w:highlight w:val="none"/>
                <w:lang w:eastAsia="zh-CN"/>
              </w:rPr>
              <w:t>、</w:t>
            </w:r>
            <w:r>
              <w:rPr>
                <w:rFonts w:hint="eastAsia"/>
                <w:b w:val="0"/>
                <w:bCs/>
                <w:highlight w:val="none"/>
              </w:rPr>
              <w:t>支持启动聚合副本后，将会有1个副本聚合在一台主机，虚拟机会优先在聚合主机运行，实现数据的本地读取，降低网络开销。（需提供产品界面截图，并加盖投标人公章）</w:t>
            </w:r>
          </w:p>
          <w:p w14:paraId="40CB216E">
            <w:pPr>
              <w:rPr>
                <w:rFonts w:hint="eastAsia"/>
                <w:b w:val="0"/>
                <w:bCs/>
                <w:highlight w:val="none"/>
              </w:rPr>
            </w:pPr>
            <w:r>
              <w:rPr>
                <w:rFonts w:hint="eastAsia"/>
                <w:b w:val="0"/>
                <w:bCs/>
                <w:highlight w:val="none"/>
              </w:rPr>
              <w:t>3、支持以磁盘为单位创建分卷，可将集群内固态硬盘组成一个高性能全闪存存储池，满足高性能应用需求，将固态硬盘和机械硬盘组成一个大容量混合存储池，满足普通应用需求，以更低成本灵活满足不同业务对存储性能容量的不同需求，并降低故障影响范围。</w:t>
            </w:r>
          </w:p>
          <w:p w14:paraId="0ADD2AEB">
            <w:pPr>
              <w:rPr>
                <w:rFonts w:hint="eastAsia"/>
                <w:b w:val="0"/>
                <w:bCs/>
                <w:highlight w:val="none"/>
              </w:rPr>
            </w:pPr>
            <w:r>
              <w:rPr>
                <w:rFonts w:hint="eastAsia"/>
                <w:b w:val="0"/>
                <w:bCs/>
                <w:highlight w:val="none"/>
              </w:rPr>
              <w:t>▲4</w:t>
            </w:r>
            <w:r>
              <w:rPr>
                <w:rFonts w:hint="eastAsia"/>
                <w:b w:val="0"/>
                <w:bCs/>
                <w:highlight w:val="none"/>
                <w:lang w:eastAsia="zh-CN"/>
              </w:rPr>
              <w:t>、</w:t>
            </w:r>
            <w:r>
              <w:rPr>
                <w:rFonts w:hint="eastAsia"/>
                <w:b w:val="0"/>
                <w:bCs/>
                <w:highlight w:val="none"/>
              </w:rPr>
              <w:t>支持数据重建智能保护业务性能，可以对数据重建速度进行智能限速，避免数据重建过程中IO性能占用导致对业务的性能造成影响。（需提供产品界面截图，并加盖投标人公章）</w:t>
            </w:r>
          </w:p>
          <w:p w14:paraId="0C8F8E4A">
            <w:pPr>
              <w:rPr>
                <w:rFonts w:hint="eastAsia"/>
                <w:b w:val="0"/>
                <w:bCs/>
                <w:highlight w:val="none"/>
              </w:rPr>
            </w:pPr>
            <w:r>
              <w:rPr>
                <w:rFonts w:hint="eastAsia"/>
                <w:b w:val="0"/>
                <w:bCs/>
                <w:highlight w:val="none"/>
              </w:rPr>
              <w:t>▲5</w:t>
            </w:r>
            <w:r>
              <w:rPr>
                <w:rFonts w:hint="eastAsia"/>
                <w:b w:val="0"/>
                <w:bCs/>
                <w:highlight w:val="none"/>
                <w:lang w:eastAsia="zh-CN"/>
              </w:rPr>
              <w:t>、</w:t>
            </w:r>
            <w:r>
              <w:rPr>
                <w:rFonts w:hint="eastAsia"/>
                <w:b w:val="0"/>
                <w:bCs/>
                <w:highlight w:val="none"/>
              </w:rPr>
              <w:t>支持呈现硬盘的状态，提供隔离硬盘、替换硬盘功能，消除硬盘异常对业务的影响。（需提供产品界面截图，并加盖投标人公章）</w:t>
            </w:r>
          </w:p>
          <w:p w14:paraId="32BB9E7E">
            <w:pPr>
              <w:rPr>
                <w:rFonts w:hint="eastAsia"/>
                <w:b w:val="0"/>
                <w:bCs/>
                <w:highlight w:val="none"/>
              </w:rPr>
            </w:pPr>
            <w:r>
              <w:rPr>
                <w:rFonts w:hint="eastAsia"/>
                <w:b w:val="0"/>
                <w:bCs/>
                <w:highlight w:val="none"/>
              </w:rPr>
              <w:t>6、支持对虚拟机业务按照小时/天/周自定义设置定时快照策略，以便业务发生故障时可以快速回滚覆盖原虚拟机或者通过对快照进行克隆的方式生成全新虚拟机，进而恢复至业务健康状态。</w:t>
            </w:r>
          </w:p>
          <w:p w14:paraId="7BBE29E2">
            <w:pPr>
              <w:rPr>
                <w:rFonts w:hint="eastAsia"/>
                <w:b w:val="0"/>
                <w:bCs/>
                <w:highlight w:val="none"/>
              </w:rPr>
            </w:pPr>
            <w:r>
              <w:rPr>
                <w:rFonts w:hint="eastAsia"/>
                <w:b w:val="0"/>
                <w:bCs/>
                <w:highlight w:val="none"/>
              </w:rPr>
              <w:t>7、为了便于部署关键业务系统，虚拟存储可支持Oracle RAC，支持共享盘，及共享块设备，支持向导式安装，降低部署复杂度。</w:t>
            </w:r>
          </w:p>
          <w:p w14:paraId="70B54791">
            <w:pPr>
              <w:rPr>
                <w:rFonts w:hint="eastAsia"/>
                <w:b w:val="0"/>
                <w:bCs/>
                <w:highlight w:val="none"/>
              </w:rPr>
            </w:pPr>
            <w:r>
              <w:rPr>
                <w:rFonts w:hint="eastAsia"/>
                <w:b w:val="0"/>
                <w:bCs/>
                <w:highlight w:val="none"/>
              </w:rPr>
              <w:t>▲8</w:t>
            </w:r>
            <w:r>
              <w:rPr>
                <w:rFonts w:hint="eastAsia"/>
                <w:b w:val="0"/>
                <w:bCs/>
                <w:highlight w:val="none"/>
                <w:lang w:eastAsia="zh-CN"/>
              </w:rPr>
              <w:t>、</w:t>
            </w:r>
            <w:r>
              <w:rPr>
                <w:rFonts w:hint="eastAsia"/>
                <w:b w:val="0"/>
                <w:bCs/>
                <w:highlight w:val="none"/>
              </w:rPr>
              <w:t>支持选择多种克隆方式，包括快速全量克隆、全量克隆和链接克隆，可查看通过链接克隆的虚拟机是否运行正常，可以设置克隆完成后自动启动克隆虚拟机操作（需提供产品界面截图，并加盖投标人公章）</w:t>
            </w:r>
          </w:p>
          <w:p w14:paraId="35E9A427">
            <w:pPr>
              <w:rPr>
                <w:rFonts w:hint="eastAsia"/>
                <w:b w:val="0"/>
                <w:bCs/>
                <w:highlight w:val="none"/>
              </w:rPr>
            </w:pPr>
            <w:r>
              <w:rPr>
                <w:rFonts w:hint="eastAsia"/>
                <w:b w:val="0"/>
                <w:bCs/>
                <w:highlight w:val="none"/>
              </w:rPr>
              <w:t>9、支持坏道扫描及修复功能，发现坏道后，主动修复坏道区域的数据，及时恢复数据副本的冗余性；当硬盘的坏道数过多，系统能自动将该盘的数据迁移至其他健康的硬盘上，保障数据的安全。</w:t>
            </w:r>
          </w:p>
          <w:p w14:paraId="7CBDE00F">
            <w:pPr>
              <w:rPr>
                <w:rFonts w:hint="eastAsia"/>
                <w:b w:val="0"/>
                <w:bCs/>
                <w:highlight w:val="none"/>
              </w:rPr>
            </w:pPr>
            <w:r>
              <w:rPr>
                <w:rFonts w:hint="eastAsia"/>
                <w:b w:val="0"/>
                <w:bCs/>
                <w:highlight w:val="none"/>
              </w:rPr>
              <w:t>▲10</w:t>
            </w:r>
            <w:r>
              <w:rPr>
                <w:rFonts w:hint="eastAsia"/>
                <w:b w:val="0"/>
                <w:bCs/>
                <w:highlight w:val="none"/>
                <w:lang w:eastAsia="zh-CN"/>
              </w:rPr>
              <w:t>、</w:t>
            </w:r>
            <w:r>
              <w:rPr>
                <w:rFonts w:hint="eastAsia"/>
                <w:b w:val="0"/>
                <w:bCs/>
                <w:highlight w:val="none"/>
              </w:rPr>
              <w:t>支持数据重建优先级调整，可以查看数据重建任务列表信息，包括对象名称、对象类型、数据量和优先级等信息，可以点击操作中的优先级对数据重建进行优先重建，保证重要的业务优先恢复数据的安全性（需提供产品界面截图，并加盖投标人公章）</w:t>
            </w:r>
          </w:p>
          <w:p w14:paraId="147DCD6F">
            <w:pPr>
              <w:rPr>
                <w:rFonts w:hint="eastAsia"/>
                <w:b w:val="0"/>
                <w:bCs/>
                <w:highlight w:val="none"/>
              </w:rPr>
            </w:pPr>
            <w:r>
              <w:rPr>
                <w:rFonts w:hint="eastAsia"/>
                <w:b w:val="0"/>
                <w:bCs/>
                <w:highlight w:val="none"/>
              </w:rPr>
              <w:t>▲11</w:t>
            </w:r>
            <w:r>
              <w:rPr>
                <w:rFonts w:hint="eastAsia"/>
                <w:b w:val="0"/>
                <w:bCs/>
                <w:highlight w:val="none"/>
                <w:lang w:eastAsia="zh-CN"/>
              </w:rPr>
              <w:t>、</w:t>
            </w:r>
            <w:r>
              <w:rPr>
                <w:rFonts w:hint="eastAsia"/>
                <w:b w:val="0"/>
                <w:bCs/>
                <w:highlight w:val="none"/>
              </w:rPr>
              <w:t>支持硬盘寿命预测功能，可预估硬盘剩余可使用时间，进行实时预警，提醒用户在寿命到期之前可实现在对业务无影响的情况下安全更换硬盘（需提供产品功能截图，并加盖投标人公章）</w:t>
            </w:r>
          </w:p>
          <w:p w14:paraId="0A83F4C0">
            <w:pPr>
              <w:rPr>
                <w:rFonts w:hint="eastAsia"/>
                <w:b w:val="0"/>
                <w:bCs/>
                <w:highlight w:val="none"/>
              </w:rPr>
            </w:pPr>
          </w:p>
          <w:p w14:paraId="2DB0765E">
            <w:pPr>
              <w:rPr>
                <w:rFonts w:ascii="宋体" w:hAnsi="宋体" w:eastAsia="宋体" w:cs="宋体"/>
                <w:szCs w:val="21"/>
              </w:rPr>
            </w:pPr>
            <w:r>
              <w:rPr>
                <w:rFonts w:hint="eastAsia"/>
                <w:b w:val="0"/>
                <w:bCs/>
                <w:highlight w:val="none"/>
              </w:rPr>
              <w:t>▲</w:t>
            </w:r>
            <w:r>
              <w:rPr>
                <w:rFonts w:hint="eastAsia"/>
                <w:b w:val="0"/>
                <w:bCs/>
                <w:highlight w:val="none"/>
                <w:lang w:val="en-US" w:eastAsia="zh-CN"/>
              </w:rPr>
              <w:t>12.一台</w:t>
            </w:r>
            <w:r>
              <w:rPr>
                <w:rFonts w:hint="eastAsia"/>
                <w:b w:val="0"/>
                <w:bCs/>
                <w:highlight w:val="none"/>
              </w:rPr>
              <w:t>企业级三层交换机，交换容量：2.56Tbps/25.6Tbps，包转发率：660Mpps/822Mpps， 端口数量32个，其中24个10/100/1000M自适应电口，8个1G/10G SFP+光口，控制端口：1个MGMT端口、1个Console 端口、1个USB端口，符合USB2.0的标准，标配1个模块化电源，支持通过扩展插槽扩展4个万兆光口+2个40G/100G光口做业务接口使用，支持虚拟化技术，含两个万兆多模光模块和2根3米万兆多模光纤跳线。</w:t>
            </w:r>
            <w:r>
              <w:rPr>
                <w:rFonts w:hint="eastAsia"/>
                <w:b w:val="0"/>
                <w:bCs/>
                <w:highlight w:val="none"/>
                <w:lang w:val="en-US" w:eastAsia="zh-CN"/>
              </w:rPr>
              <w:t>（3台服务器只需1台交换机）</w:t>
            </w:r>
          </w:p>
        </w:tc>
        <w:tc>
          <w:tcPr>
            <w:tcW w:w="846" w:type="dxa"/>
            <w:shd w:val="clear" w:color="auto" w:fill="auto"/>
            <w:vAlign w:val="center"/>
          </w:tcPr>
          <w:p w14:paraId="33EBDB56">
            <w:pPr>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730" w:type="dxa"/>
            <w:shd w:val="clear" w:color="auto" w:fill="auto"/>
            <w:vAlign w:val="center"/>
          </w:tcPr>
          <w:p w14:paraId="7A4A3287">
            <w:pPr>
              <w:jc w:val="center"/>
              <w:rPr>
                <w:rFonts w:hint="eastAsia" w:ascii="宋体" w:hAnsi="宋体" w:eastAsia="宋体" w:cs="宋体"/>
                <w:szCs w:val="21"/>
                <w:lang w:eastAsia="zh-CN"/>
              </w:rPr>
            </w:pPr>
            <w:r>
              <w:rPr>
                <w:rFonts w:hint="eastAsia" w:ascii="宋体" w:hAnsi="宋体" w:eastAsia="宋体" w:cs="宋体"/>
                <w:szCs w:val="21"/>
                <w:lang w:val="en-US" w:eastAsia="zh-CN"/>
              </w:rPr>
              <w:t>台</w:t>
            </w:r>
          </w:p>
        </w:tc>
        <w:tc>
          <w:tcPr>
            <w:tcW w:w="1176" w:type="dxa"/>
            <w:vAlign w:val="center"/>
          </w:tcPr>
          <w:p w14:paraId="0B815F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567600</w:t>
            </w:r>
          </w:p>
        </w:tc>
        <w:tc>
          <w:tcPr>
            <w:tcW w:w="1496" w:type="dxa"/>
          </w:tcPr>
          <w:p w14:paraId="71559736">
            <w:pPr>
              <w:jc w:val="left"/>
              <w:rPr>
                <w:rFonts w:hint="eastAsia" w:ascii="宋体" w:hAnsi="宋体" w:eastAsia="宋体"/>
                <w:szCs w:val="21"/>
                <w:lang w:val="en-US" w:eastAsia="zh-CN"/>
              </w:rPr>
            </w:pPr>
            <w:r>
              <w:rPr>
                <w:rFonts w:hint="eastAsia" w:ascii="宋体" w:hAnsi="宋体" w:eastAsia="宋体"/>
                <w:szCs w:val="21"/>
                <w:lang w:val="en-US" w:eastAsia="zh-CN"/>
              </w:rPr>
              <w:t>深信</w:t>
            </w:r>
          </w:p>
          <w:p w14:paraId="753783D4">
            <w:pPr>
              <w:jc w:val="left"/>
              <w:rPr>
                <w:rFonts w:hint="eastAsia" w:ascii="宋体" w:hAnsi="宋体" w:eastAsia="宋体"/>
                <w:szCs w:val="21"/>
                <w:lang w:val="en-US" w:eastAsia="zh-CN"/>
              </w:rPr>
            </w:pPr>
            <w:r>
              <w:rPr>
                <w:rFonts w:hint="eastAsia" w:ascii="宋体" w:hAnsi="宋体" w:eastAsia="宋体"/>
                <w:szCs w:val="21"/>
                <w:lang w:val="en-US" w:eastAsia="zh-CN"/>
              </w:rPr>
              <w:t>服(aServerW-22</w:t>
            </w:r>
          </w:p>
          <w:p w14:paraId="038D9201">
            <w:pPr>
              <w:jc w:val="left"/>
              <w:rPr>
                <w:rFonts w:hint="eastAsia" w:ascii="宋体" w:hAnsi="宋体" w:eastAsia="宋体"/>
                <w:szCs w:val="21"/>
                <w:lang w:eastAsia="zh-CN"/>
              </w:rPr>
            </w:pPr>
            <w:r>
              <w:rPr>
                <w:rFonts w:hint="eastAsia" w:ascii="宋体" w:hAnsi="宋体" w:eastAsia="宋体"/>
                <w:szCs w:val="21"/>
                <w:lang w:val="en-US" w:eastAsia="zh-CN"/>
              </w:rPr>
              <w:t>05）、 浪潮（IR2200H36）、  新华山（UIS3000G7）。</w:t>
            </w:r>
          </w:p>
        </w:tc>
      </w:tr>
      <w:tr w14:paraId="065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8" w:type="dxa"/>
            <w:gridSpan w:val="7"/>
            <w:vAlign w:val="center"/>
          </w:tcPr>
          <w:p w14:paraId="053CBE1A">
            <w:pPr>
              <w:jc w:val="left"/>
              <w:rPr>
                <w:rFonts w:ascii="宋体" w:hAnsi="宋体" w:eastAsia="宋体" w:cs="宋体"/>
                <w:sz w:val="20"/>
                <w:szCs w:val="20"/>
              </w:rPr>
            </w:pPr>
            <w:r>
              <w:rPr>
                <w:rFonts w:hint="eastAsia" w:ascii="宋体" w:hAnsi="宋体" w:eastAsia="宋体" w:cs="宋体"/>
                <w:b/>
                <w:sz w:val="24"/>
                <w:szCs w:val="20"/>
              </w:rPr>
              <w:t>合计金额：</w:t>
            </w:r>
            <w:r>
              <w:rPr>
                <w:rFonts w:hint="eastAsia" w:ascii="宋体" w:hAnsi="宋体" w:eastAsia="宋体" w:cs="宋体"/>
                <w:sz w:val="24"/>
                <w:szCs w:val="20"/>
                <w:highlight w:val="none"/>
              </w:rPr>
              <w:t>人民币</w:t>
            </w:r>
            <w:r>
              <w:rPr>
                <w:rFonts w:hint="eastAsia" w:ascii="宋体" w:hAnsi="宋体" w:eastAsia="宋体" w:cs="宋体"/>
                <w:sz w:val="24"/>
                <w:szCs w:val="20"/>
                <w:highlight w:val="none"/>
                <w:lang w:val="en-US" w:eastAsia="zh-CN"/>
              </w:rPr>
              <w:t>伍拾陆万柒仟陆佰</w:t>
            </w:r>
            <w:r>
              <w:rPr>
                <w:rFonts w:ascii="宋体" w:hAnsi="宋体" w:eastAsia="宋体" w:cs="宋体"/>
                <w:sz w:val="24"/>
                <w:szCs w:val="20"/>
                <w:highlight w:val="none"/>
              </w:rPr>
              <w:t>元整 （</w:t>
            </w:r>
            <w:r>
              <w:rPr>
                <w:rFonts w:hint="eastAsia" w:ascii="宋体" w:hAnsi="宋体" w:eastAsia="宋体" w:cs="宋体"/>
                <w:sz w:val="24"/>
                <w:szCs w:val="20"/>
                <w:highlight w:val="none"/>
              </w:rPr>
              <w:t>¥</w:t>
            </w:r>
            <w:r>
              <w:rPr>
                <w:rFonts w:hint="eastAsia" w:ascii="宋体" w:hAnsi="宋体" w:eastAsia="宋体" w:cs="宋体"/>
                <w:sz w:val="24"/>
                <w:szCs w:val="20"/>
                <w:highlight w:val="none"/>
                <w:lang w:val="en-US" w:eastAsia="zh-CN"/>
              </w:rPr>
              <w:t>567600</w:t>
            </w:r>
            <w:r>
              <w:rPr>
                <w:rFonts w:ascii="宋体" w:hAnsi="宋体" w:eastAsia="宋体" w:cs="宋体"/>
                <w:sz w:val="24"/>
                <w:szCs w:val="20"/>
                <w:highlight w:val="none"/>
              </w:rPr>
              <w:t>.00元）</w:t>
            </w:r>
          </w:p>
        </w:tc>
      </w:tr>
    </w:tbl>
    <w:p w14:paraId="41FF834A">
      <w:pPr>
        <w:widowControl/>
        <w:jc w:val="left"/>
        <w:rPr>
          <w:rFonts w:hint="eastAsia" w:ascii="宋体" w:hAnsi="宋体" w:eastAsia="宋体" w:cs="宋体"/>
          <w:b/>
          <w:kern w:val="0"/>
          <w:sz w:val="28"/>
          <w:szCs w:val="28"/>
        </w:rPr>
      </w:pPr>
    </w:p>
    <w:p w14:paraId="1CC1A0CA">
      <w:pPr>
        <w:widowControl/>
        <w:jc w:val="left"/>
        <w:rPr>
          <w:rFonts w:ascii="宋体" w:hAnsi="宋体" w:eastAsia="宋体"/>
          <w:b/>
          <w:color w:val="auto"/>
          <w:sz w:val="28"/>
          <w:szCs w:val="28"/>
        </w:rPr>
      </w:pPr>
      <w:r>
        <w:rPr>
          <w:rFonts w:hint="eastAsia" w:ascii="宋体" w:hAnsi="宋体" w:eastAsia="宋体" w:cs="宋体"/>
          <w:b/>
          <w:kern w:val="0"/>
          <w:sz w:val="28"/>
          <w:szCs w:val="28"/>
        </w:rPr>
        <w:t>二、</w:t>
      </w:r>
      <w:r>
        <w:rPr>
          <w:rFonts w:hint="eastAsia" w:ascii="宋体" w:hAnsi="宋体" w:eastAsia="宋体"/>
          <w:b/>
          <w:sz w:val="28"/>
          <w:szCs w:val="28"/>
        </w:rPr>
        <w:t>商务要求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39"/>
        <w:gridCol w:w="12087"/>
      </w:tblGrid>
      <w:tr w14:paraId="2896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B4229CB">
            <w:pPr>
              <w:pStyle w:val="9"/>
              <w:jc w:val="center"/>
              <w:rPr>
                <w:rFonts w:ascii="宋体" w:hAnsi="宋体" w:eastAsia="宋体"/>
                <w:b/>
                <w:sz w:val="24"/>
                <w:szCs w:val="24"/>
              </w:rPr>
            </w:pPr>
            <w:r>
              <w:rPr>
                <w:rFonts w:hint="eastAsia" w:ascii="宋体" w:hAnsi="宋体" w:eastAsia="宋体"/>
                <w:b/>
                <w:sz w:val="24"/>
                <w:szCs w:val="24"/>
              </w:rPr>
              <w:t>序号</w:t>
            </w:r>
          </w:p>
        </w:tc>
        <w:tc>
          <w:tcPr>
            <w:tcW w:w="1239" w:type="dxa"/>
            <w:vAlign w:val="center"/>
          </w:tcPr>
          <w:p w14:paraId="444A245E">
            <w:pPr>
              <w:pStyle w:val="9"/>
              <w:jc w:val="both"/>
              <w:rPr>
                <w:rFonts w:ascii="宋体" w:hAnsi="宋体" w:eastAsia="宋体"/>
                <w:sz w:val="24"/>
                <w:szCs w:val="24"/>
              </w:rPr>
            </w:pPr>
            <w:r>
              <w:rPr>
                <w:rFonts w:hint="eastAsia" w:ascii="宋体" w:hAnsi="宋体" w:eastAsia="宋体"/>
                <w:b/>
                <w:sz w:val="24"/>
                <w:szCs w:val="24"/>
              </w:rPr>
              <w:t>商务名称</w:t>
            </w:r>
          </w:p>
        </w:tc>
        <w:tc>
          <w:tcPr>
            <w:tcW w:w="12087" w:type="dxa"/>
            <w:vAlign w:val="center"/>
          </w:tcPr>
          <w:p w14:paraId="6B61F8E5">
            <w:pPr>
              <w:pStyle w:val="9"/>
              <w:jc w:val="both"/>
              <w:rPr>
                <w:rFonts w:ascii="宋体" w:hAnsi="宋体" w:eastAsia="宋体"/>
                <w:sz w:val="24"/>
                <w:szCs w:val="24"/>
              </w:rPr>
            </w:pPr>
            <w:r>
              <w:rPr>
                <w:rFonts w:hint="eastAsia" w:ascii="宋体" w:hAnsi="宋体" w:eastAsia="宋体"/>
                <w:b/>
                <w:sz w:val="24"/>
                <w:szCs w:val="24"/>
              </w:rPr>
              <w:t>商务内容</w:t>
            </w:r>
          </w:p>
        </w:tc>
      </w:tr>
      <w:tr w14:paraId="5F56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CC93FDA">
            <w:pPr>
              <w:jc w:val="center"/>
            </w:pPr>
            <w:r>
              <w:rPr>
                <w:rFonts w:hint="eastAsia"/>
              </w:rPr>
              <w:t>1</w:t>
            </w:r>
          </w:p>
        </w:tc>
        <w:tc>
          <w:tcPr>
            <w:tcW w:w="1239" w:type="dxa"/>
            <w:vAlign w:val="center"/>
          </w:tcPr>
          <w:p w14:paraId="3FA35946">
            <w:pPr>
              <w:jc w:val="center"/>
              <w:rPr>
                <w:rFonts w:ascii="宋体" w:hAnsi="宋体" w:eastAsia="宋体"/>
              </w:rPr>
            </w:pPr>
            <w:r>
              <w:rPr>
                <w:rFonts w:hint="eastAsia" w:ascii="宋体" w:hAnsi="宋体" w:eastAsia="宋体"/>
              </w:rPr>
              <w:t>资质要求</w:t>
            </w:r>
          </w:p>
        </w:tc>
        <w:tc>
          <w:tcPr>
            <w:tcW w:w="12087" w:type="dxa"/>
            <w:vAlign w:val="center"/>
          </w:tcPr>
          <w:p w14:paraId="284403A6">
            <w:r>
              <w:rPr>
                <w:rFonts w:hint="default" w:ascii="宋体" w:hAnsi="宋体" w:eastAsia="宋体"/>
                <w:b/>
                <w:color w:val="auto"/>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将被拒绝参与本次采购活动。</w:t>
            </w:r>
          </w:p>
        </w:tc>
      </w:tr>
      <w:tr w14:paraId="5D0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772215B">
            <w:pPr>
              <w:jc w:val="center"/>
            </w:pPr>
            <w:r>
              <w:rPr>
                <w:rFonts w:hint="eastAsia"/>
              </w:rPr>
              <w:t>2</w:t>
            </w:r>
          </w:p>
        </w:tc>
        <w:tc>
          <w:tcPr>
            <w:tcW w:w="1239" w:type="dxa"/>
            <w:vAlign w:val="center"/>
          </w:tcPr>
          <w:p w14:paraId="107664C5">
            <w:pPr>
              <w:jc w:val="center"/>
              <w:rPr>
                <w:rFonts w:ascii="宋体" w:hAnsi="宋体" w:eastAsia="宋体"/>
              </w:rPr>
            </w:pPr>
            <w:r>
              <w:rPr>
                <w:rFonts w:hint="eastAsia" w:ascii="宋体" w:hAnsi="宋体" w:eastAsia="宋体"/>
              </w:rPr>
              <w:t>报价要求</w:t>
            </w:r>
          </w:p>
        </w:tc>
        <w:tc>
          <w:tcPr>
            <w:tcW w:w="12087" w:type="dxa"/>
            <w:vAlign w:val="center"/>
          </w:tcPr>
          <w:p w14:paraId="2904A2B3">
            <w:pPr>
              <w:rPr>
                <w:rFonts w:ascii="宋体" w:hAnsi="宋体" w:eastAsia="宋体"/>
                <w:highlight w:val="none"/>
              </w:rPr>
            </w:pPr>
            <w:r>
              <w:rPr>
                <w:rFonts w:hint="eastAsia" w:ascii="宋体" w:hAnsi="宋体" w:eastAsia="宋体"/>
              </w:rPr>
              <w:t>1.本次报价须为人民币报价，包含：产品价、运输费（含装卸费）、保险费、安装调试费、税费、培训费、产品检测费、产品质保期内维护、</w:t>
            </w:r>
            <w:r>
              <w:rPr>
                <w:rFonts w:hint="eastAsia" w:ascii="宋体" w:hAnsi="宋体" w:eastAsia="宋体"/>
                <w:b/>
                <w:bCs/>
                <w:highlight w:val="none"/>
              </w:rPr>
              <w:t>三年内软件技术升级等费用</w:t>
            </w:r>
            <w:r>
              <w:rPr>
                <w:rFonts w:hint="eastAsia" w:ascii="宋体" w:hAnsi="宋体" w:eastAsia="宋体"/>
                <w:highlight w:val="none"/>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1E26B4B">
            <w:pPr>
              <w:pStyle w:val="9"/>
              <w:rPr>
                <w:rFonts w:ascii="宋体" w:hAnsi="宋体" w:eastAsia="宋体"/>
                <w:sz w:val="21"/>
                <w:szCs w:val="22"/>
                <w:highlight w:val="none"/>
              </w:rPr>
            </w:pPr>
            <w:r>
              <w:rPr>
                <w:rFonts w:hint="eastAsia" w:ascii="宋体" w:hAnsi="宋体" w:eastAsia="宋体" w:cs="宋体"/>
                <w:highlight w:val="none"/>
              </w:rPr>
              <w:t>▲</w:t>
            </w:r>
            <w:r>
              <w:rPr>
                <w:rFonts w:hint="eastAsia" w:ascii="宋体" w:hAnsi="宋体" w:eastAsia="宋体"/>
                <w:sz w:val="21"/>
                <w:szCs w:val="22"/>
                <w:highlight w:val="none"/>
              </w:rPr>
              <w:t>（1）报价明细表</w:t>
            </w:r>
            <w:r>
              <w:rPr>
                <w:rFonts w:hint="eastAsia" w:ascii="宋体" w:hAnsi="宋体" w:eastAsia="宋体"/>
                <w:b/>
                <w:bCs/>
                <w:sz w:val="21"/>
                <w:szCs w:val="22"/>
                <w:highlight w:val="none"/>
              </w:rPr>
              <w:t>（必须提供）</w:t>
            </w:r>
          </w:p>
          <w:p w14:paraId="563AF3E9">
            <w:pPr>
              <w:pStyle w:val="9"/>
              <w:rPr>
                <w:rFonts w:ascii="宋体" w:hAnsi="宋体" w:eastAsia="宋体"/>
                <w:sz w:val="21"/>
                <w:szCs w:val="22"/>
                <w:highlight w:val="none"/>
              </w:rPr>
            </w:pPr>
            <w:r>
              <w:rPr>
                <w:rFonts w:hint="eastAsia" w:ascii="宋体" w:hAnsi="宋体" w:eastAsia="宋体" w:cs="宋体"/>
                <w:highlight w:val="none"/>
              </w:rPr>
              <w:t>▲</w:t>
            </w:r>
            <w:r>
              <w:rPr>
                <w:rFonts w:hint="eastAsia" w:ascii="宋体" w:hAnsi="宋体" w:eastAsia="宋体"/>
                <w:sz w:val="21"/>
                <w:szCs w:val="22"/>
                <w:highlight w:val="none"/>
              </w:rPr>
              <w:t>（2）商务、技术响应、偏离情况说明表（</w:t>
            </w:r>
            <w:r>
              <w:rPr>
                <w:rFonts w:hint="eastAsia" w:ascii="宋体" w:hAnsi="宋体" w:eastAsia="宋体"/>
                <w:b/>
                <w:bCs/>
                <w:sz w:val="21"/>
                <w:szCs w:val="22"/>
                <w:highlight w:val="none"/>
              </w:rPr>
              <w:t>必须提供</w:t>
            </w:r>
            <w:r>
              <w:rPr>
                <w:rFonts w:hint="eastAsia" w:ascii="宋体" w:hAnsi="宋体" w:eastAsia="宋体"/>
                <w:sz w:val="21"/>
                <w:szCs w:val="22"/>
                <w:highlight w:val="none"/>
              </w:rPr>
              <w:t>）</w:t>
            </w:r>
          </w:p>
          <w:p w14:paraId="2EAC1F6A">
            <w:pPr>
              <w:pStyle w:val="7"/>
              <w:spacing w:after="0"/>
              <w:rPr>
                <w:sz w:val="21"/>
                <w:szCs w:val="21"/>
                <w:highlight w:val="none"/>
              </w:rPr>
            </w:pPr>
            <w:r>
              <w:rPr>
                <w:rFonts w:hint="eastAsia"/>
                <w:sz w:val="21"/>
                <w:highlight w:val="none"/>
              </w:rPr>
              <w:t>2</w:t>
            </w:r>
            <w:r>
              <w:rPr>
                <w:rFonts w:hint="eastAsia"/>
                <w:sz w:val="21"/>
                <w:szCs w:val="21"/>
                <w:highlight w:val="none"/>
              </w:rPr>
              <w:t>.报价提供的设备、材料、服务、工艺等，不低于所列参考品牌及型号技术、服务、工艺标准。</w:t>
            </w:r>
          </w:p>
          <w:p w14:paraId="1C3E0352">
            <w:pPr>
              <w:pStyle w:val="6"/>
              <w:spacing w:after="0"/>
              <w:rPr>
                <w:rFonts w:ascii="宋体" w:hAnsi="宋体" w:eastAsia="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 xml:space="preserve"> </w:t>
            </w:r>
            <w:r>
              <w:rPr>
                <w:rFonts w:hint="eastAsia" w:ascii="宋体" w:hAnsi="宋体" w:eastAsia="宋体"/>
                <w:szCs w:val="21"/>
                <w:highlight w:val="none"/>
              </w:rPr>
              <w:t>自成交公告发出之日起</w:t>
            </w:r>
            <w:r>
              <w:rPr>
                <w:rFonts w:hint="eastAsia" w:ascii="宋体" w:hAnsi="宋体" w:eastAsia="宋体"/>
                <w:szCs w:val="21"/>
                <w:highlight w:val="none"/>
                <w:lang w:val="en-US" w:eastAsia="zh-CN"/>
              </w:rPr>
              <w:t>2</w:t>
            </w:r>
            <w:r>
              <w:rPr>
                <w:rFonts w:ascii="宋体" w:hAnsi="宋体" w:eastAsia="宋体"/>
                <w:b w:val="0"/>
                <w:bCs w:val="0"/>
                <w:color w:val="auto"/>
                <w:szCs w:val="21"/>
                <w:highlight w:val="none"/>
              </w:rPr>
              <w:t>5</w:t>
            </w:r>
            <w:r>
              <w:rPr>
                <w:rFonts w:hint="eastAsia" w:ascii="宋体" w:hAnsi="宋体" w:eastAsia="宋体"/>
                <w:szCs w:val="21"/>
                <w:highlight w:val="none"/>
              </w:rPr>
              <w:t>日内签订合同，采购需求及供应商竞价文件，作为合同附件。</w:t>
            </w:r>
          </w:p>
          <w:p w14:paraId="12122427">
            <w:pPr>
              <w:rPr>
                <w:rFonts w:ascii="宋体" w:hAnsi="宋体" w:eastAsia="宋体"/>
              </w:rPr>
            </w:pPr>
            <w:r>
              <w:rPr>
                <w:rFonts w:ascii="宋体" w:hAnsi="宋体" w:eastAsia="宋体"/>
                <w:highlight w:val="none"/>
              </w:rPr>
              <w:t>4</w:t>
            </w:r>
            <w:r>
              <w:rPr>
                <w:rFonts w:hint="eastAsia" w:ascii="宋体" w:hAnsi="宋体" w:eastAsia="宋体"/>
                <w:highlight w:val="none"/>
              </w:rPr>
              <w:t>.环境改造(如有)。报价时供应商需提供环境改造装修设计效果图，设计效果图需符合环境改造项目所列的标准则，如不符合采购方有权不予验收通过（详情见附件一图）。</w:t>
            </w:r>
          </w:p>
        </w:tc>
      </w:tr>
      <w:tr w14:paraId="06EE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4085B16">
            <w:pPr>
              <w:jc w:val="center"/>
            </w:pPr>
            <w:r>
              <w:rPr>
                <w:rFonts w:hint="eastAsia"/>
              </w:rPr>
              <w:t>3</w:t>
            </w:r>
          </w:p>
        </w:tc>
        <w:tc>
          <w:tcPr>
            <w:tcW w:w="1239" w:type="dxa"/>
            <w:vAlign w:val="center"/>
          </w:tcPr>
          <w:p w14:paraId="6F9B2BEA">
            <w:pPr>
              <w:rPr>
                <w:rFonts w:ascii="宋体" w:hAnsi="宋体" w:eastAsia="宋体"/>
              </w:rPr>
            </w:pPr>
            <w:r>
              <w:rPr>
                <w:rFonts w:hint="eastAsia" w:ascii="宋体" w:hAnsi="宋体" w:eastAsia="宋体"/>
              </w:rPr>
              <w:t>交货（实施）时间、地点</w:t>
            </w:r>
          </w:p>
        </w:tc>
        <w:tc>
          <w:tcPr>
            <w:tcW w:w="12087" w:type="dxa"/>
            <w:vAlign w:val="center"/>
          </w:tcPr>
          <w:p w14:paraId="2EF09071">
            <w:pPr>
              <w:rPr>
                <w:rFonts w:ascii="宋体" w:hAnsi="宋体" w:eastAsia="宋体"/>
              </w:rPr>
            </w:pPr>
            <w:r>
              <w:rPr>
                <w:rStyle w:val="23"/>
                <w:rFonts w:hint="default"/>
                <w:b w:val="0"/>
                <w:bCs/>
                <w:sz w:val="21"/>
                <w:szCs w:val="21"/>
                <w:lang w:bidi="ar"/>
              </w:rPr>
              <w:t>▲</w:t>
            </w:r>
            <w:r>
              <w:rPr>
                <w:rFonts w:hint="eastAsia" w:ascii="宋体" w:hAnsi="宋体" w:eastAsia="宋体"/>
              </w:rPr>
              <w:t xml:space="preserve">1.签订合同后15个日历日内必须全部供货并安装调试完毕，逾期交货导致影响项目正常投入使用的，采购人有权终止合同，并上报相关部门处理。 </w:t>
            </w:r>
          </w:p>
          <w:p w14:paraId="5DE21032">
            <w:pPr>
              <w:rPr>
                <w:rFonts w:ascii="宋体" w:hAnsi="宋体" w:eastAsia="宋体"/>
              </w:rPr>
            </w:pPr>
            <w:r>
              <w:rPr>
                <w:rFonts w:hint="eastAsia" w:ascii="宋体" w:hAnsi="宋体" w:eastAsia="宋体"/>
              </w:rPr>
              <w:t>2.交货地点：南宁市内采购人指定地点（不接受快递或物流）。</w:t>
            </w:r>
          </w:p>
          <w:p w14:paraId="44944380">
            <w:pPr>
              <w:rPr>
                <w:rFonts w:ascii="宋体" w:hAnsi="宋体" w:eastAsia="宋体"/>
              </w:rPr>
            </w:pPr>
            <w:r>
              <w:rPr>
                <w:rFonts w:hint="eastAsia" w:ascii="宋体" w:hAnsi="宋体" w:eastAsia="宋体"/>
              </w:rPr>
              <w:t>3.交货方式：现场交货</w:t>
            </w:r>
          </w:p>
        </w:tc>
      </w:tr>
      <w:tr w14:paraId="461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04618089">
            <w:pPr>
              <w:jc w:val="center"/>
            </w:pPr>
            <w:r>
              <w:rPr>
                <w:rFonts w:hint="eastAsia" w:ascii="宋体" w:hAnsi="宋体" w:eastAsia="宋体"/>
              </w:rPr>
              <w:t>4</w:t>
            </w:r>
          </w:p>
        </w:tc>
        <w:tc>
          <w:tcPr>
            <w:tcW w:w="1239" w:type="dxa"/>
            <w:vAlign w:val="center"/>
          </w:tcPr>
          <w:p w14:paraId="2B8CC609">
            <w:pPr>
              <w:rPr>
                <w:rFonts w:ascii="宋体" w:hAnsi="宋体" w:eastAsia="宋体"/>
              </w:rPr>
            </w:pPr>
            <w:r>
              <w:rPr>
                <w:rFonts w:hint="eastAsia" w:ascii="宋体" w:hAnsi="宋体" w:eastAsia="宋体"/>
              </w:rPr>
              <w:t>产品要求</w:t>
            </w:r>
          </w:p>
        </w:tc>
        <w:tc>
          <w:tcPr>
            <w:tcW w:w="12087" w:type="dxa"/>
            <w:vAlign w:val="center"/>
          </w:tcPr>
          <w:p w14:paraId="52961EEF">
            <w:pPr>
              <w:pStyle w:val="7"/>
              <w:spacing w:after="0"/>
              <w:rPr>
                <w:sz w:val="24"/>
                <w:szCs w:val="24"/>
              </w:rPr>
            </w:pPr>
            <w:r>
              <w:rPr>
                <w:rFonts w:hint="eastAsia"/>
                <w:sz w:val="24"/>
                <w:szCs w:val="24"/>
              </w:rPr>
              <w:t>1.为保障报价软件质量，成交供应商供货时必须提供生产厂家针对此项目的售后服务承诺书原件、供货证明原件。否则视为成交供应商违约，采购人将不予以接收、不予以验收，所造成的损失由成交供应商承担。</w:t>
            </w:r>
          </w:p>
          <w:p w14:paraId="642DA498">
            <w:pPr>
              <w:pStyle w:val="7"/>
              <w:spacing w:after="0"/>
              <w:rPr>
                <w:sz w:val="24"/>
                <w:szCs w:val="24"/>
              </w:rPr>
            </w:pPr>
            <w:r>
              <w:rPr>
                <w:rFonts w:hint="eastAsia"/>
                <w:sz w:val="24"/>
                <w:szCs w:val="24"/>
              </w:rPr>
              <w:t>▲2.所有提供的设备均要求是原厂新品、正品,</w:t>
            </w:r>
            <w:r>
              <w:rPr>
                <w:rFonts w:hint="eastAsia" w:cs="宋体"/>
                <w:color w:val="000000"/>
                <w:sz w:val="24"/>
                <w:szCs w:val="24"/>
              </w:rPr>
              <w:t>未使用</w:t>
            </w:r>
            <w:r>
              <w:rPr>
                <w:rFonts w:hint="eastAsia"/>
                <w:sz w:val="24"/>
                <w:szCs w:val="24"/>
              </w:rPr>
              <w:t>,</w:t>
            </w:r>
            <w:r>
              <w:rPr>
                <w:rFonts w:hint="eastAsia"/>
                <w:b/>
                <w:bCs/>
                <w:sz w:val="24"/>
                <w:szCs w:val="24"/>
                <w:highlight w:val="none"/>
              </w:rPr>
              <w:t>产品出厂日期至合同签订日，不得超过3个月</w:t>
            </w:r>
            <w:r>
              <w:rPr>
                <w:rFonts w:hint="eastAsia"/>
                <w:sz w:val="24"/>
                <w:szCs w:val="24"/>
                <w:highlight w:val="none"/>
              </w:rPr>
              <w:t>，</w:t>
            </w:r>
            <w:r>
              <w:rPr>
                <w:rFonts w:hint="eastAsia"/>
                <w:sz w:val="24"/>
                <w:szCs w:val="24"/>
              </w:rPr>
              <w:t>按国家有关产品“三包”规定执行“三包”，免费保修期不得少于1年。</w:t>
            </w:r>
          </w:p>
        </w:tc>
      </w:tr>
      <w:tr w14:paraId="52D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768AB44">
            <w:pPr>
              <w:jc w:val="center"/>
              <w:rPr>
                <w:rFonts w:ascii="宋体" w:hAnsi="宋体" w:eastAsia="宋体"/>
              </w:rPr>
            </w:pPr>
            <w:r>
              <w:rPr>
                <w:rFonts w:hint="eastAsia" w:ascii="宋体" w:hAnsi="宋体" w:eastAsia="宋体"/>
              </w:rPr>
              <w:t>5</w:t>
            </w:r>
          </w:p>
        </w:tc>
        <w:tc>
          <w:tcPr>
            <w:tcW w:w="1239" w:type="dxa"/>
            <w:vAlign w:val="center"/>
          </w:tcPr>
          <w:p w14:paraId="057F34DC">
            <w:pPr>
              <w:jc w:val="center"/>
              <w:rPr>
                <w:rFonts w:ascii="宋体" w:hAnsi="宋体" w:eastAsia="宋体"/>
              </w:rPr>
            </w:pPr>
            <w:r>
              <w:rPr>
                <w:rFonts w:hint="eastAsia" w:ascii="宋体" w:hAnsi="宋体" w:eastAsia="宋体"/>
              </w:rPr>
              <w:t>▲履约保证金</w:t>
            </w:r>
          </w:p>
        </w:tc>
        <w:tc>
          <w:tcPr>
            <w:tcW w:w="12087" w:type="dxa"/>
          </w:tcPr>
          <w:p w14:paraId="7C1B97C9">
            <w:pPr>
              <w:rPr>
                <w:rFonts w:ascii="宋体" w:hAnsi="宋体" w:eastAsia="宋体"/>
                <w:sz w:val="24"/>
                <w:szCs w:val="24"/>
              </w:rPr>
            </w:pPr>
            <w:r>
              <w:rPr>
                <w:rFonts w:hint="eastAsia" w:ascii="宋体" w:hAnsi="宋体" w:eastAsia="宋体"/>
                <w:sz w:val="24"/>
                <w:szCs w:val="24"/>
              </w:rPr>
              <w:t>1、履约保证金的金额：</w:t>
            </w:r>
            <w:r>
              <w:rPr>
                <w:rFonts w:ascii="宋体" w:hAnsi="宋体" w:eastAsia="宋体"/>
                <w:sz w:val="24"/>
                <w:szCs w:val="24"/>
              </w:rPr>
              <w:t xml:space="preserve"> 成交金额的5%；</w:t>
            </w:r>
            <w:r>
              <w:rPr>
                <w:rFonts w:hint="eastAsia" w:ascii="宋体" w:hAnsi="宋体" w:eastAsia="宋体"/>
                <w:sz w:val="24"/>
                <w:szCs w:val="24"/>
              </w:rPr>
              <w:t>（若成交供应商为中小微企业的则按成交金额的2%递交，以符合政策的中小企业声明函或相关证明材料为依据）</w:t>
            </w:r>
          </w:p>
          <w:p w14:paraId="499AFF3E">
            <w:pPr>
              <w:rPr>
                <w:rFonts w:ascii="宋体" w:hAnsi="宋体" w:eastAsia="宋体"/>
                <w:sz w:val="24"/>
                <w:szCs w:val="24"/>
              </w:rPr>
            </w:pPr>
            <w:r>
              <w:rPr>
                <w:rFonts w:hint="eastAsia" w:ascii="宋体" w:hAnsi="宋体" w:eastAsia="宋体"/>
                <w:sz w:val="24"/>
                <w:szCs w:val="24"/>
              </w:rPr>
              <w:t>2、成交供应商应在采购人确认询价结果后3日内，合同签订之前以转账、支票、汇票、本票或者银行、保险机构出具的保函等非现金方式提交，如果成交供应商在规定的合同签订时间内没有按照询价文件的规定交纳履约保证金，且无正当理由的，将视为放弃成交，成交供应商须承担相应的法律责任。履约期满后十五个工作日内无息退还。</w:t>
            </w:r>
          </w:p>
          <w:p w14:paraId="5A3EC5DD">
            <w:pPr>
              <w:rPr>
                <w:rFonts w:ascii="宋体" w:hAnsi="宋体" w:eastAsia="宋体"/>
                <w:sz w:val="24"/>
                <w:szCs w:val="24"/>
              </w:rPr>
            </w:pPr>
            <w:r>
              <w:rPr>
                <w:rFonts w:hint="eastAsia" w:ascii="宋体" w:hAnsi="宋体" w:eastAsia="宋体"/>
                <w:sz w:val="24"/>
                <w:szCs w:val="24"/>
              </w:rPr>
              <w:t>3、履约保证金不予退还情况，包括但不限于。</w:t>
            </w:r>
          </w:p>
          <w:p w14:paraId="35398F0B">
            <w:pPr>
              <w:rPr>
                <w:rFonts w:ascii="宋体" w:hAnsi="宋体" w:eastAsia="宋体"/>
                <w:sz w:val="24"/>
                <w:szCs w:val="24"/>
              </w:rPr>
            </w:pPr>
            <w:r>
              <w:rPr>
                <w:rFonts w:hint="eastAsia" w:ascii="宋体" w:hAnsi="宋体" w:eastAsia="宋体"/>
                <w:sz w:val="24"/>
                <w:szCs w:val="24"/>
              </w:rPr>
              <w:t>（1）成交供应商不按文件要求签订合同的。</w:t>
            </w:r>
          </w:p>
          <w:p w14:paraId="7C317814">
            <w:pPr>
              <w:rPr>
                <w:rFonts w:ascii="宋体" w:hAnsi="宋体" w:eastAsia="宋体"/>
                <w:sz w:val="24"/>
                <w:szCs w:val="24"/>
              </w:rPr>
            </w:pPr>
            <w:r>
              <w:rPr>
                <w:rFonts w:hint="eastAsia" w:ascii="宋体" w:hAnsi="宋体" w:eastAsia="宋体"/>
                <w:sz w:val="24"/>
                <w:szCs w:val="24"/>
              </w:rPr>
              <w:t>（2）若验收结果不合格的，履约保证金将不予退还，并按合同约定处理，还可能会报告本项目同级财政部门并按照政府采购法律法规及有关规定给予行政处罚或者以失信行为记入诚信档案。</w:t>
            </w:r>
          </w:p>
          <w:p w14:paraId="10D8845D">
            <w:pPr>
              <w:rPr>
                <w:rFonts w:ascii="宋体" w:hAnsi="宋体" w:eastAsia="宋体"/>
                <w:sz w:val="24"/>
                <w:szCs w:val="24"/>
              </w:rPr>
            </w:pPr>
            <w:r>
              <w:rPr>
                <w:rFonts w:hint="eastAsia" w:ascii="宋体" w:hAnsi="宋体" w:eastAsia="宋体"/>
                <w:sz w:val="24"/>
                <w:szCs w:val="24"/>
              </w:rPr>
              <w:t>（3）成交供应商不履行合同约定的义务或其履行不符合合同的</w:t>
            </w:r>
            <w:r>
              <w:rPr>
                <w:rFonts w:ascii="宋体" w:hAnsi="宋体" w:eastAsia="宋体"/>
                <w:sz w:val="24"/>
                <w:szCs w:val="24"/>
              </w:rPr>
              <w:t>约定，采购人有权扣划全部或相应金额的履约保证金。</w:t>
            </w:r>
          </w:p>
          <w:p w14:paraId="5D5AA93E">
            <w:pPr>
              <w:rPr>
                <w:rFonts w:ascii="宋体" w:hAnsi="宋体" w:eastAsia="宋体"/>
                <w:sz w:val="24"/>
                <w:szCs w:val="24"/>
              </w:rPr>
            </w:pPr>
            <w:r>
              <w:rPr>
                <w:rFonts w:hint="eastAsia" w:ascii="宋体" w:hAnsi="宋体" w:eastAsia="宋体"/>
                <w:sz w:val="24"/>
                <w:szCs w:val="24"/>
              </w:rPr>
              <w:t>4.账户信息</w:t>
            </w:r>
          </w:p>
          <w:p w14:paraId="7A1B97F8">
            <w:pPr>
              <w:rPr>
                <w:rFonts w:ascii="宋体" w:hAnsi="宋体" w:eastAsia="宋体"/>
                <w:sz w:val="24"/>
                <w:szCs w:val="24"/>
              </w:rPr>
            </w:pPr>
            <w:r>
              <w:rPr>
                <w:rFonts w:hint="eastAsia" w:ascii="宋体" w:hAnsi="宋体" w:eastAsia="宋体"/>
                <w:sz w:val="24"/>
                <w:szCs w:val="24"/>
              </w:rPr>
              <w:t>开户名称：广西经贸职业技术学院；</w:t>
            </w:r>
          </w:p>
          <w:p w14:paraId="0FA20D3E">
            <w:pPr>
              <w:rPr>
                <w:rFonts w:ascii="宋体" w:hAnsi="宋体" w:eastAsia="宋体"/>
                <w:sz w:val="24"/>
                <w:szCs w:val="24"/>
              </w:rPr>
            </w:pPr>
            <w:r>
              <w:rPr>
                <w:rFonts w:hint="eastAsia" w:ascii="宋体" w:hAnsi="宋体" w:eastAsia="宋体"/>
                <w:sz w:val="24"/>
                <w:szCs w:val="24"/>
              </w:rPr>
              <w:t>开户银行：中国建设银行南宁青山路支行；</w:t>
            </w:r>
          </w:p>
          <w:p w14:paraId="56E2B8A6">
            <w:pPr>
              <w:rPr>
                <w:rFonts w:ascii="宋体" w:hAnsi="宋体" w:eastAsia="宋体"/>
                <w:sz w:val="24"/>
                <w:szCs w:val="24"/>
              </w:rPr>
            </w:pPr>
            <w:r>
              <w:rPr>
                <w:rFonts w:hint="eastAsia" w:ascii="宋体" w:hAnsi="宋体" w:eastAsia="宋体"/>
                <w:sz w:val="24"/>
                <w:szCs w:val="24"/>
              </w:rPr>
              <w:t>银行账号：</w:t>
            </w:r>
            <w:r>
              <w:rPr>
                <w:rFonts w:ascii="宋体" w:hAnsi="宋体" w:eastAsia="宋体"/>
                <w:sz w:val="24"/>
                <w:szCs w:val="24"/>
              </w:rPr>
              <w:t>45001604556050701379；</w:t>
            </w:r>
          </w:p>
        </w:tc>
      </w:tr>
      <w:tr w14:paraId="1E6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1FE5577">
            <w:pPr>
              <w:jc w:val="center"/>
              <w:rPr>
                <w:rFonts w:ascii="宋体" w:hAnsi="宋体" w:eastAsia="宋体"/>
              </w:rPr>
            </w:pPr>
            <w:r>
              <w:rPr>
                <w:rFonts w:hint="eastAsia" w:ascii="宋体" w:hAnsi="宋体" w:eastAsia="宋体"/>
              </w:rPr>
              <w:t>6</w:t>
            </w:r>
          </w:p>
        </w:tc>
        <w:tc>
          <w:tcPr>
            <w:tcW w:w="1239" w:type="dxa"/>
            <w:vAlign w:val="center"/>
          </w:tcPr>
          <w:p w14:paraId="4521B310">
            <w:pPr>
              <w:jc w:val="center"/>
              <w:rPr>
                <w:rFonts w:ascii="宋体" w:hAnsi="宋体" w:eastAsia="宋体"/>
              </w:rPr>
            </w:pPr>
            <w:r>
              <w:rPr>
                <w:rFonts w:hint="eastAsia" w:ascii="宋体" w:hAnsi="宋体" w:eastAsia="宋体"/>
              </w:rPr>
              <w:t>付款方式、时间及条件</w:t>
            </w:r>
          </w:p>
        </w:tc>
        <w:tc>
          <w:tcPr>
            <w:tcW w:w="12087" w:type="dxa"/>
            <w:vAlign w:val="center"/>
          </w:tcPr>
          <w:p w14:paraId="29691A57">
            <w:pPr>
              <w:rPr>
                <w:rFonts w:ascii="宋体" w:hAnsi="宋体" w:eastAsia="宋体"/>
              </w:rPr>
            </w:pPr>
            <w:r>
              <w:rPr>
                <w:rFonts w:ascii="宋体" w:hAnsi="宋体" w:eastAsia="宋体"/>
              </w:rPr>
              <w:t>1．成交供应商按采购合同</w:t>
            </w:r>
            <w:r>
              <w:rPr>
                <w:rFonts w:hint="eastAsia" w:ascii="宋体" w:hAnsi="宋体" w:eastAsia="宋体"/>
              </w:rPr>
              <w:t>服务、</w:t>
            </w:r>
            <w:r>
              <w:rPr>
                <w:rFonts w:ascii="宋体" w:hAnsi="宋体" w:eastAsia="宋体"/>
              </w:rPr>
              <w:t>交货并安装调试完成后或服务完成后，</w:t>
            </w:r>
            <w:r>
              <w:rPr>
                <w:rFonts w:hint="eastAsia" w:ascii="宋体" w:hAnsi="宋体" w:eastAsia="宋体"/>
              </w:rPr>
              <w:t>经</w:t>
            </w:r>
            <w:r>
              <w:rPr>
                <w:rFonts w:ascii="宋体" w:hAnsi="宋体" w:eastAsia="宋体"/>
              </w:rPr>
              <w:t>采购人验</w:t>
            </w:r>
            <w:r>
              <w:rPr>
                <w:rFonts w:hint="eastAsia" w:ascii="宋体" w:hAnsi="宋体" w:eastAsia="宋体"/>
              </w:rPr>
              <w:t>收合格；</w:t>
            </w:r>
          </w:p>
          <w:p w14:paraId="4024482F">
            <w:pPr>
              <w:rPr>
                <w:rFonts w:ascii="宋体" w:hAnsi="宋体" w:eastAsia="宋体"/>
              </w:rPr>
            </w:pPr>
            <w:r>
              <w:rPr>
                <w:rFonts w:hint="eastAsia" w:ascii="宋体" w:hAnsi="宋体" w:eastAsia="宋体"/>
              </w:rPr>
              <w:t>2</w:t>
            </w:r>
            <w:r>
              <w:rPr>
                <w:rFonts w:ascii="宋体" w:hAnsi="宋体" w:eastAsia="宋体"/>
              </w:rPr>
              <w:t>．票据要求：</w:t>
            </w:r>
            <w:r>
              <w:rPr>
                <w:rFonts w:hint="eastAsia" w:ascii="宋体" w:hAnsi="宋体" w:eastAsia="宋体"/>
              </w:rPr>
              <w:t>付款前</w:t>
            </w:r>
            <w:r>
              <w:rPr>
                <w:rFonts w:ascii="宋体" w:hAnsi="宋体" w:eastAsia="宋体"/>
              </w:rPr>
              <w:t>成交供应商必须按照</w:t>
            </w:r>
            <w:r>
              <w:rPr>
                <w:rFonts w:hint="eastAsia" w:ascii="宋体" w:hAnsi="宋体" w:eastAsia="宋体"/>
              </w:rPr>
              <w:t>合同</w:t>
            </w:r>
            <w:r>
              <w:rPr>
                <w:rFonts w:ascii="宋体" w:hAnsi="宋体" w:eastAsia="宋体"/>
              </w:rPr>
              <w:t>要求提供真实、有效、合法的</w:t>
            </w:r>
            <w:r>
              <w:rPr>
                <w:rFonts w:hint="eastAsia" w:ascii="宋体" w:hAnsi="宋体" w:eastAsia="宋体"/>
              </w:rPr>
              <w:t>增值税专用发票（如小规模纳税人，可提供增值税普通发票）</w:t>
            </w:r>
            <w:r>
              <w:rPr>
                <w:rFonts w:ascii="宋体" w:hAnsi="宋体" w:eastAsia="宋体"/>
              </w:rPr>
              <w:t>。一旦发现成交供应商提供虚假发票，除须向采购人补开合法发票外，须赔偿采购人发票票面金额一倍的违约金，且采购人有权终止合同，因终止合同而产生的一切损失均由供应商承担。</w:t>
            </w:r>
          </w:p>
          <w:p w14:paraId="4AF1FEFA">
            <w:pPr>
              <w:rPr>
                <w:rFonts w:ascii="宋体" w:hAnsi="宋体" w:eastAsia="宋体"/>
              </w:rPr>
            </w:pPr>
            <w:r>
              <w:rPr>
                <w:rFonts w:hint="eastAsia" w:ascii="宋体" w:hAnsi="宋体" w:eastAsia="宋体"/>
              </w:rPr>
              <w:t>3</w:t>
            </w:r>
            <w:r>
              <w:rPr>
                <w:rFonts w:ascii="宋体" w:hAnsi="宋体" w:eastAsia="宋体"/>
              </w:rPr>
              <w:t>．采购人</w:t>
            </w:r>
            <w:r>
              <w:rPr>
                <w:rFonts w:hint="eastAsia" w:ascii="宋体" w:hAnsi="宋体" w:eastAsia="宋体"/>
              </w:rPr>
              <w:t>组织验收合格，且票</w:t>
            </w:r>
            <w:r>
              <w:rPr>
                <w:rFonts w:ascii="宋体" w:hAnsi="宋体" w:eastAsia="宋体"/>
              </w:rPr>
              <w:t>据合格后</w:t>
            </w:r>
            <w:r>
              <w:rPr>
                <w:rFonts w:hint="eastAsia" w:ascii="宋体" w:hAnsi="宋体" w:eastAsia="宋体"/>
              </w:rPr>
              <w:t>，15个工作日内</w:t>
            </w:r>
            <w:r>
              <w:rPr>
                <w:rFonts w:ascii="宋体" w:hAnsi="宋体" w:eastAsia="宋体"/>
              </w:rPr>
              <w:t>支付100%</w:t>
            </w:r>
            <w:r>
              <w:rPr>
                <w:rFonts w:hint="eastAsia" w:ascii="宋体" w:hAnsi="宋体" w:eastAsia="宋体"/>
              </w:rPr>
              <w:t>合同价</w:t>
            </w:r>
            <w:r>
              <w:rPr>
                <w:rFonts w:ascii="宋体" w:hAnsi="宋体" w:eastAsia="宋体"/>
              </w:rPr>
              <w:t>款。</w:t>
            </w:r>
          </w:p>
          <w:p w14:paraId="76D682EF">
            <w:pPr>
              <w:pStyle w:val="6"/>
              <w:rPr>
                <w:szCs w:val="21"/>
              </w:rPr>
            </w:pPr>
            <w:r>
              <w:rPr>
                <w:rFonts w:hint="eastAsia" w:ascii="宋体" w:hAnsi="宋体" w:eastAsia="宋体"/>
              </w:rPr>
              <w:t>4</w:t>
            </w:r>
            <w:r>
              <w:rPr>
                <w:rFonts w:ascii="宋体" w:hAnsi="宋体" w:eastAsia="宋体"/>
              </w:rPr>
              <w:t>．本合同使用货币币制如未作特别说明均为人民币。</w:t>
            </w:r>
          </w:p>
        </w:tc>
      </w:tr>
      <w:tr w14:paraId="52A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4868540">
            <w:pPr>
              <w:jc w:val="center"/>
              <w:rPr>
                <w:rFonts w:ascii="宋体" w:hAnsi="宋体" w:eastAsia="宋体"/>
              </w:rPr>
            </w:pPr>
            <w:r>
              <w:rPr>
                <w:rFonts w:hint="eastAsia" w:ascii="宋体" w:hAnsi="宋体" w:eastAsia="宋体"/>
              </w:rPr>
              <w:t>7</w:t>
            </w:r>
          </w:p>
        </w:tc>
        <w:tc>
          <w:tcPr>
            <w:tcW w:w="1239" w:type="dxa"/>
            <w:vAlign w:val="center"/>
          </w:tcPr>
          <w:p w14:paraId="17B2E4C9">
            <w:pPr>
              <w:jc w:val="center"/>
              <w:rPr>
                <w:rFonts w:ascii="宋体" w:hAnsi="宋体" w:eastAsia="宋体"/>
              </w:rPr>
            </w:pPr>
            <w:r>
              <w:rPr>
                <w:rFonts w:hint="eastAsia" w:ascii="宋体" w:hAnsi="宋体" w:eastAsia="宋体"/>
              </w:rPr>
              <w:t>验收、交付要求：</w:t>
            </w:r>
          </w:p>
        </w:tc>
        <w:tc>
          <w:tcPr>
            <w:tcW w:w="12087" w:type="dxa"/>
            <w:vAlign w:val="center"/>
          </w:tcPr>
          <w:p w14:paraId="44FFA226">
            <w:pPr>
              <w:rPr>
                <w:rFonts w:ascii="宋体" w:hAnsi="宋体" w:eastAsia="宋体"/>
              </w:rPr>
            </w:pPr>
            <w:r>
              <w:rPr>
                <w:rFonts w:hint="eastAsia" w:ascii="宋体" w:hAnsi="宋体" w:eastAsia="宋体"/>
              </w:rPr>
              <w:t>1.</w:t>
            </w:r>
            <w:r>
              <w:rPr>
                <w:rFonts w:hint="eastAsia" w:ascii="宋体" w:hAnsi="宋体" w:eastAsia="宋体"/>
                <w:color w:val="000000" w:themeColor="text1"/>
                <w14:textFill>
                  <w14:solidFill>
                    <w14:schemeClr w14:val="tx1"/>
                  </w14:solidFill>
                </w14:textFill>
              </w:rPr>
              <w:t>▲工程使用材料及工艺、</w:t>
            </w:r>
            <w:r>
              <w:rPr>
                <w:rFonts w:hint="eastAsia" w:ascii="宋体" w:hAnsi="宋体" w:eastAsia="宋体"/>
              </w:rPr>
              <w:t>线路改造、布线等标准，不低于采购需求约定的标准。</w:t>
            </w:r>
          </w:p>
          <w:p w14:paraId="1DFC6F50">
            <w:pPr>
              <w:rPr>
                <w:rFonts w:ascii="宋体" w:hAnsi="宋体" w:eastAsia="宋体"/>
              </w:rPr>
            </w:pPr>
            <w:r>
              <w:rPr>
                <w:rFonts w:hint="eastAsia" w:ascii="宋体" w:hAnsi="宋体" w:eastAsia="宋体"/>
              </w:rPr>
              <w:t>（1）本项目室内装饰装修部分(如有)，</w:t>
            </w:r>
            <w:r>
              <w:rPr>
                <w:rFonts w:hint="eastAsia" w:ascii="宋体" w:hAnsi="宋体" w:eastAsia="宋体"/>
                <w:b/>
                <w:bCs/>
                <w:highlight w:val="none"/>
              </w:rPr>
              <w:t>工作量计算规则，天棚按水平投影面积计算、墙面按垂直投影面积计算、圆柱按展开投影面积计算；</w:t>
            </w:r>
            <w:r>
              <w:rPr>
                <w:rFonts w:hint="eastAsia" w:ascii="宋体" w:hAnsi="宋体" w:eastAsia="宋体"/>
              </w:rPr>
              <w:t>其它未列示部分，按此规则计算。</w:t>
            </w:r>
          </w:p>
          <w:p w14:paraId="78470BED">
            <w:pPr>
              <w:rPr>
                <w:rFonts w:ascii="宋体" w:hAnsi="宋体" w:eastAsia="宋体"/>
              </w:rPr>
            </w:pPr>
            <w:r>
              <w:rPr>
                <w:rFonts w:hint="eastAsia" w:ascii="宋体" w:hAnsi="宋体" w:eastAsia="宋体"/>
              </w:rPr>
              <w:t>示例：A房间室内面积160平米，吊顶展开面积225平米，工作量计算，按室内面积160平米计算。</w:t>
            </w:r>
          </w:p>
          <w:p w14:paraId="58A18852">
            <w:pPr>
              <w:rPr>
                <w:rFonts w:ascii="宋体" w:hAnsi="宋体" w:eastAsia="宋体"/>
              </w:rPr>
            </w:pPr>
            <w:r>
              <w:rPr>
                <w:rFonts w:hint="eastAsia" w:ascii="宋体" w:hAnsi="宋体" w:eastAsia="宋体"/>
                <w:color w:val="000000" w:themeColor="text1"/>
                <w14:textFill>
                  <w14:solidFill>
                    <w14:schemeClr w14:val="tx1"/>
                  </w14:solidFill>
                </w14:textFill>
              </w:rPr>
              <w:t>2.▲</w:t>
            </w:r>
            <w:r>
              <w:rPr>
                <w:rFonts w:hint="eastAsia" w:ascii="宋体" w:hAnsi="宋体" w:eastAsia="宋体"/>
              </w:rPr>
              <w:t>隐蔽工程、布线等，施工过程(如有)，必须有采购人代表现场签字确认。</w:t>
            </w:r>
          </w:p>
          <w:p w14:paraId="47F78A21">
            <w:pPr>
              <w:rPr>
                <w:rFonts w:ascii="宋体" w:hAnsi="宋体" w:eastAsia="宋体"/>
              </w:rPr>
            </w:pPr>
            <w:r>
              <w:rPr>
                <w:rFonts w:hint="eastAsia" w:ascii="宋体" w:hAnsi="宋体" w:eastAsia="宋体"/>
              </w:rPr>
              <w:t>3.项目实施至竣工验收，成交供应商须安排不少于</w:t>
            </w:r>
            <w:r>
              <w:rPr>
                <w:rFonts w:hint="eastAsia" w:ascii="宋体" w:hAnsi="宋体" w:eastAsia="宋体"/>
                <w:u w:val="single"/>
              </w:rPr>
              <w:t xml:space="preserve"> </w:t>
            </w:r>
            <w:r>
              <w:rPr>
                <w:rFonts w:hint="eastAsia" w:ascii="宋体" w:hAnsi="宋体" w:eastAsia="宋体"/>
                <w:color w:val="auto"/>
                <w:highlight w:val="none"/>
                <w:u w:val="single"/>
              </w:rPr>
              <w:t xml:space="preserve"> </w:t>
            </w:r>
            <w:r>
              <w:rPr>
                <w:rFonts w:hint="eastAsia" w:ascii="宋体" w:hAnsi="宋体" w:eastAsia="宋体"/>
                <w:b/>
                <w:bCs/>
                <w:color w:val="auto"/>
                <w:highlight w:val="none"/>
                <w:u w:val="single"/>
                <w:lang w:val="en-US" w:eastAsia="zh-CN"/>
              </w:rPr>
              <w:t>1</w:t>
            </w:r>
            <w:r>
              <w:rPr>
                <w:rFonts w:hint="eastAsia" w:ascii="宋体" w:hAnsi="宋体" w:eastAsia="宋体"/>
                <w:color w:val="auto"/>
                <w:highlight w:val="none"/>
                <w:u w:val="single"/>
              </w:rPr>
              <w:t xml:space="preserve">  </w:t>
            </w:r>
            <w:r>
              <w:rPr>
                <w:rFonts w:hint="eastAsia" w:ascii="宋体" w:hAnsi="宋体" w:eastAsia="宋体"/>
              </w:rPr>
              <w:t>名以上的相关技术人员驻采购单位进行项目实施管理、安装及调试，设备安装与调试过程所需一切工具、仪表等设备或工具以及产生的费用均包含在响应总报价中。</w:t>
            </w:r>
          </w:p>
          <w:p w14:paraId="7E7AF3BE">
            <w:pPr>
              <w:rPr>
                <w:rFonts w:ascii="宋体" w:hAnsi="宋体" w:eastAsia="宋体"/>
              </w:rPr>
            </w:pPr>
            <w:r>
              <w:rPr>
                <w:rFonts w:hint="eastAsia" w:ascii="宋体" w:hAnsi="宋体" w:eastAsia="宋体"/>
              </w:rPr>
              <w:t xml:space="preserve"> </w:t>
            </w:r>
            <w:r>
              <w:rPr>
                <w:rFonts w:hint="eastAsia" w:ascii="宋体" w:hAnsi="宋体" w:eastAsia="宋体"/>
                <w:color w:val="000000" w:themeColor="text1"/>
                <w14:textFill>
                  <w14:solidFill>
                    <w14:schemeClr w14:val="tx1"/>
                  </w14:solidFill>
                </w14:textFill>
              </w:rPr>
              <w:t>▲4.供货时采购人有权邀请参加本项目的其他报价人、第三方检测机构对成交供应商提供本项目中的指定产品进行测试预验收，以确认技术指标和商务条款等是否满足招标文件中的要求以及报价文件中的承诺，若测试结果不能满足，则属于虚假应标，采购单位有权不予以最终验收并有权单方面终止合同，采购单位将上报相关行政监管部门按照有关法律法规文件处理，所造成的后果由成交供应商自行承担。以上邀请第三方检测机构所产生的测试和检验相关费用由成交供应商承担。</w:t>
            </w:r>
          </w:p>
          <w:p w14:paraId="4DE5C578">
            <w:pPr>
              <w:rPr>
                <w:rFonts w:ascii="宋体" w:hAnsi="宋体" w:eastAsia="宋体"/>
              </w:rPr>
            </w:pPr>
            <w:r>
              <w:rPr>
                <w:rFonts w:hint="eastAsia" w:ascii="宋体" w:hAnsi="宋体" w:eastAsia="宋体"/>
              </w:rPr>
              <w:t xml:space="preserve"> ▲5.为确保货物质量，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为保证产品的质量保障和供货渠道，要求成交供应商供货时提供由竞价产品厂商出具的供货证明及售后服务原件，否则不予验收。 </w:t>
            </w:r>
          </w:p>
          <w:p w14:paraId="02D579C5">
            <w:pPr>
              <w:rPr>
                <w:rFonts w:ascii="宋体" w:hAnsi="宋体" w:eastAsia="宋体"/>
              </w:rPr>
            </w:pPr>
            <w:r>
              <w:rPr>
                <w:rFonts w:hint="eastAsia" w:ascii="宋体" w:hAnsi="宋体" w:eastAsia="宋体"/>
              </w:rPr>
              <w:t>6.故障处理：当系统或设备出现故障时，成交供应商在接到故障通知后30分钟内做出技术支持反应，2小时内赶到现场，到达现场后必须24小时内解决故障。</w:t>
            </w:r>
          </w:p>
        </w:tc>
      </w:tr>
      <w:tr w14:paraId="25D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6C9A4D2">
            <w:pPr>
              <w:jc w:val="center"/>
              <w:rPr>
                <w:rFonts w:ascii="宋体" w:hAnsi="宋体" w:eastAsia="宋体"/>
              </w:rPr>
            </w:pPr>
            <w:r>
              <w:rPr>
                <w:rFonts w:hint="eastAsia" w:ascii="宋体" w:hAnsi="宋体" w:eastAsia="宋体"/>
              </w:rPr>
              <w:t>8</w:t>
            </w:r>
          </w:p>
        </w:tc>
        <w:tc>
          <w:tcPr>
            <w:tcW w:w="1239" w:type="dxa"/>
            <w:vAlign w:val="center"/>
          </w:tcPr>
          <w:p w14:paraId="10C4DF17">
            <w:pPr>
              <w:jc w:val="center"/>
              <w:rPr>
                <w:rFonts w:ascii="宋体" w:hAnsi="宋体" w:eastAsia="宋体"/>
              </w:rPr>
            </w:pPr>
            <w:r>
              <w:rPr>
                <w:rFonts w:hint="eastAsia" w:ascii="宋体" w:hAnsi="宋体" w:eastAsia="宋体"/>
              </w:rPr>
              <w:t>售后服务要求</w:t>
            </w:r>
          </w:p>
        </w:tc>
        <w:tc>
          <w:tcPr>
            <w:tcW w:w="12087" w:type="dxa"/>
            <w:vAlign w:val="center"/>
          </w:tcPr>
          <w:p w14:paraId="6BAF1DD0">
            <w:pPr>
              <w:rPr>
                <w:rFonts w:ascii="宋体" w:hAnsi="宋体" w:eastAsia="宋体"/>
              </w:rPr>
            </w:pPr>
            <w:r>
              <w:rPr>
                <w:rFonts w:hint="eastAsia" w:ascii="宋体" w:hAnsi="宋体" w:eastAsia="宋体"/>
              </w:rPr>
              <w:t>▲1.竞价</w:t>
            </w:r>
            <w:r>
              <w:rPr>
                <w:rFonts w:ascii="宋体" w:hAnsi="宋体" w:eastAsia="宋体"/>
              </w:rPr>
              <w:t>人提供的硬件设备及软件的技术参数、配置和性能指标必须为真实有效，如有提供虚假材料的，按政府采购相关法规处罚，并追究其相应的法律责任。</w:t>
            </w:r>
          </w:p>
          <w:p w14:paraId="3817B810">
            <w:pPr>
              <w:rPr>
                <w:rFonts w:ascii="宋体" w:hAnsi="宋体" w:eastAsia="宋体"/>
              </w:rPr>
            </w:pPr>
            <w:r>
              <w:rPr>
                <w:rFonts w:hint="eastAsia" w:ascii="宋体" w:hAnsi="宋体" w:eastAsia="宋体"/>
              </w:rPr>
              <w:t>（1）</w:t>
            </w:r>
            <w:r>
              <w:rPr>
                <w:rFonts w:ascii="宋体" w:hAnsi="宋体" w:eastAsia="宋体"/>
              </w:rPr>
              <w:t>采购人保留对成交供应商</w:t>
            </w:r>
            <w:r>
              <w:rPr>
                <w:rFonts w:hint="eastAsia" w:ascii="宋体" w:hAnsi="宋体" w:eastAsia="宋体"/>
              </w:rPr>
              <w:t>供应竞价</w:t>
            </w:r>
            <w:r>
              <w:rPr>
                <w:rFonts w:ascii="宋体" w:hAnsi="宋体" w:eastAsia="宋体"/>
              </w:rPr>
              <w:t>产品进行全面测试的权利，若测试结果不符合采购文件要求，采购人</w:t>
            </w:r>
            <w:r>
              <w:rPr>
                <w:rFonts w:hint="eastAsia" w:ascii="宋体" w:hAnsi="宋体" w:eastAsia="宋体"/>
              </w:rPr>
              <w:t>不予验收通过</w:t>
            </w:r>
            <w:r>
              <w:rPr>
                <w:rFonts w:ascii="宋体" w:hAnsi="宋体" w:eastAsia="宋体"/>
              </w:rPr>
              <w:t xml:space="preserve">，无条件退货，并上报采购监督部门，追究相关法律责任，对造成的损失采购人保留索赔的权利。  </w:t>
            </w:r>
          </w:p>
          <w:p w14:paraId="00FD0F44">
            <w:pPr>
              <w:rPr>
                <w:rFonts w:ascii="宋体" w:hAnsi="宋体" w:eastAsia="宋体"/>
              </w:rPr>
            </w:pPr>
            <w:r>
              <w:rPr>
                <w:rFonts w:hint="eastAsia" w:ascii="宋体" w:hAnsi="宋体" w:eastAsia="宋体"/>
              </w:rPr>
              <w:t>▲2.采购的产品需满足的服务、质量、技术规格等要求：</w:t>
            </w:r>
            <w:r>
              <w:rPr>
                <w:rFonts w:hint="eastAsia" w:ascii="宋体" w:hAnsi="宋体" w:eastAsia="宋体"/>
                <w:b/>
                <w:bCs/>
                <w:highlight w:val="none"/>
              </w:rPr>
              <w:t>保修期自货物安装调试完成，</w:t>
            </w:r>
            <w:r>
              <w:rPr>
                <w:rFonts w:hint="eastAsia" w:ascii="宋体" w:hAnsi="宋体" w:eastAsia="宋体"/>
              </w:rPr>
              <w:t xml:space="preserve">并以最终验收合格之日起计算； </w:t>
            </w:r>
          </w:p>
          <w:p w14:paraId="073F41D4">
            <w:pPr>
              <w:rPr>
                <w:rFonts w:ascii="宋体" w:hAnsi="宋体" w:eastAsia="宋体"/>
              </w:rPr>
            </w:pPr>
            <w:r>
              <w:rPr>
                <w:rFonts w:hint="eastAsia" w:ascii="宋体" w:hAnsi="宋体" w:eastAsia="宋体"/>
              </w:rPr>
              <w:t>3.</w:t>
            </w:r>
            <w:r>
              <w:rPr>
                <w:rFonts w:ascii="宋体" w:hAnsi="宋体" w:eastAsia="宋体"/>
              </w:rPr>
              <w:t>故障响应时间：成交供应商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0CD163E">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免费送货上门、安装、调试，免费培训使用人员和维护人员</w:t>
            </w:r>
            <w:r>
              <w:rPr>
                <w:rFonts w:hint="eastAsia" w:ascii="宋体" w:hAnsi="宋体" w:eastAsia="宋体"/>
              </w:rPr>
              <w:t>。</w:t>
            </w:r>
          </w:p>
          <w:p w14:paraId="76DB1EA7">
            <w:pPr>
              <w:rPr>
                <w:rFonts w:ascii="宋体" w:hAnsi="宋体" w:eastAsia="宋体"/>
              </w:rPr>
            </w:pPr>
            <w:r>
              <w:rPr>
                <w:rFonts w:ascii="宋体" w:hAnsi="宋体" w:eastAsia="宋体"/>
              </w:rPr>
              <w:t>5</w:t>
            </w:r>
            <w:r>
              <w:rPr>
                <w:rFonts w:hint="eastAsia" w:ascii="宋体" w:hAnsi="宋体" w:eastAsia="宋体"/>
              </w:rPr>
              <w:t>.</w:t>
            </w:r>
            <w:r>
              <w:rPr>
                <w:rFonts w:ascii="宋体" w:hAnsi="宋体" w:eastAsia="宋体"/>
              </w:rPr>
              <w:t>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F33D1DC">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每半年至少进行一次定期回访以及对设备保养；</w:t>
            </w:r>
          </w:p>
          <w:p w14:paraId="1206B76C">
            <w:pPr>
              <w:rPr>
                <w:rFonts w:ascii="宋体" w:hAnsi="宋体" w:eastAsia="宋体"/>
              </w:rPr>
            </w:pPr>
            <w:r>
              <w:rPr>
                <w:rFonts w:hint="eastAsia" w:ascii="宋体" w:hAnsi="宋体" w:eastAsia="宋体"/>
              </w:rPr>
              <w:t>7.供应商报价为采购人指定地点的现场交货价，包括：</w:t>
            </w:r>
          </w:p>
          <w:p w14:paraId="26B75D30">
            <w:pPr>
              <w:rPr>
                <w:rFonts w:ascii="宋体" w:hAnsi="宋体" w:eastAsia="宋体"/>
              </w:rPr>
            </w:pPr>
            <w:r>
              <w:rPr>
                <w:rFonts w:hint="eastAsia" w:ascii="宋体" w:hAnsi="宋体" w:eastAsia="宋体"/>
              </w:rPr>
              <w:t>（</w:t>
            </w:r>
            <w:r>
              <w:rPr>
                <w:rFonts w:ascii="宋体" w:hAnsi="宋体" w:eastAsia="宋体"/>
              </w:rPr>
              <w:t>1）货物及标准附件、备品备件、专用工具的价格；</w:t>
            </w:r>
          </w:p>
          <w:p w14:paraId="637EC1B1">
            <w:pPr>
              <w:rPr>
                <w:rFonts w:ascii="宋体" w:hAnsi="宋体" w:eastAsia="宋体"/>
              </w:rPr>
            </w:pPr>
            <w:r>
              <w:rPr>
                <w:rFonts w:hint="eastAsia" w:ascii="宋体" w:hAnsi="宋体" w:eastAsia="宋体"/>
              </w:rPr>
              <w:t>（</w:t>
            </w:r>
            <w:r>
              <w:rPr>
                <w:rFonts w:ascii="宋体" w:hAnsi="宋体" w:eastAsia="宋体"/>
              </w:rPr>
              <w:t>2）运输、装卸、调试、培训、技术支持、售后服务等费用；</w:t>
            </w:r>
          </w:p>
          <w:p w14:paraId="10D9998A">
            <w:pPr>
              <w:rPr>
                <w:rFonts w:ascii="宋体" w:hAnsi="宋体" w:eastAsia="宋体"/>
              </w:rPr>
            </w:pPr>
            <w:r>
              <w:rPr>
                <w:rFonts w:hint="eastAsia" w:ascii="宋体" w:hAnsi="宋体" w:eastAsia="宋体"/>
              </w:rPr>
              <w:t>（</w:t>
            </w:r>
            <w:r>
              <w:rPr>
                <w:rFonts w:ascii="宋体" w:hAnsi="宋体" w:eastAsia="宋体"/>
              </w:rPr>
              <w:t>3）必要的保险费用和各项税费；</w:t>
            </w:r>
          </w:p>
          <w:p w14:paraId="06E40EBD">
            <w:pPr>
              <w:rPr>
                <w:rFonts w:ascii="宋体" w:hAnsi="宋体" w:eastAsia="宋体"/>
              </w:rPr>
            </w:pPr>
            <w:r>
              <w:rPr>
                <w:rFonts w:hint="eastAsia" w:ascii="宋体" w:hAnsi="宋体" w:eastAsia="宋体"/>
              </w:rPr>
              <w:t>（</w:t>
            </w:r>
            <w:r>
              <w:rPr>
                <w:rFonts w:ascii="宋体" w:hAnsi="宋体" w:eastAsia="宋体"/>
              </w:rPr>
              <w:t>4）包括安装费用；</w:t>
            </w:r>
          </w:p>
          <w:p w14:paraId="761626B3">
            <w:pPr>
              <w:rPr>
                <w:rFonts w:ascii="宋体" w:hAnsi="宋体" w:eastAsia="宋体"/>
              </w:rPr>
            </w:pPr>
            <w:r>
              <w:rPr>
                <w:rFonts w:hint="eastAsia" w:ascii="宋体" w:hAnsi="宋体" w:eastAsia="宋体"/>
              </w:rPr>
              <w:t>（</w:t>
            </w:r>
            <w:r>
              <w:rPr>
                <w:rFonts w:ascii="宋体" w:hAnsi="宋体" w:eastAsia="宋体"/>
              </w:rPr>
              <w:t>5）到现场验收的费用。</w:t>
            </w:r>
          </w:p>
          <w:p w14:paraId="4AD78A27">
            <w:pPr>
              <w:rPr>
                <w:rFonts w:ascii="宋体" w:hAnsi="宋体" w:eastAsia="宋体"/>
              </w:rPr>
            </w:pPr>
            <w:r>
              <w:rPr>
                <w:rFonts w:hint="eastAsia" w:ascii="宋体" w:hAnsi="宋体" w:eastAsia="宋体"/>
              </w:rPr>
              <w:t>8.备品备件及耗材等要求：成交供应商应按成交价或优于市场价提供相关配件和服务。</w:t>
            </w:r>
          </w:p>
          <w:p w14:paraId="49DBCE03">
            <w:pPr>
              <w:rPr>
                <w:rFonts w:ascii="宋体" w:hAnsi="宋体" w:eastAsia="宋体"/>
              </w:rPr>
            </w:pPr>
            <w:r>
              <w:rPr>
                <w:rFonts w:hint="eastAsia" w:ascii="宋体" w:hAnsi="宋体" w:eastAsia="宋体"/>
              </w:rPr>
              <w:t>9.验收条件及标准：</w:t>
            </w:r>
          </w:p>
          <w:p w14:paraId="107B2CBF">
            <w:pPr>
              <w:rPr>
                <w:rFonts w:ascii="宋体" w:hAnsi="宋体" w:eastAsia="宋体"/>
              </w:rPr>
            </w:pPr>
            <w:r>
              <w:rPr>
                <w:rFonts w:hint="eastAsia" w:ascii="宋体" w:hAnsi="宋体" w:eastAsia="宋体"/>
              </w:rPr>
              <w:t>（</w:t>
            </w:r>
            <w:r>
              <w:rPr>
                <w:rFonts w:ascii="宋体" w:hAnsi="宋体" w:eastAsia="宋体"/>
              </w:rPr>
              <w:t>1）常温0℃－</w:t>
            </w:r>
            <w:r>
              <w:rPr>
                <w:rFonts w:hint="eastAsia" w:ascii="宋体" w:hAnsi="宋体" w:eastAsia="宋体"/>
              </w:rPr>
              <w:t>45</w:t>
            </w:r>
            <w:r>
              <w:rPr>
                <w:rFonts w:ascii="宋体" w:hAnsi="宋体" w:eastAsia="宋体"/>
              </w:rPr>
              <w:t>℃，符合合同要求及国家相关标准；</w:t>
            </w:r>
          </w:p>
          <w:p w14:paraId="60706530">
            <w:pPr>
              <w:rPr>
                <w:rFonts w:ascii="宋体" w:hAnsi="宋体" w:eastAsia="宋体"/>
              </w:rPr>
            </w:pPr>
            <w:r>
              <w:rPr>
                <w:rFonts w:hint="eastAsia" w:ascii="宋体" w:hAnsi="宋体" w:eastAsia="宋体"/>
              </w:rPr>
              <w:t>（</w:t>
            </w:r>
            <w:r>
              <w:rPr>
                <w:rFonts w:ascii="宋体" w:hAnsi="宋体" w:eastAsia="宋体"/>
              </w:rPr>
              <w:t>2）参数配置符合标书要求，无任何变动；</w:t>
            </w:r>
          </w:p>
          <w:p w14:paraId="52E6DF6B">
            <w:pPr>
              <w:rPr>
                <w:rFonts w:ascii="宋体" w:hAnsi="宋体" w:eastAsia="宋体"/>
              </w:rPr>
            </w:pPr>
            <w:r>
              <w:rPr>
                <w:rFonts w:hint="eastAsia" w:ascii="宋体" w:hAnsi="宋体" w:eastAsia="宋体"/>
              </w:rPr>
              <w:t>（</w:t>
            </w:r>
            <w:r>
              <w:rPr>
                <w:rFonts w:ascii="宋体" w:hAnsi="宋体" w:eastAsia="宋体"/>
              </w:rPr>
              <w:t>3）成交供应商提供所招标采购的货物、配套设备、所属装置等有关技术资料作为验收的参考依据。</w:t>
            </w:r>
          </w:p>
          <w:p w14:paraId="7E15E4CF">
            <w:pPr>
              <w:rPr>
                <w:rFonts w:ascii="宋体" w:hAnsi="宋体" w:eastAsia="宋体"/>
              </w:rPr>
            </w:pPr>
            <w:r>
              <w:rPr>
                <w:rFonts w:hint="eastAsia" w:ascii="宋体" w:hAnsi="宋体" w:eastAsia="宋体"/>
              </w:rPr>
              <w:t>10.验收方法及方案：由采购人、成交供应商、使用方或采购人聘请的有关技术专家共同现场验收，并由采购人出具验收文书。</w:t>
            </w:r>
          </w:p>
          <w:p w14:paraId="28F7CA58">
            <w:pPr>
              <w:rPr>
                <w:rFonts w:ascii="宋体" w:hAnsi="宋体" w:eastAsia="宋体"/>
              </w:rPr>
            </w:pPr>
            <w:r>
              <w:rPr>
                <w:rFonts w:hint="eastAsia" w:ascii="宋体" w:hAnsi="宋体" w:eastAsia="宋体"/>
              </w:rPr>
              <w:t>11.实施和安装要求：</w:t>
            </w:r>
          </w:p>
          <w:p w14:paraId="451A503C">
            <w:pPr>
              <w:rPr>
                <w:rFonts w:ascii="宋体" w:hAnsi="宋体" w:eastAsia="宋体"/>
              </w:rPr>
            </w:pPr>
            <w:r>
              <w:rPr>
                <w:rFonts w:hint="eastAsia" w:ascii="宋体" w:hAnsi="宋体" w:eastAsia="宋体"/>
              </w:rPr>
              <w:t>（</w:t>
            </w:r>
            <w:r>
              <w:rPr>
                <w:rFonts w:ascii="宋体" w:hAnsi="宋体" w:eastAsia="宋体"/>
              </w:rPr>
              <w:t>1）成交供应商必须服从</w:t>
            </w:r>
            <w:r>
              <w:rPr>
                <w:rFonts w:hint="eastAsia" w:ascii="宋体" w:hAnsi="宋体" w:eastAsia="宋体"/>
              </w:rPr>
              <w:t>采购人</w:t>
            </w:r>
            <w:r>
              <w:rPr>
                <w:rFonts w:ascii="宋体" w:hAnsi="宋体" w:eastAsia="宋体"/>
              </w:rPr>
              <w:t>现场负责人的指挥，按指定地点进行安装；</w:t>
            </w:r>
          </w:p>
          <w:p w14:paraId="1D84E577">
            <w:pPr>
              <w:rPr>
                <w:rFonts w:ascii="宋体" w:hAnsi="宋体" w:eastAsia="宋体"/>
                <w:highlight w:val="none"/>
              </w:rPr>
            </w:pPr>
            <w:r>
              <w:rPr>
                <w:rFonts w:hint="eastAsia" w:ascii="宋体" w:hAnsi="宋体" w:eastAsia="宋体"/>
                <w:highlight w:val="none"/>
              </w:rPr>
              <w:t>▲12.装饰装修部分（如有），成交供应商在实施过程中，应该拍照存档，做为项目验收资料之一；照片要求彩色打印，可准确反映成交供应商对装饰装修的实施过程。</w:t>
            </w:r>
          </w:p>
          <w:p w14:paraId="0E63CDA4">
            <w:pPr>
              <w:rPr>
                <w:rFonts w:ascii="宋体" w:hAnsi="宋体" w:eastAsia="宋体"/>
              </w:rPr>
            </w:pPr>
            <w:r>
              <w:rPr>
                <w:rFonts w:hint="eastAsia" w:ascii="宋体" w:hAnsi="宋体" w:eastAsia="宋体"/>
                <w:highlight w:val="none"/>
              </w:rPr>
              <w:t>▲13.售后服务，合同签订后一个月内，成交供应商需提供本地化服务，在采购人所在地提供售后服务机构、售后服务人员，成交供应商必须提供本地服务人员名单（以社保名单为准）。</w:t>
            </w:r>
          </w:p>
        </w:tc>
      </w:tr>
      <w:tr w14:paraId="545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E7103E7">
            <w:pPr>
              <w:jc w:val="center"/>
              <w:rPr>
                <w:rFonts w:ascii="宋体" w:hAnsi="宋体" w:eastAsia="宋体"/>
              </w:rPr>
            </w:pPr>
            <w:r>
              <w:rPr>
                <w:rFonts w:hint="eastAsia" w:ascii="宋体" w:hAnsi="宋体" w:eastAsia="宋体"/>
              </w:rPr>
              <w:t>9</w:t>
            </w:r>
          </w:p>
        </w:tc>
        <w:tc>
          <w:tcPr>
            <w:tcW w:w="1239" w:type="dxa"/>
            <w:vAlign w:val="center"/>
          </w:tcPr>
          <w:p w14:paraId="00AF9A13">
            <w:pPr>
              <w:jc w:val="center"/>
              <w:rPr>
                <w:rFonts w:ascii="宋体" w:hAnsi="宋体" w:eastAsia="宋体"/>
              </w:rPr>
            </w:pPr>
            <w:r>
              <w:rPr>
                <w:rFonts w:hint="eastAsia" w:ascii="宋体" w:hAnsi="宋体" w:eastAsia="宋体"/>
              </w:rPr>
              <w:t>培训</w:t>
            </w:r>
          </w:p>
        </w:tc>
        <w:tc>
          <w:tcPr>
            <w:tcW w:w="12087" w:type="dxa"/>
            <w:vAlign w:val="center"/>
          </w:tcPr>
          <w:p w14:paraId="6BB686C5">
            <w:pPr>
              <w:rPr>
                <w:rFonts w:ascii="宋体" w:hAnsi="宋体" w:eastAsia="宋体"/>
              </w:rPr>
            </w:pPr>
            <w:r>
              <w:rPr>
                <w:rFonts w:hint="eastAsia" w:ascii="宋体" w:hAnsi="宋体" w:eastAsia="宋体"/>
              </w:rPr>
              <w:t>供应商对其提供产品或服务的使用和操作应尽培训义务。供应商应提供对采购人的基本培训，使采购人使用人员熟练掌握所培训内容，熟练掌握全部功能，培训的相关费用包括在供应商报价中，采购人不再另行支付。</w:t>
            </w:r>
          </w:p>
        </w:tc>
      </w:tr>
      <w:tr w14:paraId="49B1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198C355">
            <w:pPr>
              <w:jc w:val="center"/>
              <w:rPr>
                <w:rFonts w:ascii="宋体" w:hAnsi="宋体" w:eastAsia="宋体"/>
              </w:rPr>
            </w:pPr>
            <w:r>
              <w:rPr>
                <w:rFonts w:hint="eastAsia" w:ascii="宋体" w:hAnsi="宋体" w:eastAsia="宋体"/>
              </w:rPr>
              <w:t>10</w:t>
            </w:r>
          </w:p>
        </w:tc>
        <w:tc>
          <w:tcPr>
            <w:tcW w:w="1239" w:type="dxa"/>
            <w:vAlign w:val="center"/>
          </w:tcPr>
          <w:p w14:paraId="2C8A3E4A">
            <w:pPr>
              <w:jc w:val="center"/>
              <w:rPr>
                <w:rFonts w:ascii="宋体" w:hAnsi="宋体" w:eastAsia="宋体"/>
              </w:rPr>
            </w:pPr>
            <w:r>
              <w:rPr>
                <w:rFonts w:hint="eastAsia" w:ascii="宋体" w:hAnsi="宋体" w:eastAsia="宋体"/>
              </w:rPr>
              <w:t>▲知识产权</w:t>
            </w:r>
          </w:p>
        </w:tc>
        <w:tc>
          <w:tcPr>
            <w:tcW w:w="12087" w:type="dxa"/>
            <w:vAlign w:val="center"/>
          </w:tcPr>
          <w:p w14:paraId="4E846F61">
            <w:pPr>
              <w:rPr>
                <w:rFonts w:ascii="宋体" w:hAnsi="宋体" w:eastAsia="宋体"/>
              </w:rPr>
            </w:pPr>
            <w:r>
              <w:rPr>
                <w:rFonts w:hint="eastAsia" w:ascii="宋体" w:hAnsi="宋体" w:eastAsia="宋体"/>
              </w:rPr>
              <w:t>采购人在中华人民共和国境内使用供应商提供的产品、服务、推广平台、课程教学设计、制作的课程、微课、PPT文稿及文本、视频、使用的题库，不受第三方提出的侵犯其专利权或其它知识产权的起诉。如果第三方提出侵权指控，成交供应商应承担由此而引起的一切法律责任和费用。成交供应商按成交金额的10%赔偿采购人，并支付采购人5万元每次违约金。</w:t>
            </w:r>
          </w:p>
        </w:tc>
      </w:tr>
      <w:tr w14:paraId="48C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18ECFD8">
            <w:pPr>
              <w:jc w:val="center"/>
              <w:rPr>
                <w:rFonts w:ascii="宋体" w:hAnsi="宋体" w:eastAsia="宋体"/>
              </w:rPr>
            </w:pPr>
            <w:r>
              <w:rPr>
                <w:rFonts w:hint="eastAsia" w:ascii="宋体" w:hAnsi="宋体" w:eastAsia="宋体"/>
              </w:rPr>
              <w:t>11</w:t>
            </w:r>
          </w:p>
        </w:tc>
        <w:tc>
          <w:tcPr>
            <w:tcW w:w="1239" w:type="dxa"/>
            <w:vAlign w:val="center"/>
          </w:tcPr>
          <w:p w14:paraId="1EC86158">
            <w:pPr>
              <w:pStyle w:val="9"/>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▲诚信要求</w:t>
            </w:r>
          </w:p>
        </w:tc>
        <w:tc>
          <w:tcPr>
            <w:tcW w:w="12087" w:type="dxa"/>
          </w:tcPr>
          <w:p w14:paraId="084B3893">
            <w:pPr>
              <w:jc w:val="left"/>
              <w:rPr>
                <w:rFonts w:ascii="宋体" w:hAnsi="宋体" w:eastAsia="宋体"/>
                <w:szCs w:val="21"/>
              </w:rPr>
            </w:pPr>
            <w:r>
              <w:rPr>
                <w:rFonts w:hint="eastAsia" w:ascii="宋体" w:hAnsi="宋体" w:eastAsia="宋体" w:cs="仿宋"/>
                <w:bCs/>
                <w:szCs w:val="21"/>
              </w:rPr>
              <w:t>如发现竞价供应商在“信用中国”网站、中国政府采购网等渠道被列入失信被执行人、重大税收违法案件当事人名单、政府采购严重违法失信行为记录名单及其他不符合《中华人民共和国政府采购法》第二十二条规定条件的，将被取消竞价或成交资格。</w:t>
            </w:r>
          </w:p>
        </w:tc>
      </w:tr>
      <w:tr w14:paraId="46DE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364612C">
            <w:pPr>
              <w:jc w:val="center"/>
              <w:rPr>
                <w:rFonts w:ascii="宋体" w:hAnsi="宋体" w:eastAsia="宋体"/>
              </w:rPr>
            </w:pPr>
            <w:r>
              <w:rPr>
                <w:rFonts w:hint="eastAsia" w:ascii="宋体" w:hAnsi="宋体" w:eastAsia="宋体"/>
              </w:rPr>
              <w:t>12</w:t>
            </w:r>
          </w:p>
        </w:tc>
        <w:tc>
          <w:tcPr>
            <w:tcW w:w="1239" w:type="dxa"/>
            <w:vAlign w:val="center"/>
          </w:tcPr>
          <w:p w14:paraId="6CF0CF1D">
            <w:pPr>
              <w:pStyle w:val="9"/>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w:t>
            </w:r>
            <w:r>
              <w:rPr>
                <w:rFonts w:hint="eastAsia" w:ascii="宋体" w:hAnsi="宋体" w:eastAsia="宋体" w:cs="仿宋"/>
                <w:bCs/>
                <w:szCs w:val="21"/>
              </w:rPr>
              <w:t>节能产品认证</w:t>
            </w:r>
          </w:p>
        </w:tc>
        <w:tc>
          <w:tcPr>
            <w:tcW w:w="12087" w:type="dxa"/>
          </w:tcPr>
          <w:p w14:paraId="6D468EBB">
            <w:pPr>
              <w:jc w:val="left"/>
              <w:rPr>
                <w:rFonts w:ascii="宋体" w:hAnsi="宋体" w:eastAsia="宋体" w:cs="仿宋"/>
                <w:bCs/>
                <w:szCs w:val="21"/>
              </w:rPr>
            </w:pPr>
            <w:r>
              <w:rPr>
                <w:rFonts w:hint="eastAsia" w:ascii="宋体" w:hAnsi="宋体" w:eastAsia="宋体" w:cs="仿宋"/>
                <w:bCs/>
                <w:szCs w:val="21"/>
              </w:rPr>
              <w:t>属《</w:t>
            </w:r>
            <w:r>
              <w:rPr>
                <w:rFonts w:hint="eastAsia" w:ascii="宋体" w:hAnsi="宋体" w:eastAsia="宋体" w:cs="仿宋"/>
                <w:color w:val="000000"/>
                <w:kern w:val="0"/>
                <w:szCs w:val="21"/>
              </w:rPr>
              <w:t>节能产品政府采购品目清单</w:t>
            </w:r>
            <w:r>
              <w:rPr>
                <w:rFonts w:hint="eastAsia" w:ascii="宋体" w:hAnsi="宋体" w:eastAsia="宋体" w:cs="仿宋"/>
                <w:bCs/>
                <w:szCs w:val="21"/>
              </w:rPr>
              <w:t>》范围内的产品，必须提供国家确定的认证机构出具的、处于有效期之内的节能产品认证证书。</w:t>
            </w:r>
          </w:p>
        </w:tc>
      </w:tr>
      <w:tr w14:paraId="14A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8B65E27">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3</w:t>
            </w:r>
          </w:p>
        </w:tc>
        <w:tc>
          <w:tcPr>
            <w:tcW w:w="1239" w:type="dxa"/>
            <w:vAlign w:val="center"/>
          </w:tcPr>
          <w:p w14:paraId="3746FEE5">
            <w:pPr>
              <w:jc w:val="center"/>
              <w:rPr>
                <w:rFonts w:ascii="宋体" w:hAnsi="宋体" w:eastAsia="宋体"/>
              </w:rPr>
            </w:pPr>
            <w:r>
              <w:rPr>
                <w:rFonts w:hint="eastAsia" w:ascii="宋体" w:hAnsi="宋体" w:eastAsia="宋体"/>
              </w:rPr>
              <w:t>其它</w:t>
            </w:r>
          </w:p>
        </w:tc>
        <w:tc>
          <w:tcPr>
            <w:tcW w:w="12087" w:type="dxa"/>
            <w:vAlign w:val="center"/>
          </w:tcPr>
          <w:p w14:paraId="39AD7347">
            <w:pPr>
              <w:rPr>
                <w:rFonts w:ascii="宋体" w:hAnsi="宋体" w:eastAsia="宋体"/>
              </w:rPr>
            </w:pPr>
            <w:r>
              <w:rPr>
                <w:rFonts w:hint="eastAsia" w:ascii="宋体" w:hAnsi="宋体" w:eastAsia="宋体"/>
              </w:rPr>
              <w:t>1.标注▲的技术要求为实质性技术要求。供应商在报价文件中应就实质性技术要求提供技术支持资料，未提供的将视为未实质性响应该要求。采购方有权不予接受报价，不予验收通过。</w:t>
            </w:r>
          </w:p>
          <w:p w14:paraId="4E2C4DB3">
            <w:pPr>
              <w:rPr>
                <w:rFonts w:ascii="宋体" w:hAnsi="宋体" w:eastAsia="宋体"/>
              </w:rPr>
            </w:pPr>
            <w:r>
              <w:rPr>
                <w:rFonts w:hint="eastAsia" w:ascii="宋体" w:hAnsi="宋体" w:eastAsia="宋体"/>
              </w:rPr>
              <w:t>▲2.根据《中华人民共和国政府采购法》和</w:t>
            </w:r>
            <w:r>
              <w:rPr>
                <w:rFonts w:hint="eastAsia" w:ascii="宋体" w:hAnsi="宋体" w:eastAsia="宋体"/>
                <w:szCs w:val="21"/>
              </w:rPr>
              <w:t>《中华人民共和国反垄断法》，没有正当理由，不得以低于成本的价格销售商品。</w:t>
            </w:r>
            <w:r>
              <w:rPr>
                <w:rFonts w:hint="eastAsia" w:ascii="宋体" w:hAnsi="宋体" w:eastAsia="宋体"/>
              </w:rPr>
              <w:t xml:space="preserve"> </w:t>
            </w:r>
          </w:p>
        </w:tc>
      </w:tr>
    </w:tbl>
    <w:tbl>
      <w:tblPr>
        <w:tblStyle w:val="14"/>
        <w:tblpPr w:leftFromText="180" w:rightFromText="180" w:vertAnchor="page" w:horzAnchor="page" w:tblpX="8628" w:tblpY="547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tblGrid>
      <w:tr w14:paraId="4A26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7" w:type="dxa"/>
          </w:tcPr>
          <w:p w14:paraId="789DD21D">
            <w:pPr>
              <w:pStyle w:val="9"/>
              <w:spacing w:line="360" w:lineRule="auto"/>
              <w:ind w:right="1176" w:rightChars="560"/>
              <w:jc w:val="right"/>
              <w:rPr>
                <w:rFonts w:ascii="宋体" w:hAnsi="宋体" w:eastAsia="宋体"/>
                <w:sz w:val="28"/>
              </w:rPr>
            </w:pPr>
            <w:bookmarkStart w:id="0" w:name="_GoBack"/>
            <w:bookmarkEnd w:id="0"/>
          </w:p>
          <w:p w14:paraId="31AEE59D">
            <w:pPr>
              <w:pStyle w:val="9"/>
              <w:spacing w:line="360" w:lineRule="auto"/>
              <w:ind w:right="1176" w:rightChars="560"/>
              <w:jc w:val="right"/>
              <w:rPr>
                <w:rFonts w:ascii="宋体" w:hAnsi="宋体" w:eastAsia="宋体"/>
                <w:sz w:val="28"/>
              </w:rPr>
            </w:pPr>
            <w:r>
              <w:rPr>
                <w:rFonts w:hint="eastAsia" w:ascii="宋体" w:hAnsi="宋体" w:eastAsia="宋体"/>
                <w:sz w:val="28"/>
              </w:rPr>
              <w:t>广西经贸职业技术学院（盖章）</w:t>
            </w:r>
          </w:p>
          <w:p w14:paraId="15FC667F">
            <w:pPr>
              <w:pStyle w:val="9"/>
              <w:spacing w:line="360" w:lineRule="auto"/>
              <w:ind w:right="636" w:rightChars="303"/>
              <w:jc w:val="right"/>
              <w:rPr>
                <w:rFonts w:ascii="宋体" w:hAnsi="宋体" w:eastAsia="宋体"/>
                <w:sz w:val="28"/>
                <w:highlight w:val="yellow"/>
              </w:rPr>
            </w:pPr>
            <w:r>
              <w:rPr>
                <w:rFonts w:hint="eastAsia" w:ascii="宋体" w:hAnsi="宋体" w:eastAsia="宋体"/>
                <w:sz w:val="28"/>
              </w:rPr>
              <w:t>年   月   日</w:t>
            </w:r>
          </w:p>
        </w:tc>
      </w:tr>
    </w:tbl>
    <w:p w14:paraId="63A43DDE">
      <w:pPr>
        <w:jc w:val="right"/>
        <w:rPr>
          <w:rFonts w:ascii="宋体" w:hAnsi="宋体" w:eastAsia="宋体"/>
          <w:sz w:val="28"/>
          <w:szCs w:val="28"/>
        </w:rPr>
      </w:pPr>
    </w:p>
    <w:p w14:paraId="56AE7F99">
      <w:pPr>
        <w:pStyle w:val="7"/>
        <w:sectPr>
          <w:footerReference r:id="rId3" w:type="default"/>
          <w:pgSz w:w="16838" w:h="11906" w:orient="landscape"/>
          <w:pgMar w:top="1134" w:right="1134" w:bottom="1134" w:left="1440" w:header="851" w:footer="567" w:gutter="0"/>
          <w:cols w:space="425" w:num="1"/>
          <w:docGrid w:type="lines" w:linePitch="312" w:charSpace="0"/>
        </w:sectPr>
      </w:pPr>
    </w:p>
    <w:p w14:paraId="502CAD2D">
      <w:pPr>
        <w:jc w:val="left"/>
        <w:rPr>
          <w:rFonts w:ascii="Times New Roman" w:hAnsi="Times New Roman" w:eastAsia="宋体" w:cs="Times New Roman"/>
          <w:b/>
          <w:szCs w:val="21"/>
        </w:rPr>
      </w:pPr>
      <w:r>
        <w:rPr>
          <w:rFonts w:hint="eastAsia" w:ascii="Times New Roman" w:hAnsi="Times New Roman" w:eastAsia="宋体" w:cs="Times New Roman"/>
          <w:b/>
          <w:szCs w:val="21"/>
        </w:rPr>
        <w:t>附件1：</w:t>
      </w:r>
    </w:p>
    <w:p w14:paraId="5CFC6EB6">
      <w:pPr>
        <w:jc w:val="center"/>
        <w:rPr>
          <w:rFonts w:ascii="宋体" w:hAnsi="宋体" w:eastAsia="宋体" w:cs="Times New Roman"/>
          <w:b/>
          <w:szCs w:val="21"/>
        </w:rPr>
      </w:pPr>
      <w:r>
        <w:rPr>
          <w:rFonts w:ascii="Times New Roman" w:hAnsi="Times New Roman" w:eastAsia="宋体" w:cs="Times New Roman"/>
          <w:b/>
          <w:szCs w:val="21"/>
        </w:rPr>
        <w:t>报价明细表</w:t>
      </w:r>
      <w:r>
        <w:rPr>
          <w:rFonts w:hint="eastAsia" w:ascii="宋体" w:hAnsi="宋体" w:eastAsia="宋体" w:cs="Times New Roman"/>
          <w:b/>
          <w:szCs w:val="21"/>
        </w:rPr>
        <w:t>（必须提供）</w:t>
      </w:r>
    </w:p>
    <w:p w14:paraId="5B303460">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6356352B">
      <w:pPr>
        <w:spacing w:line="300" w:lineRule="auto"/>
        <w:rPr>
          <w:rFonts w:ascii="宋体" w:hAnsi="宋体" w:eastAsia="宋体" w:cs="Times New Roman"/>
          <w:szCs w:val="21"/>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D429AD8">
      <w:pPr>
        <w:ind w:firstLine="2415" w:firstLineChars="1150"/>
        <w:rPr>
          <w:rFonts w:ascii="Times New Roman" w:hAnsi="Times New Roman" w:eastAsia="宋体" w:cs="Times New Roman"/>
          <w:szCs w:val="21"/>
        </w:rPr>
      </w:pPr>
      <w:r>
        <w:rPr>
          <w:rFonts w:ascii="Times New Roman" w:hAnsi="Times New Roman" w:eastAsia="宋体" w:cs="Times New Roman"/>
          <w:szCs w:val="21"/>
        </w:rPr>
        <w:t xml:space="preserve">                            金额单位：人民币（元）</w:t>
      </w:r>
    </w:p>
    <w:tbl>
      <w:tblPr>
        <w:tblStyle w:val="13"/>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694"/>
        <w:gridCol w:w="708"/>
        <w:gridCol w:w="2977"/>
        <w:gridCol w:w="1120"/>
        <w:gridCol w:w="1134"/>
        <w:gridCol w:w="709"/>
        <w:gridCol w:w="1290"/>
        <w:gridCol w:w="504"/>
      </w:tblGrid>
      <w:tr w14:paraId="5AE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5" w:type="dxa"/>
            <w:tcBorders>
              <w:bottom w:val="single" w:color="auto" w:sz="4" w:space="0"/>
            </w:tcBorders>
            <w:vAlign w:val="center"/>
          </w:tcPr>
          <w:p w14:paraId="7F3B43B4">
            <w:pPr>
              <w:jc w:val="center"/>
              <w:rPr>
                <w:rFonts w:ascii="宋体" w:hAnsi="宋体" w:eastAsia="宋体" w:cs="Courier New"/>
                <w:szCs w:val="21"/>
              </w:rPr>
            </w:pPr>
            <w:r>
              <w:rPr>
                <w:rFonts w:hint="eastAsia" w:ascii="宋体" w:hAnsi="宋体" w:eastAsia="宋体" w:cs="Courier New"/>
                <w:szCs w:val="21"/>
              </w:rPr>
              <w:t>序号</w:t>
            </w:r>
          </w:p>
        </w:tc>
        <w:tc>
          <w:tcPr>
            <w:tcW w:w="1011" w:type="dxa"/>
            <w:tcBorders>
              <w:bottom w:val="single" w:color="auto" w:sz="4" w:space="0"/>
            </w:tcBorders>
            <w:vAlign w:val="center"/>
          </w:tcPr>
          <w:p w14:paraId="1FA15EAF">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货物（服务）名称</w:t>
            </w:r>
          </w:p>
        </w:tc>
        <w:tc>
          <w:tcPr>
            <w:tcW w:w="694" w:type="dxa"/>
            <w:tcBorders>
              <w:bottom w:val="single" w:color="auto" w:sz="4" w:space="0"/>
            </w:tcBorders>
            <w:vAlign w:val="center"/>
          </w:tcPr>
          <w:p w14:paraId="0CBA10A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数量</w:t>
            </w:r>
            <w:r>
              <w:rPr>
                <w:rFonts w:hint="eastAsia" w:ascii="Times New Roman" w:hAnsi="宋体" w:eastAsia="宋体" w:cs="Times New Roman"/>
                <w:szCs w:val="24"/>
              </w:rPr>
              <w:t>①</w:t>
            </w:r>
          </w:p>
        </w:tc>
        <w:tc>
          <w:tcPr>
            <w:tcW w:w="708" w:type="dxa"/>
            <w:tcBorders>
              <w:bottom w:val="single" w:color="auto" w:sz="4" w:space="0"/>
            </w:tcBorders>
            <w:vAlign w:val="center"/>
          </w:tcPr>
          <w:p w14:paraId="591DAF8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单位</w:t>
            </w:r>
          </w:p>
        </w:tc>
        <w:tc>
          <w:tcPr>
            <w:tcW w:w="2977" w:type="dxa"/>
            <w:tcBorders>
              <w:bottom w:val="single" w:color="auto" w:sz="4" w:space="0"/>
            </w:tcBorders>
            <w:vAlign w:val="center"/>
          </w:tcPr>
          <w:p w14:paraId="62E3DE94">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技术参数及性能配置要求</w:t>
            </w:r>
          </w:p>
        </w:tc>
        <w:tc>
          <w:tcPr>
            <w:tcW w:w="1120" w:type="dxa"/>
            <w:tcBorders>
              <w:bottom w:val="single" w:color="auto" w:sz="4" w:space="0"/>
            </w:tcBorders>
            <w:vAlign w:val="center"/>
          </w:tcPr>
          <w:p w14:paraId="5ADEBC5D">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品牌、型号规格</w:t>
            </w:r>
          </w:p>
        </w:tc>
        <w:tc>
          <w:tcPr>
            <w:tcW w:w="1134" w:type="dxa"/>
            <w:tcBorders>
              <w:bottom w:val="single" w:color="auto" w:sz="4" w:space="0"/>
            </w:tcBorders>
            <w:vAlign w:val="center"/>
          </w:tcPr>
          <w:p w14:paraId="2DED2B81">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生产厂家及产地</w:t>
            </w:r>
          </w:p>
        </w:tc>
        <w:tc>
          <w:tcPr>
            <w:tcW w:w="709" w:type="dxa"/>
            <w:tcBorders>
              <w:bottom w:val="single" w:color="auto" w:sz="4" w:space="0"/>
            </w:tcBorders>
            <w:vAlign w:val="center"/>
          </w:tcPr>
          <w:p w14:paraId="7EAAC70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单价</w:t>
            </w:r>
            <w:r>
              <w:rPr>
                <w:rFonts w:hint="eastAsia" w:ascii="Times New Roman" w:hAnsi="宋体" w:eastAsia="宋体" w:cs="Times New Roman"/>
                <w:szCs w:val="24"/>
              </w:rPr>
              <w:t>②</w:t>
            </w:r>
          </w:p>
        </w:tc>
        <w:tc>
          <w:tcPr>
            <w:tcW w:w="1290" w:type="dxa"/>
            <w:tcBorders>
              <w:bottom w:val="single" w:color="auto" w:sz="4" w:space="0"/>
            </w:tcBorders>
            <w:vAlign w:val="center"/>
          </w:tcPr>
          <w:p w14:paraId="78A26F92">
            <w:pPr>
              <w:jc w:val="center"/>
              <w:rPr>
                <w:rFonts w:ascii="宋体" w:hAnsi="宋体" w:eastAsia="宋体" w:cs="Courier New"/>
                <w:szCs w:val="21"/>
              </w:rPr>
            </w:pPr>
            <w:r>
              <w:rPr>
                <w:rFonts w:hint="eastAsia" w:ascii="宋体" w:hAnsi="宋体" w:eastAsia="宋体" w:cs="Courier New"/>
                <w:szCs w:val="21"/>
              </w:rPr>
              <w:t>单项合价</w:t>
            </w:r>
          </w:p>
          <w:p w14:paraId="0A9F2303">
            <w:pPr>
              <w:jc w:val="center"/>
              <w:rPr>
                <w:rFonts w:ascii="宋体" w:hAnsi="宋体" w:eastAsia="宋体" w:cs="Courier New"/>
                <w:szCs w:val="21"/>
              </w:rPr>
            </w:pPr>
            <w:r>
              <w:rPr>
                <w:rFonts w:hint="eastAsia" w:ascii="宋体" w:hAnsi="宋体" w:eastAsia="宋体" w:cs="Courier New"/>
                <w:szCs w:val="21"/>
              </w:rPr>
              <w:t>（元）</w:t>
            </w:r>
          </w:p>
          <w:p w14:paraId="160EDE05">
            <w:pPr>
              <w:jc w:val="center"/>
              <w:rPr>
                <w:rFonts w:ascii="宋体" w:hAnsi="宋体" w:eastAsia="宋体" w:cs="Courier New"/>
                <w:szCs w:val="21"/>
              </w:rPr>
            </w:pPr>
            <w:r>
              <w:rPr>
                <w:rFonts w:hint="eastAsia" w:ascii="宋体" w:hAnsi="宋体" w:eastAsia="宋体" w:cs="Courier New"/>
                <w:szCs w:val="21"/>
              </w:rPr>
              <w:t>③</w:t>
            </w:r>
            <w:r>
              <w:rPr>
                <w:rFonts w:ascii="宋体" w:hAnsi="宋体" w:eastAsia="宋体" w:cs="Courier New"/>
                <w:szCs w:val="21"/>
              </w:rPr>
              <w:t>=</w:t>
            </w:r>
            <w:r>
              <w:rPr>
                <w:rFonts w:hint="eastAsia" w:ascii="宋体" w:hAnsi="宋体" w:eastAsia="宋体" w:cs="Courier New"/>
                <w:szCs w:val="21"/>
              </w:rPr>
              <w:t>①×②</w:t>
            </w:r>
          </w:p>
        </w:tc>
        <w:tc>
          <w:tcPr>
            <w:tcW w:w="504" w:type="dxa"/>
            <w:tcBorders>
              <w:bottom w:val="single" w:color="auto" w:sz="4" w:space="0"/>
            </w:tcBorders>
            <w:vAlign w:val="center"/>
          </w:tcPr>
          <w:p w14:paraId="53681492">
            <w:pPr>
              <w:jc w:val="center"/>
              <w:rPr>
                <w:rFonts w:ascii="宋体" w:hAnsi="宋体" w:eastAsia="宋体" w:cs="Courier New"/>
                <w:szCs w:val="21"/>
              </w:rPr>
            </w:pPr>
            <w:r>
              <w:rPr>
                <w:rFonts w:hint="eastAsia" w:ascii="宋体" w:hAnsi="宋体" w:eastAsia="宋体" w:cs="Courier New"/>
                <w:szCs w:val="21"/>
              </w:rPr>
              <w:t>备注</w:t>
            </w:r>
          </w:p>
        </w:tc>
      </w:tr>
      <w:tr w14:paraId="4814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5FDDB8A6">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011" w:type="dxa"/>
            <w:vAlign w:val="center"/>
          </w:tcPr>
          <w:p w14:paraId="5801954A">
            <w:pPr>
              <w:jc w:val="center"/>
              <w:rPr>
                <w:rFonts w:ascii="宋体" w:hAnsi="宋体" w:eastAsia="宋体" w:cs="Times New Roman"/>
                <w:szCs w:val="24"/>
              </w:rPr>
            </w:pPr>
          </w:p>
        </w:tc>
        <w:tc>
          <w:tcPr>
            <w:tcW w:w="694" w:type="dxa"/>
            <w:vAlign w:val="center"/>
          </w:tcPr>
          <w:p w14:paraId="4FC921AE">
            <w:pPr>
              <w:jc w:val="center"/>
              <w:rPr>
                <w:rFonts w:ascii="宋体" w:hAnsi="宋体" w:eastAsia="宋体" w:cs="Times New Roman"/>
                <w:szCs w:val="24"/>
              </w:rPr>
            </w:pPr>
          </w:p>
        </w:tc>
        <w:tc>
          <w:tcPr>
            <w:tcW w:w="708" w:type="dxa"/>
            <w:vAlign w:val="center"/>
          </w:tcPr>
          <w:p w14:paraId="721DFC54">
            <w:pPr>
              <w:rPr>
                <w:rFonts w:ascii="宋体" w:hAnsi="宋体" w:eastAsia="宋体" w:cs="Courier New"/>
                <w:szCs w:val="21"/>
              </w:rPr>
            </w:pPr>
          </w:p>
        </w:tc>
        <w:tc>
          <w:tcPr>
            <w:tcW w:w="2977" w:type="dxa"/>
            <w:vAlign w:val="center"/>
          </w:tcPr>
          <w:p w14:paraId="036626D8">
            <w:pPr>
              <w:rPr>
                <w:rFonts w:ascii="宋体" w:hAnsi="宋体" w:eastAsia="宋体" w:cs="Courier New"/>
                <w:szCs w:val="21"/>
              </w:rPr>
            </w:pPr>
          </w:p>
        </w:tc>
        <w:tc>
          <w:tcPr>
            <w:tcW w:w="1120" w:type="dxa"/>
            <w:vAlign w:val="center"/>
          </w:tcPr>
          <w:p w14:paraId="00ECD78F">
            <w:pPr>
              <w:rPr>
                <w:rFonts w:ascii="宋体" w:hAnsi="宋体" w:eastAsia="宋体" w:cs="Courier New"/>
                <w:szCs w:val="21"/>
              </w:rPr>
            </w:pPr>
          </w:p>
        </w:tc>
        <w:tc>
          <w:tcPr>
            <w:tcW w:w="1134" w:type="dxa"/>
            <w:vAlign w:val="center"/>
          </w:tcPr>
          <w:p w14:paraId="19162713">
            <w:pPr>
              <w:rPr>
                <w:rFonts w:ascii="宋体" w:hAnsi="宋体" w:eastAsia="宋体" w:cs="Courier New"/>
                <w:szCs w:val="21"/>
              </w:rPr>
            </w:pPr>
          </w:p>
        </w:tc>
        <w:tc>
          <w:tcPr>
            <w:tcW w:w="709" w:type="dxa"/>
            <w:vAlign w:val="center"/>
          </w:tcPr>
          <w:p w14:paraId="01E5B822">
            <w:pPr>
              <w:rPr>
                <w:rFonts w:ascii="宋体" w:hAnsi="宋体" w:eastAsia="宋体" w:cs="Courier New"/>
                <w:szCs w:val="21"/>
              </w:rPr>
            </w:pPr>
          </w:p>
        </w:tc>
        <w:tc>
          <w:tcPr>
            <w:tcW w:w="1290" w:type="dxa"/>
            <w:vAlign w:val="center"/>
          </w:tcPr>
          <w:p w14:paraId="64D5A01E">
            <w:pPr>
              <w:rPr>
                <w:rFonts w:ascii="宋体" w:hAnsi="宋体" w:eastAsia="宋体" w:cs="Courier New"/>
                <w:szCs w:val="21"/>
              </w:rPr>
            </w:pPr>
          </w:p>
        </w:tc>
        <w:tc>
          <w:tcPr>
            <w:tcW w:w="504" w:type="dxa"/>
            <w:vAlign w:val="center"/>
          </w:tcPr>
          <w:p w14:paraId="726C8417">
            <w:pPr>
              <w:rPr>
                <w:rFonts w:ascii="宋体" w:hAnsi="宋体" w:eastAsia="宋体" w:cs="Courier New"/>
                <w:szCs w:val="21"/>
              </w:rPr>
            </w:pPr>
          </w:p>
        </w:tc>
      </w:tr>
      <w:tr w14:paraId="668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4E429537">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011" w:type="dxa"/>
            <w:vAlign w:val="center"/>
          </w:tcPr>
          <w:p w14:paraId="6B633D3D">
            <w:pPr>
              <w:jc w:val="center"/>
              <w:rPr>
                <w:rFonts w:ascii="宋体" w:hAnsi="宋体" w:eastAsia="宋体" w:cs="Times New Roman"/>
                <w:szCs w:val="24"/>
              </w:rPr>
            </w:pPr>
          </w:p>
        </w:tc>
        <w:tc>
          <w:tcPr>
            <w:tcW w:w="694" w:type="dxa"/>
            <w:vAlign w:val="center"/>
          </w:tcPr>
          <w:p w14:paraId="59313A54">
            <w:pPr>
              <w:jc w:val="center"/>
              <w:rPr>
                <w:rFonts w:ascii="宋体" w:hAnsi="宋体" w:eastAsia="宋体" w:cs="Times New Roman"/>
                <w:szCs w:val="24"/>
              </w:rPr>
            </w:pPr>
          </w:p>
        </w:tc>
        <w:tc>
          <w:tcPr>
            <w:tcW w:w="708" w:type="dxa"/>
            <w:vAlign w:val="center"/>
          </w:tcPr>
          <w:p w14:paraId="50979B61">
            <w:pPr>
              <w:rPr>
                <w:rFonts w:ascii="宋体" w:hAnsi="宋体" w:eastAsia="宋体" w:cs="Courier New"/>
                <w:szCs w:val="21"/>
              </w:rPr>
            </w:pPr>
          </w:p>
        </w:tc>
        <w:tc>
          <w:tcPr>
            <w:tcW w:w="2977" w:type="dxa"/>
            <w:vAlign w:val="center"/>
          </w:tcPr>
          <w:p w14:paraId="6330C389">
            <w:pPr>
              <w:rPr>
                <w:rFonts w:ascii="宋体" w:hAnsi="宋体" w:eastAsia="宋体" w:cs="Courier New"/>
                <w:szCs w:val="21"/>
              </w:rPr>
            </w:pPr>
          </w:p>
        </w:tc>
        <w:tc>
          <w:tcPr>
            <w:tcW w:w="1120" w:type="dxa"/>
            <w:vAlign w:val="center"/>
          </w:tcPr>
          <w:p w14:paraId="60CA3CCE">
            <w:pPr>
              <w:rPr>
                <w:rFonts w:ascii="宋体" w:hAnsi="宋体" w:eastAsia="宋体" w:cs="Courier New"/>
                <w:szCs w:val="21"/>
              </w:rPr>
            </w:pPr>
          </w:p>
        </w:tc>
        <w:tc>
          <w:tcPr>
            <w:tcW w:w="1134" w:type="dxa"/>
            <w:vAlign w:val="center"/>
          </w:tcPr>
          <w:p w14:paraId="498B831A">
            <w:pPr>
              <w:rPr>
                <w:rFonts w:ascii="宋体" w:hAnsi="宋体" w:eastAsia="宋体" w:cs="Courier New"/>
                <w:szCs w:val="21"/>
              </w:rPr>
            </w:pPr>
          </w:p>
        </w:tc>
        <w:tc>
          <w:tcPr>
            <w:tcW w:w="709" w:type="dxa"/>
            <w:vAlign w:val="center"/>
          </w:tcPr>
          <w:p w14:paraId="0831553D">
            <w:pPr>
              <w:rPr>
                <w:rFonts w:ascii="宋体" w:hAnsi="宋体" w:eastAsia="宋体" w:cs="Courier New"/>
                <w:szCs w:val="21"/>
              </w:rPr>
            </w:pPr>
          </w:p>
        </w:tc>
        <w:tc>
          <w:tcPr>
            <w:tcW w:w="1290" w:type="dxa"/>
            <w:vAlign w:val="center"/>
          </w:tcPr>
          <w:p w14:paraId="679FC200">
            <w:pPr>
              <w:rPr>
                <w:rFonts w:ascii="宋体" w:hAnsi="宋体" w:eastAsia="宋体" w:cs="Courier New"/>
                <w:szCs w:val="21"/>
              </w:rPr>
            </w:pPr>
          </w:p>
        </w:tc>
        <w:tc>
          <w:tcPr>
            <w:tcW w:w="504" w:type="dxa"/>
            <w:vAlign w:val="center"/>
          </w:tcPr>
          <w:p w14:paraId="76E266B8">
            <w:pPr>
              <w:rPr>
                <w:rFonts w:ascii="宋体" w:hAnsi="宋体" w:eastAsia="宋体" w:cs="Courier New"/>
                <w:szCs w:val="21"/>
              </w:rPr>
            </w:pPr>
          </w:p>
        </w:tc>
      </w:tr>
      <w:tr w14:paraId="5CAE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13275848">
            <w:pPr>
              <w:jc w:val="center"/>
              <w:rPr>
                <w:rFonts w:ascii="宋体" w:hAnsi="宋体" w:eastAsia="宋体" w:cs="Times New Roman"/>
                <w:sz w:val="24"/>
                <w:szCs w:val="24"/>
              </w:rPr>
            </w:pPr>
            <w:r>
              <w:rPr>
                <w:rFonts w:ascii="宋体" w:hAnsi="宋体" w:eastAsia="宋体" w:cs="Times New Roman"/>
                <w:sz w:val="24"/>
                <w:szCs w:val="24"/>
              </w:rPr>
              <w:t>N</w:t>
            </w:r>
          </w:p>
        </w:tc>
        <w:tc>
          <w:tcPr>
            <w:tcW w:w="1011" w:type="dxa"/>
            <w:vAlign w:val="center"/>
          </w:tcPr>
          <w:p w14:paraId="677289A3">
            <w:pPr>
              <w:jc w:val="center"/>
              <w:rPr>
                <w:rFonts w:ascii="宋体" w:hAnsi="宋体" w:eastAsia="宋体" w:cs="Times New Roman"/>
                <w:szCs w:val="24"/>
              </w:rPr>
            </w:pPr>
          </w:p>
        </w:tc>
        <w:tc>
          <w:tcPr>
            <w:tcW w:w="694" w:type="dxa"/>
            <w:vAlign w:val="center"/>
          </w:tcPr>
          <w:p w14:paraId="301716FF">
            <w:pPr>
              <w:jc w:val="center"/>
              <w:rPr>
                <w:rFonts w:ascii="宋体" w:hAnsi="宋体" w:eastAsia="宋体" w:cs="Times New Roman"/>
                <w:szCs w:val="24"/>
              </w:rPr>
            </w:pPr>
          </w:p>
        </w:tc>
        <w:tc>
          <w:tcPr>
            <w:tcW w:w="708" w:type="dxa"/>
            <w:vAlign w:val="center"/>
          </w:tcPr>
          <w:p w14:paraId="00D9F3E1">
            <w:pPr>
              <w:rPr>
                <w:rFonts w:ascii="宋体" w:hAnsi="宋体" w:eastAsia="宋体" w:cs="Courier New"/>
                <w:szCs w:val="21"/>
              </w:rPr>
            </w:pPr>
          </w:p>
        </w:tc>
        <w:tc>
          <w:tcPr>
            <w:tcW w:w="2977" w:type="dxa"/>
            <w:vAlign w:val="center"/>
          </w:tcPr>
          <w:p w14:paraId="446DBDE7">
            <w:pPr>
              <w:rPr>
                <w:rFonts w:ascii="宋体" w:hAnsi="宋体" w:eastAsia="宋体" w:cs="Courier New"/>
                <w:szCs w:val="21"/>
              </w:rPr>
            </w:pPr>
          </w:p>
        </w:tc>
        <w:tc>
          <w:tcPr>
            <w:tcW w:w="1120" w:type="dxa"/>
            <w:vAlign w:val="center"/>
          </w:tcPr>
          <w:p w14:paraId="411B257B">
            <w:pPr>
              <w:rPr>
                <w:rFonts w:ascii="宋体" w:hAnsi="宋体" w:eastAsia="宋体" w:cs="Courier New"/>
                <w:szCs w:val="21"/>
              </w:rPr>
            </w:pPr>
          </w:p>
        </w:tc>
        <w:tc>
          <w:tcPr>
            <w:tcW w:w="1134" w:type="dxa"/>
            <w:vAlign w:val="center"/>
          </w:tcPr>
          <w:p w14:paraId="4979A777">
            <w:pPr>
              <w:rPr>
                <w:rFonts w:ascii="宋体" w:hAnsi="宋体" w:eastAsia="宋体" w:cs="Courier New"/>
                <w:szCs w:val="21"/>
              </w:rPr>
            </w:pPr>
          </w:p>
        </w:tc>
        <w:tc>
          <w:tcPr>
            <w:tcW w:w="709" w:type="dxa"/>
            <w:vAlign w:val="center"/>
          </w:tcPr>
          <w:p w14:paraId="5B1A5A85">
            <w:pPr>
              <w:rPr>
                <w:rFonts w:ascii="宋体" w:hAnsi="宋体" w:eastAsia="宋体" w:cs="Courier New"/>
                <w:szCs w:val="21"/>
              </w:rPr>
            </w:pPr>
          </w:p>
        </w:tc>
        <w:tc>
          <w:tcPr>
            <w:tcW w:w="1290" w:type="dxa"/>
            <w:vAlign w:val="center"/>
          </w:tcPr>
          <w:p w14:paraId="1D0F7570">
            <w:pPr>
              <w:rPr>
                <w:rFonts w:ascii="宋体" w:hAnsi="宋体" w:eastAsia="宋体" w:cs="Courier New"/>
                <w:szCs w:val="21"/>
              </w:rPr>
            </w:pPr>
          </w:p>
        </w:tc>
        <w:tc>
          <w:tcPr>
            <w:tcW w:w="504" w:type="dxa"/>
            <w:vAlign w:val="center"/>
          </w:tcPr>
          <w:p w14:paraId="75190A59">
            <w:pPr>
              <w:rPr>
                <w:rFonts w:ascii="宋体" w:hAnsi="宋体" w:eastAsia="宋体" w:cs="Courier New"/>
                <w:szCs w:val="21"/>
              </w:rPr>
            </w:pPr>
          </w:p>
        </w:tc>
      </w:tr>
      <w:tr w14:paraId="0B8D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3E1A21C2">
            <w:pPr>
              <w:rPr>
                <w:rFonts w:ascii="宋体" w:hAnsi="宋体" w:eastAsia="宋体" w:cs="Courier New"/>
                <w:szCs w:val="21"/>
              </w:rPr>
            </w:pPr>
            <w:r>
              <w:rPr>
                <w:rFonts w:hint="eastAsia" w:ascii="宋体" w:hAnsi="宋体" w:eastAsia="宋体" w:cs="Courier New"/>
                <w:szCs w:val="21"/>
              </w:rPr>
              <w:t>总报价（人民币大写）：                                       （￥                       元）</w:t>
            </w:r>
          </w:p>
        </w:tc>
      </w:tr>
      <w:tr w14:paraId="28D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5CF7C8B6">
            <w:pPr>
              <w:tabs>
                <w:tab w:val="left" w:pos="721"/>
              </w:tabs>
              <w:rPr>
                <w:rFonts w:ascii="宋体" w:hAnsi="宋体" w:eastAsia="宋体" w:cs="Courier New"/>
                <w:szCs w:val="21"/>
              </w:rPr>
            </w:pPr>
            <w:r>
              <w:rPr>
                <w:rFonts w:hint="eastAsia" w:ascii="宋体" w:hAnsi="宋体" w:eastAsia="宋体" w:cs="Courier New"/>
                <w:szCs w:val="21"/>
              </w:rPr>
              <w:t>交付使用时间：</w:t>
            </w:r>
          </w:p>
        </w:tc>
      </w:tr>
      <w:tr w14:paraId="25B0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134DAB46">
            <w:pPr>
              <w:tabs>
                <w:tab w:val="left" w:pos="721"/>
              </w:tabs>
              <w:rPr>
                <w:rFonts w:ascii="宋体" w:hAnsi="宋体" w:eastAsia="宋体" w:cs="Courier New"/>
                <w:szCs w:val="21"/>
              </w:rPr>
            </w:pPr>
            <w:r>
              <w:rPr>
                <w:rFonts w:hint="eastAsia" w:ascii="宋体" w:hAnsi="宋体" w:eastAsia="宋体" w:cs="Courier New"/>
                <w:szCs w:val="21"/>
              </w:rPr>
              <w:t>交付使用地点:</w:t>
            </w:r>
          </w:p>
        </w:tc>
      </w:tr>
    </w:tbl>
    <w:p w14:paraId="77FEE890">
      <w:pPr>
        <w:ind w:firstLine="2415" w:firstLineChars="1150"/>
        <w:rPr>
          <w:rFonts w:ascii="Times New Roman" w:hAnsi="Times New Roman" w:eastAsia="宋体" w:cs="Times New Roman"/>
          <w:szCs w:val="21"/>
        </w:rPr>
      </w:pPr>
    </w:p>
    <w:p w14:paraId="1A4E6937">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注：</w:t>
      </w:r>
    </w:p>
    <w:p w14:paraId="4D271781">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宋体" w:hAnsi="宋体" w:eastAsia="宋体" w:cs="Times New Roman"/>
          <w:szCs w:val="21"/>
        </w:rPr>
        <w:t>供应商的首次报价与最后报价均不能超过采购预算，否则报价无效。</w:t>
      </w:r>
    </w:p>
    <w:p w14:paraId="6FBD965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2.所有价格均用人民币表示，单位为元，精确到个数位。</w:t>
      </w:r>
    </w:p>
    <w:p w14:paraId="573E5A35">
      <w:pPr>
        <w:spacing w:line="360" w:lineRule="auto"/>
        <w:rPr>
          <w:rFonts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竞价报价指货物、服务、随配附件、备品备件、工具、货物运抵指定交货地点、安装调试的各种费用和售后服务、税金及其它所有成本、费用的总和。</w:t>
      </w:r>
    </w:p>
    <w:p w14:paraId="0E1776C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自然人参加谈判的无需盖章，需要签字。</w:t>
      </w:r>
    </w:p>
    <w:p w14:paraId="5B6DBDE7">
      <w:pPr>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5.</w:t>
      </w:r>
      <w:r>
        <w:rPr>
          <w:rFonts w:ascii="Times New Roman" w:hAnsi="Times New Roman" w:eastAsia="宋体" w:cs="Times New Roman"/>
          <w:szCs w:val="21"/>
        </w:rPr>
        <w:t>本表可扩展，并逐页</w:t>
      </w:r>
      <w:r>
        <w:rPr>
          <w:rFonts w:hint="eastAsia" w:ascii="Times New Roman" w:hAnsi="Times New Roman" w:eastAsia="宋体" w:cs="Times New Roman"/>
          <w:szCs w:val="21"/>
          <w:lang w:eastAsia="zh-CN"/>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w:t>
      </w:r>
      <w:r>
        <w:rPr>
          <w:rFonts w:hint="eastAsia" w:ascii="Times New Roman" w:hAnsi="Times New Roman" w:eastAsia="宋体" w:cs="Times New Roman"/>
          <w:szCs w:val="21"/>
          <w:lang w:eastAsia="zh-CN"/>
        </w:rPr>
        <w:t>。</w:t>
      </w:r>
    </w:p>
    <w:p w14:paraId="1C1B1C0A">
      <w:pPr>
        <w:spacing w:line="360" w:lineRule="auto"/>
        <w:rPr>
          <w:rFonts w:ascii="Times New Roman" w:hAnsi="Times New Roman" w:eastAsia="宋体" w:cs="Times New Roman"/>
          <w:szCs w:val="21"/>
        </w:rPr>
      </w:pPr>
    </w:p>
    <w:p w14:paraId="570F6C4B">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法定代表人或授权代表（签名或盖章）：</w:t>
      </w:r>
      <w:r>
        <w:rPr>
          <w:rFonts w:ascii="Times New Roman" w:hAnsi="Times New Roman" w:eastAsia="宋体" w:cs="Times New Roman"/>
          <w:szCs w:val="21"/>
          <w:u w:val="single"/>
        </w:rPr>
        <w:t xml:space="preserve">                     </w:t>
      </w:r>
    </w:p>
    <w:p w14:paraId="05BA7016">
      <w:pPr>
        <w:spacing w:line="360" w:lineRule="auto"/>
        <w:rPr>
          <w:rFonts w:ascii="Times New Roman" w:hAnsi="Times New Roman" w:eastAsia="宋体" w:cs="Times New Roman"/>
          <w:szCs w:val="21"/>
        </w:rPr>
      </w:pPr>
      <w:r>
        <w:rPr>
          <w:rFonts w:ascii="Times New Roman" w:hAnsi="Times New Roman" w:eastAsia="宋体" w:cs="Times New Roman"/>
          <w:szCs w:val="21"/>
        </w:rPr>
        <w:t>供应商名称（</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5C6AB29D">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日  期：</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日 </w:t>
      </w:r>
    </w:p>
    <w:p w14:paraId="04531AD6">
      <w:pPr>
        <w:rPr>
          <w:rFonts w:ascii="Times New Roman" w:hAnsi="Times New Roman" w:eastAsia="宋体" w:cs="Times New Roman"/>
          <w:szCs w:val="24"/>
        </w:rPr>
      </w:pPr>
      <w:r>
        <w:rPr>
          <w:rFonts w:ascii="Times New Roman" w:hAnsi="Times New Roman" w:eastAsia="宋体" w:cs="Times New Roman"/>
          <w:szCs w:val="24"/>
        </w:rPr>
        <w:br w:type="page"/>
      </w:r>
    </w:p>
    <w:p w14:paraId="03394981">
      <w:pPr>
        <w:jc w:val="left"/>
        <w:rPr>
          <w:rFonts w:ascii="Times New Roman" w:hAnsi="Times New Roman" w:eastAsia="宋体" w:cs="Times New Roman"/>
          <w:b/>
          <w:szCs w:val="21"/>
        </w:rPr>
      </w:pPr>
      <w:r>
        <w:rPr>
          <w:rFonts w:hint="eastAsia" w:ascii="Times New Roman" w:hAnsi="Times New Roman" w:eastAsia="宋体" w:cs="Times New Roman"/>
          <w:b/>
          <w:szCs w:val="21"/>
        </w:rPr>
        <w:t>附件2：</w:t>
      </w:r>
    </w:p>
    <w:p w14:paraId="47C59176">
      <w:pPr>
        <w:spacing w:line="300" w:lineRule="auto"/>
        <w:jc w:val="center"/>
        <w:rPr>
          <w:rFonts w:ascii="宋体" w:hAnsi="宋体" w:eastAsia="宋体" w:cs="Times New Roman"/>
          <w:b/>
          <w:szCs w:val="21"/>
        </w:rPr>
      </w:pPr>
      <w:r>
        <w:rPr>
          <w:rFonts w:hint="eastAsia" w:ascii="宋体" w:hAnsi="宋体" w:eastAsia="宋体" w:cs="Times New Roman"/>
          <w:b/>
          <w:color w:val="0000FF"/>
          <w:szCs w:val="21"/>
        </w:rPr>
        <w:t>商务、技术响应、偏离情况说明表（必须提供）</w:t>
      </w:r>
    </w:p>
    <w:p w14:paraId="016A2D2C">
      <w:pPr>
        <w:spacing w:line="300" w:lineRule="auto"/>
        <w:rPr>
          <w:rFonts w:ascii="宋体" w:hAnsi="宋体" w:eastAsia="宋体" w:cs="Times New Roman"/>
          <w:szCs w:val="21"/>
        </w:rPr>
      </w:pPr>
    </w:p>
    <w:p w14:paraId="6153982C">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5F01A9C0">
      <w:pPr>
        <w:spacing w:line="300" w:lineRule="auto"/>
        <w:rPr>
          <w:rFonts w:ascii="宋体" w:hAnsi="宋体" w:eastAsia="宋体" w:cs="Times New Roman"/>
          <w:szCs w:val="21"/>
          <w:u w:val="single"/>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p>
    <w:p w14:paraId="5DDA00EB">
      <w:pPr>
        <w:spacing w:line="300" w:lineRule="auto"/>
        <w:rPr>
          <w:rFonts w:ascii="宋体" w:hAnsi="宋体" w:eastAsia="宋体" w:cs="Times New Roman"/>
          <w:color w:val="000000"/>
          <w:szCs w:val="21"/>
        </w:rPr>
      </w:pPr>
    </w:p>
    <w:tbl>
      <w:tblPr>
        <w:tblStyle w:val="13"/>
        <w:tblW w:w="94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316"/>
        <w:gridCol w:w="2268"/>
        <w:gridCol w:w="3087"/>
        <w:gridCol w:w="1198"/>
        <w:gridCol w:w="939"/>
      </w:tblGrid>
      <w:tr w14:paraId="70BD0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0F620CDE">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316" w:type="dxa"/>
            <w:vAlign w:val="center"/>
          </w:tcPr>
          <w:p w14:paraId="3F945DC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 xml:space="preserve">名称                    </w:t>
            </w:r>
          </w:p>
        </w:tc>
        <w:tc>
          <w:tcPr>
            <w:tcW w:w="2268" w:type="dxa"/>
            <w:vAlign w:val="center"/>
          </w:tcPr>
          <w:p w14:paraId="39DEF09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采购文件要求</w:t>
            </w:r>
          </w:p>
        </w:tc>
        <w:tc>
          <w:tcPr>
            <w:tcW w:w="3087" w:type="dxa"/>
            <w:vAlign w:val="center"/>
          </w:tcPr>
          <w:p w14:paraId="38C195E5">
            <w:pPr>
              <w:adjustRightInd w:val="0"/>
              <w:snapToGrid w:val="0"/>
              <w:spacing w:line="300" w:lineRule="auto"/>
              <w:ind w:left="-107" w:leftChars="-51" w:firstLine="107" w:firstLineChars="51"/>
              <w:jc w:val="center"/>
              <w:outlineLvl w:val="0"/>
              <w:rPr>
                <w:rFonts w:ascii="宋体" w:hAnsi="宋体" w:eastAsia="宋体" w:cs="Times New Roman"/>
                <w:color w:val="000000"/>
                <w:szCs w:val="21"/>
              </w:rPr>
            </w:pPr>
            <w:r>
              <w:rPr>
                <w:rFonts w:hint="eastAsia" w:ascii="宋体" w:hAnsi="宋体" w:eastAsia="宋体" w:cs="Times New Roman"/>
                <w:color w:val="000000"/>
                <w:szCs w:val="21"/>
              </w:rPr>
              <w:t>报价响应文件具体响应</w:t>
            </w:r>
          </w:p>
        </w:tc>
        <w:tc>
          <w:tcPr>
            <w:tcW w:w="1198" w:type="dxa"/>
            <w:vAlign w:val="center"/>
          </w:tcPr>
          <w:p w14:paraId="75A04A61">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响应/偏离</w:t>
            </w:r>
          </w:p>
        </w:tc>
        <w:tc>
          <w:tcPr>
            <w:tcW w:w="939" w:type="dxa"/>
            <w:vAlign w:val="center"/>
          </w:tcPr>
          <w:p w14:paraId="2152636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说明</w:t>
            </w:r>
          </w:p>
        </w:tc>
      </w:tr>
      <w:tr w14:paraId="77443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FBE134C">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vAlign w:val="center"/>
          </w:tcPr>
          <w:p w14:paraId="59F71742">
            <w:pPr>
              <w:adjustRightInd w:val="0"/>
              <w:snapToGrid w:val="0"/>
              <w:spacing w:line="300" w:lineRule="auto"/>
              <w:jc w:val="center"/>
              <w:outlineLvl w:val="0"/>
              <w:rPr>
                <w:rFonts w:ascii="宋体" w:hAnsi="宋体" w:eastAsia="宋体" w:cs="Times New Roman"/>
                <w:b/>
                <w:color w:val="00B050"/>
                <w:szCs w:val="21"/>
              </w:rPr>
            </w:pPr>
            <w:r>
              <w:rPr>
                <w:rFonts w:hint="eastAsia" w:ascii="宋体" w:hAnsi="宋体" w:eastAsia="宋体" w:cs="Times New Roman"/>
                <w:b/>
                <w:color w:val="00B050"/>
                <w:szCs w:val="21"/>
              </w:rPr>
              <w:t>商务部分</w:t>
            </w:r>
          </w:p>
        </w:tc>
      </w:tr>
      <w:tr w14:paraId="2ABCF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14:paraId="0F2D456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vAlign w:val="center"/>
          </w:tcPr>
          <w:p w14:paraId="56CCA63C">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412248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470F91D4">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3B5A3C7F">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0FCF9CBF">
            <w:pPr>
              <w:adjustRightInd w:val="0"/>
              <w:snapToGrid w:val="0"/>
              <w:spacing w:line="300" w:lineRule="auto"/>
              <w:jc w:val="center"/>
              <w:outlineLvl w:val="0"/>
              <w:rPr>
                <w:rFonts w:ascii="宋体" w:hAnsi="宋体" w:eastAsia="宋体" w:cs="Times New Roman"/>
                <w:color w:val="000000"/>
                <w:szCs w:val="21"/>
              </w:rPr>
            </w:pPr>
          </w:p>
        </w:tc>
      </w:tr>
      <w:tr w14:paraId="78E5A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2F98955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vAlign w:val="center"/>
          </w:tcPr>
          <w:p w14:paraId="0BA4E2DA">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4F9F6EEE">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326F80F8">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7AB38222">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53943C99">
            <w:pPr>
              <w:adjustRightInd w:val="0"/>
              <w:snapToGrid w:val="0"/>
              <w:spacing w:line="300" w:lineRule="auto"/>
              <w:jc w:val="center"/>
              <w:outlineLvl w:val="0"/>
              <w:rPr>
                <w:rFonts w:ascii="宋体" w:hAnsi="宋体" w:eastAsia="宋体" w:cs="Times New Roman"/>
                <w:color w:val="000000"/>
                <w:szCs w:val="21"/>
              </w:rPr>
            </w:pPr>
          </w:p>
        </w:tc>
      </w:tr>
      <w:tr w14:paraId="4DF15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1D9CC225">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21D0D0E5">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62EAB7A8">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61949965">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1CCDB114">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1A0F09A2">
            <w:pPr>
              <w:adjustRightInd w:val="0"/>
              <w:snapToGrid w:val="0"/>
              <w:spacing w:line="300" w:lineRule="auto"/>
              <w:jc w:val="center"/>
              <w:outlineLvl w:val="0"/>
              <w:rPr>
                <w:rFonts w:ascii="宋体" w:hAnsi="宋体" w:eastAsia="宋体" w:cs="Times New Roman"/>
                <w:color w:val="000000"/>
                <w:szCs w:val="21"/>
              </w:rPr>
            </w:pPr>
          </w:p>
        </w:tc>
      </w:tr>
      <w:tr w14:paraId="01279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3F7B389F">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tcPr>
          <w:p w14:paraId="75380513">
            <w:pPr>
              <w:adjustRightInd w:val="0"/>
              <w:snapToGrid w:val="0"/>
              <w:spacing w:line="300" w:lineRule="auto"/>
              <w:jc w:val="center"/>
              <w:outlineLvl w:val="0"/>
              <w:rPr>
                <w:rFonts w:ascii="宋体" w:hAnsi="宋体" w:eastAsia="宋体" w:cs="Times New Roman"/>
                <w:b/>
                <w:color w:val="000000"/>
                <w:szCs w:val="21"/>
              </w:rPr>
            </w:pPr>
            <w:r>
              <w:rPr>
                <w:rFonts w:hint="eastAsia" w:ascii="宋体" w:hAnsi="宋体" w:eastAsia="宋体" w:cs="Times New Roman"/>
                <w:b/>
                <w:color w:val="000000"/>
                <w:szCs w:val="21"/>
              </w:rPr>
              <w:t>技术部分</w:t>
            </w:r>
          </w:p>
        </w:tc>
      </w:tr>
      <w:tr w14:paraId="4A356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66ECBFA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tcPr>
          <w:p w14:paraId="23805610">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0D726933">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93A84A5">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54FF93D8">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6BD7A081">
            <w:pPr>
              <w:adjustRightInd w:val="0"/>
              <w:snapToGrid w:val="0"/>
              <w:spacing w:line="300" w:lineRule="auto"/>
              <w:jc w:val="center"/>
              <w:outlineLvl w:val="0"/>
              <w:rPr>
                <w:rFonts w:ascii="宋体" w:hAnsi="宋体" w:eastAsia="宋体" w:cs="Times New Roman"/>
                <w:color w:val="000000"/>
                <w:szCs w:val="21"/>
              </w:rPr>
            </w:pPr>
          </w:p>
        </w:tc>
      </w:tr>
      <w:tr w14:paraId="2BC408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7E15934C">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tcPr>
          <w:p w14:paraId="1CC0D322">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2C707108">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0AD03CA">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38774BF4">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53A994F3">
            <w:pPr>
              <w:adjustRightInd w:val="0"/>
              <w:snapToGrid w:val="0"/>
              <w:spacing w:line="300" w:lineRule="auto"/>
              <w:jc w:val="center"/>
              <w:outlineLvl w:val="0"/>
              <w:rPr>
                <w:rFonts w:ascii="宋体" w:hAnsi="宋体" w:eastAsia="宋体" w:cs="Times New Roman"/>
                <w:color w:val="000000"/>
                <w:szCs w:val="21"/>
              </w:rPr>
            </w:pPr>
          </w:p>
        </w:tc>
      </w:tr>
      <w:tr w14:paraId="735F7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35" w:type="dxa"/>
            <w:vAlign w:val="center"/>
          </w:tcPr>
          <w:p w14:paraId="1A921769">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7198CB71">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DC1A60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590A9396">
            <w:pPr>
              <w:adjustRightInd w:val="0"/>
              <w:snapToGrid w:val="0"/>
              <w:spacing w:line="300" w:lineRule="auto"/>
              <w:jc w:val="center"/>
              <w:outlineLvl w:val="0"/>
              <w:rPr>
                <w:rFonts w:ascii="宋体" w:hAnsi="宋体" w:eastAsia="宋体" w:cs="Times New Roman"/>
                <w:color w:val="000000"/>
                <w:szCs w:val="21"/>
              </w:rPr>
            </w:pPr>
          </w:p>
        </w:tc>
        <w:tc>
          <w:tcPr>
            <w:tcW w:w="1198" w:type="dxa"/>
            <w:tcBorders>
              <w:right w:val="single" w:color="auto" w:sz="4" w:space="0"/>
            </w:tcBorders>
            <w:vAlign w:val="center"/>
          </w:tcPr>
          <w:p w14:paraId="05CCBAD0">
            <w:pPr>
              <w:adjustRightInd w:val="0"/>
              <w:snapToGrid w:val="0"/>
              <w:spacing w:line="300" w:lineRule="auto"/>
              <w:jc w:val="center"/>
              <w:outlineLvl w:val="0"/>
              <w:rPr>
                <w:rFonts w:ascii="宋体" w:hAnsi="宋体" w:eastAsia="宋体" w:cs="Times New Roman"/>
                <w:color w:val="000000"/>
                <w:szCs w:val="21"/>
              </w:rPr>
            </w:pPr>
          </w:p>
        </w:tc>
        <w:tc>
          <w:tcPr>
            <w:tcW w:w="939" w:type="dxa"/>
            <w:tcBorders>
              <w:left w:val="single" w:color="auto" w:sz="4" w:space="0"/>
            </w:tcBorders>
            <w:vAlign w:val="center"/>
          </w:tcPr>
          <w:p w14:paraId="1A275E75">
            <w:pPr>
              <w:adjustRightInd w:val="0"/>
              <w:snapToGrid w:val="0"/>
              <w:spacing w:line="300" w:lineRule="auto"/>
              <w:jc w:val="center"/>
              <w:outlineLvl w:val="0"/>
              <w:rPr>
                <w:rFonts w:ascii="宋体" w:hAnsi="宋体" w:eastAsia="宋体" w:cs="Times New Roman"/>
                <w:color w:val="000000"/>
                <w:szCs w:val="21"/>
              </w:rPr>
            </w:pPr>
          </w:p>
        </w:tc>
      </w:tr>
    </w:tbl>
    <w:p w14:paraId="31801AD8">
      <w:pPr>
        <w:spacing w:line="300" w:lineRule="auto"/>
        <w:rPr>
          <w:rFonts w:ascii="宋体" w:hAnsi="宋体" w:eastAsia="宋体" w:cs="Times New Roman"/>
          <w:color w:val="000000"/>
          <w:szCs w:val="21"/>
        </w:rPr>
      </w:pPr>
    </w:p>
    <w:p w14:paraId="1A928E96">
      <w:pPr>
        <w:adjustRightInd w:val="0"/>
        <w:snapToGrid w:val="0"/>
        <w:spacing w:line="300" w:lineRule="auto"/>
        <w:rPr>
          <w:rFonts w:ascii="宋体" w:hAnsi="宋体" w:eastAsia="宋体" w:cs="Times New Roman"/>
          <w:szCs w:val="21"/>
        </w:rPr>
      </w:pPr>
    </w:p>
    <w:p w14:paraId="0374DA3A">
      <w:pPr>
        <w:adjustRightInd w:val="0"/>
        <w:snapToGrid w:val="0"/>
        <w:spacing w:line="360" w:lineRule="exact"/>
        <w:rPr>
          <w:rFonts w:ascii="Times New Roman" w:hAnsi="宋体" w:eastAsia="宋体" w:cs="Times New Roman"/>
          <w:color w:val="FF00FF"/>
          <w:szCs w:val="21"/>
        </w:rPr>
      </w:pPr>
      <w:r>
        <w:rPr>
          <w:rFonts w:hint="eastAsia" w:ascii="宋体" w:hAnsi="宋体" w:eastAsia="宋体" w:cs="Times New Roman"/>
          <w:szCs w:val="21"/>
        </w:rPr>
        <w:t>说明：</w:t>
      </w:r>
      <w:r>
        <w:rPr>
          <w:rFonts w:hint="eastAsia" w:ascii="Times New Roman" w:hAnsi="宋体" w:eastAsia="宋体" w:cs="Times New Roman"/>
          <w:color w:val="FF00FF"/>
          <w:szCs w:val="24"/>
        </w:rPr>
        <w:t>1.应写明报价响应文件对商务与技术要求的响应和偏离情况；</w:t>
      </w:r>
    </w:p>
    <w:p w14:paraId="34E48C5B">
      <w:pPr>
        <w:spacing w:line="500" w:lineRule="exact"/>
        <w:ind w:firstLine="630" w:firstLineChars="300"/>
        <w:rPr>
          <w:rFonts w:ascii="宋体" w:hAnsi="宋体" w:eastAsia="宋体" w:cs="Times New Roman"/>
          <w:b/>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应对照询价文件</w:t>
      </w:r>
      <w:r>
        <w:rPr>
          <w:rFonts w:hint="eastAsia" w:ascii="宋体" w:hAnsi="宋体" w:eastAsia="宋体" w:cs="Times New Roman"/>
          <w:b/>
          <w:szCs w:val="21"/>
          <w:u w:val="single"/>
        </w:rPr>
        <w:t xml:space="preserve">  “采购需求”，逐条说明 </w:t>
      </w:r>
      <w:r>
        <w:rPr>
          <w:rFonts w:hint="eastAsia" w:ascii="宋体" w:hAnsi="宋体" w:eastAsia="宋体" w:cs="Times New Roman"/>
          <w:szCs w:val="21"/>
        </w:rPr>
        <w:t>所提供货物和服务已对询价文件的技术规格做出了实质性的响应，并申明与技术规格条文的响应和偏离。特别对有具体参数要求的指标，报价供应商必须提供所供设备的具体参数值。</w:t>
      </w:r>
      <w:r>
        <w:rPr>
          <w:rFonts w:hint="eastAsia" w:ascii="宋体" w:hAnsi="宋体" w:eastAsia="宋体" w:cs="Times New Roman"/>
          <w:b/>
          <w:szCs w:val="21"/>
        </w:rPr>
        <w:t>如果仅注明“符合”、“满足”或简单复制询价需求文件要求，将导致报价被拒绝。</w:t>
      </w:r>
    </w:p>
    <w:p w14:paraId="3EE95C1F">
      <w:pPr>
        <w:spacing w:line="500" w:lineRule="exact"/>
        <w:ind w:firstLine="630" w:firstLineChars="300"/>
        <w:rPr>
          <w:rFonts w:ascii="宋体" w:hAnsi="宋体" w:eastAsia="宋体" w:cs="Times New Roman"/>
          <w:szCs w:val="21"/>
        </w:rPr>
      </w:pPr>
      <w:r>
        <w:rPr>
          <w:rFonts w:hint="eastAsia" w:ascii="宋体" w:hAnsi="宋体" w:eastAsia="宋体" w:cs="Times New Roman"/>
          <w:szCs w:val="21"/>
        </w:rPr>
        <w:t>3.自然人参加报价的无需盖章，需要签字。</w:t>
      </w:r>
    </w:p>
    <w:p w14:paraId="197FDBAB">
      <w:pPr>
        <w:spacing w:line="300" w:lineRule="auto"/>
        <w:rPr>
          <w:rFonts w:ascii="宋体" w:hAnsi="宋体" w:eastAsia="宋体" w:cs="Courier New"/>
          <w:szCs w:val="21"/>
        </w:rPr>
      </w:pPr>
    </w:p>
    <w:p w14:paraId="591AF0C2">
      <w:pPr>
        <w:spacing w:line="300" w:lineRule="auto"/>
        <w:rPr>
          <w:rFonts w:ascii="宋体" w:hAnsi="宋体" w:eastAsia="宋体" w:cs="Courier New"/>
          <w:szCs w:val="21"/>
        </w:rPr>
      </w:pPr>
    </w:p>
    <w:p w14:paraId="799320CF">
      <w:pPr>
        <w:spacing w:line="360" w:lineRule="auto"/>
        <w:ind w:firstLine="1470" w:firstLineChars="700"/>
        <w:rPr>
          <w:rFonts w:ascii="宋体" w:hAnsi="宋体" w:eastAsia="宋体" w:cs="Courier New"/>
          <w:szCs w:val="21"/>
        </w:rPr>
      </w:pPr>
      <w:r>
        <w:rPr>
          <w:rFonts w:hint="eastAsia" w:ascii="宋体" w:hAnsi="宋体" w:eastAsia="宋体" w:cs="Courier New"/>
          <w:szCs w:val="21"/>
        </w:rPr>
        <w:t>法定代表人或法定代表人授权代表签字:</w:t>
      </w:r>
      <w:r>
        <w:rPr>
          <w:rFonts w:hint="eastAsia" w:ascii="宋体" w:hAnsi="宋体" w:eastAsia="宋体" w:cs="Courier New"/>
          <w:szCs w:val="21"/>
          <w:u w:val="single"/>
        </w:rPr>
        <w:t xml:space="preserve">                </w:t>
      </w:r>
      <w:r>
        <w:rPr>
          <w:rFonts w:hint="eastAsia" w:ascii="宋体" w:hAnsi="宋体" w:eastAsia="宋体" w:cs="Courier New"/>
          <w:szCs w:val="21"/>
        </w:rPr>
        <w:t xml:space="preserve">  </w:t>
      </w:r>
    </w:p>
    <w:p w14:paraId="2ED037E8">
      <w:pPr>
        <w:spacing w:line="360" w:lineRule="auto"/>
        <w:ind w:firstLine="1470" w:firstLineChars="700"/>
        <w:rPr>
          <w:rFonts w:ascii="Times New Roman" w:hAnsi="Times New Roman" w:eastAsia="宋体" w:cs="Times New Roman"/>
          <w:szCs w:val="21"/>
        </w:rPr>
      </w:pPr>
      <w:r>
        <w:rPr>
          <w:rFonts w:ascii="Times New Roman" w:hAnsi="Times New Roman" w:eastAsia="宋体" w:cs="Times New Roman"/>
          <w:szCs w:val="21"/>
        </w:rPr>
        <w:t>供应商</w:t>
      </w:r>
      <w:r>
        <w:rPr>
          <w:rFonts w:ascii="宋体" w:hAnsi="宋体" w:eastAsia="宋体" w:cs="Courier New"/>
          <w:szCs w:val="21"/>
        </w:rPr>
        <w:t>名称</w:t>
      </w:r>
      <w:r>
        <w:rPr>
          <w:rFonts w:ascii="Times New Roman" w:hAnsi="Times New Roman" w:eastAsia="宋体" w:cs="Times New Roman"/>
          <w:szCs w:val="21"/>
        </w:rPr>
        <w:t>（</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0889F031">
      <w:pPr>
        <w:pStyle w:val="9"/>
      </w:pPr>
    </w:p>
    <w:p w14:paraId="1C5E9957">
      <w:pPr>
        <w:spacing w:line="300" w:lineRule="auto"/>
        <w:ind w:firstLine="4935" w:firstLineChars="2350"/>
        <w:rPr>
          <w:rFonts w:ascii="宋体" w:hAnsi="宋体" w:eastAsia="宋体" w:cs="Courier New"/>
          <w:szCs w:val="21"/>
        </w:rPr>
      </w:pP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742D670F">
      <w:pPr>
        <w:rPr>
          <w:rFonts w:ascii="Times New Roman" w:hAnsi="Times New Roman" w:eastAsia="宋体" w:cs="Times New Roman"/>
          <w:szCs w:val="24"/>
        </w:rPr>
      </w:pPr>
    </w:p>
    <w:p w14:paraId="0CD79D1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030842"/>
    </w:sdtPr>
    <w:sdtContent>
      <w:sdt>
        <w:sdtPr>
          <w:id w:val="-1669238322"/>
        </w:sdtPr>
        <w:sdtContent>
          <w:p w14:paraId="58ADDFC4">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216E3B98">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C"/>
    <w:rsid w:val="0001393D"/>
    <w:rsid w:val="000168B8"/>
    <w:rsid w:val="00016907"/>
    <w:rsid w:val="00016B1D"/>
    <w:rsid w:val="00026150"/>
    <w:rsid w:val="000315B2"/>
    <w:rsid w:val="00032397"/>
    <w:rsid w:val="0003720F"/>
    <w:rsid w:val="00056D99"/>
    <w:rsid w:val="00061DBF"/>
    <w:rsid w:val="0006276A"/>
    <w:rsid w:val="000718B1"/>
    <w:rsid w:val="00075CB0"/>
    <w:rsid w:val="0007670C"/>
    <w:rsid w:val="0008186C"/>
    <w:rsid w:val="00085153"/>
    <w:rsid w:val="00085B72"/>
    <w:rsid w:val="00086E66"/>
    <w:rsid w:val="00097111"/>
    <w:rsid w:val="000A1494"/>
    <w:rsid w:val="000A5538"/>
    <w:rsid w:val="000A5CD1"/>
    <w:rsid w:val="000B092C"/>
    <w:rsid w:val="000B4417"/>
    <w:rsid w:val="000B7AFE"/>
    <w:rsid w:val="000D147F"/>
    <w:rsid w:val="000D412A"/>
    <w:rsid w:val="000E7A7D"/>
    <w:rsid w:val="00101B07"/>
    <w:rsid w:val="00106387"/>
    <w:rsid w:val="00107E3F"/>
    <w:rsid w:val="001103F4"/>
    <w:rsid w:val="00112FB7"/>
    <w:rsid w:val="0011700C"/>
    <w:rsid w:val="00123514"/>
    <w:rsid w:val="00123A28"/>
    <w:rsid w:val="00124753"/>
    <w:rsid w:val="00126117"/>
    <w:rsid w:val="00127DA5"/>
    <w:rsid w:val="00146EAD"/>
    <w:rsid w:val="00146EF6"/>
    <w:rsid w:val="00150579"/>
    <w:rsid w:val="00150D5D"/>
    <w:rsid w:val="00163327"/>
    <w:rsid w:val="00165273"/>
    <w:rsid w:val="0016613E"/>
    <w:rsid w:val="0017448A"/>
    <w:rsid w:val="00180C11"/>
    <w:rsid w:val="0018512F"/>
    <w:rsid w:val="0019273B"/>
    <w:rsid w:val="00194443"/>
    <w:rsid w:val="00197EB0"/>
    <w:rsid w:val="001A075A"/>
    <w:rsid w:val="001A0F2D"/>
    <w:rsid w:val="001A3486"/>
    <w:rsid w:val="001A47CB"/>
    <w:rsid w:val="001B08C0"/>
    <w:rsid w:val="001C0428"/>
    <w:rsid w:val="001C2F6E"/>
    <w:rsid w:val="001C72C6"/>
    <w:rsid w:val="001D2165"/>
    <w:rsid w:val="001E2B65"/>
    <w:rsid w:val="001E4BC5"/>
    <w:rsid w:val="001E6B4E"/>
    <w:rsid w:val="001F598C"/>
    <w:rsid w:val="002006E1"/>
    <w:rsid w:val="00200F88"/>
    <w:rsid w:val="0020362F"/>
    <w:rsid w:val="00204F93"/>
    <w:rsid w:val="00211140"/>
    <w:rsid w:val="00212A17"/>
    <w:rsid w:val="0021695B"/>
    <w:rsid w:val="00216A65"/>
    <w:rsid w:val="00216F83"/>
    <w:rsid w:val="00222C08"/>
    <w:rsid w:val="00230735"/>
    <w:rsid w:val="00231643"/>
    <w:rsid w:val="00246701"/>
    <w:rsid w:val="00251009"/>
    <w:rsid w:val="00251591"/>
    <w:rsid w:val="002547BA"/>
    <w:rsid w:val="0025584A"/>
    <w:rsid w:val="0025785F"/>
    <w:rsid w:val="00275FB6"/>
    <w:rsid w:val="00277C2B"/>
    <w:rsid w:val="00284CF9"/>
    <w:rsid w:val="002A552D"/>
    <w:rsid w:val="002B4886"/>
    <w:rsid w:val="002C7374"/>
    <w:rsid w:val="002D4EB9"/>
    <w:rsid w:val="002D5C2A"/>
    <w:rsid w:val="002F1849"/>
    <w:rsid w:val="002F2410"/>
    <w:rsid w:val="002F5AC6"/>
    <w:rsid w:val="00316C4B"/>
    <w:rsid w:val="003272BA"/>
    <w:rsid w:val="00332B68"/>
    <w:rsid w:val="0033315D"/>
    <w:rsid w:val="003359C9"/>
    <w:rsid w:val="003369CE"/>
    <w:rsid w:val="003372B2"/>
    <w:rsid w:val="00341D0C"/>
    <w:rsid w:val="00342BA8"/>
    <w:rsid w:val="003464CA"/>
    <w:rsid w:val="00347315"/>
    <w:rsid w:val="003516DA"/>
    <w:rsid w:val="00381FAE"/>
    <w:rsid w:val="00385AA5"/>
    <w:rsid w:val="003866F4"/>
    <w:rsid w:val="003929A6"/>
    <w:rsid w:val="00393A03"/>
    <w:rsid w:val="003A37C2"/>
    <w:rsid w:val="003B24DA"/>
    <w:rsid w:val="003C08C7"/>
    <w:rsid w:val="003C6939"/>
    <w:rsid w:val="003E4672"/>
    <w:rsid w:val="003E61BA"/>
    <w:rsid w:val="003F11EB"/>
    <w:rsid w:val="003F5682"/>
    <w:rsid w:val="0040048B"/>
    <w:rsid w:val="004004C6"/>
    <w:rsid w:val="00403DAF"/>
    <w:rsid w:val="004062BB"/>
    <w:rsid w:val="00412B2F"/>
    <w:rsid w:val="00415EDC"/>
    <w:rsid w:val="004178AC"/>
    <w:rsid w:val="00422122"/>
    <w:rsid w:val="00423EA5"/>
    <w:rsid w:val="0043482F"/>
    <w:rsid w:val="00434C3B"/>
    <w:rsid w:val="0044299C"/>
    <w:rsid w:val="00444DDC"/>
    <w:rsid w:val="00445DEA"/>
    <w:rsid w:val="00457304"/>
    <w:rsid w:val="004604FF"/>
    <w:rsid w:val="00466B80"/>
    <w:rsid w:val="00471483"/>
    <w:rsid w:val="004731C6"/>
    <w:rsid w:val="00475E26"/>
    <w:rsid w:val="00480008"/>
    <w:rsid w:val="00484204"/>
    <w:rsid w:val="0049408E"/>
    <w:rsid w:val="004A2A96"/>
    <w:rsid w:val="004B42F0"/>
    <w:rsid w:val="004B6F5C"/>
    <w:rsid w:val="004B78C4"/>
    <w:rsid w:val="004C0424"/>
    <w:rsid w:val="004C1903"/>
    <w:rsid w:val="004C649F"/>
    <w:rsid w:val="004D1988"/>
    <w:rsid w:val="004D3683"/>
    <w:rsid w:val="004D7B8B"/>
    <w:rsid w:val="004E323E"/>
    <w:rsid w:val="004E35E7"/>
    <w:rsid w:val="004E7F04"/>
    <w:rsid w:val="004F258A"/>
    <w:rsid w:val="004F5780"/>
    <w:rsid w:val="004F5E9D"/>
    <w:rsid w:val="004F62AE"/>
    <w:rsid w:val="005049DE"/>
    <w:rsid w:val="00504A65"/>
    <w:rsid w:val="00507A4D"/>
    <w:rsid w:val="00511169"/>
    <w:rsid w:val="005136BE"/>
    <w:rsid w:val="00526C09"/>
    <w:rsid w:val="00527FAF"/>
    <w:rsid w:val="005365C0"/>
    <w:rsid w:val="00536B3A"/>
    <w:rsid w:val="00537EEF"/>
    <w:rsid w:val="005419CE"/>
    <w:rsid w:val="00541BAA"/>
    <w:rsid w:val="00543F0C"/>
    <w:rsid w:val="00551724"/>
    <w:rsid w:val="005569D5"/>
    <w:rsid w:val="00557CEA"/>
    <w:rsid w:val="0056115B"/>
    <w:rsid w:val="00562B42"/>
    <w:rsid w:val="005666C6"/>
    <w:rsid w:val="00575078"/>
    <w:rsid w:val="00580D05"/>
    <w:rsid w:val="00583A19"/>
    <w:rsid w:val="00587509"/>
    <w:rsid w:val="00595967"/>
    <w:rsid w:val="005A1CA6"/>
    <w:rsid w:val="005B2946"/>
    <w:rsid w:val="005B6F7D"/>
    <w:rsid w:val="005B7B78"/>
    <w:rsid w:val="005C5515"/>
    <w:rsid w:val="005D37AB"/>
    <w:rsid w:val="005D4A80"/>
    <w:rsid w:val="005E1CE9"/>
    <w:rsid w:val="005E1D6F"/>
    <w:rsid w:val="005E2742"/>
    <w:rsid w:val="005E606E"/>
    <w:rsid w:val="005E6D8B"/>
    <w:rsid w:val="005F22E7"/>
    <w:rsid w:val="005F2984"/>
    <w:rsid w:val="005F4015"/>
    <w:rsid w:val="005F41B3"/>
    <w:rsid w:val="005F44C2"/>
    <w:rsid w:val="005F7548"/>
    <w:rsid w:val="00610076"/>
    <w:rsid w:val="0061208F"/>
    <w:rsid w:val="0061486C"/>
    <w:rsid w:val="00622495"/>
    <w:rsid w:val="00627373"/>
    <w:rsid w:val="00631775"/>
    <w:rsid w:val="00632F81"/>
    <w:rsid w:val="006371D9"/>
    <w:rsid w:val="00637FA3"/>
    <w:rsid w:val="006411FC"/>
    <w:rsid w:val="00652E4A"/>
    <w:rsid w:val="006604B5"/>
    <w:rsid w:val="00660EC0"/>
    <w:rsid w:val="00664A53"/>
    <w:rsid w:val="0067284A"/>
    <w:rsid w:val="00673065"/>
    <w:rsid w:val="00686844"/>
    <w:rsid w:val="00692580"/>
    <w:rsid w:val="006928F9"/>
    <w:rsid w:val="006962A8"/>
    <w:rsid w:val="006A0CCA"/>
    <w:rsid w:val="006A3DC5"/>
    <w:rsid w:val="006B2D9C"/>
    <w:rsid w:val="006B770D"/>
    <w:rsid w:val="006C3860"/>
    <w:rsid w:val="006C3A3A"/>
    <w:rsid w:val="006C488B"/>
    <w:rsid w:val="006C5A37"/>
    <w:rsid w:val="006C5E3E"/>
    <w:rsid w:val="006D1033"/>
    <w:rsid w:val="006D5021"/>
    <w:rsid w:val="006E14A5"/>
    <w:rsid w:val="006E1FC5"/>
    <w:rsid w:val="006E497E"/>
    <w:rsid w:val="006E4B22"/>
    <w:rsid w:val="006E7444"/>
    <w:rsid w:val="006E75F6"/>
    <w:rsid w:val="006F4459"/>
    <w:rsid w:val="006F7AFC"/>
    <w:rsid w:val="007003C3"/>
    <w:rsid w:val="0070272E"/>
    <w:rsid w:val="007046C4"/>
    <w:rsid w:val="00726C0A"/>
    <w:rsid w:val="007312D9"/>
    <w:rsid w:val="0073275D"/>
    <w:rsid w:val="007335DC"/>
    <w:rsid w:val="00744A9F"/>
    <w:rsid w:val="007472FA"/>
    <w:rsid w:val="00757379"/>
    <w:rsid w:val="007608AC"/>
    <w:rsid w:val="00761F99"/>
    <w:rsid w:val="00763BB2"/>
    <w:rsid w:val="00765A05"/>
    <w:rsid w:val="00771687"/>
    <w:rsid w:val="007718D0"/>
    <w:rsid w:val="00772752"/>
    <w:rsid w:val="00774788"/>
    <w:rsid w:val="00774DE5"/>
    <w:rsid w:val="00785633"/>
    <w:rsid w:val="0079364E"/>
    <w:rsid w:val="007A0BC5"/>
    <w:rsid w:val="007A54A9"/>
    <w:rsid w:val="007A55BA"/>
    <w:rsid w:val="007A6C7D"/>
    <w:rsid w:val="007B2418"/>
    <w:rsid w:val="007B7480"/>
    <w:rsid w:val="007C0126"/>
    <w:rsid w:val="007C2CDC"/>
    <w:rsid w:val="007C37FB"/>
    <w:rsid w:val="007C45BF"/>
    <w:rsid w:val="007C4826"/>
    <w:rsid w:val="007D3C2A"/>
    <w:rsid w:val="007E6032"/>
    <w:rsid w:val="008010DA"/>
    <w:rsid w:val="0080410C"/>
    <w:rsid w:val="008060BB"/>
    <w:rsid w:val="00806BA0"/>
    <w:rsid w:val="0081140F"/>
    <w:rsid w:val="00813205"/>
    <w:rsid w:val="00815C00"/>
    <w:rsid w:val="00820206"/>
    <w:rsid w:val="00820500"/>
    <w:rsid w:val="008227DF"/>
    <w:rsid w:val="008310FD"/>
    <w:rsid w:val="0083454D"/>
    <w:rsid w:val="00834E83"/>
    <w:rsid w:val="008353E6"/>
    <w:rsid w:val="008360E5"/>
    <w:rsid w:val="0083749B"/>
    <w:rsid w:val="008428AB"/>
    <w:rsid w:val="00842F6A"/>
    <w:rsid w:val="00844261"/>
    <w:rsid w:val="00851403"/>
    <w:rsid w:val="00852208"/>
    <w:rsid w:val="00861C51"/>
    <w:rsid w:val="00862F19"/>
    <w:rsid w:val="0086632F"/>
    <w:rsid w:val="008702D9"/>
    <w:rsid w:val="00872662"/>
    <w:rsid w:val="00891D6F"/>
    <w:rsid w:val="00892F22"/>
    <w:rsid w:val="00896FB5"/>
    <w:rsid w:val="00897E0F"/>
    <w:rsid w:val="008A053F"/>
    <w:rsid w:val="008A19D1"/>
    <w:rsid w:val="008A45BB"/>
    <w:rsid w:val="008A4708"/>
    <w:rsid w:val="008B2ECA"/>
    <w:rsid w:val="008B4E2D"/>
    <w:rsid w:val="008B74F0"/>
    <w:rsid w:val="008C3BCC"/>
    <w:rsid w:val="008D312B"/>
    <w:rsid w:val="008D5688"/>
    <w:rsid w:val="008E51E8"/>
    <w:rsid w:val="008E5474"/>
    <w:rsid w:val="008F1311"/>
    <w:rsid w:val="008F75E7"/>
    <w:rsid w:val="008F7F21"/>
    <w:rsid w:val="00904E9A"/>
    <w:rsid w:val="00907345"/>
    <w:rsid w:val="00913242"/>
    <w:rsid w:val="00914DF8"/>
    <w:rsid w:val="00922FAA"/>
    <w:rsid w:val="009230D9"/>
    <w:rsid w:val="00924B9F"/>
    <w:rsid w:val="0093507E"/>
    <w:rsid w:val="00936139"/>
    <w:rsid w:val="00942545"/>
    <w:rsid w:val="009466FE"/>
    <w:rsid w:val="00947044"/>
    <w:rsid w:val="0095501F"/>
    <w:rsid w:val="00956F32"/>
    <w:rsid w:val="009617E5"/>
    <w:rsid w:val="00964898"/>
    <w:rsid w:val="00971E70"/>
    <w:rsid w:val="009720D9"/>
    <w:rsid w:val="00986D45"/>
    <w:rsid w:val="00990531"/>
    <w:rsid w:val="00991B18"/>
    <w:rsid w:val="009A2A15"/>
    <w:rsid w:val="009B622C"/>
    <w:rsid w:val="009C07EB"/>
    <w:rsid w:val="009C19EF"/>
    <w:rsid w:val="009C35CA"/>
    <w:rsid w:val="009E40C9"/>
    <w:rsid w:val="009E652F"/>
    <w:rsid w:val="009F0566"/>
    <w:rsid w:val="009F3B1C"/>
    <w:rsid w:val="00A052FC"/>
    <w:rsid w:val="00A06186"/>
    <w:rsid w:val="00A14A41"/>
    <w:rsid w:val="00A20E7B"/>
    <w:rsid w:val="00A21B4C"/>
    <w:rsid w:val="00A23349"/>
    <w:rsid w:val="00A31842"/>
    <w:rsid w:val="00A45DC6"/>
    <w:rsid w:val="00A5239A"/>
    <w:rsid w:val="00A57F37"/>
    <w:rsid w:val="00A63416"/>
    <w:rsid w:val="00A6458F"/>
    <w:rsid w:val="00A7168B"/>
    <w:rsid w:val="00A74770"/>
    <w:rsid w:val="00A753A9"/>
    <w:rsid w:val="00A86060"/>
    <w:rsid w:val="00A92B71"/>
    <w:rsid w:val="00A9581A"/>
    <w:rsid w:val="00A95EDB"/>
    <w:rsid w:val="00A961FA"/>
    <w:rsid w:val="00A97799"/>
    <w:rsid w:val="00AA2112"/>
    <w:rsid w:val="00AA3553"/>
    <w:rsid w:val="00AB57D1"/>
    <w:rsid w:val="00AD5BC1"/>
    <w:rsid w:val="00AD64CB"/>
    <w:rsid w:val="00AE3EDB"/>
    <w:rsid w:val="00AE456A"/>
    <w:rsid w:val="00AE5A89"/>
    <w:rsid w:val="00AE6D03"/>
    <w:rsid w:val="00AF286E"/>
    <w:rsid w:val="00AF3EFB"/>
    <w:rsid w:val="00AF4907"/>
    <w:rsid w:val="00AF6740"/>
    <w:rsid w:val="00AF7779"/>
    <w:rsid w:val="00B01E56"/>
    <w:rsid w:val="00B046E7"/>
    <w:rsid w:val="00B04D4D"/>
    <w:rsid w:val="00B12FCB"/>
    <w:rsid w:val="00B13FE0"/>
    <w:rsid w:val="00B17A2E"/>
    <w:rsid w:val="00B31AB9"/>
    <w:rsid w:val="00B3504B"/>
    <w:rsid w:val="00B51AA0"/>
    <w:rsid w:val="00B555AA"/>
    <w:rsid w:val="00B57D0E"/>
    <w:rsid w:val="00B62380"/>
    <w:rsid w:val="00B645D6"/>
    <w:rsid w:val="00B66511"/>
    <w:rsid w:val="00B7042F"/>
    <w:rsid w:val="00B75E26"/>
    <w:rsid w:val="00B77AE4"/>
    <w:rsid w:val="00B83618"/>
    <w:rsid w:val="00B86BBB"/>
    <w:rsid w:val="00B908B0"/>
    <w:rsid w:val="00B91FE0"/>
    <w:rsid w:val="00B93A36"/>
    <w:rsid w:val="00BA376F"/>
    <w:rsid w:val="00BA55F6"/>
    <w:rsid w:val="00BB0164"/>
    <w:rsid w:val="00BB5749"/>
    <w:rsid w:val="00BC3365"/>
    <w:rsid w:val="00BC5669"/>
    <w:rsid w:val="00BD144A"/>
    <w:rsid w:val="00BD25EE"/>
    <w:rsid w:val="00BD47C6"/>
    <w:rsid w:val="00BD5B35"/>
    <w:rsid w:val="00BD705C"/>
    <w:rsid w:val="00BD747D"/>
    <w:rsid w:val="00BE23C6"/>
    <w:rsid w:val="00BE65B8"/>
    <w:rsid w:val="00BF0304"/>
    <w:rsid w:val="00BF4CDA"/>
    <w:rsid w:val="00BF4F65"/>
    <w:rsid w:val="00BF746D"/>
    <w:rsid w:val="00C0293E"/>
    <w:rsid w:val="00C03592"/>
    <w:rsid w:val="00C0481B"/>
    <w:rsid w:val="00C057A3"/>
    <w:rsid w:val="00C068CC"/>
    <w:rsid w:val="00C10C84"/>
    <w:rsid w:val="00C155FB"/>
    <w:rsid w:val="00C178AC"/>
    <w:rsid w:val="00C2311E"/>
    <w:rsid w:val="00C2342D"/>
    <w:rsid w:val="00C24B79"/>
    <w:rsid w:val="00C263E3"/>
    <w:rsid w:val="00C32C76"/>
    <w:rsid w:val="00C36FA2"/>
    <w:rsid w:val="00C371AE"/>
    <w:rsid w:val="00C54C91"/>
    <w:rsid w:val="00C56984"/>
    <w:rsid w:val="00C637E3"/>
    <w:rsid w:val="00C669EE"/>
    <w:rsid w:val="00C73746"/>
    <w:rsid w:val="00C76A5A"/>
    <w:rsid w:val="00C81212"/>
    <w:rsid w:val="00C81768"/>
    <w:rsid w:val="00C82601"/>
    <w:rsid w:val="00C82C04"/>
    <w:rsid w:val="00C82CCE"/>
    <w:rsid w:val="00C83398"/>
    <w:rsid w:val="00C847BE"/>
    <w:rsid w:val="00C85608"/>
    <w:rsid w:val="00C87FEC"/>
    <w:rsid w:val="00C94953"/>
    <w:rsid w:val="00C963AA"/>
    <w:rsid w:val="00C9688C"/>
    <w:rsid w:val="00CA0C7F"/>
    <w:rsid w:val="00CA49CB"/>
    <w:rsid w:val="00CA5325"/>
    <w:rsid w:val="00CA69E3"/>
    <w:rsid w:val="00CB2D25"/>
    <w:rsid w:val="00CC3E1C"/>
    <w:rsid w:val="00CD220B"/>
    <w:rsid w:val="00CD2F1E"/>
    <w:rsid w:val="00CE325B"/>
    <w:rsid w:val="00CE32ED"/>
    <w:rsid w:val="00CF00E2"/>
    <w:rsid w:val="00CF6278"/>
    <w:rsid w:val="00D020A6"/>
    <w:rsid w:val="00D1040D"/>
    <w:rsid w:val="00D110F0"/>
    <w:rsid w:val="00D116AD"/>
    <w:rsid w:val="00D124FD"/>
    <w:rsid w:val="00D242EA"/>
    <w:rsid w:val="00D2646A"/>
    <w:rsid w:val="00D30F48"/>
    <w:rsid w:val="00D320F9"/>
    <w:rsid w:val="00D333EE"/>
    <w:rsid w:val="00D46FCD"/>
    <w:rsid w:val="00D4784F"/>
    <w:rsid w:val="00D55656"/>
    <w:rsid w:val="00D70A66"/>
    <w:rsid w:val="00D71EEC"/>
    <w:rsid w:val="00D7420A"/>
    <w:rsid w:val="00D75520"/>
    <w:rsid w:val="00D75538"/>
    <w:rsid w:val="00D84B4F"/>
    <w:rsid w:val="00D8523A"/>
    <w:rsid w:val="00D91237"/>
    <w:rsid w:val="00D92758"/>
    <w:rsid w:val="00D95AB3"/>
    <w:rsid w:val="00D96034"/>
    <w:rsid w:val="00D96E65"/>
    <w:rsid w:val="00DA2F8E"/>
    <w:rsid w:val="00DA6BEA"/>
    <w:rsid w:val="00DB118B"/>
    <w:rsid w:val="00DB3AD7"/>
    <w:rsid w:val="00DC0073"/>
    <w:rsid w:val="00DC0828"/>
    <w:rsid w:val="00DC0FC6"/>
    <w:rsid w:val="00DC2DA0"/>
    <w:rsid w:val="00DC4AF2"/>
    <w:rsid w:val="00DC57F2"/>
    <w:rsid w:val="00DE63EF"/>
    <w:rsid w:val="00DE6432"/>
    <w:rsid w:val="00DF09D1"/>
    <w:rsid w:val="00DF5ED5"/>
    <w:rsid w:val="00DF7123"/>
    <w:rsid w:val="00E01EE5"/>
    <w:rsid w:val="00E021E5"/>
    <w:rsid w:val="00E11045"/>
    <w:rsid w:val="00E11E07"/>
    <w:rsid w:val="00E17823"/>
    <w:rsid w:val="00E21E98"/>
    <w:rsid w:val="00E221CE"/>
    <w:rsid w:val="00E36854"/>
    <w:rsid w:val="00E57BBC"/>
    <w:rsid w:val="00E62331"/>
    <w:rsid w:val="00E62996"/>
    <w:rsid w:val="00E64A47"/>
    <w:rsid w:val="00E65C1A"/>
    <w:rsid w:val="00E74579"/>
    <w:rsid w:val="00E76885"/>
    <w:rsid w:val="00E84384"/>
    <w:rsid w:val="00E84B33"/>
    <w:rsid w:val="00E85254"/>
    <w:rsid w:val="00E857DE"/>
    <w:rsid w:val="00E85928"/>
    <w:rsid w:val="00E863C1"/>
    <w:rsid w:val="00E91AE5"/>
    <w:rsid w:val="00E9337D"/>
    <w:rsid w:val="00E93EEE"/>
    <w:rsid w:val="00E964D4"/>
    <w:rsid w:val="00EA4DC1"/>
    <w:rsid w:val="00EB3614"/>
    <w:rsid w:val="00EB36CA"/>
    <w:rsid w:val="00EC12E7"/>
    <w:rsid w:val="00EC4498"/>
    <w:rsid w:val="00EC5026"/>
    <w:rsid w:val="00EC57C8"/>
    <w:rsid w:val="00EC7F4A"/>
    <w:rsid w:val="00ED5420"/>
    <w:rsid w:val="00EE2269"/>
    <w:rsid w:val="00EE3B6A"/>
    <w:rsid w:val="00EE4198"/>
    <w:rsid w:val="00EE704A"/>
    <w:rsid w:val="00EE76AA"/>
    <w:rsid w:val="00EF442F"/>
    <w:rsid w:val="00EF6C08"/>
    <w:rsid w:val="00F02C03"/>
    <w:rsid w:val="00F046E5"/>
    <w:rsid w:val="00F100D4"/>
    <w:rsid w:val="00F11D4B"/>
    <w:rsid w:val="00F1458D"/>
    <w:rsid w:val="00F22129"/>
    <w:rsid w:val="00F236DF"/>
    <w:rsid w:val="00F23A21"/>
    <w:rsid w:val="00F23CAB"/>
    <w:rsid w:val="00F25041"/>
    <w:rsid w:val="00F34061"/>
    <w:rsid w:val="00F37669"/>
    <w:rsid w:val="00F5093A"/>
    <w:rsid w:val="00F5217E"/>
    <w:rsid w:val="00F607AA"/>
    <w:rsid w:val="00F70B96"/>
    <w:rsid w:val="00F71949"/>
    <w:rsid w:val="00F735A6"/>
    <w:rsid w:val="00F73946"/>
    <w:rsid w:val="00F745FB"/>
    <w:rsid w:val="00F746BC"/>
    <w:rsid w:val="00F76DE4"/>
    <w:rsid w:val="00F821E6"/>
    <w:rsid w:val="00F92128"/>
    <w:rsid w:val="00F96F25"/>
    <w:rsid w:val="00FA087C"/>
    <w:rsid w:val="00FA66C2"/>
    <w:rsid w:val="00FA7E11"/>
    <w:rsid w:val="00FB282B"/>
    <w:rsid w:val="00FB417D"/>
    <w:rsid w:val="00FC30CB"/>
    <w:rsid w:val="00FD1592"/>
    <w:rsid w:val="00FD318F"/>
    <w:rsid w:val="00FD4B0D"/>
    <w:rsid w:val="00FE679F"/>
    <w:rsid w:val="00FF0542"/>
    <w:rsid w:val="00FF2227"/>
    <w:rsid w:val="037B6E56"/>
    <w:rsid w:val="03ED5C69"/>
    <w:rsid w:val="0472574E"/>
    <w:rsid w:val="04743336"/>
    <w:rsid w:val="048823B8"/>
    <w:rsid w:val="050F641A"/>
    <w:rsid w:val="05CE47D7"/>
    <w:rsid w:val="065A0DDD"/>
    <w:rsid w:val="06C646AD"/>
    <w:rsid w:val="0700568F"/>
    <w:rsid w:val="070E0E74"/>
    <w:rsid w:val="07162862"/>
    <w:rsid w:val="07426707"/>
    <w:rsid w:val="077F25A1"/>
    <w:rsid w:val="07CA60C0"/>
    <w:rsid w:val="07F20A31"/>
    <w:rsid w:val="09355D1A"/>
    <w:rsid w:val="0940212C"/>
    <w:rsid w:val="09686808"/>
    <w:rsid w:val="0B4F743E"/>
    <w:rsid w:val="0BD52D87"/>
    <w:rsid w:val="0C623AE7"/>
    <w:rsid w:val="0CE26B88"/>
    <w:rsid w:val="0D224A3B"/>
    <w:rsid w:val="0D5F1F7C"/>
    <w:rsid w:val="0E0145AD"/>
    <w:rsid w:val="0E353520"/>
    <w:rsid w:val="0E7A4D7E"/>
    <w:rsid w:val="0F116CC3"/>
    <w:rsid w:val="0F410360"/>
    <w:rsid w:val="0FB43E0B"/>
    <w:rsid w:val="0FFD043C"/>
    <w:rsid w:val="1066377D"/>
    <w:rsid w:val="108A0991"/>
    <w:rsid w:val="10A66963"/>
    <w:rsid w:val="12864833"/>
    <w:rsid w:val="130C7927"/>
    <w:rsid w:val="138A0A5A"/>
    <w:rsid w:val="13996542"/>
    <w:rsid w:val="140F411D"/>
    <w:rsid w:val="15070C3B"/>
    <w:rsid w:val="150B30B8"/>
    <w:rsid w:val="1531675B"/>
    <w:rsid w:val="15806149"/>
    <w:rsid w:val="15EC4A0C"/>
    <w:rsid w:val="164C4234"/>
    <w:rsid w:val="16ED0198"/>
    <w:rsid w:val="17973A09"/>
    <w:rsid w:val="18957298"/>
    <w:rsid w:val="1A347EB0"/>
    <w:rsid w:val="1A3E3FFF"/>
    <w:rsid w:val="1A84566A"/>
    <w:rsid w:val="1AD773E3"/>
    <w:rsid w:val="1B5C6656"/>
    <w:rsid w:val="1B8D2D6A"/>
    <w:rsid w:val="1D01492E"/>
    <w:rsid w:val="1D140B78"/>
    <w:rsid w:val="1D1D6A81"/>
    <w:rsid w:val="1E550DAF"/>
    <w:rsid w:val="1EA34D9F"/>
    <w:rsid w:val="1EA35D38"/>
    <w:rsid w:val="1EE82091"/>
    <w:rsid w:val="202C6AA1"/>
    <w:rsid w:val="20DB122E"/>
    <w:rsid w:val="210E23D4"/>
    <w:rsid w:val="21745C90"/>
    <w:rsid w:val="217E3D77"/>
    <w:rsid w:val="21976D6E"/>
    <w:rsid w:val="219E5142"/>
    <w:rsid w:val="226E16CE"/>
    <w:rsid w:val="23062FBC"/>
    <w:rsid w:val="23723D94"/>
    <w:rsid w:val="237874E2"/>
    <w:rsid w:val="23D35D25"/>
    <w:rsid w:val="240664FE"/>
    <w:rsid w:val="25AE735E"/>
    <w:rsid w:val="26720869"/>
    <w:rsid w:val="27837956"/>
    <w:rsid w:val="27EA0313"/>
    <w:rsid w:val="27ED39A4"/>
    <w:rsid w:val="2AC70583"/>
    <w:rsid w:val="2B1E666D"/>
    <w:rsid w:val="2BD02F57"/>
    <w:rsid w:val="2BE47B78"/>
    <w:rsid w:val="2BF57916"/>
    <w:rsid w:val="2C2A2FAB"/>
    <w:rsid w:val="2C2D4DA9"/>
    <w:rsid w:val="2CED48BB"/>
    <w:rsid w:val="2D2B04C2"/>
    <w:rsid w:val="2DFB36C3"/>
    <w:rsid w:val="2E6833B6"/>
    <w:rsid w:val="303567C7"/>
    <w:rsid w:val="30BD00E7"/>
    <w:rsid w:val="3121449D"/>
    <w:rsid w:val="31F36526"/>
    <w:rsid w:val="323728CA"/>
    <w:rsid w:val="33021558"/>
    <w:rsid w:val="332C7D94"/>
    <w:rsid w:val="332F3736"/>
    <w:rsid w:val="341026CA"/>
    <w:rsid w:val="349439D0"/>
    <w:rsid w:val="34A15131"/>
    <w:rsid w:val="34A27104"/>
    <w:rsid w:val="351A50D3"/>
    <w:rsid w:val="354042CC"/>
    <w:rsid w:val="35681FDC"/>
    <w:rsid w:val="35A47F69"/>
    <w:rsid w:val="35B31AFA"/>
    <w:rsid w:val="35DA716E"/>
    <w:rsid w:val="372F2D4E"/>
    <w:rsid w:val="387062F7"/>
    <w:rsid w:val="393B7EE2"/>
    <w:rsid w:val="395D3832"/>
    <w:rsid w:val="39F143D8"/>
    <w:rsid w:val="3A3741E4"/>
    <w:rsid w:val="3BF14EBF"/>
    <w:rsid w:val="3BF233F5"/>
    <w:rsid w:val="3C464A99"/>
    <w:rsid w:val="3C4C3D0A"/>
    <w:rsid w:val="3CB55DDB"/>
    <w:rsid w:val="3CC92171"/>
    <w:rsid w:val="3D251B4A"/>
    <w:rsid w:val="3D9A7390"/>
    <w:rsid w:val="3DB2578D"/>
    <w:rsid w:val="3DF1139C"/>
    <w:rsid w:val="3E6447BA"/>
    <w:rsid w:val="3E940D80"/>
    <w:rsid w:val="3F265FBC"/>
    <w:rsid w:val="3F652DC7"/>
    <w:rsid w:val="3FF102E8"/>
    <w:rsid w:val="406C5358"/>
    <w:rsid w:val="40EE1A79"/>
    <w:rsid w:val="41377C8C"/>
    <w:rsid w:val="4149335F"/>
    <w:rsid w:val="414C4C42"/>
    <w:rsid w:val="419B0DFB"/>
    <w:rsid w:val="431335B8"/>
    <w:rsid w:val="43506077"/>
    <w:rsid w:val="435B4DF5"/>
    <w:rsid w:val="4365375A"/>
    <w:rsid w:val="4392527B"/>
    <w:rsid w:val="43B4421C"/>
    <w:rsid w:val="443B38CB"/>
    <w:rsid w:val="44D017E5"/>
    <w:rsid w:val="45B0484B"/>
    <w:rsid w:val="45DB19F4"/>
    <w:rsid w:val="461737AB"/>
    <w:rsid w:val="466F547C"/>
    <w:rsid w:val="47037E6D"/>
    <w:rsid w:val="47052ACC"/>
    <w:rsid w:val="475C3CAE"/>
    <w:rsid w:val="4786351D"/>
    <w:rsid w:val="478D3841"/>
    <w:rsid w:val="47A73BB4"/>
    <w:rsid w:val="47EA0B89"/>
    <w:rsid w:val="49C435C4"/>
    <w:rsid w:val="49E366D7"/>
    <w:rsid w:val="4A415FF8"/>
    <w:rsid w:val="4B40653C"/>
    <w:rsid w:val="4B6C0A54"/>
    <w:rsid w:val="4B7943C7"/>
    <w:rsid w:val="4BA60774"/>
    <w:rsid w:val="4BAE684A"/>
    <w:rsid w:val="4C89645C"/>
    <w:rsid w:val="4CC770EA"/>
    <w:rsid w:val="4CE746D1"/>
    <w:rsid w:val="4D702675"/>
    <w:rsid w:val="4D7E55CC"/>
    <w:rsid w:val="4E211AA5"/>
    <w:rsid w:val="4E765EA6"/>
    <w:rsid w:val="4E953EAB"/>
    <w:rsid w:val="4E997C78"/>
    <w:rsid w:val="4EAF12B2"/>
    <w:rsid w:val="4F80503B"/>
    <w:rsid w:val="4FDA67F6"/>
    <w:rsid w:val="500D442F"/>
    <w:rsid w:val="502675D7"/>
    <w:rsid w:val="50DD72C1"/>
    <w:rsid w:val="5160593A"/>
    <w:rsid w:val="51712FA4"/>
    <w:rsid w:val="51D908DE"/>
    <w:rsid w:val="521428E5"/>
    <w:rsid w:val="525F4924"/>
    <w:rsid w:val="534513A2"/>
    <w:rsid w:val="53886CE0"/>
    <w:rsid w:val="54C07F20"/>
    <w:rsid w:val="553E4DFF"/>
    <w:rsid w:val="55907A7D"/>
    <w:rsid w:val="55CB02B5"/>
    <w:rsid w:val="562217B3"/>
    <w:rsid w:val="56957A9F"/>
    <w:rsid w:val="578B6BCB"/>
    <w:rsid w:val="57A62CF9"/>
    <w:rsid w:val="58BF1AE4"/>
    <w:rsid w:val="599115D2"/>
    <w:rsid w:val="59AA7A46"/>
    <w:rsid w:val="59EA41D4"/>
    <w:rsid w:val="5A964369"/>
    <w:rsid w:val="5AD841BD"/>
    <w:rsid w:val="5BAF3F4A"/>
    <w:rsid w:val="5BC44B03"/>
    <w:rsid w:val="5BD65822"/>
    <w:rsid w:val="5C546394"/>
    <w:rsid w:val="5C5D1991"/>
    <w:rsid w:val="5C6D62EB"/>
    <w:rsid w:val="5D0B08A1"/>
    <w:rsid w:val="5DA932B2"/>
    <w:rsid w:val="5DAF36EB"/>
    <w:rsid w:val="5DB379CC"/>
    <w:rsid w:val="5DE51582"/>
    <w:rsid w:val="5E1A7211"/>
    <w:rsid w:val="5E5B0F4D"/>
    <w:rsid w:val="5EAF5067"/>
    <w:rsid w:val="5EDE3D7A"/>
    <w:rsid w:val="61266857"/>
    <w:rsid w:val="61381D3F"/>
    <w:rsid w:val="61FF4832"/>
    <w:rsid w:val="6230306E"/>
    <w:rsid w:val="62A366F1"/>
    <w:rsid w:val="62F53A64"/>
    <w:rsid w:val="63BA28EB"/>
    <w:rsid w:val="64805EB4"/>
    <w:rsid w:val="64E96AA1"/>
    <w:rsid w:val="6505560D"/>
    <w:rsid w:val="65072E81"/>
    <w:rsid w:val="65926B4F"/>
    <w:rsid w:val="66184FC6"/>
    <w:rsid w:val="667F3774"/>
    <w:rsid w:val="669B179F"/>
    <w:rsid w:val="673F6825"/>
    <w:rsid w:val="676F1DFC"/>
    <w:rsid w:val="677B7575"/>
    <w:rsid w:val="67A45DD7"/>
    <w:rsid w:val="68673EB8"/>
    <w:rsid w:val="687A109C"/>
    <w:rsid w:val="69667DCC"/>
    <w:rsid w:val="69EA2AC1"/>
    <w:rsid w:val="6A744B7E"/>
    <w:rsid w:val="6AA4064C"/>
    <w:rsid w:val="6BAF4F3B"/>
    <w:rsid w:val="6BCA2E31"/>
    <w:rsid w:val="6BE73DD7"/>
    <w:rsid w:val="6C3E515E"/>
    <w:rsid w:val="6E797D7C"/>
    <w:rsid w:val="6E981082"/>
    <w:rsid w:val="6E995ADE"/>
    <w:rsid w:val="6EB562FE"/>
    <w:rsid w:val="6EC524A8"/>
    <w:rsid w:val="6FA1019C"/>
    <w:rsid w:val="703133E5"/>
    <w:rsid w:val="70444E71"/>
    <w:rsid w:val="710D72D1"/>
    <w:rsid w:val="71373C2B"/>
    <w:rsid w:val="71A4289E"/>
    <w:rsid w:val="71BC4378"/>
    <w:rsid w:val="727B6713"/>
    <w:rsid w:val="73273DCC"/>
    <w:rsid w:val="733750A3"/>
    <w:rsid w:val="73E16AC8"/>
    <w:rsid w:val="749F6ACC"/>
    <w:rsid w:val="75043A80"/>
    <w:rsid w:val="7534591D"/>
    <w:rsid w:val="75FC10E6"/>
    <w:rsid w:val="77060544"/>
    <w:rsid w:val="773F1DD6"/>
    <w:rsid w:val="786C3B04"/>
    <w:rsid w:val="78701F84"/>
    <w:rsid w:val="787178BB"/>
    <w:rsid w:val="787633B2"/>
    <w:rsid w:val="78AD2FEC"/>
    <w:rsid w:val="79F2214E"/>
    <w:rsid w:val="7B160229"/>
    <w:rsid w:val="7BC64D80"/>
    <w:rsid w:val="7BCA4236"/>
    <w:rsid w:val="7D430E23"/>
    <w:rsid w:val="7E74458F"/>
    <w:rsid w:val="7EA24FE7"/>
    <w:rsid w:val="7EFF6F2C"/>
    <w:rsid w:val="7F6E48F8"/>
    <w:rsid w:val="7FB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outlineLvl w:val="2"/>
    </w:pPr>
    <w:rPr>
      <w:rFonts w:ascii="宋体" w:cs="宋体" w:hAnsiTheme="minorHAnsi"/>
      <w:b/>
      <w:bCs/>
      <w:sz w:val="24"/>
      <w:szCs w:val="32"/>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after="290" w:line="372" w:lineRule="auto"/>
      <w:outlineLvl w:val="4"/>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unhideWhenUsed/>
    <w:qFormat/>
    <w:uiPriority w:val="0"/>
    <w:pPr>
      <w:jc w:val="left"/>
    </w:pPr>
  </w:style>
  <w:style w:type="paragraph" w:styleId="6">
    <w:name w:val="Body Text"/>
    <w:basedOn w:val="1"/>
    <w:unhideWhenUsed/>
    <w:qFormat/>
    <w:uiPriority w:val="99"/>
    <w:pPr>
      <w:spacing w:after="120"/>
    </w:pPr>
  </w:style>
  <w:style w:type="paragraph" w:styleId="7">
    <w:name w:val="Plain Text"/>
    <w:basedOn w:val="6"/>
    <w:next w:val="6"/>
    <w:unhideWhenUsed/>
    <w:qFormat/>
    <w:uiPriority w:val="99"/>
    <w:rPr>
      <w:rFonts w:ascii="宋体" w:hAnsi="宋体" w:eastAsia="宋体"/>
      <w:sz w:val="52"/>
    </w:rPr>
  </w:style>
  <w:style w:type="paragraph" w:styleId="8">
    <w:name w:val="Balloon Text"/>
    <w:basedOn w:val="1"/>
    <w:link w:val="1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2">
    <w:name w:val="annotation subject"/>
    <w:basedOn w:val="5"/>
    <w:next w:val="5"/>
    <w:link w:val="18"/>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批注文字 Char"/>
    <w:basedOn w:val="15"/>
    <w:link w:val="5"/>
    <w:qFormat/>
    <w:uiPriority w:val="0"/>
  </w:style>
  <w:style w:type="character" w:customStyle="1" w:styleId="18">
    <w:name w:val="批注主题 Char"/>
    <w:basedOn w:val="17"/>
    <w:link w:val="12"/>
    <w:semiHidden/>
    <w:qFormat/>
    <w:uiPriority w:val="99"/>
    <w:rPr>
      <w:b/>
      <w:bCs/>
    </w:rPr>
  </w:style>
  <w:style w:type="character" w:customStyle="1" w:styleId="19">
    <w:name w:val="批注框文本 Char"/>
    <w:basedOn w:val="15"/>
    <w:link w:val="8"/>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font41"/>
    <w:basedOn w:val="15"/>
    <w:qFormat/>
    <w:uiPriority w:val="0"/>
    <w:rPr>
      <w:rFonts w:hint="eastAsia" w:ascii="宋体" w:hAnsi="宋体" w:eastAsia="宋体" w:cs="宋体"/>
      <w:b/>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31"/>
    <w:basedOn w:val="15"/>
    <w:qFormat/>
    <w:uiPriority w:val="0"/>
    <w:rPr>
      <w:rFonts w:hint="eastAsia" w:ascii="宋体" w:hAnsi="宋体" w:eastAsia="宋体" w:cs="宋体"/>
      <w:b/>
      <w:color w:val="000000"/>
      <w:sz w:val="20"/>
      <w:szCs w:val="20"/>
      <w:u w:val="none"/>
    </w:rPr>
  </w:style>
  <w:style w:type="character" w:customStyle="1" w:styleId="26">
    <w:name w:val="font61"/>
    <w:basedOn w:val="15"/>
    <w:qFormat/>
    <w:uiPriority w:val="0"/>
    <w:rPr>
      <w:rFonts w:hint="eastAsia" w:ascii="宋体" w:hAnsi="宋体" w:eastAsia="宋体" w:cs="宋体"/>
      <w:color w:val="000000"/>
      <w:sz w:val="20"/>
      <w:szCs w:val="20"/>
      <w:u w:val="none"/>
    </w:rPr>
  </w:style>
  <w:style w:type="character" w:customStyle="1" w:styleId="27">
    <w:name w:val="NormalCharacter"/>
    <w:semiHidden/>
    <w:qFormat/>
    <w:uiPriority w:val="0"/>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BC45-CBD4-49CD-AF0B-232FC747A1A1}">
  <ds:schemaRefs/>
</ds:datastoreItem>
</file>

<file path=docProps/app.xml><?xml version="1.0" encoding="utf-8"?>
<Properties xmlns="http://schemas.openxmlformats.org/officeDocument/2006/extended-properties" xmlns:vt="http://schemas.openxmlformats.org/officeDocument/2006/docPropsVTypes">
  <Template>Normal.dotm</Template>
  <Company>wqq</Company>
  <Pages>12</Pages>
  <Words>4538</Words>
  <Characters>4952</Characters>
  <Lines>7</Lines>
  <Paragraphs>13</Paragraphs>
  <TotalTime>2</TotalTime>
  <ScaleCrop>false</ScaleCrop>
  <LinksUpToDate>false</LinksUpToDate>
  <CharactersWithSpaces>4991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2020-11-16T04:59:00Z</dcterms:created>
  <dc:creator>Administrator</dc:creator>
  <cp:lastModifiedBy>杨贤</cp:lastModifiedBy>
  <cp:lastPrinted>2020-11-02T06:12:00Z</cp:lastPrinted>
  <dcterms:modified xsi:type="dcterms:W3CDTF">2025-11-11T02:29:14Z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E27D78D03A87435AB7FCE2AF25934833_13</vt:lpwstr>
  </property>
  <property fmtid="{D5CDD505-2E9C-101B-9397-08002B2CF9AE}" pid="4" name="KSOTemplateDocerSaveRecord">
    <vt:lpwstr>eyJoZGlkIjoiOGZjMmM5MGJlZDEzODU2NWU4NDFhNzk5MjlkYzUwNzAiLCJ1c2VySWQiOiI0MDcwMTYxNDUifQ==</vt:lpwstr>
  </property>
</Properties>
</file>