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545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51"/>
        <w:gridCol w:w="1275"/>
        <w:gridCol w:w="4962"/>
        <w:gridCol w:w="708"/>
        <w:gridCol w:w="567"/>
        <w:gridCol w:w="851"/>
        <w:gridCol w:w="992"/>
        <w:gridCol w:w="709"/>
        <w:gridCol w:w="3402"/>
        <w:gridCol w:w="567"/>
      </w:tblGrid>
      <w:tr w14:paraId="061B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gridSpan w:val="3"/>
            <w:tcBorders>
              <w:top w:val="nil"/>
              <w:left w:val="nil"/>
              <w:bottom w:val="single" w:color="auto" w:sz="4" w:space="0"/>
              <w:right w:val="nil"/>
            </w:tcBorders>
          </w:tcPr>
          <w:p w14:paraId="4CDFBFF5">
            <w:pPr>
              <w:widowControl/>
              <w:spacing w:line="276" w:lineRule="auto"/>
              <w:jc w:val="left"/>
              <w:rPr>
                <w:rFonts w:ascii="宋体" w:hAnsi="宋体"/>
                <w:sz w:val="24"/>
                <w:szCs w:val="24"/>
                <w:u w:val="single"/>
              </w:rPr>
            </w:pPr>
          </w:p>
        </w:tc>
        <w:tc>
          <w:tcPr>
            <w:tcW w:w="12758" w:type="dxa"/>
            <w:gridSpan w:val="8"/>
            <w:tcBorders>
              <w:top w:val="nil"/>
              <w:left w:val="nil"/>
              <w:bottom w:val="single" w:color="auto" w:sz="4" w:space="0"/>
              <w:right w:val="nil"/>
            </w:tcBorders>
            <w:noWrap/>
          </w:tcPr>
          <w:p w14:paraId="5F923843">
            <w:pPr>
              <w:widowControl/>
              <w:spacing w:line="276" w:lineRule="auto"/>
              <w:jc w:val="left"/>
              <w:rPr>
                <w:rFonts w:ascii="宋体" w:hAnsi="宋体"/>
                <w:b/>
                <w:sz w:val="44"/>
                <w:szCs w:val="44"/>
              </w:rPr>
            </w:pPr>
            <w:r>
              <w:rPr>
                <w:rFonts w:hint="eastAsia" w:ascii="宋体" w:hAnsi="宋体"/>
                <w:b/>
                <w:sz w:val="44"/>
                <w:szCs w:val="44"/>
              </w:rPr>
              <w:t>实验实训建设在线询价采购项目采购文件——多媒体设备</w:t>
            </w:r>
          </w:p>
          <w:p w14:paraId="42A61A23">
            <w:pPr>
              <w:widowControl/>
              <w:spacing w:line="276" w:lineRule="auto"/>
              <w:jc w:val="left"/>
              <w:rPr>
                <w:rFonts w:ascii="宋体" w:hAnsi="宋体"/>
                <w:sz w:val="24"/>
                <w:szCs w:val="24"/>
              </w:rPr>
            </w:pPr>
          </w:p>
          <w:p w14:paraId="5C8FE263">
            <w:pPr>
              <w:widowControl/>
              <w:spacing w:line="276" w:lineRule="auto"/>
              <w:jc w:val="left"/>
              <w:rPr>
                <w:rFonts w:ascii="宋体" w:hAnsi="宋体"/>
                <w:sz w:val="24"/>
                <w:szCs w:val="24"/>
              </w:rPr>
            </w:pPr>
            <w:r>
              <w:rPr>
                <w:rFonts w:hint="eastAsia" w:ascii="宋体" w:hAnsi="宋体"/>
                <w:sz w:val="24"/>
                <w:szCs w:val="24"/>
              </w:rPr>
              <w:t>说明：</w:t>
            </w:r>
          </w:p>
          <w:p w14:paraId="1FE1C50A">
            <w:pPr>
              <w:widowControl/>
              <w:spacing w:line="276" w:lineRule="auto"/>
              <w:jc w:val="left"/>
              <w:rPr>
                <w:rFonts w:ascii="宋体" w:hAnsi="宋体"/>
                <w:sz w:val="24"/>
                <w:szCs w:val="24"/>
              </w:rPr>
            </w:pPr>
            <w:r>
              <w:rPr>
                <w:rFonts w:hint="eastAsia" w:ascii="宋体" w:hAnsi="宋体"/>
                <w:sz w:val="24"/>
                <w:szCs w:val="24"/>
              </w:rPr>
              <w:t>1.投标人须根据技术参数及性能配置要求提供一一对应的技术响应偏离表。</w:t>
            </w:r>
          </w:p>
          <w:p w14:paraId="6D3CAEA7">
            <w:pPr>
              <w:widowControl/>
              <w:spacing w:line="276" w:lineRule="auto"/>
              <w:jc w:val="left"/>
              <w:rPr>
                <w:rFonts w:ascii="宋体" w:hAnsi="宋体"/>
                <w:sz w:val="24"/>
                <w:szCs w:val="24"/>
              </w:rPr>
            </w:pPr>
            <w:r>
              <w:rPr>
                <w:rFonts w:hint="eastAsia" w:ascii="宋体" w:hAnsi="宋体"/>
                <w:sz w:val="24"/>
                <w:szCs w:val="24"/>
              </w:rPr>
              <w:t>2.本章中带★号条款为实质性内容要求，投标时必须满足。</w:t>
            </w:r>
          </w:p>
        </w:tc>
      </w:tr>
      <w:tr w14:paraId="1478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8" w:type="dxa"/>
            <w:tcBorders>
              <w:top w:val="single" w:color="auto" w:sz="4" w:space="0"/>
            </w:tcBorders>
            <w:vAlign w:val="center"/>
          </w:tcPr>
          <w:p w14:paraId="4EAD6E96">
            <w:pPr>
              <w:jc w:val="center"/>
              <w:rPr>
                <w:rFonts w:ascii="宋体" w:hAnsi="宋体"/>
                <w:b/>
                <w:szCs w:val="21"/>
              </w:rPr>
            </w:pPr>
            <w:r>
              <w:rPr>
                <w:rFonts w:hint="eastAsia" w:ascii="宋体" w:hAnsi="宋体"/>
                <w:b/>
                <w:szCs w:val="21"/>
              </w:rPr>
              <w:t>序号</w:t>
            </w:r>
          </w:p>
        </w:tc>
        <w:tc>
          <w:tcPr>
            <w:tcW w:w="851" w:type="dxa"/>
            <w:tcBorders>
              <w:top w:val="single" w:color="auto" w:sz="4" w:space="0"/>
            </w:tcBorders>
            <w:vAlign w:val="center"/>
          </w:tcPr>
          <w:p w14:paraId="0CF7679B">
            <w:pPr>
              <w:jc w:val="center"/>
              <w:rPr>
                <w:rFonts w:ascii="宋体" w:hAnsi="宋体"/>
                <w:b/>
                <w:szCs w:val="21"/>
              </w:rPr>
            </w:pPr>
            <w:r>
              <w:rPr>
                <w:rFonts w:hint="eastAsia" w:ascii="宋体" w:hAnsi="宋体"/>
                <w:b/>
                <w:szCs w:val="21"/>
              </w:rPr>
              <w:t>采购品目</w:t>
            </w:r>
          </w:p>
        </w:tc>
        <w:tc>
          <w:tcPr>
            <w:tcW w:w="1275" w:type="dxa"/>
            <w:tcBorders>
              <w:top w:val="single" w:color="auto" w:sz="4" w:space="0"/>
            </w:tcBorders>
            <w:vAlign w:val="center"/>
          </w:tcPr>
          <w:p w14:paraId="5894C15F">
            <w:pPr>
              <w:jc w:val="center"/>
              <w:rPr>
                <w:rFonts w:ascii="宋体" w:hAnsi="宋体"/>
                <w:b/>
                <w:szCs w:val="21"/>
              </w:rPr>
            </w:pPr>
            <w:r>
              <w:rPr>
                <w:rFonts w:hint="eastAsia" w:ascii="宋体" w:hAnsi="宋体"/>
                <w:b/>
                <w:color w:val="000000"/>
                <w:kern w:val="0"/>
                <w:szCs w:val="21"/>
                <w:lang w:bidi="ar"/>
              </w:rPr>
              <w:t>参考</w:t>
            </w:r>
            <w:r>
              <w:rPr>
                <w:rFonts w:hint="eastAsia" w:ascii="宋体" w:hAnsi="宋体"/>
                <w:b/>
                <w:szCs w:val="21"/>
              </w:rPr>
              <w:t>品牌</w:t>
            </w:r>
          </w:p>
        </w:tc>
        <w:tc>
          <w:tcPr>
            <w:tcW w:w="4962" w:type="dxa"/>
            <w:tcBorders>
              <w:top w:val="single" w:color="auto" w:sz="4" w:space="0"/>
            </w:tcBorders>
            <w:vAlign w:val="center"/>
          </w:tcPr>
          <w:p w14:paraId="5021BAD9">
            <w:pPr>
              <w:jc w:val="center"/>
              <w:rPr>
                <w:rFonts w:ascii="宋体" w:hAnsi="宋体"/>
                <w:b/>
                <w:szCs w:val="21"/>
              </w:rPr>
            </w:pPr>
            <w:r>
              <w:rPr>
                <w:rFonts w:hint="eastAsia" w:ascii="宋体" w:hAnsi="宋体"/>
                <w:b/>
                <w:szCs w:val="21"/>
              </w:rPr>
              <w:t>参数配置</w:t>
            </w:r>
          </w:p>
        </w:tc>
        <w:tc>
          <w:tcPr>
            <w:tcW w:w="708" w:type="dxa"/>
            <w:tcBorders>
              <w:top w:val="single" w:color="auto" w:sz="4" w:space="0"/>
            </w:tcBorders>
            <w:vAlign w:val="center"/>
          </w:tcPr>
          <w:p w14:paraId="48167EB0">
            <w:pPr>
              <w:jc w:val="center"/>
              <w:rPr>
                <w:rFonts w:ascii="宋体" w:hAnsi="宋体"/>
                <w:b/>
                <w:szCs w:val="21"/>
              </w:rPr>
            </w:pPr>
            <w:r>
              <w:rPr>
                <w:rFonts w:hint="eastAsia" w:ascii="宋体" w:hAnsi="宋体"/>
                <w:b/>
                <w:szCs w:val="21"/>
              </w:rPr>
              <w:t>单位</w:t>
            </w:r>
          </w:p>
        </w:tc>
        <w:tc>
          <w:tcPr>
            <w:tcW w:w="567" w:type="dxa"/>
            <w:tcBorders>
              <w:top w:val="single" w:color="auto" w:sz="4" w:space="0"/>
            </w:tcBorders>
            <w:vAlign w:val="center"/>
          </w:tcPr>
          <w:p w14:paraId="0D7F1E38">
            <w:pPr>
              <w:jc w:val="center"/>
              <w:rPr>
                <w:rFonts w:ascii="宋体" w:hAnsi="宋体"/>
                <w:b/>
                <w:szCs w:val="21"/>
              </w:rPr>
            </w:pPr>
            <w:r>
              <w:rPr>
                <w:rFonts w:hint="eastAsia" w:ascii="宋体" w:hAnsi="宋体"/>
                <w:b/>
                <w:szCs w:val="21"/>
              </w:rPr>
              <w:t>数量</w:t>
            </w:r>
          </w:p>
        </w:tc>
        <w:tc>
          <w:tcPr>
            <w:tcW w:w="851" w:type="dxa"/>
            <w:tcBorders>
              <w:top w:val="single" w:color="auto" w:sz="4" w:space="0"/>
            </w:tcBorders>
            <w:vAlign w:val="center"/>
          </w:tcPr>
          <w:p w14:paraId="12AB3B9C">
            <w:pPr>
              <w:jc w:val="center"/>
              <w:rPr>
                <w:rFonts w:ascii="宋体" w:hAnsi="宋体"/>
                <w:b/>
                <w:szCs w:val="21"/>
              </w:rPr>
            </w:pPr>
            <w:r>
              <w:rPr>
                <w:rFonts w:hint="eastAsia" w:ascii="宋体" w:hAnsi="宋体"/>
                <w:b/>
                <w:szCs w:val="21"/>
              </w:rPr>
              <w:t>参考单价</w:t>
            </w:r>
          </w:p>
          <w:p w14:paraId="0CDD5C73">
            <w:pPr>
              <w:jc w:val="center"/>
              <w:rPr>
                <w:rFonts w:ascii="宋体" w:hAnsi="宋体"/>
                <w:b/>
                <w:szCs w:val="21"/>
              </w:rPr>
            </w:pPr>
            <w:r>
              <w:rPr>
                <w:rFonts w:hint="eastAsia" w:ascii="宋体" w:hAnsi="宋体"/>
                <w:b/>
                <w:szCs w:val="21"/>
              </w:rPr>
              <w:t>（元）</w:t>
            </w:r>
          </w:p>
        </w:tc>
        <w:tc>
          <w:tcPr>
            <w:tcW w:w="992" w:type="dxa"/>
            <w:tcBorders>
              <w:top w:val="single" w:color="auto" w:sz="4" w:space="0"/>
            </w:tcBorders>
            <w:vAlign w:val="center"/>
          </w:tcPr>
          <w:p w14:paraId="0E464426">
            <w:pPr>
              <w:jc w:val="center"/>
              <w:rPr>
                <w:rFonts w:ascii="宋体" w:hAnsi="宋体"/>
                <w:b/>
                <w:szCs w:val="21"/>
              </w:rPr>
            </w:pPr>
            <w:r>
              <w:rPr>
                <w:rFonts w:hint="eastAsia" w:ascii="宋体" w:hAnsi="宋体"/>
                <w:b/>
                <w:szCs w:val="21"/>
              </w:rPr>
              <w:t>合计金额</w:t>
            </w:r>
          </w:p>
          <w:p w14:paraId="71597BE8">
            <w:pPr>
              <w:jc w:val="center"/>
              <w:rPr>
                <w:rFonts w:ascii="宋体" w:hAnsi="宋体"/>
                <w:b/>
                <w:szCs w:val="21"/>
              </w:rPr>
            </w:pPr>
            <w:r>
              <w:rPr>
                <w:rFonts w:hint="eastAsia" w:ascii="宋体" w:hAnsi="宋体"/>
                <w:b/>
                <w:szCs w:val="21"/>
              </w:rPr>
              <w:t>（元）</w:t>
            </w:r>
          </w:p>
        </w:tc>
        <w:tc>
          <w:tcPr>
            <w:tcW w:w="709" w:type="dxa"/>
            <w:tcBorders>
              <w:top w:val="single" w:color="auto" w:sz="4" w:space="0"/>
            </w:tcBorders>
            <w:vAlign w:val="center"/>
          </w:tcPr>
          <w:p w14:paraId="763044AD">
            <w:pPr>
              <w:jc w:val="center"/>
              <w:rPr>
                <w:rFonts w:ascii="宋体" w:hAnsi="宋体"/>
                <w:b/>
                <w:szCs w:val="21"/>
              </w:rPr>
            </w:pPr>
            <w:r>
              <w:rPr>
                <w:rFonts w:hint="eastAsia" w:ascii="宋体" w:hAnsi="宋体"/>
                <w:b/>
                <w:szCs w:val="21"/>
              </w:rPr>
              <w:t>是否进口产品</w:t>
            </w:r>
          </w:p>
        </w:tc>
        <w:tc>
          <w:tcPr>
            <w:tcW w:w="3402" w:type="dxa"/>
            <w:tcBorders>
              <w:top w:val="single" w:color="auto" w:sz="4" w:space="0"/>
            </w:tcBorders>
            <w:vAlign w:val="center"/>
          </w:tcPr>
          <w:p w14:paraId="482CFC9B">
            <w:pPr>
              <w:jc w:val="center"/>
              <w:rPr>
                <w:rFonts w:ascii="宋体" w:hAnsi="宋体"/>
                <w:b/>
                <w:szCs w:val="21"/>
              </w:rPr>
            </w:pPr>
            <w:r>
              <w:rPr>
                <w:rFonts w:hint="eastAsia" w:ascii="宋体" w:hAnsi="宋体"/>
                <w:b/>
                <w:szCs w:val="21"/>
              </w:rPr>
              <w:t>参考图片</w:t>
            </w:r>
          </w:p>
        </w:tc>
        <w:tc>
          <w:tcPr>
            <w:tcW w:w="567" w:type="dxa"/>
            <w:tcBorders>
              <w:top w:val="single" w:color="auto" w:sz="4" w:space="0"/>
            </w:tcBorders>
            <w:vAlign w:val="center"/>
          </w:tcPr>
          <w:p w14:paraId="48D9A7B5">
            <w:pPr>
              <w:jc w:val="center"/>
              <w:rPr>
                <w:rFonts w:ascii="宋体" w:hAnsi="宋体"/>
                <w:b/>
                <w:szCs w:val="21"/>
              </w:rPr>
            </w:pPr>
            <w:r>
              <w:rPr>
                <w:rFonts w:hint="eastAsia" w:ascii="宋体" w:hAnsi="宋体"/>
                <w:b/>
                <w:szCs w:val="21"/>
              </w:rPr>
              <w:t>备注</w:t>
            </w:r>
          </w:p>
        </w:tc>
      </w:tr>
      <w:tr w14:paraId="1046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Align w:val="center"/>
          </w:tcPr>
          <w:p w14:paraId="6F7E9469">
            <w:pPr>
              <w:widowControl/>
              <w:jc w:val="center"/>
              <w:textAlignment w:val="center"/>
              <w:rPr>
                <w:rFonts w:ascii="宋体" w:hAnsi="宋体"/>
                <w:sz w:val="24"/>
                <w:szCs w:val="24"/>
                <w:u w:val="single"/>
              </w:rPr>
            </w:pPr>
            <w:r>
              <w:rPr>
                <w:rFonts w:hint="eastAsia" w:ascii="宋体" w:hAnsi="宋体"/>
                <w:color w:val="000000"/>
                <w:kern w:val="0"/>
                <w:sz w:val="20"/>
                <w:szCs w:val="20"/>
                <w:lang w:bidi="ar"/>
              </w:rPr>
              <w:t>1</w:t>
            </w:r>
          </w:p>
        </w:tc>
        <w:tc>
          <w:tcPr>
            <w:tcW w:w="851" w:type="dxa"/>
            <w:vAlign w:val="center"/>
          </w:tcPr>
          <w:p w14:paraId="6665E4CF">
            <w:pPr>
              <w:widowControl/>
              <w:jc w:val="center"/>
              <w:textAlignment w:val="center"/>
              <w:rPr>
                <w:rFonts w:ascii="宋体" w:hAnsi="宋体"/>
                <w:sz w:val="24"/>
                <w:szCs w:val="24"/>
              </w:rPr>
            </w:pPr>
            <w:r>
              <w:rPr>
                <w:rFonts w:hint="eastAsia" w:ascii="宋体" w:hAnsi="宋体"/>
                <w:sz w:val="24"/>
                <w:szCs w:val="24"/>
              </w:rPr>
              <w:t>医学实训显示系统</w:t>
            </w:r>
          </w:p>
        </w:tc>
        <w:tc>
          <w:tcPr>
            <w:tcW w:w="1275" w:type="dxa"/>
            <w:vAlign w:val="center"/>
          </w:tcPr>
          <w:p w14:paraId="348D3989">
            <w:pPr>
              <w:widowControl/>
              <w:jc w:val="center"/>
              <w:textAlignment w:val="center"/>
              <w:rPr>
                <w:rFonts w:ascii="宋体" w:hAnsi="宋体"/>
                <w:color w:val="000000"/>
                <w:kern w:val="0"/>
                <w:sz w:val="20"/>
                <w:szCs w:val="20"/>
                <w:lang w:bidi="ar"/>
              </w:rPr>
            </w:pPr>
          </w:p>
          <w:p w14:paraId="7A247CE7">
            <w:pPr>
              <w:widowControl/>
              <w:jc w:val="center"/>
              <w:textAlignment w:val="center"/>
              <w:rPr>
                <w:rFonts w:ascii="宋体" w:hAnsi="宋体"/>
                <w:sz w:val="24"/>
                <w:szCs w:val="24"/>
              </w:rPr>
            </w:pPr>
            <w:r>
              <w:rPr>
                <w:rFonts w:hint="eastAsia" w:ascii="宋体" w:hAnsi="宋体"/>
                <w:color w:val="000000"/>
                <w:kern w:val="0"/>
                <w:sz w:val="20"/>
                <w:szCs w:val="20"/>
                <w:lang w:bidi="ar"/>
              </w:rPr>
              <w:t>强力</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巨彩/海康/创维</w:t>
            </w:r>
          </w:p>
        </w:tc>
        <w:tc>
          <w:tcPr>
            <w:tcW w:w="4962" w:type="dxa"/>
            <w:vAlign w:val="center"/>
          </w:tcPr>
          <w:p w14:paraId="33F7E8D6">
            <w:pPr>
              <w:widowControl/>
              <w:numPr>
                <w:ilvl w:val="0"/>
                <w:numId w:val="1"/>
              </w:numPr>
              <w:jc w:val="left"/>
              <w:textAlignment w:val="center"/>
              <w:rPr>
                <w:rFonts w:ascii="宋体" w:hAnsi="宋体"/>
                <w:color w:val="000000"/>
                <w:kern w:val="0"/>
                <w:sz w:val="20"/>
                <w:szCs w:val="20"/>
                <w:lang w:bidi="ar"/>
              </w:rPr>
            </w:pPr>
            <w:r>
              <w:rPr>
                <w:rFonts w:hint="eastAsia" w:ascii="宋体" w:hAnsi="宋体"/>
                <w:color w:val="000000"/>
                <w:kern w:val="0"/>
                <w:sz w:val="20"/>
                <w:szCs w:val="20"/>
                <w:lang w:bidi="ar"/>
              </w:rPr>
              <w:t>全彩LED显示屏体：</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显示屏净屏尺寸≥3.84m(宽)*2.4  m(高)</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1.★像素点间距：≤1.86mm</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2.单元板分辨率：≥14792 Dots</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3.★刷新率：≥3840Hz，支持通过配套控制软件调节刷新率设置选项</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4.像素构成：1R、1G、1B</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5.★封装方式：SMD表贴三合一，铜线封装，五面黑灯，表面不反光</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6.驱动方式：恒流驱动</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7.控制方式：同步控制系统</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8.维护方式：前后双向维护</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9.整屏平整度≤0.04mm</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10.★白平衡亮度：0-700cd/㎡可调；亮度调节：0-100%亮度可调，256级手动/自动调节，屏幕亮度具有随环境照度的变化任意调整功能；亮度均匀性：≥99%</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11.色温800K-18000K可调；白平衡状态下色温在6500K±5%；色温为6500K时，100%75%50%25%档电平白场调节色温误差≤100K"</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12.水平视角≥170°；垂直视角≥170°</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13.对比度≥8500：1</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14.灰度等级≥14bit，红绿蓝各256级，可达16384级；采用EPWM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15.峰值功耗≤300W/m²；平均功耗≤120W/m²</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16.供电电源：在4.2*（1±10%）VDC～4.5*（1±10%）VDC范围内能正常工作</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17.输入电压：支持宽压输入 在96-264VAC，支持窄压输入在200-240VAC，在该范围内能正常工作</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18.★防护性能：具有防静电、防电磁干扰、防腐蚀、防霉菌、防虫、防潮、抗震动、抗雷击等功能；具有电源过压、过流、断电保护、分布上电措施、防护等级达到IP60</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19.具有列下消隐功能、倍频刷新率提升2/4/8倍、低灰偏色改善</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20.色坐标X、Y坐标符合SJ/T11141-2017 5.10.5规定；色度均匀性±0.001Cx、Cy内；色域空间≥120% NTSC，LED显示屏ColorSPace覆盖率≥170%YUV(PAL)</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21.支持鬼影消除、首行暗亮消除、低灰偏色补偿、低灰均匀性、低灰横条纹消除、慢速开启、十字架消除、去坏点、毛毛虫消除、余辉消除、亮度缓慢变亮功能</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22.具备防蓝光护眼功能，蓝光辐射能量≤20%。蓝光辐射能量值对人眼视网膜无伤害，LED显示屏蓝光辐亮度≤0.5W.m-2.sr-1,符合肉眼观看标准。</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23.★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24.数据记忆储存于LED显示模块箱体中，更换箱体设备时，无需重新设定参数；支持采用电源双备份，两个电源互为备份方式，任一电源故障不影响屏体正常工作；支持采用双电力备份，可以同时接入2路电力供电互为备份方式，任一电力故障不影响屏体显示；支持采用双系统备份，两套发送卡和两套接收卡互为备份方式，任一套发送卡和接收卡故障不影响屏体正常显示</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25.产品采用高端芯片，可智能调节正常工作与睡眠状态下的节能效果（动态节能，智能息屏），开启智能节电功能比没有开启节能50%以上</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26.保证箱体拼接的平整度和密闭防尘性；支持箱体拼接自动对位设计；具有拼缝微调功能；箱体支持X/Y/Z六向调节，可实现屏幕上下左右拼缝及前后平整度任意调节</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27.屏幕表面光反射率，照度=10Lux/5600K条件下， 显示屏屏幕表面光反射率 （单位面积反射亮度）＜3.0cd/m²</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28.★支持PPA碗杯结构、点胶封装、出光方式为单面发光；显示面采用高强度化学防护材质，防碰撞、耐冲击、高耐磨、抗腐蚀、防划痕，可直接擦拭LED附着力≥100N；在灯珠四侧以水平 夹角 45°的方向施加推力 15N，灯珠未破碎或脱落。</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29.★为保证产品使用安全，静电电压衰减期（±1000-±100V）≤2S；摩擦起电电压|V|≤100V</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30.为保证产品信息传输稳定性，辐射干扰和传导干扰，均需符合GB/T9254-2021 ClassB限值要求</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以上1-30技术参数需提供由第三方权威检测机构出具带有“CNAS”、“CMA”、“ilac-MRA”标志的检测报告（加盖制造商公章），未提供相应证明材料的不计算得分。</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31.★LED显示屏须提供本产品的3C认证证书复印件或扫描件附在响应文件中，不提供按无效标处理。</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二、LED屏控制器：</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1.支持丰富的数字信号接口，包括2路DVI，1路HDMI，1路SDI</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2.最大带载390万像素，最宽可达8192点，或最高可达4096点</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3.最大输入分辨率1920×1200@60Hz，支持分辨率任意设置</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4.支持6路千兆网口输出，支持单机或双机冗余备份</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5.支持对视频信号任意切换，裁剪，拼接，缩放</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6.支持3画面显示，位置、大小可自由调节</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7.支持独立音频输入和音频输出，支持HDMI音频解析析</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8.支持RS232串口协议控制</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9.支持HDCP 高带宽数字内容保护技术</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10.支持亮度和色温调节</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11.支持低亮高灰，能有效地保持低亮下灰阶的完整显示</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12.支持预制16场景，直接调用，方便使用</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13.★快速回传探测控制器显示信息，可回读出控制器的序号、名字、型号、输入视频信号信息，控制器输出网口连接接收卡的情况，控制器的固件版本信息；</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14.★支持不同控制器之间备份，及同一控制器内不同网口之间的备份；</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15.★不正当操作导致控制器内部设置错乱，可一键恢复出厂标准设置；</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16.★设备带有RTC芯片，支持视频控制器和接收卡端的加密管理，通过加密相关的协议实现授权日期内的形常显示，非授权日期无法正常显示；</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三、播放软件：</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1.用于 LED 显示屏控制和播放的专业软件。该软件功能丰富、性能优越，兼具良好 的操作界面，易学易用。</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2.支持视频、音频、图像、文字、Flash、Gif 等形式的媒体文件播放;</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3.支持 Microsoft office 的 Word、Excel、PPT 显示;支持时钟、计时、天气预报显示;</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4.支持外部视频信号(TV、AV、S-Video、 复合视频)播放;支持多页面多分区节目编辑;</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5.软件提供了丰富灵活的视频切换功能、分区特效，以 及三维特效动画，让显示屏的显示效果得到完美展现。</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 xml:space="preserve">6.★控制系统软件可设置多功能卡参数，可定时开关大屏电源，设置外接传感器的各种参数。 </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7.★快速探测接收卡间网线连接情况，支持检测连接误码率测试，并对异常进行标记,。</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8.★支持色温调节,支持2000-10000区间调节。</w:t>
            </w:r>
            <w:r>
              <w:rPr>
                <w:rFonts w:hint="eastAsia" w:ascii="宋体" w:hAnsi="宋体"/>
                <w:color w:val="000000"/>
                <w:kern w:val="0"/>
                <w:sz w:val="20"/>
                <w:szCs w:val="20"/>
                <w:lang w:bidi="ar"/>
              </w:rPr>
              <w:br w:type="textWrapping"/>
            </w:r>
            <w:r>
              <w:rPr>
                <w:rFonts w:hint="eastAsia" w:ascii="宋体" w:hAnsi="宋体"/>
                <w:color w:val="000000"/>
                <w:kern w:val="0"/>
                <w:sz w:val="20"/>
                <w:szCs w:val="20"/>
                <w:lang w:bidi="ar"/>
              </w:rPr>
              <w:t>9.★可以对系统的各项驱动OFFICE网络发包等程序检测并提示用户。</w:t>
            </w:r>
          </w:p>
          <w:p w14:paraId="565C07B4">
            <w:pPr>
              <w:widowControl/>
              <w:jc w:val="left"/>
              <w:textAlignment w:val="center"/>
              <w:rPr>
                <w:rFonts w:ascii="宋体" w:hAnsi="宋体"/>
                <w:color w:val="000000"/>
                <w:kern w:val="0"/>
                <w:sz w:val="20"/>
                <w:szCs w:val="20"/>
                <w:highlight w:val="yellow"/>
                <w:lang w:bidi="ar"/>
              </w:rPr>
            </w:pPr>
            <w:r>
              <w:rPr>
                <w:rFonts w:hint="eastAsia" w:ascii="宋体" w:hAnsi="宋体"/>
                <w:color w:val="000000"/>
                <w:kern w:val="0"/>
                <w:sz w:val="20"/>
                <w:szCs w:val="20"/>
                <w:highlight w:val="yellow"/>
                <w:lang w:bidi="ar"/>
              </w:rPr>
              <w:t>四、显示屏安装及包边技术要求：</w:t>
            </w:r>
          </w:p>
          <w:p w14:paraId="69C23BFD">
            <w:pPr>
              <w:widowControl/>
              <w:jc w:val="left"/>
              <w:textAlignment w:val="center"/>
              <w:rPr>
                <w:rFonts w:ascii="宋体" w:hAnsi="宋体"/>
                <w:color w:val="000000"/>
                <w:kern w:val="0"/>
                <w:sz w:val="20"/>
                <w:szCs w:val="20"/>
                <w:highlight w:val="yellow"/>
                <w:lang w:bidi="ar"/>
              </w:rPr>
            </w:pPr>
            <w:r>
              <w:rPr>
                <w:rFonts w:hint="eastAsia" w:ascii="宋体" w:hAnsi="宋体"/>
                <w:color w:val="000000"/>
                <w:kern w:val="0"/>
                <w:sz w:val="20"/>
                <w:szCs w:val="20"/>
                <w:highlight w:val="yellow"/>
                <w:lang w:bidi="ar"/>
              </w:rPr>
              <w:t>1. 屏体规格：3.84m（宽）×2.4m（高），采用靠墙落地安装方式；</w:t>
            </w:r>
          </w:p>
          <w:p w14:paraId="508FD882">
            <w:pPr>
              <w:widowControl/>
              <w:jc w:val="left"/>
              <w:textAlignment w:val="center"/>
              <w:rPr>
                <w:rFonts w:ascii="宋体" w:hAnsi="宋体"/>
                <w:color w:val="000000"/>
                <w:kern w:val="0"/>
                <w:sz w:val="20"/>
                <w:szCs w:val="20"/>
                <w:highlight w:val="yellow"/>
                <w:lang w:bidi="ar"/>
              </w:rPr>
            </w:pPr>
            <w:r>
              <w:rPr>
                <w:rFonts w:hint="eastAsia" w:ascii="宋体" w:hAnsi="宋体"/>
                <w:color w:val="000000"/>
                <w:kern w:val="0"/>
                <w:sz w:val="20"/>
                <w:szCs w:val="20"/>
                <w:highlight w:val="yellow"/>
                <w:lang w:bidi="ar"/>
              </w:rPr>
              <w:t>2. 屏体厚度：30cm，整体包边材质为4mm厚16丝银白铝塑板；</w:t>
            </w:r>
          </w:p>
          <w:p w14:paraId="237ABDFF">
            <w:pPr>
              <w:widowControl/>
              <w:jc w:val="left"/>
              <w:textAlignment w:val="center"/>
              <w:rPr>
                <w:rFonts w:ascii="宋体" w:hAnsi="宋体"/>
                <w:color w:val="000000"/>
                <w:kern w:val="0"/>
                <w:sz w:val="20"/>
                <w:szCs w:val="20"/>
                <w:highlight w:val="yellow"/>
                <w:lang w:bidi="ar"/>
              </w:rPr>
            </w:pPr>
            <w:r>
              <w:rPr>
                <w:rFonts w:hint="eastAsia" w:ascii="宋体" w:hAnsi="宋体"/>
                <w:color w:val="000000"/>
                <w:kern w:val="0"/>
                <w:sz w:val="20"/>
                <w:szCs w:val="20"/>
                <w:highlight w:val="yellow"/>
                <w:lang w:bidi="ar"/>
              </w:rPr>
              <w:t>3. 包边尺寸：底部包边高度30cm，上部及左右两侧包边宽度各5cm，包边后整体厚度与屏体一致（30cm）；</w:t>
            </w:r>
          </w:p>
          <w:p w14:paraId="3CB4D128">
            <w:pPr>
              <w:widowControl/>
              <w:jc w:val="left"/>
              <w:textAlignment w:val="center"/>
              <w:rPr>
                <w:rFonts w:ascii="宋体" w:hAnsi="宋体"/>
                <w:color w:val="000000"/>
                <w:kern w:val="0"/>
                <w:sz w:val="20"/>
                <w:szCs w:val="20"/>
                <w:highlight w:val="yellow"/>
                <w:lang w:bidi="ar"/>
              </w:rPr>
            </w:pPr>
            <w:r>
              <w:rPr>
                <w:rFonts w:hint="eastAsia" w:ascii="宋体" w:hAnsi="宋体"/>
                <w:color w:val="000000"/>
                <w:kern w:val="0"/>
                <w:sz w:val="20"/>
                <w:szCs w:val="20"/>
                <w:highlight w:val="yellow"/>
                <w:lang w:bidi="ar"/>
              </w:rPr>
              <w:t>4. 屏体表面做防眩光处理，包边边角R3mm圆角防磕碰，预留HDMI/USB教学接口隐藏式开孔。</w:t>
            </w:r>
          </w:p>
          <w:p w14:paraId="63291D54">
            <w:pPr>
              <w:widowControl/>
              <w:jc w:val="left"/>
              <w:textAlignment w:val="center"/>
              <w:rPr>
                <w:rFonts w:ascii="宋体" w:hAnsi="宋体"/>
                <w:color w:val="000000"/>
                <w:kern w:val="0"/>
                <w:sz w:val="20"/>
                <w:szCs w:val="20"/>
                <w:highlight w:val="yellow"/>
                <w:lang w:bidi="ar"/>
              </w:rPr>
            </w:pPr>
            <w:r>
              <w:rPr>
                <w:rFonts w:hint="eastAsia" w:ascii="宋体" w:hAnsi="宋体"/>
                <w:color w:val="000000"/>
                <w:kern w:val="0"/>
                <w:sz w:val="20"/>
                <w:szCs w:val="20"/>
                <w:highlight w:val="yellow"/>
                <w:lang w:bidi="ar"/>
              </w:rPr>
              <w:t>5.强弱电综合布线必须满足L</w:t>
            </w:r>
            <w:r>
              <w:rPr>
                <w:rFonts w:ascii="宋体" w:hAnsi="宋体"/>
                <w:color w:val="000000"/>
                <w:kern w:val="0"/>
                <w:sz w:val="20"/>
                <w:szCs w:val="20"/>
                <w:highlight w:val="yellow"/>
                <w:lang w:bidi="ar"/>
              </w:rPr>
              <w:t>ED</w:t>
            </w:r>
            <w:r>
              <w:rPr>
                <w:rFonts w:hint="eastAsia" w:ascii="宋体" w:hAnsi="宋体"/>
                <w:color w:val="000000"/>
                <w:kern w:val="0"/>
                <w:sz w:val="20"/>
                <w:szCs w:val="20"/>
                <w:highlight w:val="yellow"/>
                <w:lang w:bidi="ar"/>
              </w:rPr>
              <w:t>彩屏整套设备的使用要求；</w:t>
            </w:r>
            <w:r>
              <w:rPr>
                <w:rFonts w:ascii="宋体" w:hAnsi="宋体"/>
                <w:color w:val="000000"/>
                <w:kern w:val="0"/>
                <w:sz w:val="20"/>
                <w:szCs w:val="20"/>
                <w:highlight w:val="yellow"/>
                <w:lang w:bidi="ar"/>
              </w:rPr>
              <w:t xml:space="preserve"> </w:t>
            </w:r>
          </w:p>
          <w:p w14:paraId="3434AAD1">
            <w:pPr>
              <w:widowControl/>
              <w:jc w:val="left"/>
              <w:textAlignment w:val="center"/>
              <w:rPr>
                <w:rFonts w:ascii="宋体" w:hAnsi="宋体"/>
                <w:color w:val="000000"/>
                <w:kern w:val="0"/>
                <w:sz w:val="20"/>
                <w:szCs w:val="20"/>
                <w:lang w:bidi="ar"/>
              </w:rPr>
            </w:pPr>
            <w:r>
              <w:rPr>
                <w:rFonts w:hint="eastAsia" w:ascii="宋体" w:hAnsi="宋体"/>
                <w:color w:val="000000"/>
                <w:kern w:val="0"/>
                <w:sz w:val="20"/>
                <w:szCs w:val="20"/>
                <w:highlight w:val="yellow"/>
                <w:lang w:bidi="ar"/>
              </w:rPr>
              <w:t>6、教学适配要求：L</w:t>
            </w:r>
            <w:r>
              <w:rPr>
                <w:rFonts w:ascii="宋体" w:hAnsi="宋体"/>
                <w:color w:val="000000"/>
                <w:kern w:val="0"/>
                <w:sz w:val="20"/>
                <w:szCs w:val="20"/>
                <w:highlight w:val="yellow"/>
                <w:lang w:bidi="ar"/>
              </w:rPr>
              <w:t>ED</w:t>
            </w:r>
            <w:r>
              <w:rPr>
                <w:rFonts w:hint="eastAsia" w:ascii="宋体" w:hAnsi="宋体"/>
                <w:color w:val="000000"/>
                <w:kern w:val="0"/>
                <w:sz w:val="20"/>
                <w:szCs w:val="20"/>
                <w:highlight w:val="yellow"/>
                <w:lang w:bidi="ar"/>
              </w:rPr>
              <w:t>彩屏与教学配套的一体机具备同步显示功能，满足业主教学使用要求。</w:t>
            </w:r>
          </w:p>
        </w:tc>
        <w:tc>
          <w:tcPr>
            <w:tcW w:w="708" w:type="dxa"/>
            <w:vAlign w:val="center"/>
          </w:tcPr>
          <w:p w14:paraId="5F8443B6">
            <w:pPr>
              <w:widowControl/>
              <w:jc w:val="center"/>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kern w:val="0"/>
                <w:sz w:val="20"/>
                <w:szCs w:val="20"/>
                <w:lang w:bidi="ar"/>
              </w:rPr>
              <w:t>套</w:t>
            </w:r>
          </w:p>
        </w:tc>
        <w:tc>
          <w:tcPr>
            <w:tcW w:w="567" w:type="dxa"/>
            <w:vAlign w:val="center"/>
          </w:tcPr>
          <w:p w14:paraId="3CA29EA5">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kern w:val="0"/>
                <w:sz w:val="20"/>
                <w:szCs w:val="20"/>
                <w:lang w:bidi="ar"/>
              </w:rPr>
              <w:t>1</w:t>
            </w:r>
          </w:p>
        </w:tc>
        <w:tc>
          <w:tcPr>
            <w:tcW w:w="851" w:type="dxa"/>
            <w:vAlign w:val="center"/>
          </w:tcPr>
          <w:p w14:paraId="41C90907">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kern w:val="0"/>
                <w:sz w:val="20"/>
                <w:szCs w:val="20"/>
                <w:lang w:bidi="ar"/>
              </w:rPr>
              <w:t>76800</w:t>
            </w:r>
          </w:p>
        </w:tc>
        <w:tc>
          <w:tcPr>
            <w:tcW w:w="992" w:type="dxa"/>
            <w:vAlign w:val="center"/>
          </w:tcPr>
          <w:p w14:paraId="611FF701">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kern w:val="0"/>
                <w:sz w:val="20"/>
                <w:szCs w:val="20"/>
                <w:lang w:bidi="ar"/>
              </w:rPr>
              <w:t>76800</w:t>
            </w:r>
          </w:p>
        </w:tc>
        <w:tc>
          <w:tcPr>
            <w:tcW w:w="709" w:type="dxa"/>
            <w:vAlign w:val="center"/>
          </w:tcPr>
          <w:p w14:paraId="4BA22115">
            <w:pPr>
              <w:widowControl/>
              <w:jc w:val="center"/>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kern w:val="0"/>
                <w:sz w:val="20"/>
                <w:szCs w:val="20"/>
                <w:lang w:bidi="ar"/>
              </w:rPr>
              <w:t>否</w:t>
            </w:r>
          </w:p>
        </w:tc>
        <w:tc>
          <w:tcPr>
            <w:tcW w:w="3402" w:type="dxa"/>
            <w:vAlign w:val="bottom"/>
          </w:tcPr>
          <w:p w14:paraId="528563C5">
            <w:pPr>
              <w:widowControl/>
              <w:jc w:val="left"/>
              <w:textAlignment w:val="bottom"/>
              <w:rPr>
                <w:color w:val="000000" w:themeColor="text1"/>
                <w:sz w:val="24"/>
                <w:szCs w:val="24"/>
                <w:u w:val="single"/>
                <w14:textFill>
                  <w14:solidFill>
                    <w14:schemeClr w14:val="tx1"/>
                  </w14:solidFill>
                </w14:textFill>
              </w:rPr>
            </w:pPr>
            <w:r>
              <w:rPr>
                <w:rFonts w:hint="eastAsia"/>
                <w:color w:val="000000" w:themeColor="text1"/>
                <w:sz w:val="24"/>
                <w:szCs w:val="24"/>
                <w:u w:val="single"/>
                <w14:textFill>
                  <w14:solidFill>
                    <w14:schemeClr w14:val="tx1"/>
                  </w14:solidFill>
                </w14:textFill>
              </w:rPr>
              <w:drawing>
                <wp:inline distT="0" distB="0" distL="114300" distR="114300">
                  <wp:extent cx="2018665" cy="944245"/>
                  <wp:effectExtent l="0" t="0" r="635" b="8255"/>
                  <wp:docPr id="4" name="图片 4"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33"/>
                          <pic:cNvPicPr>
                            <a:picLocks noChangeAspect="1"/>
                          </pic:cNvPicPr>
                        </pic:nvPicPr>
                        <pic:blipFill>
                          <a:blip r:embed="rId5"/>
                          <a:stretch>
                            <a:fillRect/>
                          </a:stretch>
                        </pic:blipFill>
                        <pic:spPr>
                          <a:xfrm>
                            <a:off x="0" y="0"/>
                            <a:ext cx="2018665" cy="944245"/>
                          </a:xfrm>
                          <a:prstGeom prst="rect">
                            <a:avLst/>
                          </a:prstGeom>
                        </pic:spPr>
                      </pic:pic>
                    </a:graphicData>
                  </a:graphic>
                </wp:inline>
              </w:drawing>
            </w:r>
            <w:r>
              <w:rPr>
                <w:rFonts w:hint="eastAsia"/>
                <w:color w:val="000000" w:themeColor="text1"/>
                <w:sz w:val="24"/>
                <w:szCs w:val="24"/>
                <w:u w:val="single"/>
                <w14:textFill>
                  <w14:solidFill>
                    <w14:schemeClr w14:val="tx1"/>
                  </w14:solidFill>
                </w14:textFill>
              </w:rPr>
              <w:drawing>
                <wp:inline distT="0" distB="0" distL="114300" distR="114300">
                  <wp:extent cx="2022475" cy="795020"/>
                  <wp:effectExtent l="0" t="0" r="15875" b="5080"/>
                  <wp:docPr id="1" name="图片 1" descr="56b33bf186796b4b3a42466e59b78f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6b33bf186796b4b3a42466e59b78f9d"/>
                          <pic:cNvPicPr>
                            <a:picLocks noChangeAspect="1"/>
                          </pic:cNvPicPr>
                        </pic:nvPicPr>
                        <pic:blipFill>
                          <a:blip r:embed="rId6"/>
                          <a:stretch>
                            <a:fillRect/>
                          </a:stretch>
                        </pic:blipFill>
                        <pic:spPr>
                          <a:xfrm>
                            <a:off x="0" y="0"/>
                            <a:ext cx="2022475" cy="795020"/>
                          </a:xfrm>
                          <a:prstGeom prst="rect">
                            <a:avLst/>
                          </a:prstGeom>
                        </pic:spPr>
                      </pic:pic>
                    </a:graphicData>
                  </a:graphic>
                </wp:inline>
              </w:drawing>
            </w:r>
          </w:p>
        </w:tc>
        <w:tc>
          <w:tcPr>
            <w:tcW w:w="567" w:type="dxa"/>
            <w:vAlign w:val="center"/>
          </w:tcPr>
          <w:p w14:paraId="074D66D0">
            <w:pPr>
              <w:widowControl/>
              <w:jc w:val="center"/>
              <w:textAlignment w:val="center"/>
              <w:rPr>
                <w:rFonts w:ascii="宋体" w:hAnsi="宋体"/>
                <w:sz w:val="24"/>
                <w:szCs w:val="24"/>
                <w:u w:val="single"/>
              </w:rPr>
            </w:pPr>
          </w:p>
        </w:tc>
      </w:tr>
      <w:tr w14:paraId="6983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8" w:type="dxa"/>
            <w:vAlign w:val="center"/>
          </w:tcPr>
          <w:p w14:paraId="1719C957">
            <w:pPr>
              <w:widowControl/>
              <w:jc w:val="center"/>
              <w:textAlignment w:val="center"/>
              <w:rPr>
                <w:rFonts w:ascii="宋体" w:hAnsi="宋体"/>
                <w:sz w:val="24"/>
                <w:szCs w:val="24"/>
                <w:u w:val="single"/>
              </w:rPr>
            </w:pPr>
            <w:r>
              <w:rPr>
                <w:rFonts w:hint="eastAsia" w:ascii="宋体" w:hAnsi="宋体"/>
                <w:color w:val="000000"/>
                <w:kern w:val="0"/>
                <w:sz w:val="20"/>
                <w:szCs w:val="20"/>
                <w:lang w:bidi="ar"/>
              </w:rPr>
              <w:t>2</w:t>
            </w:r>
          </w:p>
        </w:tc>
        <w:tc>
          <w:tcPr>
            <w:tcW w:w="851" w:type="dxa"/>
            <w:vAlign w:val="center"/>
          </w:tcPr>
          <w:p w14:paraId="20F111DD">
            <w:pPr>
              <w:widowControl/>
              <w:jc w:val="center"/>
              <w:textAlignment w:val="center"/>
              <w:rPr>
                <w:rFonts w:ascii="宋体" w:hAnsi="宋体"/>
                <w:sz w:val="24"/>
                <w:szCs w:val="24"/>
              </w:rPr>
            </w:pPr>
            <w:r>
              <w:rPr>
                <w:rFonts w:hint="eastAsia" w:ascii="宋体" w:hAnsi="宋体"/>
                <w:color w:val="000000"/>
                <w:kern w:val="0"/>
                <w:sz w:val="20"/>
                <w:szCs w:val="20"/>
                <w:lang w:bidi="ar"/>
              </w:rPr>
              <w:t>存储服务器</w:t>
            </w:r>
          </w:p>
        </w:tc>
        <w:tc>
          <w:tcPr>
            <w:tcW w:w="1275" w:type="dxa"/>
            <w:vAlign w:val="center"/>
          </w:tcPr>
          <w:p w14:paraId="478DA05B">
            <w:pPr>
              <w:widowControl/>
              <w:jc w:val="center"/>
              <w:textAlignment w:val="center"/>
              <w:rPr>
                <w:rFonts w:ascii="宋体" w:hAnsi="宋体"/>
                <w:sz w:val="24"/>
                <w:szCs w:val="24"/>
              </w:rPr>
            </w:pPr>
            <w:r>
              <w:rPr>
                <w:rFonts w:hint="eastAsia" w:ascii="宋体" w:hAnsi="宋体"/>
                <w:color w:val="000000"/>
                <w:kern w:val="0"/>
                <w:sz w:val="20"/>
                <w:szCs w:val="20"/>
                <w:lang w:bidi="ar"/>
              </w:rPr>
              <w:t>联想/惠普/IBM</w:t>
            </w:r>
          </w:p>
        </w:tc>
        <w:tc>
          <w:tcPr>
            <w:tcW w:w="4962" w:type="dxa"/>
            <w:vAlign w:val="center"/>
          </w:tcPr>
          <w:p w14:paraId="78A59053">
            <w:pPr>
              <w:widowControl/>
              <w:jc w:val="left"/>
              <w:textAlignment w:val="center"/>
              <w:rPr>
                <w:rFonts w:ascii="宋体" w:hAnsi="宋体"/>
                <w:color w:val="000000"/>
                <w:kern w:val="0"/>
                <w:sz w:val="20"/>
                <w:szCs w:val="20"/>
                <w:lang w:bidi="ar"/>
              </w:rPr>
            </w:pPr>
            <w:r>
              <w:rPr>
                <w:rFonts w:hint="eastAsia" w:ascii="宋体" w:hAnsi="宋体"/>
                <w:color w:val="000000"/>
                <w:kern w:val="0"/>
                <w:sz w:val="20"/>
                <w:szCs w:val="20"/>
                <w:lang w:bidi="ar"/>
              </w:rPr>
              <w:t>1、塔式服务器，非组装机；</w:t>
            </w:r>
          </w:p>
          <w:p w14:paraId="138BBB53">
            <w:pPr>
              <w:widowControl/>
              <w:jc w:val="left"/>
              <w:textAlignment w:val="center"/>
              <w:rPr>
                <w:rFonts w:ascii="宋体" w:hAnsi="宋体"/>
                <w:color w:val="000000"/>
                <w:kern w:val="0"/>
                <w:sz w:val="20"/>
                <w:szCs w:val="20"/>
                <w:lang w:bidi="ar"/>
              </w:rPr>
            </w:pPr>
            <w:r>
              <w:rPr>
                <w:rFonts w:hint="eastAsia" w:ascii="宋体" w:hAnsi="宋体"/>
                <w:color w:val="000000"/>
                <w:kern w:val="0"/>
                <w:sz w:val="20"/>
                <w:szCs w:val="20"/>
                <w:lang w:bidi="ar"/>
              </w:rPr>
              <w:t>★2、CPU：≥英特尔第十二代i7-12700 2.1G 12C 20M处理器；</w:t>
            </w:r>
          </w:p>
          <w:p w14:paraId="0C3F6049">
            <w:pPr>
              <w:widowControl/>
              <w:jc w:val="left"/>
              <w:textAlignment w:val="center"/>
              <w:rPr>
                <w:rFonts w:ascii="宋体" w:hAnsi="宋体"/>
                <w:color w:val="000000"/>
                <w:kern w:val="0"/>
                <w:sz w:val="20"/>
                <w:szCs w:val="20"/>
                <w:lang w:bidi="ar"/>
              </w:rPr>
            </w:pPr>
            <w:r>
              <w:rPr>
                <w:rFonts w:hint="eastAsia" w:ascii="宋体" w:hAnsi="宋体"/>
                <w:color w:val="000000"/>
                <w:kern w:val="0"/>
                <w:sz w:val="20"/>
                <w:szCs w:val="20"/>
                <w:lang w:bidi="ar"/>
              </w:rPr>
              <w:t>3、接口及其它：系统集成RAID功能，支持RAID 0,1；1个X16 PCI-E Gen4扩展，2个X1 PCI-E扩展；前置1X USB 3.2 G1 Type-C,2X USB 3.2 G2(10Gb/s)+2X USB 3.2 G1(5Gb/s)，1X 音频输入接口， 1X 音频输出接口；</w:t>
            </w:r>
          </w:p>
          <w:p w14:paraId="02D2F2AC">
            <w:pPr>
              <w:widowControl/>
              <w:jc w:val="left"/>
              <w:textAlignment w:val="center"/>
              <w:rPr>
                <w:rFonts w:ascii="宋体" w:hAnsi="宋体"/>
                <w:color w:val="000000"/>
                <w:kern w:val="0"/>
                <w:sz w:val="20"/>
                <w:szCs w:val="20"/>
                <w:lang w:bidi="ar"/>
              </w:rPr>
            </w:pPr>
            <w:r>
              <w:rPr>
                <w:rFonts w:hint="eastAsia" w:ascii="宋体" w:hAnsi="宋体"/>
                <w:color w:val="000000"/>
                <w:kern w:val="0"/>
                <w:sz w:val="20"/>
                <w:szCs w:val="20"/>
                <w:lang w:bidi="ar"/>
              </w:rPr>
              <w:t>后置4X USB 2.0,2X DP接口+1X HDMI接口，1X COM串口，1X 1GbE网络接口，1X 音频输出接口</w:t>
            </w:r>
          </w:p>
          <w:p w14:paraId="58F16AB9">
            <w:pPr>
              <w:widowControl/>
              <w:jc w:val="left"/>
              <w:textAlignment w:val="center"/>
              <w:rPr>
                <w:rFonts w:ascii="宋体" w:hAnsi="宋体"/>
                <w:color w:val="000000"/>
                <w:kern w:val="0"/>
                <w:sz w:val="20"/>
                <w:szCs w:val="20"/>
                <w:lang w:bidi="ar"/>
              </w:rPr>
            </w:pPr>
            <w:r>
              <w:rPr>
                <w:rFonts w:hint="eastAsia" w:ascii="宋体" w:hAnsi="宋体"/>
                <w:color w:val="000000"/>
                <w:kern w:val="0"/>
                <w:sz w:val="20"/>
                <w:szCs w:val="20"/>
                <w:lang w:bidi="ar"/>
              </w:rPr>
              <w:t>4、内存：≥出厂配备4个内存插槽，配备16G DDR4 3200MHz non-ECC UDIMM内存，支持8G/16G/32G,最高支持128G DDR4 3200MHz 内存扩展；</w:t>
            </w:r>
          </w:p>
          <w:p w14:paraId="3A79CE1E">
            <w:pPr>
              <w:widowControl/>
              <w:jc w:val="left"/>
              <w:textAlignment w:val="center"/>
              <w:rPr>
                <w:rFonts w:ascii="宋体" w:hAnsi="宋体"/>
                <w:color w:val="000000"/>
                <w:kern w:val="0"/>
                <w:sz w:val="20"/>
                <w:szCs w:val="20"/>
                <w:lang w:bidi="ar"/>
              </w:rPr>
            </w:pPr>
            <w:r>
              <w:rPr>
                <w:rFonts w:hint="eastAsia" w:ascii="宋体" w:hAnsi="宋体"/>
                <w:color w:val="000000"/>
                <w:kern w:val="0"/>
                <w:sz w:val="20"/>
                <w:szCs w:val="20"/>
                <w:lang w:bidi="ar"/>
              </w:rPr>
              <w:t>5、储存：≥配备PCie M2 256G SSD硬盘+5T机械硬盘；</w:t>
            </w:r>
          </w:p>
          <w:p w14:paraId="432489D0">
            <w:pPr>
              <w:widowControl/>
              <w:jc w:val="left"/>
              <w:textAlignment w:val="center"/>
              <w:rPr>
                <w:rFonts w:ascii="宋体" w:hAnsi="宋体"/>
                <w:color w:val="000000"/>
                <w:kern w:val="0"/>
                <w:sz w:val="20"/>
                <w:szCs w:val="20"/>
                <w:lang w:bidi="ar"/>
              </w:rPr>
            </w:pPr>
            <w:r>
              <w:rPr>
                <w:rFonts w:hint="eastAsia" w:ascii="宋体" w:hAnsi="宋体"/>
                <w:color w:val="000000"/>
                <w:kern w:val="0"/>
                <w:sz w:val="20"/>
                <w:szCs w:val="20"/>
                <w:highlight w:val="yellow"/>
                <w:lang w:bidi="ar"/>
              </w:rPr>
              <w:t>★6、显卡：≥</w:t>
            </w:r>
            <w:r>
              <w:rPr>
                <w:rFonts w:ascii="宋体" w:hAnsi="宋体"/>
                <w:color w:val="000000"/>
                <w:kern w:val="0"/>
                <w:sz w:val="20"/>
                <w:szCs w:val="20"/>
                <w:highlight w:val="yellow"/>
                <w:lang w:bidi="ar"/>
              </w:rPr>
              <w:t>RTX5060-8G</w:t>
            </w:r>
            <w:r>
              <w:rPr>
                <w:rFonts w:hint="eastAsia" w:ascii="宋体" w:hAnsi="宋体"/>
                <w:color w:val="000000"/>
                <w:kern w:val="0"/>
                <w:sz w:val="20"/>
                <w:szCs w:val="20"/>
                <w:highlight w:val="yellow"/>
                <w:lang w:bidi="ar"/>
              </w:rPr>
              <w:t>独立显卡；</w:t>
            </w:r>
          </w:p>
          <w:p w14:paraId="332D4449">
            <w:pPr>
              <w:widowControl/>
              <w:jc w:val="left"/>
              <w:textAlignment w:val="center"/>
              <w:rPr>
                <w:rFonts w:ascii="宋体" w:hAnsi="宋体"/>
                <w:color w:val="000000"/>
                <w:kern w:val="0"/>
                <w:sz w:val="20"/>
                <w:szCs w:val="20"/>
                <w:lang w:bidi="ar"/>
              </w:rPr>
            </w:pPr>
            <w:r>
              <w:rPr>
                <w:rFonts w:hint="eastAsia" w:ascii="宋体" w:hAnsi="宋体"/>
                <w:color w:val="000000"/>
                <w:kern w:val="0"/>
                <w:sz w:val="20"/>
                <w:szCs w:val="20"/>
                <w:lang w:bidi="ar"/>
              </w:rPr>
              <w:t>7、主机箱：通用立式机箱，体积≥17L；</w:t>
            </w:r>
          </w:p>
          <w:p w14:paraId="63047B06">
            <w:pPr>
              <w:widowControl/>
              <w:jc w:val="left"/>
              <w:textAlignment w:val="center"/>
              <w:rPr>
                <w:rFonts w:ascii="宋体" w:hAnsi="宋体"/>
                <w:color w:val="000000"/>
                <w:kern w:val="0"/>
                <w:sz w:val="20"/>
                <w:szCs w:val="20"/>
                <w:lang w:bidi="ar"/>
              </w:rPr>
            </w:pPr>
            <w:r>
              <w:rPr>
                <w:rFonts w:hint="eastAsia" w:ascii="宋体" w:hAnsi="宋体"/>
                <w:color w:val="000000"/>
                <w:kern w:val="0"/>
                <w:sz w:val="20"/>
                <w:szCs w:val="20"/>
                <w:lang w:bidi="ar"/>
              </w:rPr>
              <w:t>8、认证：3C认证，节能认证，十环认证；</w:t>
            </w:r>
          </w:p>
          <w:p w14:paraId="378864FC">
            <w:pPr>
              <w:widowControl/>
              <w:jc w:val="left"/>
              <w:textAlignment w:val="center"/>
              <w:rPr>
                <w:rFonts w:ascii="宋体" w:hAnsi="宋体"/>
                <w:color w:val="000000"/>
                <w:kern w:val="0"/>
                <w:sz w:val="20"/>
                <w:szCs w:val="20"/>
                <w:lang w:bidi="ar"/>
              </w:rPr>
            </w:pPr>
            <w:r>
              <w:rPr>
                <w:rFonts w:hint="eastAsia" w:ascii="宋体" w:hAnsi="宋体"/>
                <w:color w:val="000000"/>
                <w:kern w:val="0"/>
                <w:sz w:val="20"/>
                <w:szCs w:val="20"/>
                <w:lang w:bidi="ar"/>
              </w:rPr>
              <w:t>9、系统：Win 11 或 win10专业版；</w:t>
            </w:r>
          </w:p>
          <w:p w14:paraId="1D31F09E">
            <w:pPr>
              <w:widowControl/>
              <w:jc w:val="left"/>
              <w:textAlignment w:val="center"/>
              <w:rPr>
                <w:rFonts w:ascii="宋体" w:hAnsi="宋体"/>
                <w:spacing w:val="8"/>
                <w:sz w:val="24"/>
                <w:szCs w:val="24"/>
              </w:rPr>
            </w:pPr>
            <w:r>
              <w:rPr>
                <w:rFonts w:hint="eastAsia" w:ascii="宋体" w:hAnsi="宋体"/>
                <w:color w:val="000000"/>
                <w:kern w:val="0"/>
                <w:sz w:val="20"/>
                <w:szCs w:val="20"/>
                <w:lang w:bidi="ar"/>
              </w:rPr>
              <w:t>1</w:t>
            </w:r>
            <w:r>
              <w:rPr>
                <w:rFonts w:hint="eastAsia" w:ascii="宋体" w:hAnsi="宋体"/>
                <w:color w:val="000000"/>
                <w:kern w:val="0"/>
                <w:sz w:val="20"/>
                <w:szCs w:val="20"/>
                <w:lang w:val="en-US" w:eastAsia="zh-CN" w:bidi="ar"/>
              </w:rPr>
              <w:t>0</w:t>
            </w:r>
            <w:r>
              <w:rPr>
                <w:rFonts w:hint="eastAsia" w:ascii="宋体" w:hAnsi="宋体"/>
                <w:color w:val="000000"/>
                <w:kern w:val="0"/>
                <w:sz w:val="20"/>
                <w:szCs w:val="20"/>
                <w:lang w:bidi="ar"/>
              </w:rPr>
              <w:t>、质保：三年质保；</w:t>
            </w:r>
          </w:p>
        </w:tc>
        <w:tc>
          <w:tcPr>
            <w:tcW w:w="708" w:type="dxa"/>
            <w:vAlign w:val="center"/>
          </w:tcPr>
          <w:p w14:paraId="7596BE78">
            <w:pPr>
              <w:widowControl/>
              <w:jc w:val="center"/>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kern w:val="0"/>
                <w:sz w:val="20"/>
                <w:szCs w:val="20"/>
                <w:lang w:bidi="ar"/>
              </w:rPr>
              <w:t>台</w:t>
            </w:r>
          </w:p>
        </w:tc>
        <w:tc>
          <w:tcPr>
            <w:tcW w:w="567" w:type="dxa"/>
            <w:vAlign w:val="center"/>
          </w:tcPr>
          <w:p w14:paraId="685E4647">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kern w:val="0"/>
                <w:sz w:val="20"/>
                <w:szCs w:val="20"/>
                <w:lang w:bidi="ar"/>
              </w:rPr>
              <w:t>1</w:t>
            </w:r>
          </w:p>
        </w:tc>
        <w:tc>
          <w:tcPr>
            <w:tcW w:w="851" w:type="dxa"/>
            <w:vAlign w:val="center"/>
          </w:tcPr>
          <w:p w14:paraId="36799388">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kern w:val="0"/>
                <w:sz w:val="20"/>
                <w:szCs w:val="20"/>
                <w:lang w:bidi="ar"/>
              </w:rPr>
              <w:t>14500</w:t>
            </w:r>
          </w:p>
        </w:tc>
        <w:tc>
          <w:tcPr>
            <w:tcW w:w="992" w:type="dxa"/>
            <w:vAlign w:val="center"/>
          </w:tcPr>
          <w:p w14:paraId="4B5A9281">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kern w:val="0"/>
                <w:sz w:val="20"/>
                <w:szCs w:val="20"/>
                <w:lang w:bidi="ar"/>
              </w:rPr>
              <w:t>14500</w:t>
            </w:r>
          </w:p>
        </w:tc>
        <w:tc>
          <w:tcPr>
            <w:tcW w:w="709" w:type="dxa"/>
            <w:vAlign w:val="center"/>
          </w:tcPr>
          <w:p w14:paraId="05AD5966">
            <w:pPr>
              <w:widowControl/>
              <w:jc w:val="center"/>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kern w:val="0"/>
                <w:sz w:val="20"/>
                <w:szCs w:val="20"/>
                <w:lang w:bidi="ar"/>
              </w:rPr>
              <w:t>否</w:t>
            </w:r>
          </w:p>
        </w:tc>
        <w:tc>
          <w:tcPr>
            <w:tcW w:w="3402" w:type="dxa"/>
            <w:vAlign w:val="bottom"/>
          </w:tcPr>
          <w:p w14:paraId="021D0BDB">
            <w:pPr>
              <w:widowControl/>
              <w:jc w:val="left"/>
              <w:textAlignment w:val="bottom"/>
              <w:rPr>
                <w:color w:val="000000" w:themeColor="text1"/>
                <w:sz w:val="24"/>
                <w:szCs w:val="24"/>
                <w:u w:val="single"/>
                <w14:textFill>
                  <w14:solidFill>
                    <w14:schemeClr w14:val="tx1"/>
                  </w14:solidFill>
                </w14:textFill>
              </w:rPr>
            </w:pPr>
            <w:r>
              <w:rPr>
                <w:rFonts w:hint="eastAsia" w:ascii="宋体" w:hAnsi="宋体"/>
                <w:color w:val="000000"/>
                <w:kern w:val="0"/>
                <w:sz w:val="24"/>
                <w:szCs w:val="24"/>
                <w:bdr w:val="single" w:color="000000" w:sz="4" w:space="0"/>
              </w:rPr>
              <w:drawing>
                <wp:anchor distT="0" distB="0" distL="114300" distR="114300" simplePos="0" relativeHeight="251659264" behindDoc="0" locked="0" layoutInCell="1" allowOverlap="1">
                  <wp:simplePos x="0" y="0"/>
                  <wp:positionH relativeFrom="column">
                    <wp:posOffset>693420</wp:posOffset>
                  </wp:positionH>
                  <wp:positionV relativeFrom="paragraph">
                    <wp:posOffset>-2390140</wp:posOffset>
                  </wp:positionV>
                  <wp:extent cx="452120" cy="747395"/>
                  <wp:effectExtent l="0" t="0" r="5080" b="5080"/>
                  <wp:wrapNone/>
                  <wp:docPr id="25" name="ID_64F9519E933548408AB8C422A5BE89D2"/>
                  <wp:cNvGraphicFramePr/>
                  <a:graphic xmlns:a="http://schemas.openxmlformats.org/drawingml/2006/main">
                    <a:graphicData uri="http://schemas.openxmlformats.org/drawingml/2006/picture">
                      <pic:pic xmlns:pic="http://schemas.openxmlformats.org/drawingml/2006/picture">
                        <pic:nvPicPr>
                          <pic:cNvPr id="25" name="ID_64F9519E933548408AB8C422A5BE89D2"/>
                          <pic:cNvPicPr/>
                        </pic:nvPicPr>
                        <pic:blipFill>
                          <a:blip r:embed="rId7"/>
                          <a:stretch>
                            <a:fillRect/>
                          </a:stretch>
                        </pic:blipFill>
                        <pic:spPr>
                          <a:xfrm>
                            <a:off x="0" y="0"/>
                            <a:ext cx="452120" cy="747395"/>
                          </a:xfrm>
                          <a:prstGeom prst="rect">
                            <a:avLst/>
                          </a:prstGeom>
                          <a:noFill/>
                          <a:ln>
                            <a:noFill/>
                          </a:ln>
                        </pic:spPr>
                      </pic:pic>
                    </a:graphicData>
                  </a:graphic>
                </wp:anchor>
              </w:drawing>
            </w:r>
          </w:p>
        </w:tc>
        <w:tc>
          <w:tcPr>
            <w:tcW w:w="567" w:type="dxa"/>
            <w:vAlign w:val="center"/>
          </w:tcPr>
          <w:p w14:paraId="020C5B77">
            <w:pPr>
              <w:widowControl/>
              <w:jc w:val="center"/>
              <w:textAlignment w:val="center"/>
              <w:rPr>
                <w:rFonts w:ascii="宋体" w:hAnsi="宋体"/>
                <w:sz w:val="24"/>
                <w:szCs w:val="24"/>
                <w:u w:val="single"/>
              </w:rPr>
            </w:pPr>
          </w:p>
        </w:tc>
      </w:tr>
      <w:tr w14:paraId="2222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Align w:val="center"/>
          </w:tcPr>
          <w:p w14:paraId="36F55707">
            <w:pPr>
              <w:widowControl/>
              <w:jc w:val="center"/>
              <w:textAlignment w:val="center"/>
              <w:rPr>
                <w:rFonts w:ascii="宋体" w:hAnsi="宋体"/>
                <w:sz w:val="24"/>
                <w:szCs w:val="24"/>
                <w:u w:val="single"/>
              </w:rPr>
            </w:pPr>
            <w:r>
              <w:rPr>
                <w:rFonts w:hint="eastAsia" w:ascii="宋体" w:hAnsi="宋体"/>
                <w:color w:val="000000"/>
                <w:kern w:val="0"/>
                <w:sz w:val="20"/>
                <w:szCs w:val="20"/>
                <w:lang w:bidi="ar"/>
              </w:rPr>
              <w:t>3</w:t>
            </w:r>
          </w:p>
        </w:tc>
        <w:tc>
          <w:tcPr>
            <w:tcW w:w="851" w:type="dxa"/>
            <w:vAlign w:val="center"/>
          </w:tcPr>
          <w:p w14:paraId="548EFDEC">
            <w:pPr>
              <w:widowControl/>
              <w:jc w:val="center"/>
              <w:textAlignment w:val="center"/>
              <w:rPr>
                <w:rFonts w:ascii="宋体" w:hAnsi="宋体"/>
                <w:sz w:val="24"/>
                <w:szCs w:val="24"/>
              </w:rPr>
            </w:pPr>
            <w:r>
              <w:rPr>
                <w:rFonts w:hint="eastAsia" w:ascii="宋体" w:hAnsi="宋体"/>
                <w:color w:val="000000"/>
                <w:kern w:val="0"/>
                <w:sz w:val="20"/>
                <w:szCs w:val="20"/>
                <w:lang w:bidi="ar"/>
              </w:rPr>
              <w:t>移动实训显示终端</w:t>
            </w:r>
          </w:p>
        </w:tc>
        <w:tc>
          <w:tcPr>
            <w:tcW w:w="1275" w:type="dxa"/>
            <w:vAlign w:val="center"/>
          </w:tcPr>
          <w:p w14:paraId="40B60A09">
            <w:pPr>
              <w:widowControl/>
              <w:jc w:val="center"/>
              <w:textAlignment w:val="center"/>
              <w:rPr>
                <w:rFonts w:ascii="宋体" w:hAnsi="宋体"/>
                <w:sz w:val="24"/>
                <w:szCs w:val="24"/>
              </w:rPr>
            </w:pPr>
            <w:r>
              <w:rPr>
                <w:rFonts w:hint="eastAsia" w:ascii="宋体" w:hAnsi="宋体"/>
                <w:color w:val="000000"/>
                <w:kern w:val="0"/>
                <w:sz w:val="20"/>
                <w:szCs w:val="20"/>
                <w:lang w:bidi="ar"/>
              </w:rPr>
              <w:t>希沃/鸿合/海信</w:t>
            </w:r>
          </w:p>
        </w:tc>
        <w:tc>
          <w:tcPr>
            <w:tcW w:w="4962" w:type="dxa"/>
            <w:vAlign w:val="center"/>
          </w:tcPr>
          <w:p w14:paraId="35D20E4C">
            <w:pPr>
              <w:pStyle w:val="14"/>
              <w:widowControl/>
              <w:numPr>
                <w:ilvl w:val="0"/>
                <w:numId w:val="2"/>
              </w:numPr>
              <w:ind w:firstLineChars="0"/>
              <w:jc w:val="left"/>
              <w:textAlignment w:val="center"/>
              <w:rPr>
                <w:rFonts w:ascii="宋体" w:hAnsi="宋体"/>
                <w:spacing w:val="8"/>
                <w:sz w:val="24"/>
              </w:rPr>
            </w:pPr>
            <w:r>
              <w:rPr>
                <w:rFonts w:hint="eastAsia" w:ascii="宋体" w:hAnsi="宋体"/>
                <w:color w:val="000000"/>
                <w:kern w:val="0"/>
                <w:sz w:val="20"/>
                <w:szCs w:val="20"/>
              </w:rPr>
              <w:t>系统性能要求</w:t>
            </w:r>
            <w:r>
              <w:rPr>
                <w:rFonts w:hint="eastAsia" w:ascii="宋体" w:hAnsi="宋体"/>
                <w:color w:val="000000"/>
                <w:kern w:val="0"/>
                <w:sz w:val="20"/>
                <w:szCs w:val="20"/>
              </w:rPr>
              <w:br w:type="textWrapping"/>
            </w:r>
            <w:r>
              <w:rPr>
                <w:rFonts w:hint="eastAsia" w:ascii="宋体" w:hAnsi="宋体"/>
                <w:color w:val="000000"/>
                <w:kern w:val="0"/>
                <w:sz w:val="20"/>
                <w:szCs w:val="20"/>
              </w:rPr>
              <w:t>（一）嵌入式系统</w:t>
            </w:r>
            <w:r>
              <w:rPr>
                <w:rFonts w:hint="eastAsia" w:ascii="宋体" w:hAnsi="宋体"/>
                <w:color w:val="000000"/>
                <w:kern w:val="0"/>
                <w:sz w:val="20"/>
                <w:szCs w:val="20"/>
              </w:rPr>
              <w:br w:type="textWrapping"/>
            </w:r>
            <w:r>
              <w:rPr>
                <w:rFonts w:hint="eastAsia" w:ascii="宋体" w:hAnsi="宋体"/>
                <w:color w:val="000000"/>
                <w:kern w:val="0"/>
                <w:sz w:val="20"/>
                <w:szCs w:val="20"/>
              </w:rPr>
              <w:t>★1、嵌入式系统版本不低于Android 13，内存≥</w:t>
            </w:r>
            <w:r>
              <w:rPr>
                <w:rFonts w:hint="eastAsia" w:ascii="宋体" w:hAnsi="宋体"/>
                <w:color w:val="000000"/>
                <w:kern w:val="0"/>
                <w:sz w:val="20"/>
                <w:szCs w:val="20"/>
                <w:lang w:val="en-US" w:eastAsia="zh-CN"/>
              </w:rPr>
              <w:t>4</w:t>
            </w:r>
            <w:r>
              <w:rPr>
                <w:rFonts w:hint="eastAsia" w:ascii="宋体" w:hAnsi="宋体"/>
                <w:color w:val="000000"/>
                <w:kern w:val="0"/>
                <w:sz w:val="20"/>
                <w:szCs w:val="20"/>
              </w:rPr>
              <w:t>GB，存储空间≥</w:t>
            </w:r>
            <w:r>
              <w:rPr>
                <w:rFonts w:hint="eastAsia" w:ascii="宋体" w:hAnsi="宋体"/>
                <w:color w:val="000000"/>
                <w:kern w:val="0"/>
                <w:sz w:val="20"/>
                <w:szCs w:val="20"/>
                <w:lang w:val="en-US" w:eastAsia="zh-CN"/>
              </w:rPr>
              <w:t xml:space="preserve"> 16</w:t>
            </w:r>
            <w:r>
              <w:rPr>
                <w:rFonts w:hint="eastAsia" w:ascii="宋体" w:hAnsi="宋体"/>
                <w:color w:val="000000"/>
                <w:kern w:val="0"/>
                <w:sz w:val="20"/>
                <w:szCs w:val="20"/>
              </w:rPr>
              <w:t>GB。（投标时须提供国家认可的第三方检测机构出具的关于该功能检测报告复印件）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2、嵌入式Android操作系统下，白板支持对已经书写的笔迹和形状的颜色进行更换。</w:t>
            </w:r>
            <w:r>
              <w:rPr>
                <w:rFonts w:hint="eastAsia" w:ascii="宋体" w:hAnsi="宋体"/>
                <w:color w:val="000000"/>
                <w:kern w:val="0"/>
                <w:sz w:val="20"/>
                <w:szCs w:val="20"/>
              </w:rPr>
              <w:br w:type="textWrapping"/>
            </w:r>
            <w:r>
              <w:rPr>
                <w:rFonts w:hint="eastAsia" w:ascii="宋体" w:hAnsi="宋体"/>
                <w:color w:val="000000"/>
                <w:kern w:val="0"/>
                <w:sz w:val="20"/>
                <w:szCs w:val="20"/>
              </w:rPr>
              <w:t>3、在嵌入式系统下使用白板软件时，整机可自行调节屏幕亮度</w:t>
            </w:r>
            <w:r>
              <w:rPr>
                <w:rFonts w:hint="eastAsia" w:ascii="宋体" w:hAnsi="宋体"/>
                <w:color w:val="000000"/>
                <w:kern w:val="0"/>
                <w:sz w:val="20"/>
                <w:szCs w:val="20"/>
              </w:rPr>
              <w:br w:type="textWrapping"/>
            </w:r>
            <w:r>
              <w:rPr>
                <w:rFonts w:hint="eastAsia" w:ascii="宋体" w:hAnsi="宋体"/>
                <w:color w:val="000000"/>
                <w:kern w:val="0"/>
                <w:sz w:val="20"/>
                <w:szCs w:val="20"/>
              </w:rPr>
              <w:t>4、嵌入式Android操作系统下，互动白板支持不同背景颜色，同时提供学科背景，如：五线谱、信纸、田字格、英文格、篮球和足球场地平面图。</w:t>
            </w:r>
            <w:r>
              <w:rPr>
                <w:rFonts w:hint="eastAsia" w:ascii="宋体" w:hAnsi="宋体"/>
                <w:color w:val="000000"/>
                <w:kern w:val="0"/>
                <w:sz w:val="20"/>
                <w:szCs w:val="20"/>
              </w:rPr>
              <w:br w:type="textWrapping"/>
            </w:r>
            <w:r>
              <w:rPr>
                <w:rFonts w:hint="eastAsia" w:ascii="宋体" w:hAnsi="宋体"/>
                <w:color w:val="000000"/>
                <w:kern w:val="0"/>
                <w:sz w:val="20"/>
                <w:szCs w:val="20"/>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color w:val="000000"/>
                <w:kern w:val="0"/>
                <w:sz w:val="20"/>
                <w:szCs w:val="20"/>
              </w:rPr>
              <w:br w:type="textWrapping"/>
            </w:r>
            <w:r>
              <w:rPr>
                <w:rFonts w:hint="eastAsia" w:ascii="宋体" w:hAnsi="宋体"/>
                <w:color w:val="000000"/>
                <w:kern w:val="0"/>
                <w:sz w:val="20"/>
                <w:szCs w:val="20"/>
              </w:rPr>
              <w:br w:type="textWrapping"/>
            </w:r>
            <w:r>
              <w:rPr>
                <w:rFonts w:hint="eastAsia" w:ascii="宋体" w:hAnsi="宋体"/>
                <w:color w:val="000000"/>
                <w:kern w:val="0"/>
                <w:sz w:val="20"/>
                <w:szCs w:val="20"/>
              </w:rPr>
              <w:t>（二）整机屏幕设计</w:t>
            </w:r>
            <w:r>
              <w:rPr>
                <w:rFonts w:hint="eastAsia" w:ascii="宋体" w:hAnsi="宋体"/>
                <w:color w:val="000000"/>
                <w:kern w:val="0"/>
                <w:sz w:val="20"/>
                <w:szCs w:val="20"/>
              </w:rPr>
              <w:br w:type="textWrapping"/>
            </w:r>
            <w:r>
              <w:rPr>
                <w:rFonts w:hint="eastAsia" w:ascii="宋体" w:hAnsi="宋体"/>
                <w:color w:val="000000"/>
                <w:kern w:val="0"/>
                <w:sz w:val="20"/>
                <w:szCs w:val="20"/>
              </w:rPr>
              <w:t>1、整机采用一体设计，外部无任何可见内部功能模块连接线。整机采用全金属外壳设计，边角采用弧形设计，表面无尖锐边缘或凸起。</w:t>
            </w:r>
            <w:r>
              <w:rPr>
                <w:rFonts w:hint="eastAsia" w:ascii="宋体" w:hAnsi="宋体"/>
                <w:color w:val="000000"/>
                <w:kern w:val="0"/>
                <w:sz w:val="20"/>
                <w:szCs w:val="20"/>
              </w:rPr>
              <w:br w:type="textWrapping"/>
            </w:r>
            <w:r>
              <w:rPr>
                <w:rFonts w:hint="eastAsia" w:ascii="宋体" w:hAnsi="宋体"/>
                <w:color w:val="000000"/>
                <w:kern w:val="0"/>
                <w:sz w:val="20"/>
                <w:szCs w:val="20"/>
              </w:rPr>
              <w:t>2、整机屏幕边缘采用金属圆角包边防护，整机背板采用金属材质，有效屏蔽内部电路器件辐射；防潮耐盐雾蚀锈，适应多种教学环境。</w:t>
            </w:r>
            <w:r>
              <w:rPr>
                <w:rFonts w:hint="eastAsia" w:ascii="宋体" w:hAnsi="宋体"/>
                <w:color w:val="000000"/>
                <w:kern w:val="0"/>
                <w:sz w:val="20"/>
                <w:szCs w:val="20"/>
              </w:rPr>
              <w:br w:type="textWrapping"/>
            </w:r>
            <w:r>
              <w:rPr>
                <w:rFonts w:hint="eastAsia" w:ascii="宋体" w:hAnsi="宋体"/>
                <w:color w:val="000000"/>
                <w:kern w:val="0"/>
                <w:sz w:val="20"/>
                <w:szCs w:val="20"/>
              </w:rPr>
              <w:t>★3、整机屏幕采用≥65英寸液晶显示器，采用UHD超高清LED液晶屏，显示比例16:9，分辨率3840×2160，色域覆盖率（NTSC）≥72%，灰度等级≥256级。</w:t>
            </w:r>
            <w:r>
              <w:rPr>
                <w:rFonts w:hint="eastAsia" w:ascii="宋体" w:hAnsi="宋体"/>
                <w:color w:val="000000"/>
                <w:kern w:val="0"/>
                <w:sz w:val="20"/>
                <w:szCs w:val="20"/>
              </w:rPr>
              <w:br w:type="textWrapping"/>
            </w:r>
            <w:r>
              <w:rPr>
                <w:rFonts w:hint="eastAsia" w:ascii="宋体" w:hAnsi="宋体"/>
                <w:color w:val="000000"/>
                <w:kern w:val="0"/>
                <w:sz w:val="20"/>
                <w:szCs w:val="20"/>
              </w:rPr>
              <w:t>4、整机采用全物理钢化玻璃，有效保护屏幕显示画面，采用防眩光玻璃，屏幕支持防眩光功能，钢化玻璃表面硬度≥9H。</w:t>
            </w:r>
            <w:r>
              <w:rPr>
                <w:rFonts w:hint="eastAsia" w:ascii="宋体" w:hAnsi="宋体"/>
                <w:color w:val="000000"/>
                <w:kern w:val="0"/>
                <w:sz w:val="20"/>
                <w:szCs w:val="20"/>
              </w:rPr>
              <w:br w:type="textWrapping"/>
            </w:r>
            <w:r>
              <w:rPr>
                <w:rFonts w:hint="eastAsia" w:ascii="宋体" w:hAnsi="宋体"/>
                <w:color w:val="000000"/>
                <w:kern w:val="0"/>
                <w:sz w:val="20"/>
                <w:szCs w:val="20"/>
              </w:rPr>
              <w:t>★5、整机采用硬件低蓝光背光技术，在源头减少有害蓝光波段能量，蓝光占比（有害蓝光415～455nm能量综合）/（整体蓝光400～500能量综合）≤50%，低蓝光保护显示不偏色、不泛黄。</w:t>
            </w:r>
            <w:r>
              <w:rPr>
                <w:rFonts w:hint="eastAsia" w:ascii="宋体" w:hAnsi="宋体"/>
                <w:color w:val="000000"/>
                <w:kern w:val="0"/>
                <w:sz w:val="20"/>
                <w:szCs w:val="20"/>
              </w:rPr>
              <w:br w:type="textWrapping"/>
            </w:r>
            <w:r>
              <w:rPr>
                <w:rFonts w:hint="eastAsia" w:ascii="宋体" w:hAnsi="宋体"/>
                <w:color w:val="000000"/>
                <w:kern w:val="0"/>
                <w:sz w:val="20"/>
                <w:szCs w:val="20"/>
              </w:rPr>
              <w:t>★6、整机支持色彩空间可选，包含标准模式和sRGB模式，在sRGB模式下可做到高色准△E≤1.0。（投标时须提供国家认可的第三方检测机构出具的关于该功能检测报告复印件）</w:t>
            </w:r>
          </w:p>
          <w:p w14:paraId="07E578B9">
            <w:pPr>
              <w:rPr>
                <w:highlight w:val="yellow"/>
              </w:rPr>
            </w:pPr>
            <w:r>
              <w:rPr>
                <w:szCs w:val="24"/>
                <w:highlight w:val="yellow"/>
              </w:rPr>
              <w:t>（</w:t>
            </w:r>
            <w:r>
              <w:rPr>
                <w:rFonts w:hint="eastAsia"/>
                <w:szCs w:val="24"/>
                <w:highlight w:val="yellow"/>
              </w:rPr>
              <w:t>三</w:t>
            </w:r>
            <w:r>
              <w:rPr>
                <w:szCs w:val="24"/>
                <w:highlight w:val="yellow"/>
              </w:rPr>
              <w:t>）</w:t>
            </w:r>
            <w:r>
              <w:rPr>
                <w:rFonts w:hint="eastAsia"/>
                <w:szCs w:val="24"/>
                <w:highlight w:val="yellow"/>
              </w:rPr>
              <w:t>OPS</w:t>
            </w:r>
            <w:r>
              <w:rPr>
                <w:szCs w:val="24"/>
                <w:highlight w:val="yellow"/>
              </w:rPr>
              <w:t>电脑系统</w:t>
            </w:r>
          </w:p>
          <w:p w14:paraId="5C3C11FF">
            <w:pPr>
              <w:rPr>
                <w:highlight w:val="yellow"/>
              </w:rPr>
            </w:pPr>
            <w:r>
              <w:rPr>
                <w:rFonts w:hint="eastAsia" w:ascii="宋体" w:hAnsi="宋体"/>
                <w:color w:val="000000"/>
                <w:kern w:val="0"/>
                <w:sz w:val="20"/>
                <w:szCs w:val="20"/>
                <w:highlight w:val="yellow"/>
              </w:rPr>
              <w:t>★</w:t>
            </w:r>
            <w:r>
              <w:rPr>
                <w:szCs w:val="24"/>
                <w:highlight w:val="yellow"/>
              </w:rPr>
              <w:t>1、CPU：搭载Intel  酷睿系列≥ i5 CPU。</w:t>
            </w:r>
          </w:p>
          <w:p w14:paraId="03D71B20">
            <w:pPr>
              <w:rPr>
                <w:highlight w:val="yellow"/>
              </w:rPr>
            </w:pPr>
            <w:r>
              <w:rPr>
                <w:rFonts w:hint="eastAsia" w:ascii="宋体" w:hAnsi="宋体"/>
                <w:color w:val="000000"/>
                <w:kern w:val="0"/>
                <w:sz w:val="20"/>
                <w:szCs w:val="20"/>
                <w:highlight w:val="yellow"/>
              </w:rPr>
              <w:t>★</w:t>
            </w:r>
            <w:r>
              <w:rPr>
                <w:szCs w:val="24"/>
                <w:highlight w:val="yellow"/>
              </w:rPr>
              <w:t>2、内存：</w:t>
            </w:r>
            <w:r>
              <w:rPr>
                <w:rFonts w:hint="eastAsia"/>
                <w:szCs w:val="24"/>
                <w:highlight w:val="yellow"/>
                <w:lang w:val="en-US" w:eastAsia="zh-CN"/>
              </w:rPr>
              <w:t>16</w:t>
            </w:r>
            <w:r>
              <w:rPr>
                <w:szCs w:val="24"/>
                <w:highlight w:val="yellow"/>
              </w:rPr>
              <w:t>GB DDR4笔记本内存或以上配置。</w:t>
            </w:r>
          </w:p>
          <w:p w14:paraId="271F237F">
            <w:pPr>
              <w:rPr>
                <w:highlight w:val="yellow"/>
              </w:rPr>
            </w:pPr>
            <w:r>
              <w:rPr>
                <w:rFonts w:hint="eastAsia" w:ascii="宋体" w:hAnsi="宋体"/>
                <w:color w:val="000000"/>
                <w:kern w:val="0"/>
                <w:sz w:val="20"/>
                <w:szCs w:val="20"/>
                <w:highlight w:val="yellow"/>
              </w:rPr>
              <w:t>★</w:t>
            </w:r>
            <w:r>
              <w:rPr>
                <w:szCs w:val="24"/>
                <w:highlight w:val="yellow"/>
              </w:rPr>
              <w:t>3、硬盘：</w:t>
            </w:r>
            <w:r>
              <w:rPr>
                <w:rFonts w:hint="eastAsia"/>
                <w:szCs w:val="24"/>
                <w:highlight w:val="yellow"/>
                <w:lang w:val="en-US" w:eastAsia="zh-CN"/>
              </w:rPr>
              <w:t>512</w:t>
            </w:r>
            <w:r>
              <w:rPr>
                <w:szCs w:val="24"/>
                <w:highlight w:val="yellow"/>
              </w:rPr>
              <w:t>GB或以上SSD固态硬盘。</w:t>
            </w:r>
          </w:p>
          <w:p w14:paraId="533B831B">
            <w:pPr>
              <w:rPr>
                <w:highlight w:val="yellow"/>
              </w:rPr>
            </w:pPr>
            <w:r>
              <w:rPr>
                <w:szCs w:val="24"/>
                <w:highlight w:val="yellow"/>
              </w:rPr>
              <w:t>4、采用按压式卡扣，无需工具即可快速拆卸电脑模块。</w:t>
            </w:r>
          </w:p>
          <w:p w14:paraId="54CD5247">
            <w:pPr>
              <w:rPr>
                <w:highlight w:val="yellow"/>
              </w:rPr>
            </w:pPr>
            <w:r>
              <w:rPr>
                <w:szCs w:val="24"/>
                <w:highlight w:val="yellow"/>
              </w:rPr>
              <w:t>5、PC 模块可抽拉式插入整机，可实现无单独接线的拔插。</w:t>
            </w:r>
          </w:p>
          <w:p w14:paraId="20BCEF69">
            <w:pPr>
              <w:rPr>
                <w:highlight w:val="yellow"/>
              </w:rPr>
            </w:pPr>
            <w:r>
              <w:rPr>
                <w:szCs w:val="24"/>
                <w:highlight w:val="yellow"/>
              </w:rPr>
              <w:t>6、具有独立非外拓展的视频输出接口：≥1 路 HDMI。</w:t>
            </w:r>
          </w:p>
          <w:p w14:paraId="55687998">
            <w:pPr>
              <w:rPr>
                <w:highlight w:val="yellow"/>
              </w:rPr>
            </w:pPr>
            <w:r>
              <w:rPr>
                <w:szCs w:val="24"/>
                <w:highlight w:val="yellow"/>
              </w:rPr>
              <w:t>7、具有独立非外拓展的电脑 USB 接口：至少具备 4个USB3.0 接口。</w:t>
            </w:r>
          </w:p>
          <w:p w14:paraId="6E2BCED6">
            <w:pPr>
              <w:rPr>
                <w:highlight w:val="yellow"/>
              </w:rPr>
            </w:pPr>
            <w:r>
              <w:rPr>
                <w:szCs w:val="24"/>
                <w:highlight w:val="yellow"/>
              </w:rPr>
              <w:t>8、具有标准 PC 防盗锁孔，确保电脑模块安全防盗。</w:t>
            </w:r>
          </w:p>
          <w:p w14:paraId="4207FA07">
            <w:pPr>
              <w:rPr>
                <w:highlight w:val="yellow"/>
              </w:rPr>
            </w:pPr>
            <w:r>
              <w:rPr>
                <w:szCs w:val="24"/>
                <w:highlight w:val="yellow"/>
              </w:rPr>
              <w:t>9、和整机的连接采用万兆级接口，传输速率≥10Gbps。</w:t>
            </w:r>
          </w:p>
          <w:p w14:paraId="5291208B">
            <w:pPr>
              <w:widowControl/>
              <w:jc w:val="left"/>
              <w:textAlignment w:val="center"/>
              <w:rPr>
                <w:rFonts w:hint="eastAsia" w:ascii="宋体" w:hAnsi="宋体"/>
                <w:color w:val="000000"/>
                <w:kern w:val="0"/>
                <w:sz w:val="20"/>
                <w:szCs w:val="20"/>
              </w:rPr>
            </w:pPr>
            <w:r>
              <w:rPr>
                <w:szCs w:val="24"/>
                <w:highlight w:val="yellow"/>
              </w:rPr>
              <w:t>10、和整机的连接接口针脚数≤40pin。</w:t>
            </w:r>
            <w:r>
              <w:rPr>
                <w:rFonts w:hint="eastAsia" w:ascii="宋体" w:hAnsi="宋体"/>
                <w:color w:val="000000"/>
                <w:kern w:val="0"/>
                <w:sz w:val="20"/>
                <w:szCs w:val="20"/>
                <w:highlight w:val="yellow"/>
              </w:rPr>
              <w:t>二、整机系统设计</w:t>
            </w:r>
            <w:r>
              <w:rPr>
                <w:rFonts w:hint="eastAsia" w:ascii="宋体" w:hAnsi="宋体"/>
                <w:color w:val="000000"/>
                <w:kern w:val="0"/>
                <w:sz w:val="20"/>
                <w:szCs w:val="20"/>
              </w:rPr>
              <w:br w:type="textWrapping"/>
            </w:r>
            <w:r>
              <w:rPr>
                <w:rFonts w:hint="eastAsia" w:ascii="宋体" w:hAnsi="宋体"/>
                <w:color w:val="000000"/>
                <w:kern w:val="0"/>
                <w:sz w:val="20"/>
                <w:szCs w:val="20"/>
              </w:rPr>
              <w:t>（一）触摸系统</w:t>
            </w:r>
            <w:r>
              <w:rPr>
                <w:rFonts w:hint="eastAsia" w:ascii="宋体" w:hAnsi="宋体"/>
                <w:color w:val="000000"/>
                <w:kern w:val="0"/>
                <w:sz w:val="20"/>
                <w:szCs w:val="20"/>
              </w:rPr>
              <w:br w:type="textWrapping"/>
            </w:r>
            <w:r>
              <w:rPr>
                <w:rFonts w:hint="eastAsia" w:ascii="宋体" w:hAnsi="宋体"/>
                <w:color w:val="000000"/>
                <w:kern w:val="0"/>
                <w:sz w:val="20"/>
                <w:szCs w:val="20"/>
              </w:rPr>
              <w:t>★1、采用红外触控技术，支持Windows系统中进行40点或以上触控，支持在Android系统中进行40点或以上触控。（投标时须提供国家认可的第三方检测机构出具的关于该功能检测报告复印件）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2、整机屏幕触摸有效识别高度不超过1.5mm，即触摸物体距离玻璃外表面高度不超过1.5mm时，触摸屏识别为点击操作。</w:t>
            </w:r>
            <w:r>
              <w:rPr>
                <w:rFonts w:hint="eastAsia" w:ascii="宋体" w:hAnsi="宋体"/>
                <w:color w:val="000000"/>
                <w:kern w:val="0"/>
                <w:sz w:val="20"/>
                <w:szCs w:val="20"/>
              </w:rPr>
              <w:br w:type="textWrapping"/>
            </w:r>
            <w:r>
              <w:rPr>
                <w:rFonts w:hint="eastAsia" w:ascii="宋体" w:hAnsi="宋体"/>
                <w:color w:val="000000"/>
                <w:kern w:val="0"/>
                <w:sz w:val="20"/>
                <w:szCs w:val="20"/>
              </w:rPr>
              <w:t>3、整机触控书写功能集成预测算法，在书写速度≥50cm/s，支持笔迹距离笔的距离小于20mm。</w:t>
            </w:r>
            <w:r>
              <w:rPr>
                <w:rFonts w:hint="eastAsia" w:ascii="宋体" w:hAnsi="宋体"/>
                <w:color w:val="000000"/>
                <w:kern w:val="0"/>
                <w:sz w:val="20"/>
                <w:szCs w:val="20"/>
              </w:rPr>
              <w:br w:type="textWrapping"/>
            </w:r>
            <w:r>
              <w:rPr>
                <w:rFonts w:hint="eastAsia" w:ascii="宋体" w:hAnsi="宋体"/>
                <w:color w:val="000000"/>
                <w:kern w:val="0"/>
                <w:sz w:val="20"/>
                <w:szCs w:val="20"/>
              </w:rPr>
              <w:t>4、整机系统支持书写触控延迟≤25ms</w:t>
            </w:r>
            <w:r>
              <w:rPr>
                <w:rFonts w:hint="eastAsia" w:ascii="宋体" w:hAnsi="宋体"/>
                <w:color w:val="000000"/>
                <w:kern w:val="0"/>
                <w:sz w:val="20"/>
                <w:szCs w:val="20"/>
              </w:rPr>
              <w:br w:type="textWrapping"/>
            </w:r>
            <w:r>
              <w:rPr>
                <w:rFonts w:hint="eastAsia" w:ascii="宋体" w:hAnsi="宋体"/>
                <w:color w:val="000000"/>
                <w:kern w:val="0"/>
                <w:sz w:val="20"/>
                <w:szCs w:val="20"/>
              </w:rPr>
              <w:t>★5、整机支持提笔书写，在Windows系统下可实现无需点击任意功能入口，当检测到红外笔笔尖接触屏幕时，自动进入书写模式。（投标时须提供国家认可的第三方检测机构出具的关于该功能检测报告复印件）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6、支持智能板擦功能，系统可根据触控物体的形状自动识别出实物板擦，可擦除电子白板中的内容，无需依赖外部电子设备。</w:t>
            </w:r>
            <w:r>
              <w:rPr>
                <w:rFonts w:hint="eastAsia" w:ascii="宋体" w:hAnsi="宋体"/>
                <w:color w:val="000000"/>
                <w:kern w:val="0"/>
                <w:sz w:val="20"/>
                <w:szCs w:val="20"/>
              </w:rPr>
              <w:br w:type="textWrapping"/>
            </w:r>
            <w:r>
              <w:rPr>
                <w:rFonts w:hint="eastAsia" w:ascii="宋体" w:hAnsi="宋体"/>
                <w:color w:val="000000"/>
                <w:kern w:val="0"/>
                <w:sz w:val="20"/>
                <w:szCs w:val="20"/>
              </w:rPr>
              <w:t>7、支持Windows 7、Windows 8、Windows 10、Windows 11、Linux、Mac Os、UOS和麒麟系统外置电脑操作系统接入时，无需安装触摸驱动。</w:t>
            </w:r>
            <w:r>
              <w:rPr>
                <w:rFonts w:hint="eastAsia" w:ascii="宋体" w:hAnsi="宋体"/>
                <w:color w:val="000000"/>
                <w:kern w:val="0"/>
                <w:sz w:val="20"/>
                <w:szCs w:val="20"/>
              </w:rPr>
              <w:br w:type="textWrapping"/>
            </w:r>
            <w:r>
              <w:rPr>
                <w:rFonts w:hint="eastAsia" w:ascii="宋体" w:hAnsi="宋体"/>
                <w:color w:val="000000"/>
                <w:kern w:val="0"/>
                <w:sz w:val="20"/>
                <w:szCs w:val="20"/>
              </w:rPr>
              <w:t>★8、整机触摸支持动态压力感应，支持无任何电子功能的普通书写笔在整机上书写或点压时，整机能感应压力变化，书写或点压过程笔迹呈现不同粗细。</w:t>
            </w:r>
            <w:r>
              <w:rPr>
                <w:rFonts w:hint="eastAsia" w:ascii="宋体" w:hAnsi="宋体"/>
                <w:color w:val="000000"/>
                <w:kern w:val="0"/>
                <w:sz w:val="20"/>
                <w:szCs w:val="20"/>
              </w:rPr>
              <w:br w:type="textWrapping"/>
            </w:r>
            <w:r>
              <w:rPr>
                <w:rFonts w:hint="eastAsia" w:ascii="宋体" w:hAnsi="宋体"/>
                <w:color w:val="000000"/>
                <w:kern w:val="0"/>
                <w:sz w:val="20"/>
                <w:szCs w:val="20"/>
              </w:rPr>
              <w:t>（二）无线模块配置</w:t>
            </w:r>
            <w:r>
              <w:rPr>
                <w:rFonts w:hint="eastAsia" w:ascii="宋体" w:hAnsi="宋体"/>
                <w:color w:val="000000"/>
                <w:kern w:val="0"/>
                <w:sz w:val="20"/>
                <w:szCs w:val="20"/>
              </w:rPr>
              <w:br w:type="textWrapping"/>
            </w:r>
            <w:r>
              <w:rPr>
                <w:rFonts w:hint="eastAsia" w:ascii="宋体" w:hAnsi="宋体"/>
                <w:color w:val="000000"/>
                <w:kern w:val="0"/>
                <w:sz w:val="20"/>
                <w:szCs w:val="20"/>
              </w:rPr>
              <w:t>1.整机无需外接无线网卡，在Android和Windows系统下可实现Wi-Fi无线上网连接、AP无线热点发射和BT蓝牙连接功能。</w:t>
            </w:r>
            <w:r>
              <w:rPr>
                <w:rFonts w:hint="eastAsia" w:ascii="宋体" w:hAnsi="宋体"/>
                <w:color w:val="000000"/>
                <w:kern w:val="0"/>
                <w:sz w:val="20"/>
                <w:szCs w:val="20"/>
              </w:rPr>
              <w:br w:type="textWrapping"/>
            </w:r>
            <w:r>
              <w:rPr>
                <w:rFonts w:hint="eastAsia" w:ascii="宋体" w:hAnsi="宋体"/>
                <w:color w:val="000000"/>
                <w:kern w:val="0"/>
                <w:sz w:val="20"/>
                <w:szCs w:val="20"/>
              </w:rPr>
              <w:t>2.Wi-Fi和AP热点工作距离≥12m。</w:t>
            </w:r>
            <w:r>
              <w:rPr>
                <w:rFonts w:hint="eastAsia" w:ascii="宋体" w:hAnsi="宋体"/>
                <w:color w:val="000000"/>
                <w:kern w:val="0"/>
                <w:sz w:val="20"/>
                <w:szCs w:val="20"/>
              </w:rPr>
              <w:br w:type="textWrapping"/>
            </w:r>
            <w:r>
              <w:rPr>
                <w:rFonts w:hint="eastAsia" w:ascii="宋体" w:hAnsi="宋体"/>
                <w:color w:val="000000"/>
                <w:kern w:val="0"/>
                <w:sz w:val="20"/>
                <w:szCs w:val="20"/>
              </w:rPr>
              <w:t>3.整机支持蓝牙Bluetooth 5.4标准，固件版本号HCI13.0/LMP13.0。</w:t>
            </w:r>
            <w:r>
              <w:rPr>
                <w:rFonts w:hint="eastAsia" w:ascii="宋体" w:hAnsi="宋体"/>
                <w:color w:val="000000"/>
                <w:kern w:val="0"/>
                <w:sz w:val="20"/>
                <w:szCs w:val="20"/>
              </w:rPr>
              <w:br w:type="textWrapping"/>
            </w:r>
            <w:r>
              <w:rPr>
                <w:rFonts w:hint="eastAsia" w:ascii="宋体" w:hAnsi="宋体"/>
                <w:color w:val="000000"/>
                <w:kern w:val="0"/>
                <w:sz w:val="20"/>
                <w:szCs w:val="20"/>
              </w:rPr>
              <w:t>4.Wi-Fi制式支持IEEE 802.11 a/b/g/n/ac/ax；支持版本Wi-Fi6。</w:t>
            </w:r>
            <w:r>
              <w:rPr>
                <w:rFonts w:hint="eastAsia" w:ascii="宋体" w:hAnsi="宋体"/>
                <w:color w:val="000000"/>
                <w:kern w:val="0"/>
                <w:sz w:val="20"/>
                <w:szCs w:val="20"/>
              </w:rPr>
              <w:br w:type="textWrapping"/>
            </w:r>
            <w:r>
              <w:rPr>
                <w:rFonts w:hint="eastAsia" w:ascii="宋体" w:hAnsi="宋体"/>
                <w:color w:val="000000"/>
                <w:kern w:val="0"/>
                <w:sz w:val="20"/>
                <w:szCs w:val="20"/>
              </w:rPr>
              <w:t>三、整机接口级安全性能要求</w:t>
            </w:r>
            <w:r>
              <w:rPr>
                <w:rFonts w:hint="eastAsia" w:ascii="宋体" w:hAnsi="宋体"/>
                <w:color w:val="000000"/>
                <w:kern w:val="0"/>
                <w:sz w:val="20"/>
                <w:szCs w:val="20"/>
              </w:rPr>
              <w:br w:type="textWrapping"/>
            </w:r>
            <w:r>
              <w:rPr>
                <w:rFonts w:hint="eastAsia" w:ascii="宋体" w:hAnsi="宋体"/>
                <w:color w:val="000000"/>
                <w:kern w:val="0"/>
                <w:sz w:val="20"/>
                <w:szCs w:val="20"/>
              </w:rPr>
              <w:t>（一）整机接口要求</w:t>
            </w:r>
            <w:r>
              <w:rPr>
                <w:rFonts w:hint="eastAsia" w:ascii="宋体" w:hAnsi="宋体"/>
                <w:color w:val="000000"/>
                <w:kern w:val="0"/>
                <w:sz w:val="20"/>
                <w:szCs w:val="20"/>
              </w:rPr>
              <w:br w:type="textWrapping"/>
            </w:r>
            <w:r>
              <w:rPr>
                <w:rFonts w:hint="eastAsia" w:ascii="宋体" w:hAnsi="宋体"/>
                <w:color w:val="000000"/>
                <w:kern w:val="0"/>
                <w:sz w:val="20"/>
                <w:szCs w:val="20"/>
              </w:rPr>
              <w:t>1、侧置输入接口具备≥2路HDMI、≥1路RS232、≥1路USB接口。</w:t>
            </w:r>
            <w:r>
              <w:rPr>
                <w:rFonts w:hint="eastAsia" w:ascii="宋体" w:hAnsi="宋体"/>
                <w:color w:val="000000"/>
                <w:kern w:val="0"/>
                <w:sz w:val="20"/>
                <w:szCs w:val="20"/>
              </w:rPr>
              <w:br w:type="textWrapping"/>
            </w:r>
            <w:r>
              <w:rPr>
                <w:rFonts w:hint="eastAsia" w:ascii="宋体" w:hAnsi="宋体"/>
                <w:color w:val="000000"/>
                <w:kern w:val="0"/>
                <w:sz w:val="20"/>
                <w:szCs w:val="20"/>
              </w:rPr>
              <w:t>2、侧置输出接口具备≥1路音频输出、≥1路触控USB输出。</w:t>
            </w:r>
            <w:r>
              <w:rPr>
                <w:rFonts w:hint="eastAsia" w:ascii="宋体" w:hAnsi="宋体"/>
                <w:color w:val="000000"/>
                <w:kern w:val="0"/>
                <w:sz w:val="20"/>
                <w:szCs w:val="20"/>
              </w:rPr>
              <w:br w:type="textWrapping"/>
            </w:r>
            <w:r>
              <w:rPr>
                <w:rFonts w:hint="eastAsia" w:ascii="宋体" w:hAnsi="宋体"/>
                <w:color w:val="000000"/>
                <w:kern w:val="0"/>
                <w:sz w:val="20"/>
                <w:szCs w:val="20"/>
              </w:rPr>
              <w:t>3、前置输入接口≥3路USB接口（包含≥1路Type-C、≥2路USB），前置USB接口支持Android系统、Windows系统读取外接移动存储设备。</w:t>
            </w:r>
            <w:r>
              <w:rPr>
                <w:rFonts w:hint="eastAsia" w:ascii="宋体" w:hAnsi="宋体"/>
                <w:color w:val="000000"/>
                <w:kern w:val="0"/>
                <w:sz w:val="20"/>
                <w:szCs w:val="20"/>
              </w:rPr>
              <w:br w:type="textWrapping"/>
            </w:r>
            <w:r>
              <w:rPr>
                <w:rFonts w:hint="eastAsia" w:ascii="宋体" w:hAnsi="宋体"/>
                <w:color w:val="000000"/>
                <w:kern w:val="0"/>
                <w:sz w:val="20"/>
                <w:szCs w:val="20"/>
              </w:rPr>
              <w:t>★4、整机具备前置Type-C接口，type-C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（二）整机安全设计</w:t>
            </w:r>
            <w:r>
              <w:rPr>
                <w:rFonts w:hint="eastAsia" w:ascii="宋体" w:hAnsi="宋体"/>
                <w:color w:val="000000"/>
                <w:kern w:val="0"/>
                <w:sz w:val="20"/>
                <w:szCs w:val="20"/>
              </w:rPr>
              <w:br w:type="textWrapping"/>
            </w:r>
            <w:r>
              <w:rPr>
                <w:rFonts w:hint="eastAsia" w:ascii="宋体" w:hAnsi="宋体"/>
                <w:color w:val="000000"/>
                <w:kern w:val="0"/>
                <w:sz w:val="20"/>
                <w:szCs w:val="20"/>
              </w:rPr>
              <w:t>★1、整机全通道支持纸质护眼模式，可实现画面纹理的实时调整；支持纸质纹理：牛皮纸、素描纸、宣纸、水彩纸、水纹纸；支持透明度调节；支持色温调节。（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2、纸质护眼模式下，显示画面各像素点灰度不规则，减少背景干扰。</w:t>
            </w:r>
            <w:r>
              <w:rPr>
                <w:rFonts w:hint="eastAsia" w:ascii="宋体" w:hAnsi="宋体"/>
                <w:color w:val="000000"/>
                <w:kern w:val="0"/>
                <w:sz w:val="20"/>
                <w:szCs w:val="20"/>
              </w:rPr>
              <w:br w:type="textWrapping"/>
            </w:r>
            <w:r>
              <w:rPr>
                <w:rFonts w:hint="eastAsia" w:ascii="宋体" w:hAnsi="宋体"/>
                <w:color w:val="000000"/>
                <w:kern w:val="0"/>
                <w:sz w:val="20"/>
                <w:szCs w:val="20"/>
              </w:rPr>
              <w:t>3、支持经典护眼模式，可通过前置面板物理功能按键一键启用经典护眼模式。</w:t>
            </w:r>
            <w:r>
              <w:rPr>
                <w:rFonts w:hint="eastAsia" w:ascii="宋体" w:hAnsi="宋体"/>
                <w:color w:val="000000"/>
                <w:kern w:val="0"/>
                <w:sz w:val="20"/>
                <w:szCs w:val="20"/>
              </w:rPr>
              <w:br w:type="textWrapping"/>
            </w:r>
            <w:r>
              <w:rPr>
                <w:rFonts w:hint="eastAsia" w:ascii="宋体" w:hAnsi="宋体"/>
                <w:color w:val="000000"/>
                <w:kern w:val="0"/>
                <w:sz w:val="20"/>
                <w:szCs w:val="20"/>
              </w:rPr>
              <w:t>四、教学功能要求</w:t>
            </w:r>
            <w:r>
              <w:rPr>
                <w:rFonts w:hint="eastAsia" w:ascii="宋体" w:hAnsi="宋体"/>
                <w:color w:val="000000"/>
                <w:kern w:val="0"/>
                <w:sz w:val="20"/>
                <w:szCs w:val="20"/>
              </w:rPr>
              <w:br w:type="textWrapping"/>
            </w:r>
            <w:r>
              <w:rPr>
                <w:rFonts w:hint="eastAsia" w:ascii="宋体" w:hAnsi="宋体"/>
                <w:color w:val="000000"/>
                <w:kern w:val="0"/>
                <w:sz w:val="20"/>
                <w:szCs w:val="20"/>
              </w:rPr>
              <w:t>1、整机全通道侧边栏快捷菜单包含如下小工具：批注、降半屏、截屏、放大镜、倒计时、日历、聚光灯、秒表、冻屏、倒数日、答题、节拍器。</w:t>
            </w:r>
            <w:r>
              <w:rPr>
                <w:rFonts w:hint="eastAsia" w:ascii="宋体" w:hAnsi="宋体"/>
                <w:color w:val="000000"/>
                <w:kern w:val="0"/>
                <w:sz w:val="20"/>
                <w:szCs w:val="20"/>
              </w:rPr>
              <w:br w:type="textWrapping"/>
            </w:r>
            <w:r>
              <w:rPr>
                <w:rFonts w:hint="eastAsia" w:ascii="宋体" w:hAnsi="宋体"/>
                <w:color w:val="000000"/>
                <w:kern w:val="0"/>
                <w:sz w:val="20"/>
                <w:szCs w:val="20"/>
              </w:rPr>
              <w:t>2、整机全通道侧边栏支持使用批注小工具进行批注讲解，可切换书写笔颜色、截屏保存批注内容、清屏，可根据手与屏幕的接触面积自动调整板擦工具的大小。</w:t>
            </w:r>
            <w:r>
              <w:rPr>
                <w:rFonts w:hint="eastAsia" w:ascii="宋体" w:hAnsi="宋体"/>
                <w:color w:val="000000"/>
                <w:kern w:val="0"/>
                <w:sz w:val="20"/>
                <w:szCs w:val="20"/>
              </w:rPr>
              <w:br w:type="textWrapping"/>
            </w:r>
            <w:r>
              <w:rPr>
                <w:rFonts w:hint="eastAsia" w:ascii="宋体" w:hAnsi="宋体"/>
                <w:color w:val="000000"/>
                <w:kern w:val="0"/>
                <w:sz w:val="20"/>
                <w:szCs w:val="20"/>
              </w:rPr>
              <w:t>3、整机全通道侧边栏快捷菜单支持快捷调节音量、亮度，支持自动亮度模式，支持点击静音按钮静音。</w:t>
            </w:r>
            <w:r>
              <w:rPr>
                <w:rFonts w:hint="eastAsia" w:ascii="宋体" w:hAnsi="宋体"/>
                <w:color w:val="000000"/>
                <w:kern w:val="0"/>
                <w:sz w:val="20"/>
                <w:szCs w:val="20"/>
              </w:rPr>
              <w:br w:type="textWrapping"/>
            </w:r>
            <w:r>
              <w:rPr>
                <w:rFonts w:hint="eastAsia" w:ascii="宋体" w:hAnsi="宋体"/>
                <w:color w:val="000000"/>
                <w:kern w:val="0"/>
                <w:sz w:val="20"/>
                <w:szCs w:val="20"/>
              </w:rPr>
              <w:t>4、教学中可以实时查看物联设备的连接情况，点击任意一台设备图标即可调出中控菜单进行管控。</w:t>
            </w:r>
            <w:r>
              <w:rPr>
                <w:rFonts w:hint="eastAsia" w:ascii="宋体" w:hAnsi="宋体"/>
                <w:color w:val="000000"/>
                <w:kern w:val="0"/>
                <w:sz w:val="20"/>
                <w:szCs w:val="20"/>
              </w:rPr>
              <w:br w:type="textWrapping"/>
            </w:r>
            <w:r>
              <w:rPr>
                <w:rFonts w:hint="eastAsia" w:ascii="宋体" w:hAnsi="宋体"/>
                <w:color w:val="000000"/>
                <w:kern w:val="0"/>
                <w:sz w:val="20"/>
                <w:szCs w:val="20"/>
              </w:rPr>
              <w:t>★5、整机安卓和全部外接通道（HDMI、Type-c）下侧边栏支持节拍器，支持设置节拍、轻重、节拍播放速度。全通道下可支持通过自定义按键调出该功能。</w:t>
            </w:r>
            <w:r>
              <w:rPr>
                <w:rFonts w:hint="eastAsia" w:ascii="宋体" w:hAnsi="宋体"/>
                <w:color w:val="000000"/>
                <w:kern w:val="0"/>
                <w:sz w:val="20"/>
                <w:szCs w:val="20"/>
              </w:rPr>
              <w:br w:type="textWrapping"/>
            </w:r>
            <w:r>
              <w:rPr>
                <w:rFonts w:hint="eastAsia" w:ascii="宋体" w:hAnsi="宋体"/>
                <w:color w:val="000000"/>
                <w:kern w:val="0"/>
                <w:sz w:val="20"/>
                <w:szCs w:val="20"/>
              </w:rPr>
              <w:t>6、整机安卓和全部外接通道（HDMI、Type-C）下侧边栏支持设置倒数日。</w:t>
            </w:r>
            <w:r>
              <w:rPr>
                <w:rFonts w:hint="eastAsia" w:ascii="宋体" w:hAnsi="宋体"/>
                <w:color w:val="000000"/>
                <w:kern w:val="0"/>
                <w:sz w:val="20"/>
                <w:szCs w:val="20"/>
              </w:rPr>
              <w:br w:type="textWrapping"/>
            </w:r>
            <w:r>
              <w:rPr>
                <w:rFonts w:hint="eastAsia" w:ascii="宋体" w:hAnsi="宋体"/>
                <w:color w:val="000000"/>
                <w:kern w:val="0"/>
                <w:sz w:val="20"/>
                <w:szCs w:val="20"/>
              </w:rPr>
              <w:t>7、整机全通道侧边栏支持倒计时、正计时功能；倒计时，输入某特定时间值，可精确到秒，点击开始进入倒计时；正计时，点击开始计时便自动开始，并实时显示时间。</w:t>
            </w:r>
            <w:r>
              <w:rPr>
                <w:rFonts w:hint="eastAsia" w:ascii="宋体" w:hAnsi="宋体"/>
                <w:color w:val="000000"/>
                <w:kern w:val="0"/>
                <w:sz w:val="20"/>
                <w:szCs w:val="20"/>
              </w:rPr>
              <w:br w:type="textWrapping"/>
            </w:r>
            <w:r>
              <w:rPr>
                <w:rFonts w:hint="eastAsia" w:ascii="宋体" w:hAnsi="宋体"/>
                <w:color w:val="000000"/>
                <w:kern w:val="0"/>
                <w:sz w:val="20"/>
                <w:szCs w:val="20"/>
              </w:rPr>
              <w:t>8、教学支持放大任意区域内容；并可支持对未选中区域关灯处理，实现聚光灯效果。</w:t>
            </w:r>
            <w:r>
              <w:rPr>
                <w:rFonts w:hint="eastAsia" w:ascii="宋体" w:hAnsi="宋体"/>
                <w:color w:val="000000"/>
                <w:kern w:val="0"/>
                <w:sz w:val="20"/>
                <w:szCs w:val="20"/>
              </w:rPr>
              <w:br w:type="textWrapping"/>
            </w:r>
            <w:r>
              <w:rPr>
                <w:rFonts w:hint="eastAsia" w:ascii="宋体" w:hAnsi="宋体"/>
                <w:color w:val="000000"/>
                <w:kern w:val="0"/>
                <w:sz w:val="20"/>
                <w:szCs w:val="20"/>
              </w:rPr>
              <w:t>★9、整机安卓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投标时须提供国家认可的第三方检测机构出具的关于该功能检测报告复印件）</w:t>
            </w:r>
          </w:p>
          <w:p w14:paraId="3BA08096">
            <w:pPr>
              <w:widowControl/>
              <w:jc w:val="left"/>
              <w:textAlignment w:val="center"/>
              <w:rPr>
                <w:rFonts w:ascii="宋体" w:hAnsi="宋体"/>
                <w:spacing w:val="8"/>
                <w:sz w:val="24"/>
                <w:szCs w:val="24"/>
              </w:rPr>
            </w:pPr>
            <w:r>
              <w:rPr>
                <w:rFonts w:hint="eastAsia" w:ascii="宋体" w:hAnsi="宋体"/>
                <w:color w:val="000000"/>
                <w:kern w:val="0"/>
                <w:sz w:val="20"/>
                <w:szCs w:val="20"/>
                <w:highlight w:val="yellow"/>
                <w:lang w:val="en-US" w:eastAsia="zh-CN"/>
              </w:rPr>
              <w:t>10、一体机配套移动支架。</w:t>
            </w:r>
            <w:r>
              <w:rPr>
                <w:rFonts w:hint="eastAsia" w:ascii="宋体" w:hAnsi="宋体"/>
                <w:color w:val="000000"/>
                <w:kern w:val="0"/>
                <w:sz w:val="20"/>
                <w:szCs w:val="20"/>
              </w:rPr>
              <w:br w:type="textWrapping"/>
            </w:r>
            <w:r>
              <w:rPr>
                <w:rFonts w:hint="eastAsia" w:ascii="宋体" w:hAnsi="宋体"/>
                <w:color w:val="000000"/>
                <w:kern w:val="0"/>
                <w:sz w:val="20"/>
                <w:szCs w:val="20"/>
              </w:rPr>
              <w:t>五、教学功能设计</w:t>
            </w:r>
            <w:bookmarkStart w:id="0" w:name="_GoBack"/>
            <w:bookmarkEnd w:id="0"/>
            <w:r>
              <w:rPr>
                <w:rFonts w:hint="eastAsia" w:ascii="宋体" w:hAnsi="宋体"/>
                <w:color w:val="000000"/>
                <w:kern w:val="0"/>
                <w:sz w:val="20"/>
                <w:szCs w:val="20"/>
              </w:rPr>
              <w:br w:type="textWrapping"/>
            </w:r>
            <w:r>
              <w:rPr>
                <w:rFonts w:hint="eastAsia" w:ascii="宋体" w:hAnsi="宋体"/>
                <w:color w:val="000000"/>
                <w:kern w:val="0"/>
                <w:sz w:val="20"/>
                <w:szCs w:val="20"/>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color w:val="000000"/>
                <w:kern w:val="0"/>
                <w:sz w:val="20"/>
                <w:szCs w:val="20"/>
              </w:rPr>
              <w:br w:type="textWrapping"/>
            </w:r>
            <w:r>
              <w:rPr>
                <w:rFonts w:hint="eastAsia" w:ascii="宋体" w:hAnsi="宋体"/>
                <w:color w:val="000000"/>
                <w:kern w:val="0"/>
                <w:sz w:val="20"/>
                <w:szCs w:val="20"/>
              </w:rPr>
              <w:t>2、设备支持通过前置面板物理按键一键启动录屏功能，可将屏幕中显示的课件、音频内容与人声同时录制。</w:t>
            </w:r>
            <w:r>
              <w:rPr>
                <w:rFonts w:hint="eastAsia" w:ascii="宋体" w:hAnsi="宋体"/>
                <w:color w:val="000000"/>
                <w:kern w:val="0"/>
                <w:sz w:val="20"/>
                <w:szCs w:val="20"/>
              </w:rPr>
              <w:br w:type="textWrapping"/>
            </w:r>
            <w:r>
              <w:rPr>
                <w:rFonts w:hint="eastAsia" w:ascii="宋体" w:hAnsi="宋体"/>
                <w:color w:val="000000"/>
                <w:kern w:val="0"/>
                <w:sz w:val="20"/>
                <w:szCs w:val="20"/>
              </w:rPr>
              <w:t>★3、整机支持至少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color w:val="000000"/>
                <w:kern w:val="0"/>
                <w:sz w:val="20"/>
                <w:szCs w:val="20"/>
              </w:rPr>
              <w:br w:type="textWrapping"/>
            </w:r>
            <w:r>
              <w:rPr>
                <w:rFonts w:hint="eastAsia" w:ascii="宋体" w:hAnsi="宋体"/>
                <w:color w:val="000000"/>
                <w:kern w:val="0"/>
                <w:sz w:val="20"/>
                <w:szCs w:val="20"/>
              </w:rPr>
              <w:t>4、整机支持自定义图像设置，可对对比度、屏幕色温、图像亮度、亮度范围、色彩空间调节设置。</w:t>
            </w:r>
            <w:r>
              <w:rPr>
                <w:rFonts w:hint="eastAsia" w:ascii="宋体" w:hAnsi="宋体"/>
                <w:color w:val="000000"/>
                <w:kern w:val="0"/>
                <w:sz w:val="20"/>
                <w:szCs w:val="20"/>
              </w:rPr>
              <w:br w:type="textWrapping"/>
            </w:r>
            <w:r>
              <w:rPr>
                <w:rFonts w:hint="eastAsia" w:ascii="宋体" w:hAnsi="宋体"/>
                <w:color w:val="000000"/>
                <w:kern w:val="0"/>
                <w:sz w:val="20"/>
                <w:szCs w:val="20"/>
              </w:rPr>
              <w:t>★5、整机关机状态下，通过长按电源键进入设置界面后，可点击屏幕选择故障检测、系统还原功能，系统还原可单独还原PC系统，单独还原整机系统。</w:t>
            </w:r>
            <w:r>
              <w:rPr>
                <w:rFonts w:hint="eastAsia" w:ascii="宋体" w:hAnsi="宋体"/>
                <w:color w:val="000000"/>
                <w:kern w:val="0"/>
                <w:sz w:val="20"/>
                <w:szCs w:val="20"/>
              </w:rPr>
              <w:br w:type="textWrapping"/>
            </w:r>
            <w:r>
              <w:rPr>
                <w:rFonts w:hint="eastAsia" w:ascii="宋体" w:hAnsi="宋体"/>
                <w:color w:val="000000"/>
                <w:kern w:val="0"/>
                <w:sz w:val="20"/>
                <w:szCs w:val="20"/>
              </w:rPr>
              <w:t>6、整机无需外接无线网卡，在Android和Windows系统下可实现Wi-Fi无线上网连接、AP无线热点发射和BT蓝牙连接功能。</w:t>
            </w:r>
            <w:r>
              <w:rPr>
                <w:rFonts w:hint="eastAsia" w:ascii="宋体" w:hAnsi="宋体"/>
                <w:color w:val="000000"/>
                <w:kern w:val="0"/>
                <w:sz w:val="20"/>
                <w:szCs w:val="20"/>
              </w:rPr>
              <w:br w:type="textWrapping"/>
            </w:r>
            <w:r>
              <w:rPr>
                <w:rFonts w:hint="eastAsia" w:ascii="宋体" w:hAnsi="宋体"/>
                <w:color w:val="000000"/>
                <w:kern w:val="0"/>
                <w:sz w:val="20"/>
                <w:szCs w:val="20"/>
              </w:rPr>
              <w:t>7、Wi-Fi和AP热点工作距离≥12m。</w:t>
            </w:r>
            <w:r>
              <w:rPr>
                <w:rFonts w:hint="eastAsia" w:ascii="宋体" w:hAnsi="宋体"/>
                <w:color w:val="000000"/>
                <w:kern w:val="0"/>
                <w:sz w:val="20"/>
                <w:szCs w:val="20"/>
              </w:rPr>
              <w:br w:type="textWrapping"/>
            </w:r>
            <w:r>
              <w:rPr>
                <w:rFonts w:hint="eastAsia" w:ascii="宋体" w:hAnsi="宋体"/>
                <w:color w:val="000000"/>
                <w:kern w:val="0"/>
                <w:sz w:val="20"/>
                <w:szCs w:val="20"/>
              </w:rPr>
              <w:t>8、整机支持蓝牙Bluetooth 5.4标准，固件版本号HCI13.0/LMP13.0。</w:t>
            </w:r>
            <w:r>
              <w:rPr>
                <w:rFonts w:hint="eastAsia" w:ascii="宋体" w:hAnsi="宋体"/>
                <w:color w:val="000000"/>
                <w:kern w:val="0"/>
                <w:sz w:val="20"/>
                <w:szCs w:val="20"/>
              </w:rPr>
              <w:br w:type="textWrapping"/>
            </w:r>
            <w:r>
              <w:rPr>
                <w:rFonts w:hint="eastAsia" w:ascii="宋体" w:hAnsi="宋体"/>
                <w:color w:val="000000"/>
                <w:kern w:val="0"/>
                <w:sz w:val="20"/>
                <w:szCs w:val="20"/>
              </w:rPr>
              <w:t>★9、整机支持发出频率为18kHz-22kHz超声波信号，智能手机通过麦克风接收后，智能手机与整机无需在同一局域网内，可实现配对，一键投屏，用户无需手动输入投屏码或扫码获取投屏码。（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10、整机PC端支持主动发现蓝牙外设从而连接（无需整机进入发现模式），支持连接外部蓝牙音箱播放音频。</w:t>
            </w:r>
            <w:r>
              <w:rPr>
                <w:rFonts w:hint="eastAsia" w:ascii="宋体" w:hAnsi="宋体"/>
                <w:color w:val="000000"/>
                <w:kern w:val="0"/>
                <w:sz w:val="20"/>
                <w:szCs w:val="20"/>
              </w:rPr>
              <w:br w:type="textWrapping"/>
            </w:r>
            <w:r>
              <w:rPr>
                <w:rFonts w:hint="eastAsia" w:ascii="宋体" w:hAnsi="宋体"/>
                <w:color w:val="000000"/>
                <w:kern w:val="0"/>
                <w:sz w:val="20"/>
                <w:szCs w:val="20"/>
              </w:rPr>
              <w:t>★11、整机内置双WiFi6无线网卡，在Android下支持无线设备同时连接数量≥32个，在Windows系统下支持无线设备同时连接≥8个。（投标时须提供国家认可的第三方检测机构出具的关于该功能检测报告复印件）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12、支持标准、听力、观影和AI空间感知音效模式，AI空间感知音效模式可通过内置麦克风采集教室物理环境声音，自动生成符合当前教室物理环境的频段、音量、音效。（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13、整机可选择高级音效设置，支持在左右声道平衡显示范围中进行更改；中低频段显示调节范围125Hz～1KHz，高频段显示调节范围 2KHz～16KHz，分贝显示-12dB～12dB 调节范围。</w:t>
            </w:r>
            <w:r>
              <w:rPr>
                <w:rFonts w:hint="eastAsia" w:ascii="宋体" w:hAnsi="宋体"/>
                <w:color w:val="000000"/>
                <w:kern w:val="0"/>
                <w:sz w:val="20"/>
                <w:szCs w:val="20"/>
              </w:rPr>
              <w:br w:type="textWrapping"/>
            </w:r>
            <w:r>
              <w:rPr>
                <w:rFonts w:hint="eastAsia" w:ascii="宋体" w:hAnsi="宋体"/>
                <w:color w:val="000000"/>
                <w:kern w:val="0"/>
                <w:sz w:val="20"/>
                <w:szCs w:val="20"/>
              </w:rPr>
              <w:t>14、整机上边框内置非独立式摄像头，采用一体化集成设计，摄像头数量≥4个。</w:t>
            </w:r>
            <w:r>
              <w:rPr>
                <w:rFonts w:hint="eastAsia" w:ascii="宋体" w:hAnsi="宋体"/>
                <w:color w:val="000000"/>
                <w:kern w:val="0"/>
                <w:sz w:val="20"/>
                <w:szCs w:val="20"/>
              </w:rPr>
              <w:br w:type="textWrapping"/>
            </w:r>
            <w:r>
              <w:rPr>
                <w:rFonts w:hint="eastAsia" w:ascii="宋体" w:hAnsi="宋体"/>
                <w:color w:val="000000"/>
                <w:kern w:val="0"/>
                <w:sz w:val="20"/>
                <w:szCs w:val="20"/>
              </w:rPr>
              <w:t>★15、上边框内置非独立式≥3个智能拼接摄像头，视场角≥141度，水平视场角≥139度，支持输出≥8192×2048分辨率的照片和视频，支持画面畸变矫正功能 。（投标时须提供国家认可的第三方检测机构出具的关于该功能检测报告复印件）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★16、整机内置至少三个摄像头，像素值均大于800 万，同时输出至少 3 路视频流，同时支持课堂远程巡课、课堂教学数据采集、本地画面预览（拍照或视频录制）。（投标时须提供国家认可的第三方检测机构出具的关于该功能检测报告复印件）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17、具备摄像头工作指示灯，摄像头运行时，有指示灯提示。</w:t>
            </w:r>
            <w:r>
              <w:rPr>
                <w:rFonts w:hint="eastAsia" w:ascii="宋体" w:hAnsi="宋体"/>
                <w:color w:val="000000"/>
                <w:kern w:val="0"/>
                <w:sz w:val="20"/>
                <w:szCs w:val="20"/>
              </w:rPr>
              <w:br w:type="textWrapping"/>
            </w:r>
            <w:r>
              <w:rPr>
                <w:rFonts w:hint="eastAsia" w:ascii="宋体" w:hAnsi="宋体"/>
                <w:color w:val="000000"/>
                <w:kern w:val="0"/>
                <w:sz w:val="20"/>
                <w:szCs w:val="20"/>
              </w:rPr>
              <w:t>18、整机扬声器在100%音量下，可做到1米处声压级≥88db，10米处声压级≥79dB。</w:t>
            </w:r>
            <w:r>
              <w:rPr>
                <w:rFonts w:hint="eastAsia" w:ascii="宋体" w:hAnsi="宋体"/>
                <w:color w:val="000000"/>
                <w:kern w:val="0"/>
                <w:sz w:val="20"/>
                <w:szCs w:val="20"/>
              </w:rPr>
              <w:br w:type="textWrapping"/>
            </w:r>
            <w:r>
              <w:rPr>
                <w:rFonts w:hint="eastAsia" w:ascii="宋体" w:hAnsi="宋体"/>
                <w:color w:val="000000"/>
                <w:kern w:val="0"/>
                <w:sz w:val="20"/>
                <w:szCs w:val="20"/>
              </w:rPr>
              <w:t>19、整机设备自带地震预警软件。支持在地震预警页面中获取位置，可以手动进行位置校准。支持在地震预警页面中选择提醒阈值。支持在地震预警界面中开启和关闭地震预警服务。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color w:val="000000"/>
                <w:kern w:val="0"/>
                <w:sz w:val="20"/>
                <w:szCs w:val="20"/>
              </w:rPr>
              <w:br w:type="textWrapping"/>
            </w:r>
            <w:r>
              <w:rPr>
                <w:rFonts w:hint="eastAsia" w:ascii="宋体" w:hAnsi="宋体"/>
                <w:color w:val="000000"/>
                <w:kern w:val="0"/>
                <w:sz w:val="20"/>
                <w:szCs w:val="20"/>
              </w:rPr>
              <w:t>★20、整机内置2.2声道扬声器，位于设备上边框，顶置朝前发声，前朝向≥10W高音扬声器≥2个，上朝向≥20W中低音扬声器≥2个，额定总功率≥60W。采用缝隙发声技术，喇叭采用槽式开口设计，不大于5.8mm。（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★21、整机内置非独立外扩展的8阵列麦克风，拾音角度≥180°，可用于对教室环境音频进行采集，拾音距离≥12m。（投标时须提供国家认可的第三方检测机构出具的关于该功能检测报告复印件）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22、整机上边框内置非独立的广角高清摄像头，在距离整机1.7米情况下，且拍摄范围可以覆盖摄像头垂直法线左右距离大于等于4米，可以实现人脸识别。（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23、整机上边框内置非独式广角摄像头和智能拼接摄像头， 均支持 3D 降噪算法和数字宽动态范围成像WDR 技术，支持输出 MJPG、 H.264 视频格式。</w:t>
            </w:r>
            <w:r>
              <w:rPr>
                <w:rFonts w:hint="eastAsia" w:ascii="宋体" w:hAnsi="宋体"/>
                <w:color w:val="000000"/>
                <w:kern w:val="0"/>
                <w:sz w:val="20"/>
                <w:szCs w:val="20"/>
              </w:rPr>
              <w:br w:type="textWrapping"/>
            </w:r>
            <w:r>
              <w:rPr>
                <w:rFonts w:hint="eastAsia" w:ascii="宋体" w:hAnsi="宋体"/>
                <w:color w:val="000000"/>
                <w:kern w:val="0"/>
                <w:sz w:val="20"/>
                <w:szCs w:val="20"/>
              </w:rPr>
              <w:t>★24、整机摄像头支持人脸识别、清点人数、随机抽人；识别所有学生，显示标记，然后随机抽选，同时显示标记不少于60人。（投标时须提供国家认可的第三方检测机构出具的关于该功能检测报告复印件）</w:t>
            </w:r>
            <w:r>
              <w:rPr>
                <w:rFonts w:hint="eastAsia" w:ascii="宋体" w:hAnsi="宋体"/>
                <w:color w:val="000000"/>
                <w:kern w:val="0"/>
                <w:sz w:val="20"/>
                <w:szCs w:val="20"/>
              </w:rPr>
              <w:br w:type="textWrapping"/>
            </w:r>
            <w:r>
              <w:rPr>
                <w:rFonts w:hint="eastAsia" w:ascii="宋体" w:hAnsi="宋体"/>
                <w:color w:val="000000"/>
                <w:kern w:val="0"/>
                <w:sz w:val="20"/>
                <w:szCs w:val="20"/>
              </w:rPr>
              <w:t>25、整机设备教学桌面支持教学常用的教学白板软件和文件管理软件软件；教学桌面首页支持自定义桌面应用，支持展示8个应用入口。并提供进入本机所有应用的入口。</w:t>
            </w:r>
            <w:r>
              <w:rPr>
                <w:rFonts w:hint="eastAsia" w:ascii="宋体" w:hAnsi="宋体"/>
                <w:color w:val="000000"/>
                <w:kern w:val="0"/>
                <w:sz w:val="20"/>
                <w:szCs w:val="20"/>
              </w:rPr>
              <w:br w:type="textWrapping"/>
            </w:r>
            <w:r>
              <w:rPr>
                <w:rFonts w:hint="eastAsia" w:ascii="宋体" w:hAnsi="宋体"/>
                <w:color w:val="000000"/>
                <w:kern w:val="0"/>
                <w:sz w:val="20"/>
                <w:szCs w:val="20"/>
              </w:rPr>
              <w:t>26、整机设备教学桌面支持查看设备盘符，支持本地磁盘和外接 U 盘、移动硬盘，点击即可打开该磁盘查看磁盘文件。教学桌面支持显示存储空间状态，当存储空间即将满载时候进行红色标记明显提示。</w:t>
            </w:r>
            <w:r>
              <w:rPr>
                <w:rFonts w:hint="eastAsia" w:ascii="宋体" w:hAnsi="宋体"/>
                <w:color w:val="000000"/>
                <w:kern w:val="0"/>
                <w:sz w:val="20"/>
                <w:szCs w:val="20"/>
              </w:rPr>
              <w:br w:type="textWrapping"/>
            </w:r>
            <w:r>
              <w:rPr>
                <w:rFonts w:hint="eastAsia" w:ascii="宋体" w:hAnsi="宋体"/>
                <w:color w:val="000000"/>
                <w:kern w:val="0"/>
                <w:sz w:val="20"/>
                <w:szCs w:val="20"/>
              </w:rPr>
              <w:t>六、智慧互动教学软件</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1、统计考勤：互动反馈系统支持无感考勤功能，学生连接成功后名字可显示在签到列表上，签到列表实时统计已签到人数，并查看未到的人员。（投标时须提供国家认可的第三方检测机构所出具的关于该功能的检测报告） </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2、班级创建：支持老师主动创建班级，创建成功后，每次登录教师端即可直接进入班级列表，选择班级进入课堂。 </w:t>
            </w:r>
            <w:r>
              <w:rPr>
                <w:rFonts w:hint="eastAsia" w:ascii="宋体" w:hAnsi="宋体"/>
                <w:color w:val="000000"/>
                <w:kern w:val="0"/>
                <w:sz w:val="20"/>
                <w:szCs w:val="20"/>
              </w:rPr>
              <w:br w:type="textWrapping"/>
            </w:r>
            <w:r>
              <w:rPr>
                <w:rFonts w:hint="eastAsia" w:ascii="宋体" w:hAnsi="宋体"/>
                <w:color w:val="000000"/>
                <w:kern w:val="0"/>
                <w:sz w:val="20"/>
                <w:szCs w:val="20"/>
              </w:rPr>
              <w:t>★3、互动反馈系统：具备公网互动反馈功能，可将所有学生端和教师端连接在一起构建成为一套互动反馈系统，在系统中可以单选/多选/判断等答题互动，同时支持文件下发、批注下发功能。（投标时须提供国家认可的第三方检测机构所出具的关于该功能的检测报告）</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4、互动答题系统：支持课中互动反馈系统，提供单选、多选及判断题功能，可一键下发答题指令，支持一次下发多道题目，最多可下发99道题目，学生作答结果实时显示。支持切换柱状图按全班或分组答题结果展示，以提供小组间作答对比。 </w:t>
            </w:r>
            <w:r>
              <w:rPr>
                <w:rFonts w:hint="eastAsia" w:ascii="宋体" w:hAnsi="宋体"/>
                <w:color w:val="000000"/>
                <w:kern w:val="0"/>
                <w:sz w:val="20"/>
                <w:szCs w:val="20"/>
              </w:rPr>
              <w:br w:type="textWrapping"/>
            </w:r>
            <w:r>
              <w:rPr>
                <w:rFonts w:hint="eastAsia" w:ascii="宋体" w:hAnsi="宋体"/>
                <w:color w:val="000000"/>
                <w:kern w:val="0"/>
                <w:sz w:val="20"/>
                <w:szCs w:val="20"/>
              </w:rPr>
              <w:t>5、抢答抽选：互动反馈系统支持抢答、抽选功能，活跃课堂氛围。</w:t>
            </w:r>
            <w:r>
              <w:rPr>
                <w:rFonts w:hint="eastAsia" w:ascii="宋体" w:hAnsi="宋体"/>
                <w:color w:val="000000"/>
                <w:kern w:val="0"/>
                <w:sz w:val="20"/>
                <w:szCs w:val="20"/>
              </w:rPr>
              <w:br w:type="textWrapping"/>
            </w:r>
            <w:r>
              <w:rPr>
                <w:rFonts w:hint="eastAsia" w:ascii="宋体" w:hAnsi="宋体"/>
                <w:color w:val="000000"/>
                <w:kern w:val="0"/>
                <w:sz w:val="20"/>
                <w:szCs w:val="20"/>
              </w:rPr>
              <w:t>6、观点云词：互动反馈系统支持主观观点收集功能，支持学生们自主提交不多于200字的观点评论，并自动生成班级关键词云，点击关键词可查看对应学生名单和具体评论信息。</w:t>
            </w:r>
            <w:r>
              <w:rPr>
                <w:rFonts w:hint="eastAsia" w:ascii="宋体" w:hAnsi="宋体"/>
                <w:color w:val="000000"/>
                <w:kern w:val="0"/>
                <w:sz w:val="20"/>
                <w:szCs w:val="20"/>
              </w:rPr>
              <w:br w:type="textWrapping"/>
            </w:r>
            <w:r>
              <w:rPr>
                <w:rFonts w:hint="eastAsia" w:ascii="宋体" w:hAnsi="宋体"/>
                <w:color w:val="000000"/>
                <w:kern w:val="0"/>
                <w:sz w:val="20"/>
                <w:szCs w:val="20"/>
              </w:rPr>
              <w:t>★7、课堂报告；互动反馈系统支持一键生成课堂互动报告，包含签到人数，考勤情况，互动次数，学生参与度，支持查看题目详情何答题结果。（投标时须提供国家认可的第三方检测机构所出具的关于该功能的检测报告）</w:t>
            </w:r>
            <w:r>
              <w:rPr>
                <w:rFonts w:hint="eastAsia" w:ascii="宋体" w:hAnsi="宋体"/>
                <w:color w:val="000000"/>
                <w:kern w:val="0"/>
                <w:sz w:val="20"/>
                <w:szCs w:val="20"/>
              </w:rPr>
              <w:br w:type="textWrapping"/>
            </w:r>
            <w:r>
              <w:rPr>
                <w:rFonts w:hint="eastAsia" w:ascii="宋体" w:hAnsi="宋体"/>
                <w:color w:val="000000"/>
                <w:kern w:val="0"/>
                <w:sz w:val="20"/>
                <w:szCs w:val="20"/>
              </w:rPr>
              <w:t>8、资料分发：支持教师下载教室空间的文档格式的资料给全员和小组端，支持的文件包含但不局限于以下格式：音视频格式，文档格式，图片格式。</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9、课堂答疑：教师端在连接状态下可实时接收到来自学生的提问，提问内容可根据老师操作自动判断为已读或者未读，并且支持问题放大全屏查看。 </w:t>
            </w:r>
            <w:r>
              <w:rPr>
                <w:rFonts w:hint="eastAsia" w:ascii="宋体" w:hAnsi="宋体"/>
                <w:color w:val="000000"/>
                <w:kern w:val="0"/>
                <w:sz w:val="20"/>
                <w:szCs w:val="20"/>
              </w:rPr>
              <w:br w:type="textWrapping"/>
            </w:r>
            <w:r>
              <w:rPr>
                <w:rFonts w:hint="eastAsia" w:ascii="宋体" w:hAnsi="宋体"/>
                <w:color w:val="000000"/>
                <w:kern w:val="0"/>
                <w:sz w:val="20"/>
                <w:szCs w:val="20"/>
              </w:rPr>
              <w:t>★10、批注分发：教师端批注功能支持在课中任意时刻对教师端内容进行批注，并且支持批注内容一键保存，自动上传到教师空间，同时发送到全员学生端。（投标时须提供国家认可的第三方检测机构所出具的关于该功能的检测报告）</w:t>
            </w:r>
            <w:r>
              <w:rPr>
                <w:rFonts w:hint="eastAsia" w:ascii="宋体" w:hAnsi="宋体"/>
                <w:color w:val="000000"/>
                <w:kern w:val="0"/>
                <w:sz w:val="20"/>
                <w:szCs w:val="20"/>
              </w:rPr>
              <w:br w:type="textWrapping"/>
            </w:r>
            <w:r>
              <w:rPr>
                <w:rFonts w:hint="eastAsia" w:ascii="宋体" w:hAnsi="宋体"/>
                <w:color w:val="000000"/>
                <w:kern w:val="0"/>
                <w:sz w:val="20"/>
                <w:szCs w:val="20"/>
              </w:rPr>
              <w:t>★11、授课小工具：教师播放课件时，提供授课小工具，包括画笔、橡皮擦、板中板和分享批注功能等（投标时须提供国家认可的第三方检测机构所出具的关于该功能的检测报告）</w:t>
            </w:r>
            <w:r>
              <w:rPr>
                <w:rFonts w:hint="eastAsia" w:ascii="宋体" w:hAnsi="宋体"/>
                <w:color w:val="000000"/>
                <w:kern w:val="0"/>
                <w:sz w:val="20"/>
                <w:szCs w:val="20"/>
              </w:rPr>
              <w:br w:type="textWrapping"/>
            </w:r>
            <w:r>
              <w:rPr>
                <w:rFonts w:hint="eastAsia" w:ascii="宋体" w:hAnsi="宋体"/>
                <w:color w:val="000000"/>
                <w:kern w:val="0"/>
                <w:sz w:val="20"/>
                <w:szCs w:val="20"/>
              </w:rPr>
              <w:t>★12、无线传屏：教师端工具栏支持无线传屏，点击开启无线传屏则打开传屏码，老师自带笔记本在互动教学软件输入传屏码即可进行无线传屏。（投标时须提供国家认可的第三方检测机构所出具的关于该功能的检测报告）</w:t>
            </w:r>
            <w:r>
              <w:rPr>
                <w:rFonts w:hint="eastAsia" w:ascii="宋体" w:hAnsi="宋体"/>
                <w:color w:val="000000"/>
                <w:kern w:val="0"/>
                <w:sz w:val="20"/>
                <w:szCs w:val="20"/>
              </w:rPr>
              <w:br w:type="textWrapping"/>
            </w:r>
            <w:r>
              <w:rPr>
                <w:rFonts w:hint="eastAsia" w:ascii="宋体" w:hAnsi="宋体"/>
                <w:color w:val="000000"/>
                <w:kern w:val="0"/>
                <w:sz w:val="20"/>
                <w:szCs w:val="20"/>
              </w:rPr>
              <w:t>★13、课堂动态：支持在课堂中记录课堂动态，包括老师下发的文件，老师课堂中的板书，课堂互动结果记录，课堂提问多种类型的记录。（投标时须提供国家认可的第三方检测机构所出具的关于该功能的检测报告）</w:t>
            </w:r>
            <w:r>
              <w:rPr>
                <w:rFonts w:hint="eastAsia" w:ascii="宋体" w:hAnsi="宋体"/>
                <w:color w:val="000000"/>
                <w:kern w:val="0"/>
                <w:sz w:val="20"/>
                <w:szCs w:val="20"/>
              </w:rPr>
              <w:br w:type="textWrapping"/>
            </w:r>
            <w:r>
              <w:rPr>
                <w:rFonts w:hint="eastAsia" w:ascii="宋体" w:hAnsi="宋体"/>
                <w:color w:val="000000"/>
                <w:kern w:val="0"/>
                <w:sz w:val="20"/>
                <w:szCs w:val="20"/>
              </w:rPr>
              <w:t>★14、同步课件：当老师在全屏播放课件时，学生端也会同步进行课件播放，老师进行PPT翻页操作时，学生端会同步翻页，保证课堂课件进度同步展示。（投标时须提供国家认可的第三方检测机构所出具的关于该功能的检测报告）</w:t>
            </w:r>
            <w:r>
              <w:rPr>
                <w:rFonts w:hint="eastAsia" w:ascii="宋体" w:hAnsi="宋体"/>
                <w:color w:val="000000"/>
                <w:kern w:val="0"/>
                <w:sz w:val="20"/>
                <w:szCs w:val="20"/>
              </w:rPr>
              <w:br w:type="textWrapping"/>
            </w:r>
            <w:r>
              <w:rPr>
                <w:rFonts w:hint="eastAsia" w:ascii="宋体" w:hAnsi="宋体"/>
                <w:color w:val="000000"/>
                <w:kern w:val="0"/>
                <w:sz w:val="20"/>
                <w:szCs w:val="20"/>
              </w:rPr>
              <w:t>15、学习空间：学生端互动教学软件app上线学习空间，支持学生在学习空间查看老师上传在课程平台的课件，通知记录，笔记记录，作业记录等，学生可以对课件每一页的内容进行提问，收藏，做笔记；</w:t>
            </w:r>
            <w:r>
              <w:rPr>
                <w:rFonts w:hint="eastAsia" w:ascii="宋体" w:hAnsi="宋体"/>
                <w:color w:val="000000"/>
                <w:kern w:val="0"/>
                <w:sz w:val="20"/>
                <w:szCs w:val="20"/>
              </w:rPr>
              <w:br w:type="textWrapping"/>
            </w:r>
            <w:r>
              <w:rPr>
                <w:rFonts w:hint="eastAsia" w:ascii="宋体" w:hAnsi="宋体"/>
                <w:color w:val="000000"/>
                <w:kern w:val="0"/>
                <w:sz w:val="20"/>
                <w:szCs w:val="20"/>
              </w:rPr>
              <w:t>八、其他要求</w:t>
            </w:r>
            <w:r>
              <w:rPr>
                <w:rFonts w:hint="eastAsia" w:ascii="宋体" w:hAnsi="宋体"/>
                <w:color w:val="000000"/>
                <w:kern w:val="0"/>
                <w:sz w:val="20"/>
                <w:szCs w:val="20"/>
              </w:rPr>
              <w:br w:type="textWrapping"/>
            </w:r>
            <w:r>
              <w:rPr>
                <w:rFonts w:hint="eastAsia" w:ascii="宋体" w:hAnsi="宋体"/>
                <w:color w:val="000000"/>
                <w:kern w:val="0"/>
                <w:sz w:val="20"/>
                <w:szCs w:val="20"/>
              </w:rPr>
              <w:t>1、为确保货物质量及原厂品质，中标供应商在正式供货时必须提供生产厂家针对此项目的售后服务保证原件、供货证明原件，否则采购方将不予验收通过。</w:t>
            </w:r>
            <w:r>
              <w:rPr>
                <w:rFonts w:hint="eastAsia" w:ascii="宋体" w:hAnsi="宋体"/>
                <w:color w:val="000000"/>
                <w:kern w:val="0"/>
                <w:sz w:val="20"/>
                <w:szCs w:val="20"/>
              </w:rPr>
              <w:br w:type="textWrapping"/>
            </w:r>
            <w:r>
              <w:rPr>
                <w:rFonts w:hint="eastAsia" w:ascii="宋体" w:hAnsi="宋体"/>
                <w:color w:val="000000"/>
                <w:kern w:val="0"/>
                <w:sz w:val="20"/>
                <w:szCs w:val="20"/>
              </w:rPr>
              <w:t>2、打“★”号条款为重要技术参数，投标人必须满足否则中标无效。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tc>
        <w:tc>
          <w:tcPr>
            <w:tcW w:w="708" w:type="dxa"/>
            <w:vAlign w:val="center"/>
          </w:tcPr>
          <w:p w14:paraId="47D7EE5C">
            <w:pPr>
              <w:widowControl/>
              <w:jc w:val="center"/>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kern w:val="0"/>
                <w:sz w:val="20"/>
                <w:szCs w:val="20"/>
                <w:lang w:bidi="ar"/>
              </w:rPr>
              <w:t>台</w:t>
            </w:r>
          </w:p>
        </w:tc>
        <w:tc>
          <w:tcPr>
            <w:tcW w:w="567" w:type="dxa"/>
            <w:vAlign w:val="center"/>
          </w:tcPr>
          <w:p w14:paraId="09434A61">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kern w:val="0"/>
                <w:sz w:val="20"/>
                <w:szCs w:val="20"/>
                <w:lang w:bidi="ar"/>
              </w:rPr>
              <w:t>2</w:t>
            </w:r>
          </w:p>
        </w:tc>
        <w:tc>
          <w:tcPr>
            <w:tcW w:w="851" w:type="dxa"/>
            <w:vAlign w:val="center"/>
          </w:tcPr>
          <w:p w14:paraId="39EF1B82">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kern w:val="0"/>
                <w:sz w:val="20"/>
                <w:szCs w:val="20"/>
                <w:lang w:bidi="ar"/>
              </w:rPr>
              <w:t>15000</w:t>
            </w:r>
          </w:p>
        </w:tc>
        <w:tc>
          <w:tcPr>
            <w:tcW w:w="992" w:type="dxa"/>
            <w:vAlign w:val="center"/>
          </w:tcPr>
          <w:p w14:paraId="66BD4D3A">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kern w:val="0"/>
                <w:sz w:val="20"/>
                <w:szCs w:val="20"/>
                <w:lang w:bidi="ar"/>
              </w:rPr>
              <w:t>30000</w:t>
            </w:r>
          </w:p>
        </w:tc>
        <w:tc>
          <w:tcPr>
            <w:tcW w:w="709" w:type="dxa"/>
            <w:vAlign w:val="center"/>
          </w:tcPr>
          <w:p w14:paraId="67F9B509">
            <w:pPr>
              <w:widowControl/>
              <w:jc w:val="center"/>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kern w:val="0"/>
                <w:sz w:val="20"/>
                <w:szCs w:val="20"/>
                <w:lang w:bidi="ar"/>
              </w:rPr>
              <w:t>否</w:t>
            </w:r>
          </w:p>
        </w:tc>
        <w:tc>
          <w:tcPr>
            <w:tcW w:w="3402" w:type="dxa"/>
            <w:vAlign w:val="bottom"/>
          </w:tcPr>
          <w:p w14:paraId="17126CFA">
            <w:pPr>
              <w:widowControl/>
              <w:jc w:val="left"/>
              <w:textAlignment w:val="bottom"/>
              <w:rPr>
                <w:color w:val="000000" w:themeColor="text1"/>
                <w:sz w:val="24"/>
                <w:szCs w:val="24"/>
                <w:u w:val="single"/>
                <w14:textFill>
                  <w14:solidFill>
                    <w14:schemeClr w14:val="tx1"/>
                  </w14:solidFill>
                </w14:textFill>
              </w:rPr>
            </w:pPr>
            <w:r>
              <w:rPr>
                <w:rFonts w:hint="eastAsia" w:ascii="宋体" w:hAnsi="宋体"/>
                <w:color w:val="000000"/>
                <w:kern w:val="0"/>
                <w:sz w:val="24"/>
                <w:szCs w:val="24"/>
                <w:bdr w:val="single" w:color="000000" w:sz="4" w:space="0"/>
              </w:rPr>
              <w:drawing>
                <wp:anchor distT="0" distB="0" distL="114300" distR="114300" simplePos="0" relativeHeight="251660288" behindDoc="0" locked="0" layoutInCell="1" allowOverlap="1">
                  <wp:simplePos x="0" y="0"/>
                  <wp:positionH relativeFrom="column">
                    <wp:posOffset>307975</wp:posOffset>
                  </wp:positionH>
                  <wp:positionV relativeFrom="paragraph">
                    <wp:posOffset>-943610</wp:posOffset>
                  </wp:positionV>
                  <wp:extent cx="1336675" cy="794385"/>
                  <wp:effectExtent l="0" t="0" r="6350" b="5715"/>
                  <wp:wrapNone/>
                  <wp:docPr id="26" name="图片_1"/>
                  <wp:cNvGraphicFramePr/>
                  <a:graphic xmlns:a="http://schemas.openxmlformats.org/drawingml/2006/main">
                    <a:graphicData uri="http://schemas.openxmlformats.org/drawingml/2006/picture">
                      <pic:pic xmlns:pic="http://schemas.openxmlformats.org/drawingml/2006/picture">
                        <pic:nvPicPr>
                          <pic:cNvPr id="26" name="图片_1"/>
                          <pic:cNvPicPr/>
                        </pic:nvPicPr>
                        <pic:blipFill>
                          <a:blip r:embed="rId8"/>
                          <a:stretch>
                            <a:fillRect/>
                          </a:stretch>
                        </pic:blipFill>
                        <pic:spPr>
                          <a:xfrm>
                            <a:off x="0" y="0"/>
                            <a:ext cx="1336675" cy="794385"/>
                          </a:xfrm>
                          <a:prstGeom prst="rect">
                            <a:avLst/>
                          </a:prstGeom>
                          <a:noFill/>
                          <a:ln>
                            <a:noFill/>
                          </a:ln>
                        </pic:spPr>
                      </pic:pic>
                    </a:graphicData>
                  </a:graphic>
                </wp:anchor>
              </w:drawing>
            </w:r>
          </w:p>
        </w:tc>
        <w:tc>
          <w:tcPr>
            <w:tcW w:w="567" w:type="dxa"/>
            <w:vAlign w:val="center"/>
          </w:tcPr>
          <w:p w14:paraId="611C0282">
            <w:pPr>
              <w:widowControl/>
              <w:jc w:val="center"/>
              <w:textAlignment w:val="center"/>
              <w:rPr>
                <w:rFonts w:ascii="宋体" w:hAnsi="宋体"/>
                <w:sz w:val="24"/>
                <w:szCs w:val="24"/>
                <w:u w:val="single"/>
              </w:rPr>
            </w:pPr>
          </w:p>
        </w:tc>
      </w:tr>
      <w:tr w14:paraId="2398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782" w:type="dxa"/>
            <w:gridSpan w:val="7"/>
            <w:noWrap/>
          </w:tcPr>
          <w:p w14:paraId="059C1E34">
            <w:pPr>
              <w:rPr>
                <w:rFonts w:ascii="宋体" w:hAnsi="宋体"/>
                <w:sz w:val="24"/>
                <w:szCs w:val="24"/>
              </w:rPr>
            </w:pPr>
            <w:r>
              <w:rPr>
                <w:rFonts w:hint="eastAsia" w:ascii="仿宋" w:hAnsi="仿宋" w:eastAsia="仿宋" w:cs="仿宋"/>
                <w:sz w:val="24"/>
                <w:szCs w:val="24"/>
              </w:rPr>
              <w:t>合计金额</w:t>
            </w:r>
          </w:p>
        </w:tc>
        <w:tc>
          <w:tcPr>
            <w:tcW w:w="992" w:type="dxa"/>
            <w:noWrap/>
            <w:vAlign w:val="center"/>
          </w:tcPr>
          <w:p w14:paraId="3899BFD5">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121300</w:t>
            </w:r>
          </w:p>
        </w:tc>
        <w:tc>
          <w:tcPr>
            <w:tcW w:w="709" w:type="dxa"/>
            <w:noWrap/>
          </w:tcPr>
          <w:p w14:paraId="19576BBF">
            <w:pPr>
              <w:rPr>
                <w:rFonts w:ascii="宋体" w:hAnsi="宋体"/>
                <w:sz w:val="24"/>
                <w:szCs w:val="24"/>
              </w:rPr>
            </w:pPr>
            <w:r>
              <w:rPr>
                <w:rFonts w:hint="eastAsia" w:ascii="宋体" w:hAnsi="宋体"/>
                <w:sz w:val="24"/>
                <w:szCs w:val="24"/>
              </w:rPr>
              <w:t>　</w:t>
            </w:r>
          </w:p>
        </w:tc>
        <w:tc>
          <w:tcPr>
            <w:tcW w:w="3402" w:type="dxa"/>
          </w:tcPr>
          <w:p w14:paraId="6DF6530B">
            <w:pPr>
              <w:rPr>
                <w:rFonts w:ascii="宋体" w:hAnsi="宋体"/>
                <w:sz w:val="24"/>
                <w:szCs w:val="24"/>
                <w:u w:val="single"/>
              </w:rPr>
            </w:pPr>
          </w:p>
        </w:tc>
        <w:tc>
          <w:tcPr>
            <w:tcW w:w="567" w:type="dxa"/>
            <w:noWrap/>
          </w:tcPr>
          <w:p w14:paraId="23AB1D3C">
            <w:pPr>
              <w:rPr>
                <w:rFonts w:ascii="宋体" w:hAnsi="宋体"/>
                <w:sz w:val="24"/>
                <w:szCs w:val="24"/>
                <w:u w:val="single"/>
              </w:rPr>
            </w:pPr>
          </w:p>
        </w:tc>
      </w:tr>
    </w:tbl>
    <w:p w14:paraId="1551A92D">
      <w:pPr>
        <w:rPr>
          <w:rFonts w:ascii="宋体" w:hAnsi="宋体"/>
          <w:szCs w:val="21"/>
        </w:rPr>
      </w:pPr>
    </w:p>
    <w:tbl>
      <w:tblPr>
        <w:tblStyle w:val="10"/>
        <w:tblW w:w="15532"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72"/>
        <w:gridCol w:w="13560"/>
      </w:tblGrid>
      <w:tr w14:paraId="10F86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532" w:type="dxa"/>
            <w:gridSpan w:val="2"/>
            <w:tcBorders>
              <w:top w:val="single" w:color="auto" w:sz="4" w:space="0"/>
              <w:left w:val="single" w:color="auto" w:sz="4" w:space="0"/>
              <w:bottom w:val="single" w:color="auto" w:sz="4" w:space="0"/>
              <w:right w:val="single" w:color="auto" w:sz="4" w:space="0"/>
            </w:tcBorders>
            <w:vAlign w:val="center"/>
          </w:tcPr>
          <w:p w14:paraId="76A7A17D">
            <w:pPr>
              <w:pStyle w:val="8"/>
              <w:spacing w:line="276" w:lineRule="auto"/>
              <w:rPr>
                <w:rFonts w:ascii="宋体" w:hAnsi="宋体" w:eastAsia="宋体" w:cs="宋体"/>
                <w:bCs w:val="0"/>
                <w:caps w:val="0"/>
                <w:sz w:val="21"/>
                <w:lang w:val="zh-CN"/>
              </w:rPr>
            </w:pPr>
            <w:r>
              <w:rPr>
                <w:rFonts w:hint="eastAsia" w:ascii="宋体" w:hAnsi="宋体" w:eastAsia="宋体" w:cs="宋体"/>
                <w:b/>
                <w:szCs w:val="24"/>
              </w:rPr>
              <w:t>★</w:t>
            </w:r>
            <w:r>
              <w:rPr>
                <w:rFonts w:hint="eastAsia" w:ascii="宋体" w:hAnsi="宋体" w:eastAsia="宋体" w:cs="宋体"/>
                <w:szCs w:val="24"/>
              </w:rPr>
              <w:t>二、商务条款</w:t>
            </w:r>
          </w:p>
        </w:tc>
      </w:tr>
      <w:tr w14:paraId="75B55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vAlign w:val="center"/>
          </w:tcPr>
          <w:p w14:paraId="38009871">
            <w:pPr>
              <w:rPr>
                <w:rFonts w:ascii="宋体" w:hAnsi="宋体"/>
                <w:kern w:val="0"/>
                <w:sz w:val="24"/>
                <w:szCs w:val="24"/>
                <w:lang w:val="zh-CN" w:bidi="ar"/>
              </w:rPr>
            </w:pPr>
            <w:r>
              <w:rPr>
                <w:rFonts w:hint="eastAsia" w:ascii="宋体" w:hAnsi="宋体"/>
                <w:kern w:val="0"/>
                <w:sz w:val="24"/>
                <w:szCs w:val="24"/>
                <w:lang w:bidi="ar"/>
              </w:rPr>
              <w:t>报价要求</w:t>
            </w:r>
          </w:p>
        </w:tc>
        <w:tc>
          <w:tcPr>
            <w:tcW w:w="13560" w:type="dxa"/>
            <w:tcBorders>
              <w:top w:val="single" w:color="auto" w:sz="4" w:space="0"/>
              <w:left w:val="single" w:color="auto" w:sz="4" w:space="0"/>
              <w:bottom w:val="single" w:color="auto" w:sz="4" w:space="0"/>
              <w:right w:val="single" w:color="auto" w:sz="4" w:space="0"/>
            </w:tcBorders>
          </w:tcPr>
          <w:p w14:paraId="388C2F61">
            <w:pPr>
              <w:rPr>
                <w:rFonts w:ascii="宋体" w:hAnsi="宋体"/>
                <w:kern w:val="0"/>
                <w:sz w:val="24"/>
                <w:szCs w:val="24"/>
                <w:lang w:bidi="ar"/>
              </w:rPr>
            </w:pPr>
            <w:r>
              <w:rPr>
                <w:rFonts w:hint="eastAsia" w:ascii="宋体" w:hAnsi="宋体"/>
                <w:kern w:val="0"/>
                <w:sz w:val="24"/>
                <w:szCs w:val="24"/>
                <w:lang w:bidi="ar"/>
              </w:rPr>
              <w:t xml:space="preserve">1、成交人保证向采购人提供的货物是全新、完整、未使用过的。 </w:t>
            </w:r>
          </w:p>
          <w:p w14:paraId="593BD617">
            <w:pPr>
              <w:rPr>
                <w:rFonts w:ascii="宋体" w:hAnsi="宋体"/>
                <w:kern w:val="0"/>
                <w:sz w:val="24"/>
                <w:szCs w:val="24"/>
                <w:lang w:bidi="ar"/>
              </w:rPr>
            </w:pPr>
            <w:r>
              <w:rPr>
                <w:rFonts w:hint="eastAsia" w:ascii="宋体" w:hAnsi="宋体"/>
                <w:kern w:val="0"/>
                <w:sz w:val="24"/>
                <w:szCs w:val="24"/>
                <w:lang w:bidi="ar"/>
              </w:rPr>
              <w:t xml:space="preserve">2、询价报价为采购人指定地点的现场交货价，包括但不仅限于： </w:t>
            </w:r>
          </w:p>
          <w:p w14:paraId="0A801C1D">
            <w:pPr>
              <w:rPr>
                <w:rFonts w:ascii="宋体" w:hAnsi="宋体"/>
                <w:kern w:val="0"/>
                <w:sz w:val="24"/>
                <w:szCs w:val="24"/>
                <w:lang w:bidi="ar"/>
              </w:rPr>
            </w:pPr>
            <w:r>
              <w:rPr>
                <w:rFonts w:hint="eastAsia" w:ascii="宋体" w:hAnsi="宋体"/>
                <w:kern w:val="0"/>
                <w:sz w:val="24"/>
                <w:szCs w:val="24"/>
                <w:lang w:bidi="ar"/>
              </w:rPr>
              <w:t xml:space="preserve">（1）货物的价格：包括货款、杂配件、安装调试费、验收费等； </w:t>
            </w:r>
          </w:p>
          <w:p w14:paraId="53A06A94">
            <w:pPr>
              <w:rPr>
                <w:rFonts w:ascii="宋体" w:hAnsi="宋体"/>
                <w:kern w:val="0"/>
                <w:sz w:val="24"/>
                <w:szCs w:val="24"/>
                <w:lang w:bidi="ar"/>
              </w:rPr>
            </w:pPr>
            <w:r>
              <w:rPr>
                <w:rFonts w:hint="eastAsia" w:ascii="宋体" w:hAnsi="宋体"/>
                <w:kern w:val="0"/>
                <w:sz w:val="24"/>
                <w:szCs w:val="24"/>
                <w:lang w:bidi="ar"/>
              </w:rPr>
              <w:t xml:space="preserve">（2）货物的标准附件、备品备件、专用工具的价格； </w:t>
            </w:r>
          </w:p>
          <w:p w14:paraId="2F82B977">
            <w:pPr>
              <w:rPr>
                <w:rFonts w:ascii="宋体" w:hAnsi="宋体"/>
                <w:kern w:val="0"/>
                <w:sz w:val="24"/>
                <w:szCs w:val="24"/>
                <w:lang w:val="zh-CN" w:bidi="ar"/>
              </w:rPr>
            </w:pPr>
            <w:r>
              <w:rPr>
                <w:rFonts w:hint="eastAsia" w:ascii="宋体" w:hAnsi="宋体"/>
                <w:kern w:val="0"/>
                <w:sz w:val="24"/>
                <w:szCs w:val="24"/>
                <w:lang w:bidi="ar"/>
              </w:rPr>
              <w:t>（3）运输、装卸、垃圾清理搬运、售后服务费、保险费和各项税金；</w:t>
            </w:r>
          </w:p>
        </w:tc>
      </w:tr>
      <w:tr w14:paraId="6CAC3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vAlign w:val="center"/>
          </w:tcPr>
          <w:p w14:paraId="4866D845">
            <w:pPr>
              <w:rPr>
                <w:rFonts w:ascii="宋体" w:hAnsi="宋体"/>
                <w:kern w:val="0"/>
                <w:sz w:val="24"/>
                <w:szCs w:val="24"/>
                <w:lang w:val="zh-CN" w:bidi="ar"/>
              </w:rPr>
            </w:pPr>
            <w:r>
              <w:rPr>
                <w:rFonts w:hint="eastAsia" w:ascii="宋体" w:hAnsi="宋体"/>
                <w:kern w:val="0"/>
                <w:sz w:val="24"/>
                <w:szCs w:val="24"/>
                <w:lang w:val="zh-CN" w:bidi="ar"/>
              </w:rPr>
              <w:t>交货时间及地点</w:t>
            </w:r>
          </w:p>
        </w:tc>
        <w:tc>
          <w:tcPr>
            <w:tcW w:w="13560" w:type="dxa"/>
            <w:tcBorders>
              <w:top w:val="single" w:color="auto" w:sz="4" w:space="0"/>
              <w:left w:val="single" w:color="auto" w:sz="4" w:space="0"/>
              <w:bottom w:val="single" w:color="auto" w:sz="4" w:space="0"/>
              <w:right w:val="single" w:color="auto" w:sz="4" w:space="0"/>
            </w:tcBorders>
          </w:tcPr>
          <w:p w14:paraId="1A16A5FB">
            <w:pPr>
              <w:rPr>
                <w:rFonts w:ascii="宋体" w:hAnsi="宋体"/>
                <w:kern w:val="0"/>
                <w:sz w:val="24"/>
                <w:szCs w:val="24"/>
                <w:lang w:bidi="ar"/>
              </w:rPr>
            </w:pPr>
            <w:r>
              <w:rPr>
                <w:rFonts w:hint="eastAsia" w:ascii="宋体" w:hAnsi="宋体"/>
                <w:kern w:val="0"/>
                <w:sz w:val="24"/>
                <w:szCs w:val="24"/>
                <w:lang w:bidi="ar"/>
              </w:rPr>
              <w:t>（1）交付时间：</w:t>
            </w:r>
            <w:r>
              <w:rPr>
                <w:rFonts w:hint="eastAsia" w:ascii="宋体" w:hAnsi="宋体"/>
                <w:kern w:val="0"/>
                <w:sz w:val="24"/>
                <w:szCs w:val="24"/>
                <w:lang w:val="zh-CN" w:bidi="ar"/>
              </w:rPr>
              <w:t>自合同签订之日起</w:t>
            </w:r>
            <w:r>
              <w:rPr>
                <w:rFonts w:hint="eastAsia" w:ascii="宋体" w:hAnsi="宋体"/>
                <w:kern w:val="0"/>
                <w:sz w:val="24"/>
                <w:szCs w:val="24"/>
                <w:lang w:bidi="ar"/>
              </w:rPr>
              <w:t xml:space="preserve">   30  日</w:t>
            </w:r>
            <w:r>
              <w:rPr>
                <w:rFonts w:hint="eastAsia" w:ascii="宋体" w:hAnsi="宋体"/>
                <w:kern w:val="0"/>
                <w:sz w:val="24"/>
                <w:szCs w:val="24"/>
                <w:lang w:val="zh-CN" w:bidi="ar"/>
              </w:rPr>
              <w:t>内交付。</w:t>
            </w:r>
          </w:p>
          <w:p w14:paraId="61B8D82F">
            <w:pPr>
              <w:rPr>
                <w:rFonts w:ascii="宋体" w:hAnsi="宋体"/>
                <w:kern w:val="0"/>
                <w:sz w:val="24"/>
                <w:szCs w:val="24"/>
                <w:lang w:val="zh-CN" w:bidi="ar"/>
              </w:rPr>
            </w:pPr>
            <w:r>
              <w:rPr>
                <w:rFonts w:hint="eastAsia" w:ascii="宋体" w:hAnsi="宋体"/>
                <w:kern w:val="0"/>
                <w:sz w:val="24"/>
                <w:szCs w:val="24"/>
                <w:lang w:bidi="ar"/>
              </w:rPr>
              <w:t>（2）交货地点：广西南宁市西乡塘区明秀东路179号广西中医药大学明秀校区图书馆</w:t>
            </w:r>
            <w:r>
              <w:rPr>
                <w:rFonts w:hint="eastAsia" w:ascii="宋体" w:hAnsi="宋体"/>
                <w:kern w:val="0"/>
                <w:sz w:val="24"/>
                <w:szCs w:val="24"/>
                <w:lang w:val="zh-CN" w:bidi="ar"/>
              </w:rPr>
              <w:t>。</w:t>
            </w:r>
          </w:p>
        </w:tc>
      </w:tr>
      <w:tr w14:paraId="51E7B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vAlign w:val="center"/>
          </w:tcPr>
          <w:p w14:paraId="4856F650">
            <w:pPr>
              <w:rPr>
                <w:rFonts w:ascii="宋体" w:hAnsi="宋体"/>
                <w:kern w:val="0"/>
                <w:sz w:val="24"/>
                <w:szCs w:val="24"/>
                <w:lang w:val="zh-CN" w:bidi="ar"/>
              </w:rPr>
            </w:pPr>
            <w:r>
              <w:rPr>
                <w:rFonts w:hint="eastAsia" w:ascii="宋体" w:hAnsi="宋体"/>
                <w:kern w:val="0"/>
                <w:sz w:val="24"/>
                <w:szCs w:val="24"/>
                <w:lang w:bidi="ar"/>
              </w:rPr>
              <w:t>包装和运输</w:t>
            </w:r>
          </w:p>
        </w:tc>
        <w:tc>
          <w:tcPr>
            <w:tcW w:w="13560" w:type="dxa"/>
            <w:tcBorders>
              <w:top w:val="single" w:color="auto" w:sz="4" w:space="0"/>
              <w:left w:val="single" w:color="auto" w:sz="4" w:space="0"/>
              <w:bottom w:val="single" w:color="auto" w:sz="4" w:space="0"/>
              <w:right w:val="single" w:color="auto" w:sz="4" w:space="0"/>
            </w:tcBorders>
          </w:tcPr>
          <w:p w14:paraId="3ED66D12">
            <w:pPr>
              <w:rPr>
                <w:rFonts w:ascii="宋体" w:hAnsi="宋体"/>
                <w:kern w:val="0"/>
                <w:sz w:val="24"/>
                <w:szCs w:val="24"/>
                <w:lang w:val="zh-CN" w:bidi="ar"/>
              </w:rPr>
            </w:pPr>
            <w:r>
              <w:rPr>
                <w:rFonts w:hint="eastAsia" w:ascii="宋体" w:hAnsi="宋体"/>
                <w:kern w:val="0"/>
                <w:sz w:val="24"/>
                <w:szCs w:val="24"/>
                <w:lang w:bidi="ar"/>
              </w:rPr>
              <w:t>成交人提供的全部货物均应按国家标准中关于包装、储运指示标志的规定及其他相关规定进行包装。以确保货物安全无损地运抵采购人指定地点。</w:t>
            </w:r>
          </w:p>
        </w:tc>
      </w:tr>
      <w:tr w14:paraId="1942C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vAlign w:val="center"/>
          </w:tcPr>
          <w:p w14:paraId="4E925C9F">
            <w:pPr>
              <w:rPr>
                <w:rFonts w:ascii="宋体" w:hAnsi="宋体"/>
                <w:kern w:val="0"/>
                <w:sz w:val="24"/>
                <w:szCs w:val="24"/>
                <w:lang w:val="zh-CN" w:bidi="ar"/>
              </w:rPr>
            </w:pPr>
            <w:r>
              <w:rPr>
                <w:rFonts w:hint="eastAsia" w:ascii="宋体" w:hAnsi="宋体"/>
                <w:kern w:val="0"/>
                <w:sz w:val="24"/>
                <w:szCs w:val="24"/>
                <w:lang w:bidi="ar"/>
              </w:rPr>
              <w:t>售后服务要求</w:t>
            </w:r>
          </w:p>
        </w:tc>
        <w:tc>
          <w:tcPr>
            <w:tcW w:w="13560" w:type="dxa"/>
            <w:tcBorders>
              <w:top w:val="single" w:color="auto" w:sz="4" w:space="0"/>
              <w:left w:val="single" w:color="auto" w:sz="4" w:space="0"/>
              <w:bottom w:val="single" w:color="auto" w:sz="4" w:space="0"/>
              <w:right w:val="single" w:color="auto" w:sz="4" w:space="0"/>
            </w:tcBorders>
          </w:tcPr>
          <w:p w14:paraId="2DB4788A">
            <w:pPr>
              <w:autoSpaceDE w:val="0"/>
              <w:autoSpaceDN w:val="0"/>
              <w:adjustRightInd w:val="0"/>
              <w:jc w:val="left"/>
              <w:rPr>
                <w:rFonts w:ascii="HYShuSongErKW" w:eastAsia="HYShuSongErKW" w:cs="HYShuSongErKW"/>
                <w:kern w:val="0"/>
                <w:szCs w:val="21"/>
              </w:rPr>
            </w:pPr>
            <w:r>
              <w:rPr>
                <w:rFonts w:hint="eastAsia" w:ascii="宋体" w:hAnsi="宋体"/>
                <w:kern w:val="0"/>
                <w:sz w:val="24"/>
                <w:szCs w:val="24"/>
                <w:lang w:bidi="ar"/>
              </w:rPr>
              <w:t>质保期为</w:t>
            </w:r>
            <w:r>
              <w:rPr>
                <w:rFonts w:hint="eastAsia" w:ascii="宋体" w:hAnsi="宋体"/>
                <w:kern w:val="0"/>
                <w:sz w:val="24"/>
                <w:szCs w:val="24"/>
                <w:u w:val="single"/>
                <w:lang w:bidi="ar"/>
              </w:rPr>
              <w:t>2</w:t>
            </w:r>
            <w:r>
              <w:rPr>
                <w:rFonts w:hint="eastAsia" w:ascii="宋体" w:hAnsi="宋体"/>
                <w:kern w:val="0"/>
                <w:sz w:val="24"/>
                <w:szCs w:val="24"/>
                <w:lang w:bidi="ar"/>
              </w:rPr>
              <w:t>年（</w:t>
            </w:r>
            <w:r>
              <w:rPr>
                <w:rFonts w:hint="eastAsia" w:ascii="宋体" w:hAnsi="宋体"/>
                <w:kern w:val="0"/>
                <w:sz w:val="24"/>
                <w:szCs w:val="24"/>
              </w:rPr>
              <w:t>如果采购需求部分有特别要求的则以技术参数要求表为准</w:t>
            </w:r>
            <w:r>
              <w:rPr>
                <w:rFonts w:hint="eastAsia" w:ascii="宋体" w:hAnsi="宋体"/>
                <w:kern w:val="0"/>
                <w:szCs w:val="21"/>
              </w:rPr>
              <w:t>）</w:t>
            </w:r>
            <w:r>
              <w:rPr>
                <w:rFonts w:hint="eastAsia" w:ascii="宋体" w:hAnsi="宋体"/>
                <w:kern w:val="0"/>
                <w:sz w:val="24"/>
                <w:szCs w:val="24"/>
                <w:lang w:bidi="ar"/>
              </w:rPr>
              <w:t>，验收合格之日起至质保期届满且经采购人方确认无任何质量问题时止。在质保期内，成交人应对货物出现的质量及安全问题负责处理解决并承担一切费用。质保期届满后，成交人对本合同项下货物提供终身维修服务，且维修时只收取所需维修部件的成本费，服务内容应与质保期内的要求相一致。</w:t>
            </w:r>
          </w:p>
        </w:tc>
      </w:tr>
      <w:tr w14:paraId="3C0EF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vAlign w:val="center"/>
          </w:tcPr>
          <w:p w14:paraId="09A1BD24">
            <w:pPr>
              <w:rPr>
                <w:rFonts w:ascii="宋体" w:hAnsi="宋体"/>
                <w:kern w:val="0"/>
                <w:sz w:val="24"/>
                <w:szCs w:val="24"/>
                <w:lang w:val="zh-CN" w:bidi="ar"/>
              </w:rPr>
            </w:pPr>
            <w:r>
              <w:rPr>
                <w:rFonts w:hint="eastAsia" w:ascii="宋体" w:hAnsi="宋体"/>
                <w:kern w:val="0"/>
                <w:sz w:val="24"/>
                <w:szCs w:val="24"/>
                <w:lang w:bidi="ar"/>
              </w:rPr>
              <w:t>履约验收要求</w:t>
            </w:r>
          </w:p>
        </w:tc>
        <w:tc>
          <w:tcPr>
            <w:tcW w:w="13560" w:type="dxa"/>
            <w:tcBorders>
              <w:top w:val="single" w:color="auto" w:sz="4" w:space="0"/>
              <w:left w:val="single" w:color="auto" w:sz="4" w:space="0"/>
              <w:bottom w:val="single" w:color="auto" w:sz="4" w:space="0"/>
              <w:right w:val="single" w:color="auto" w:sz="4" w:space="0"/>
            </w:tcBorders>
            <w:vAlign w:val="center"/>
          </w:tcPr>
          <w:p w14:paraId="5B76CC23">
            <w:pPr>
              <w:rPr>
                <w:rFonts w:ascii="宋体" w:hAnsi="宋体"/>
                <w:kern w:val="0"/>
                <w:sz w:val="24"/>
                <w:szCs w:val="24"/>
                <w:lang w:val="zh-CN" w:bidi="ar"/>
              </w:rPr>
            </w:pPr>
            <w:r>
              <w:rPr>
                <w:rFonts w:hint="eastAsia" w:ascii="宋体" w:hAnsi="宋体"/>
                <w:kern w:val="0"/>
                <w:sz w:val="24"/>
                <w:szCs w:val="24"/>
                <w:lang w:bidi="ar"/>
              </w:rPr>
              <w:t>货物经安装调试完成且符合技术要求后（货物的安装调试成本包含在项目预算总金额内），采购人进行最终验收。验收时成交人必须在现场。货物符合合同约定的技术规范要求和验收标准的，采购人签署验收合格证明。如货物不符合合同约定的要求的，成交人应当在3日内采取措施消除缺陷后重新申请终验，并承担由此产生的费用。</w:t>
            </w:r>
          </w:p>
        </w:tc>
      </w:tr>
      <w:tr w14:paraId="0AC14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vAlign w:val="center"/>
          </w:tcPr>
          <w:p w14:paraId="1EF6711E">
            <w:pPr>
              <w:rPr>
                <w:rFonts w:ascii="宋体" w:hAnsi="宋体"/>
                <w:kern w:val="0"/>
                <w:sz w:val="24"/>
                <w:szCs w:val="24"/>
                <w:lang w:val="zh-CN" w:bidi="ar"/>
              </w:rPr>
            </w:pPr>
            <w:r>
              <w:rPr>
                <w:rFonts w:hint="eastAsia" w:ascii="宋体" w:hAnsi="宋体"/>
                <w:kern w:val="0"/>
                <w:sz w:val="24"/>
                <w:szCs w:val="24"/>
                <w:lang w:val="zh-CN" w:bidi="ar"/>
              </w:rPr>
              <w:t>付款方式</w:t>
            </w:r>
          </w:p>
        </w:tc>
        <w:tc>
          <w:tcPr>
            <w:tcW w:w="13560" w:type="dxa"/>
            <w:tcBorders>
              <w:top w:val="single" w:color="auto" w:sz="4" w:space="0"/>
              <w:left w:val="single" w:color="auto" w:sz="4" w:space="0"/>
              <w:bottom w:val="single" w:color="auto" w:sz="4" w:space="0"/>
              <w:right w:val="single" w:color="auto" w:sz="4" w:space="0"/>
            </w:tcBorders>
            <w:vAlign w:val="center"/>
          </w:tcPr>
          <w:p w14:paraId="3C2AA5BB">
            <w:pPr>
              <w:rPr>
                <w:rFonts w:ascii="宋体" w:hAnsi="宋体"/>
                <w:kern w:val="0"/>
                <w:sz w:val="24"/>
                <w:szCs w:val="24"/>
                <w:lang w:val="zh-CN" w:bidi="ar"/>
              </w:rPr>
            </w:pPr>
            <w:r>
              <w:rPr>
                <w:rFonts w:hint="eastAsia" w:ascii="宋体" w:hAnsi="宋体"/>
                <w:kern w:val="0"/>
                <w:sz w:val="24"/>
                <w:szCs w:val="24"/>
                <w:lang w:bidi="ar"/>
              </w:rPr>
              <w:t>本合同项下的全部货物安装调试完毕并经最终验收合格后15个工作日内，采购人向成交人支付全部合同价款。</w:t>
            </w:r>
          </w:p>
        </w:tc>
      </w:tr>
      <w:tr w14:paraId="31880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2" w:type="dxa"/>
            <w:tcBorders>
              <w:top w:val="single" w:color="auto" w:sz="4" w:space="0"/>
              <w:left w:val="single" w:color="auto" w:sz="4" w:space="0"/>
              <w:bottom w:val="single" w:color="auto" w:sz="4" w:space="0"/>
              <w:right w:val="single" w:color="auto" w:sz="4" w:space="0"/>
            </w:tcBorders>
            <w:vAlign w:val="center"/>
          </w:tcPr>
          <w:p w14:paraId="046B4A68">
            <w:pPr>
              <w:rPr>
                <w:rFonts w:ascii="宋体" w:hAnsi="宋体"/>
                <w:kern w:val="0"/>
                <w:sz w:val="24"/>
                <w:szCs w:val="24"/>
                <w:lang w:val="zh-CN" w:bidi="ar"/>
              </w:rPr>
            </w:pPr>
            <w:r>
              <w:rPr>
                <w:rFonts w:hint="eastAsia" w:ascii="宋体" w:hAnsi="宋体"/>
                <w:kern w:val="0"/>
                <w:sz w:val="24"/>
                <w:szCs w:val="24"/>
                <w:lang w:val="zh-CN" w:bidi="ar"/>
              </w:rPr>
              <w:t>其他要求</w:t>
            </w:r>
          </w:p>
        </w:tc>
        <w:tc>
          <w:tcPr>
            <w:tcW w:w="13560" w:type="dxa"/>
            <w:tcBorders>
              <w:top w:val="single" w:color="auto" w:sz="4" w:space="0"/>
              <w:left w:val="single" w:color="auto" w:sz="4" w:space="0"/>
              <w:bottom w:val="single" w:color="auto" w:sz="4" w:space="0"/>
              <w:right w:val="single" w:color="auto" w:sz="4" w:space="0"/>
            </w:tcBorders>
            <w:vAlign w:val="center"/>
          </w:tcPr>
          <w:p w14:paraId="2DBEE342">
            <w:pPr>
              <w:rPr>
                <w:rFonts w:ascii="宋体" w:hAnsi="宋体"/>
                <w:sz w:val="24"/>
                <w:szCs w:val="24"/>
              </w:rPr>
            </w:pPr>
            <w:r>
              <w:rPr>
                <w:rFonts w:hint="eastAsia" w:ascii="宋体" w:hAnsi="宋体"/>
                <w:sz w:val="24"/>
                <w:szCs w:val="24"/>
              </w:rPr>
              <w:t>1、标注“★”号的条款为本次采购的实质性的商务、技术或服务要求，投标人必须满足或响应，若无法完全满足，将会被认定为响应无效。</w:t>
            </w:r>
          </w:p>
          <w:p w14:paraId="7E66AED7">
            <w:pPr>
              <w:rPr>
                <w:rFonts w:ascii="宋体" w:hAnsi="宋体"/>
                <w:sz w:val="24"/>
                <w:szCs w:val="24"/>
              </w:rPr>
            </w:pPr>
            <w:r>
              <w:rPr>
                <w:rFonts w:hint="eastAsia" w:ascii="宋体" w:hAnsi="宋体"/>
                <w:sz w:val="24"/>
                <w:szCs w:val="24"/>
              </w:rPr>
              <w:t>2、本项目货物不接受进口产品（即通过中国海关报关验放进入中国境内且产自关境外的产品），不接受联合体参与竞标。如有此类产品参与竞标的做无效标处理。</w:t>
            </w:r>
          </w:p>
          <w:p w14:paraId="64D9678C">
            <w:pPr>
              <w:rPr>
                <w:rFonts w:ascii="宋体" w:hAnsi="宋体"/>
                <w:sz w:val="24"/>
                <w:szCs w:val="24"/>
              </w:rPr>
            </w:pPr>
            <w:r>
              <w:rPr>
                <w:rFonts w:hint="eastAsia" w:ascii="宋体" w:hAnsi="宋体"/>
                <w:sz w:val="24"/>
                <w:szCs w:val="24"/>
              </w:rPr>
              <w:t>3、响应品牌型号参数具体说明一栏需针对采购需求中技术参数要求逐条说明具体响应内容，响应情况具体说明需针对商务条款中具体内容逐条说明响应内容，若无法响应或不逐条响应则作报价无效处理。</w:t>
            </w:r>
          </w:p>
          <w:p w14:paraId="2FB301AA">
            <w:pPr>
              <w:rPr>
                <w:rFonts w:ascii="宋体" w:hAnsi="宋体"/>
                <w:sz w:val="24"/>
                <w:szCs w:val="24"/>
              </w:rPr>
            </w:pPr>
            <w:r>
              <w:rPr>
                <w:rFonts w:hint="eastAsia" w:ascii="宋体" w:hAnsi="宋体"/>
                <w:sz w:val="24"/>
                <w:szCs w:val="24"/>
              </w:rPr>
              <w:t>4、报价响应表每页必须盖公章。</w:t>
            </w:r>
          </w:p>
          <w:p w14:paraId="6A5EF7AA">
            <w:pPr>
              <w:adjustRightInd w:val="0"/>
              <w:snapToGrid w:val="0"/>
              <w:rPr>
                <w:rFonts w:ascii="宋体" w:hAnsi="宋体"/>
                <w:sz w:val="24"/>
                <w:szCs w:val="24"/>
              </w:rPr>
            </w:pPr>
            <w:r>
              <w:rPr>
                <w:rFonts w:hint="eastAsia" w:ascii="宋体" w:hAnsi="宋体"/>
                <w:sz w:val="24"/>
                <w:szCs w:val="24"/>
              </w:rPr>
              <w:t>5、所供产品的材质、款式、结构、造型符合采购需求的规定及采购合同约定的要求。</w:t>
            </w:r>
          </w:p>
          <w:p w14:paraId="69805EAB">
            <w:pPr>
              <w:adjustRightInd w:val="0"/>
              <w:snapToGrid w:val="0"/>
              <w:rPr>
                <w:rFonts w:ascii="宋体" w:hAnsi="宋体"/>
                <w:sz w:val="24"/>
                <w:szCs w:val="24"/>
              </w:rPr>
            </w:pPr>
            <w:r>
              <w:rPr>
                <w:rFonts w:hint="eastAsia" w:ascii="宋体" w:hAnsi="宋体"/>
                <w:sz w:val="24"/>
                <w:szCs w:val="24"/>
              </w:rPr>
              <w:t>6、产品：移动实训显示终端，为确保货物质量及原厂品质，中标供应商在正式供货时必须提供生产厂家针对此项目的售后服务保证原件、供货证明原件，否则采购方将不予验收通过。</w:t>
            </w:r>
          </w:p>
          <w:p w14:paraId="1C251F58">
            <w:pPr>
              <w:spacing w:line="340" w:lineRule="exact"/>
              <w:rPr>
                <w:rFonts w:ascii="宋体" w:hAnsi="宋体"/>
                <w:sz w:val="24"/>
                <w:szCs w:val="24"/>
              </w:rPr>
            </w:pPr>
            <w:r>
              <w:rPr>
                <w:rFonts w:hint="eastAsia" w:ascii="宋体" w:hAnsi="宋体"/>
                <w:sz w:val="24"/>
                <w:szCs w:val="24"/>
              </w:rPr>
              <w:t>7、本项目为网上询价，对不能满足参数要求虚假响应，或者无法正常交货影响采购人使用的，采购人可作为询价无效处理，并按规定对询价单位追究响应责任，采购人有权追究其法律责任，并将依法向政采云平台举报，上报政府采购监管部门。</w:t>
            </w:r>
          </w:p>
          <w:p w14:paraId="1F029ABB">
            <w:pPr>
              <w:spacing w:line="340" w:lineRule="exact"/>
              <w:rPr>
                <w:rFonts w:ascii="宋体" w:hAnsi="宋体"/>
                <w:sz w:val="24"/>
                <w:szCs w:val="24"/>
                <w:lang w:val="zh-CN"/>
              </w:rPr>
            </w:pPr>
            <w:r>
              <w:rPr>
                <w:rFonts w:hint="eastAsia" w:ascii="宋体" w:hAnsi="宋体"/>
                <w:sz w:val="24"/>
                <w:szCs w:val="24"/>
              </w:rPr>
              <w:t>8、违约责任:如提供的实物未满足技术参数要求，则视为无效报价，采购人有权追究其法律责任，并将依法向政采云平台举报，上报政府采购监管部门。</w:t>
            </w:r>
          </w:p>
        </w:tc>
      </w:tr>
    </w:tbl>
    <w:p w14:paraId="3F26F6C0">
      <w:pPr>
        <w:rPr>
          <w:rFonts w:ascii="仿宋" w:hAnsi="仿宋" w:eastAsia="仿宋" w:cs="仿宋"/>
          <w:sz w:val="20"/>
          <w:szCs w:val="20"/>
        </w:rPr>
      </w:pPr>
    </w:p>
    <w:sectPr>
      <w:footerReference r:id="rId3" w:type="default"/>
      <w:pgSz w:w="16838" w:h="11906" w:orient="landscape"/>
      <w:pgMar w:top="850" w:right="680" w:bottom="68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YShuSongErKW">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593C">
    <w:pPr>
      <w:pStyle w:val="6"/>
      <w:jc w:val="center"/>
    </w:pPr>
    <w:r>
      <w:fldChar w:fldCharType="begin"/>
    </w:r>
    <w:r>
      <w:instrText xml:space="preserve">PAGE   \* MERGEFORMAT</w:instrText>
    </w:r>
    <w:r>
      <w:fldChar w:fldCharType="separate"/>
    </w:r>
    <w:r>
      <w:rPr>
        <w:lang w:val="zh-CN"/>
      </w:rPr>
      <w:t>18</w:t>
    </w:r>
    <w:r>
      <w:fldChar w:fldCharType="end"/>
    </w:r>
  </w:p>
  <w:p w14:paraId="22CEF10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90BBC"/>
    <w:multiLevelType w:val="multilevel"/>
    <w:tmpl w:val="52490BBC"/>
    <w:lvl w:ilvl="0" w:tentative="0">
      <w:start w:val="1"/>
      <w:numFmt w:val="chineseCount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F6C085"/>
    <w:multiLevelType w:val="singleLevel"/>
    <w:tmpl w:val="7AF6C08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0MGYyN2QxMTM2ZmRhZmU2MDcxNDI4Y2I1NzcxNWEifQ=="/>
  </w:docVars>
  <w:rsids>
    <w:rsidRoot w:val="006F415C"/>
    <w:rsid w:val="00002BF7"/>
    <w:rsid w:val="0000657E"/>
    <w:rsid w:val="000071AB"/>
    <w:rsid w:val="00010997"/>
    <w:rsid w:val="00042573"/>
    <w:rsid w:val="000917FF"/>
    <w:rsid w:val="000D2719"/>
    <w:rsid w:val="000D6EDD"/>
    <w:rsid w:val="000D7C18"/>
    <w:rsid w:val="000E14C5"/>
    <w:rsid w:val="000F4813"/>
    <w:rsid w:val="00111AC8"/>
    <w:rsid w:val="0011464C"/>
    <w:rsid w:val="001168C8"/>
    <w:rsid w:val="0011746E"/>
    <w:rsid w:val="00130123"/>
    <w:rsid w:val="0019134F"/>
    <w:rsid w:val="0019269F"/>
    <w:rsid w:val="001968BC"/>
    <w:rsid w:val="001B0309"/>
    <w:rsid w:val="001B727E"/>
    <w:rsid w:val="001C690C"/>
    <w:rsid w:val="001D3408"/>
    <w:rsid w:val="001F560E"/>
    <w:rsid w:val="00203A16"/>
    <w:rsid w:val="00220101"/>
    <w:rsid w:val="00221F27"/>
    <w:rsid w:val="00251CC2"/>
    <w:rsid w:val="00261BA9"/>
    <w:rsid w:val="00265C79"/>
    <w:rsid w:val="00280359"/>
    <w:rsid w:val="00292DA7"/>
    <w:rsid w:val="002F18BC"/>
    <w:rsid w:val="00302BD7"/>
    <w:rsid w:val="00303DE9"/>
    <w:rsid w:val="0033343E"/>
    <w:rsid w:val="003463C8"/>
    <w:rsid w:val="00355850"/>
    <w:rsid w:val="00390F82"/>
    <w:rsid w:val="00393959"/>
    <w:rsid w:val="00393FBD"/>
    <w:rsid w:val="003C2021"/>
    <w:rsid w:val="003C24F2"/>
    <w:rsid w:val="003D7909"/>
    <w:rsid w:val="004044AB"/>
    <w:rsid w:val="00411079"/>
    <w:rsid w:val="00415802"/>
    <w:rsid w:val="00451615"/>
    <w:rsid w:val="004522EA"/>
    <w:rsid w:val="00455AEF"/>
    <w:rsid w:val="00461108"/>
    <w:rsid w:val="00463CAE"/>
    <w:rsid w:val="00482D01"/>
    <w:rsid w:val="00485C05"/>
    <w:rsid w:val="004A284D"/>
    <w:rsid w:val="004C3426"/>
    <w:rsid w:val="004D28E9"/>
    <w:rsid w:val="004F27D6"/>
    <w:rsid w:val="004F5987"/>
    <w:rsid w:val="0050582C"/>
    <w:rsid w:val="00556F2D"/>
    <w:rsid w:val="00574A3C"/>
    <w:rsid w:val="00584CB4"/>
    <w:rsid w:val="00586C1C"/>
    <w:rsid w:val="005922DD"/>
    <w:rsid w:val="005D0F5A"/>
    <w:rsid w:val="005F3E24"/>
    <w:rsid w:val="006200C1"/>
    <w:rsid w:val="00622441"/>
    <w:rsid w:val="00630573"/>
    <w:rsid w:val="00637D18"/>
    <w:rsid w:val="00645A88"/>
    <w:rsid w:val="0064758D"/>
    <w:rsid w:val="006518BD"/>
    <w:rsid w:val="006B1C3C"/>
    <w:rsid w:val="006B3EB3"/>
    <w:rsid w:val="006B64E8"/>
    <w:rsid w:val="006D3071"/>
    <w:rsid w:val="006E3E8D"/>
    <w:rsid w:val="006F415C"/>
    <w:rsid w:val="00701105"/>
    <w:rsid w:val="0071183C"/>
    <w:rsid w:val="00722B40"/>
    <w:rsid w:val="00733ABB"/>
    <w:rsid w:val="00761BCD"/>
    <w:rsid w:val="0077004F"/>
    <w:rsid w:val="00777420"/>
    <w:rsid w:val="007861AC"/>
    <w:rsid w:val="007B61B5"/>
    <w:rsid w:val="007B6A44"/>
    <w:rsid w:val="007C3C95"/>
    <w:rsid w:val="007D7B5D"/>
    <w:rsid w:val="00830265"/>
    <w:rsid w:val="0083642F"/>
    <w:rsid w:val="00863F45"/>
    <w:rsid w:val="008860BE"/>
    <w:rsid w:val="008D1788"/>
    <w:rsid w:val="008D2FC2"/>
    <w:rsid w:val="008D3862"/>
    <w:rsid w:val="008E1B28"/>
    <w:rsid w:val="008F0A7B"/>
    <w:rsid w:val="008F0F88"/>
    <w:rsid w:val="0093092B"/>
    <w:rsid w:val="00934132"/>
    <w:rsid w:val="0094250E"/>
    <w:rsid w:val="009471EA"/>
    <w:rsid w:val="00953C4F"/>
    <w:rsid w:val="00966A6C"/>
    <w:rsid w:val="009727AB"/>
    <w:rsid w:val="009843D5"/>
    <w:rsid w:val="0098550E"/>
    <w:rsid w:val="009A6B03"/>
    <w:rsid w:val="009B1B2A"/>
    <w:rsid w:val="009C0BD6"/>
    <w:rsid w:val="009C348A"/>
    <w:rsid w:val="009C5965"/>
    <w:rsid w:val="009E6FAD"/>
    <w:rsid w:val="009F7772"/>
    <w:rsid w:val="00A07634"/>
    <w:rsid w:val="00A20EA8"/>
    <w:rsid w:val="00A41E21"/>
    <w:rsid w:val="00A56305"/>
    <w:rsid w:val="00A60E4F"/>
    <w:rsid w:val="00A80D5C"/>
    <w:rsid w:val="00AA1028"/>
    <w:rsid w:val="00AD6D6B"/>
    <w:rsid w:val="00AE11DF"/>
    <w:rsid w:val="00AF0A40"/>
    <w:rsid w:val="00B66E4C"/>
    <w:rsid w:val="00B74CC8"/>
    <w:rsid w:val="00B77EA4"/>
    <w:rsid w:val="00B80D9E"/>
    <w:rsid w:val="00BC2688"/>
    <w:rsid w:val="00BD2F46"/>
    <w:rsid w:val="00BD49F0"/>
    <w:rsid w:val="00C0724B"/>
    <w:rsid w:val="00C22C39"/>
    <w:rsid w:val="00C3225A"/>
    <w:rsid w:val="00C3499A"/>
    <w:rsid w:val="00C41C15"/>
    <w:rsid w:val="00C53B39"/>
    <w:rsid w:val="00C720B7"/>
    <w:rsid w:val="00C82F90"/>
    <w:rsid w:val="00C910D1"/>
    <w:rsid w:val="00CD0A50"/>
    <w:rsid w:val="00CD2407"/>
    <w:rsid w:val="00CD5AB3"/>
    <w:rsid w:val="00CD6BA8"/>
    <w:rsid w:val="00CE0CA2"/>
    <w:rsid w:val="00CF7D9A"/>
    <w:rsid w:val="00D1496C"/>
    <w:rsid w:val="00D4103C"/>
    <w:rsid w:val="00D43618"/>
    <w:rsid w:val="00D462B6"/>
    <w:rsid w:val="00D655E9"/>
    <w:rsid w:val="00D7371F"/>
    <w:rsid w:val="00D74B9A"/>
    <w:rsid w:val="00D80A46"/>
    <w:rsid w:val="00D9351F"/>
    <w:rsid w:val="00D937EB"/>
    <w:rsid w:val="00D95DE6"/>
    <w:rsid w:val="00DA039F"/>
    <w:rsid w:val="00DA2875"/>
    <w:rsid w:val="00DB3F11"/>
    <w:rsid w:val="00DB7F80"/>
    <w:rsid w:val="00DC3147"/>
    <w:rsid w:val="00DC6CF1"/>
    <w:rsid w:val="00DD0C00"/>
    <w:rsid w:val="00DD7EB7"/>
    <w:rsid w:val="00DE4AFA"/>
    <w:rsid w:val="00E076F1"/>
    <w:rsid w:val="00E14384"/>
    <w:rsid w:val="00E27AE6"/>
    <w:rsid w:val="00E4173F"/>
    <w:rsid w:val="00E45352"/>
    <w:rsid w:val="00E5516D"/>
    <w:rsid w:val="00E82EAF"/>
    <w:rsid w:val="00E87E91"/>
    <w:rsid w:val="00E9191C"/>
    <w:rsid w:val="00EA2F79"/>
    <w:rsid w:val="00EA556F"/>
    <w:rsid w:val="00EB217A"/>
    <w:rsid w:val="00ED1522"/>
    <w:rsid w:val="00EE7D3C"/>
    <w:rsid w:val="00F06B1E"/>
    <w:rsid w:val="00F24D48"/>
    <w:rsid w:val="00F40023"/>
    <w:rsid w:val="00F7100A"/>
    <w:rsid w:val="00F73718"/>
    <w:rsid w:val="00FC6CF0"/>
    <w:rsid w:val="00FD37E1"/>
    <w:rsid w:val="00FD43C1"/>
    <w:rsid w:val="00FD77F3"/>
    <w:rsid w:val="01086C64"/>
    <w:rsid w:val="016070DE"/>
    <w:rsid w:val="020A39A0"/>
    <w:rsid w:val="032077ED"/>
    <w:rsid w:val="03DF146E"/>
    <w:rsid w:val="046A5064"/>
    <w:rsid w:val="04D7625E"/>
    <w:rsid w:val="06471FDD"/>
    <w:rsid w:val="06732DD2"/>
    <w:rsid w:val="06EA1018"/>
    <w:rsid w:val="08BC707A"/>
    <w:rsid w:val="08D061E1"/>
    <w:rsid w:val="0BBA6DAD"/>
    <w:rsid w:val="0C361799"/>
    <w:rsid w:val="0E7361EF"/>
    <w:rsid w:val="0ED168E7"/>
    <w:rsid w:val="0F806D97"/>
    <w:rsid w:val="0F985657"/>
    <w:rsid w:val="0FED53BE"/>
    <w:rsid w:val="12545710"/>
    <w:rsid w:val="157069B4"/>
    <w:rsid w:val="159E259C"/>
    <w:rsid w:val="16547688"/>
    <w:rsid w:val="16D505EE"/>
    <w:rsid w:val="176958B1"/>
    <w:rsid w:val="1887084A"/>
    <w:rsid w:val="19B72B7E"/>
    <w:rsid w:val="1AC47BD4"/>
    <w:rsid w:val="1BDD5181"/>
    <w:rsid w:val="1CC45CDD"/>
    <w:rsid w:val="1FFB45FF"/>
    <w:rsid w:val="21555156"/>
    <w:rsid w:val="221F3677"/>
    <w:rsid w:val="22995FC3"/>
    <w:rsid w:val="23116357"/>
    <w:rsid w:val="23DC4E4B"/>
    <w:rsid w:val="25FF3C33"/>
    <w:rsid w:val="26077B0F"/>
    <w:rsid w:val="27B5694E"/>
    <w:rsid w:val="27C44912"/>
    <w:rsid w:val="27F63002"/>
    <w:rsid w:val="28F14C88"/>
    <w:rsid w:val="29381AE6"/>
    <w:rsid w:val="2A5F4B54"/>
    <w:rsid w:val="2B02785E"/>
    <w:rsid w:val="2D452F54"/>
    <w:rsid w:val="2DA85ACC"/>
    <w:rsid w:val="2F8804C9"/>
    <w:rsid w:val="33332C90"/>
    <w:rsid w:val="33DC2656"/>
    <w:rsid w:val="34052FE8"/>
    <w:rsid w:val="343926B5"/>
    <w:rsid w:val="347E51E7"/>
    <w:rsid w:val="34C325DF"/>
    <w:rsid w:val="350C7DCA"/>
    <w:rsid w:val="35BF7D63"/>
    <w:rsid w:val="36C739BA"/>
    <w:rsid w:val="3715605D"/>
    <w:rsid w:val="37EE6348"/>
    <w:rsid w:val="3826432A"/>
    <w:rsid w:val="385827C4"/>
    <w:rsid w:val="386F48F8"/>
    <w:rsid w:val="38D3112B"/>
    <w:rsid w:val="390B1E80"/>
    <w:rsid w:val="39253CF0"/>
    <w:rsid w:val="39B20C35"/>
    <w:rsid w:val="39D4007E"/>
    <w:rsid w:val="3A0045B7"/>
    <w:rsid w:val="3BD74C8E"/>
    <w:rsid w:val="3CE95E6B"/>
    <w:rsid w:val="3CF855EC"/>
    <w:rsid w:val="3D504D82"/>
    <w:rsid w:val="3EB4618B"/>
    <w:rsid w:val="3FA35CC0"/>
    <w:rsid w:val="3FD52934"/>
    <w:rsid w:val="3FFA3DA2"/>
    <w:rsid w:val="41C9151C"/>
    <w:rsid w:val="420636F1"/>
    <w:rsid w:val="46470C62"/>
    <w:rsid w:val="46F037A9"/>
    <w:rsid w:val="47383320"/>
    <w:rsid w:val="47E60EC0"/>
    <w:rsid w:val="486C49B0"/>
    <w:rsid w:val="49093E15"/>
    <w:rsid w:val="49B44102"/>
    <w:rsid w:val="4AF505EB"/>
    <w:rsid w:val="4B51066F"/>
    <w:rsid w:val="4B7F2C4C"/>
    <w:rsid w:val="4C2A663C"/>
    <w:rsid w:val="4C370AC4"/>
    <w:rsid w:val="4E1147C4"/>
    <w:rsid w:val="4EB358DD"/>
    <w:rsid w:val="4F3A40CE"/>
    <w:rsid w:val="50141940"/>
    <w:rsid w:val="51990092"/>
    <w:rsid w:val="52377EDB"/>
    <w:rsid w:val="56B7773E"/>
    <w:rsid w:val="58E61264"/>
    <w:rsid w:val="591B7C19"/>
    <w:rsid w:val="5B9531D8"/>
    <w:rsid w:val="5C2A3D6E"/>
    <w:rsid w:val="5C447CC6"/>
    <w:rsid w:val="5C4D65C6"/>
    <w:rsid w:val="5D35760E"/>
    <w:rsid w:val="5E4A64C2"/>
    <w:rsid w:val="5EDF4D44"/>
    <w:rsid w:val="5F6025BB"/>
    <w:rsid w:val="5FF05A6E"/>
    <w:rsid w:val="60003F04"/>
    <w:rsid w:val="60A800F7"/>
    <w:rsid w:val="61497B2C"/>
    <w:rsid w:val="61843A34"/>
    <w:rsid w:val="61B037BC"/>
    <w:rsid w:val="629464CE"/>
    <w:rsid w:val="62BE1E54"/>
    <w:rsid w:val="64F54908"/>
    <w:rsid w:val="673223A2"/>
    <w:rsid w:val="68B2656F"/>
    <w:rsid w:val="6C7D1B5B"/>
    <w:rsid w:val="6E481BE3"/>
    <w:rsid w:val="6F1A1697"/>
    <w:rsid w:val="6F6E5DAA"/>
    <w:rsid w:val="7047792D"/>
    <w:rsid w:val="71397275"/>
    <w:rsid w:val="717074B8"/>
    <w:rsid w:val="72132DB8"/>
    <w:rsid w:val="72FC67AC"/>
    <w:rsid w:val="736C11ED"/>
    <w:rsid w:val="73CB43D1"/>
    <w:rsid w:val="755C2BC7"/>
    <w:rsid w:val="76670ED8"/>
    <w:rsid w:val="76D54682"/>
    <w:rsid w:val="77FF22C3"/>
    <w:rsid w:val="78D477C5"/>
    <w:rsid w:val="7AE44C41"/>
    <w:rsid w:val="7BEF1219"/>
    <w:rsid w:val="7C0C40B8"/>
    <w:rsid w:val="7D052AE1"/>
    <w:rsid w:val="7D080444"/>
    <w:rsid w:val="7D7545DE"/>
    <w:rsid w:val="7D7654E6"/>
    <w:rsid w:val="7DC10D1E"/>
    <w:rsid w:val="7DE7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9"/>
    <w:qFormat/>
    <w:uiPriority w:val="99"/>
    <w:pPr>
      <w:jc w:val="left"/>
    </w:pPr>
  </w:style>
  <w:style w:type="paragraph" w:styleId="4">
    <w:name w:val="Body Text"/>
    <w:basedOn w:val="1"/>
    <w:link w:val="21"/>
    <w:qFormat/>
    <w:uiPriority w:val="1"/>
    <w:pPr>
      <w:autoSpaceDE w:val="0"/>
      <w:autoSpaceDN w:val="0"/>
      <w:adjustRightInd w:val="0"/>
      <w:jc w:val="left"/>
    </w:pPr>
    <w:rPr>
      <w:rFonts w:ascii="宋体" w:hAnsi="宋体" w:cs="Times New Roman"/>
      <w:kern w:val="0"/>
      <w:sz w:val="20"/>
      <w:szCs w:val="24"/>
    </w:rPr>
  </w:style>
  <w:style w:type="paragraph" w:styleId="5">
    <w:name w:val="Balloon Text"/>
    <w:basedOn w:val="1"/>
    <w:link w:val="18"/>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tabs>
        <w:tab w:val="right" w:leader="dot" w:pos="8296"/>
        <w:tab w:val="right" w:leader="dot" w:pos="8398"/>
      </w:tabs>
      <w:spacing w:line="360" w:lineRule="auto"/>
      <w:jc w:val="left"/>
    </w:pPr>
    <w:rPr>
      <w:rFonts w:ascii="仿宋_GB2312" w:hAnsi="仿宋_GB2312" w:eastAsia="仿宋" w:cs="Courier New"/>
      <w:bCs/>
      <w:caps/>
      <w:sz w:val="24"/>
      <w:szCs w:val="21"/>
    </w:rPr>
  </w:style>
  <w:style w:type="paragraph" w:styleId="9">
    <w:name w:val="annotation subject"/>
    <w:basedOn w:val="3"/>
    <w:next w:val="3"/>
    <w:link w:val="20"/>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99"/>
    <w:rPr>
      <w:sz w:val="21"/>
      <w:szCs w:val="21"/>
    </w:rPr>
  </w:style>
  <w:style w:type="paragraph" w:styleId="14">
    <w:name w:val="List Paragraph"/>
    <w:basedOn w:val="1"/>
    <w:qFormat/>
    <w:uiPriority w:val="34"/>
    <w:pPr>
      <w:ind w:firstLine="420" w:firstLineChars="200"/>
    </w:pPr>
    <w:rPr>
      <w:rFonts w:ascii="Times New Roman" w:hAnsi="Times New Roman" w:cs="Times New Roman"/>
      <w:szCs w:val="24"/>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font21"/>
    <w:qFormat/>
    <w:uiPriority w:val="0"/>
    <w:rPr>
      <w:rFonts w:hint="eastAsia" w:ascii="宋体" w:hAnsi="宋体" w:eastAsia="宋体" w:cs="宋体"/>
      <w:color w:val="FF0000"/>
      <w:sz w:val="22"/>
      <w:szCs w:val="22"/>
      <w:u w:val="none"/>
    </w:rPr>
  </w:style>
  <w:style w:type="character" w:customStyle="1" w:styleId="18">
    <w:name w:val="批注框文本 字符"/>
    <w:basedOn w:val="12"/>
    <w:link w:val="5"/>
    <w:qFormat/>
    <w:uiPriority w:val="99"/>
    <w:rPr>
      <w:sz w:val="18"/>
      <w:szCs w:val="18"/>
    </w:rPr>
  </w:style>
  <w:style w:type="character" w:customStyle="1" w:styleId="19">
    <w:name w:val="批注文字 字符"/>
    <w:basedOn w:val="12"/>
    <w:link w:val="3"/>
    <w:qFormat/>
    <w:uiPriority w:val="99"/>
  </w:style>
  <w:style w:type="character" w:customStyle="1" w:styleId="20">
    <w:name w:val="批注主题 字符"/>
    <w:basedOn w:val="19"/>
    <w:link w:val="9"/>
    <w:qFormat/>
    <w:uiPriority w:val="99"/>
    <w:rPr>
      <w:b/>
      <w:bCs/>
    </w:rPr>
  </w:style>
  <w:style w:type="character" w:customStyle="1" w:styleId="21">
    <w:name w:val="正文文本 字符"/>
    <w:basedOn w:val="12"/>
    <w:link w:val="4"/>
    <w:qFormat/>
    <w:uiPriority w:val="99"/>
    <w:rPr>
      <w:rFonts w:ascii="宋体" w:hAnsi="宋体" w:eastAsia="宋体" w:cs="Times New Roman"/>
      <w:kern w:val="0"/>
      <w:sz w:val="20"/>
      <w:szCs w:val="24"/>
    </w:rPr>
  </w:style>
  <w:style w:type="paragraph" w:customStyle="1" w:styleId="22">
    <w:name w:val="Table Text"/>
    <w:basedOn w:val="1"/>
    <w:semiHidden/>
    <w:qFormat/>
    <w:uiPriority w:val="0"/>
    <w:rPr>
      <w:rFonts w:ascii="宋体" w:hAnsi="宋体"/>
      <w:sz w:val="20"/>
      <w:szCs w:val="20"/>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9047</Words>
  <Characters>10393</Characters>
  <Lines>84</Lines>
  <Paragraphs>23</Paragraphs>
  <TotalTime>1</TotalTime>
  <ScaleCrop>false</ScaleCrop>
  <LinksUpToDate>false</LinksUpToDate>
  <CharactersWithSpaces>10514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2025-09-22T01:02:00Z</dcterms:created>
  <dc:creator>微软用户</dc:creator>
  <cp:lastModifiedBy>罗静静</cp:lastModifiedBy>
  <cp:lastPrinted>2025-06-25T09:43:00Z</cp:lastPrinted>
  <dcterms:modified xsi:type="dcterms:W3CDTF">2025-12-10T02:38:03Z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E5F65FE0292D41FD8510450128EC336E_13</vt:lpwstr>
  </property>
  <property fmtid="{D5CDD505-2E9C-101B-9397-08002B2CF9AE}" pid="4" name="KSOTemplateDocerSaveRecord">
    <vt:lpwstr>eyJoZGlkIjoiOTZkYzAzM2M2MDkyOTU3ZTA3ODViOWQ2NDVmOTk3NWMiLCJ1c2VySWQiOiIzMDUxOTc1OTQifQ==</vt:lpwstr>
  </property>
</Properties>
</file>