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A950">
      <w:pPr>
        <w:keepNext w:val="0"/>
        <w:keepLines w:val="0"/>
        <w:pageBreakBefore w:val="0"/>
        <w:widowControl/>
        <w:kinsoku/>
        <w:wordWrap/>
        <w:overflowPunct/>
        <w:topLinePunct w:val="0"/>
        <w:autoSpaceDE/>
        <w:autoSpaceDN/>
        <w:bidi w:val="0"/>
        <w:spacing w:line="288" w:lineRule="auto"/>
        <w:jc w:val="center"/>
        <w:textAlignment w:val="auto"/>
        <w:rPr>
          <w:rFonts w:hint="eastAsia" w:ascii="宋体" w:hAnsi="宋体" w:eastAsia="宋体" w:cs="宋体"/>
          <w:b/>
          <w:bCs/>
          <w:color w:val="auto"/>
          <w:sz w:val="40"/>
          <w:szCs w:val="40"/>
          <w:highlight w:val="none"/>
          <w:lang w:val="en-US" w:eastAsia="zh-CN"/>
        </w:rPr>
      </w:pPr>
      <w:bookmarkStart w:id="0" w:name="_GoBack"/>
      <w:r>
        <w:rPr>
          <w:rFonts w:hint="eastAsia" w:ascii="宋体" w:hAnsi="宋体" w:eastAsia="宋体" w:cs="宋体"/>
          <w:b/>
          <w:bCs/>
          <w:color w:val="auto"/>
          <w:sz w:val="40"/>
          <w:szCs w:val="40"/>
          <w:highlight w:val="none"/>
          <w:lang w:val="en-US" w:eastAsia="zh-CN"/>
        </w:rPr>
        <w:t>电力工程学院名师培养计划成果展示设备购置清单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890"/>
        <w:gridCol w:w="2016"/>
        <w:gridCol w:w="9036"/>
        <w:gridCol w:w="528"/>
        <w:gridCol w:w="506"/>
        <w:gridCol w:w="1052"/>
        <w:gridCol w:w="1021"/>
      </w:tblGrid>
      <w:tr w14:paraId="237A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22" w:type="pct"/>
            <w:vAlign w:val="center"/>
          </w:tcPr>
          <w:p w14:paraId="18B1C556">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序号</w:t>
            </w:r>
          </w:p>
        </w:tc>
        <w:tc>
          <w:tcPr>
            <w:tcW w:w="328" w:type="pct"/>
            <w:vAlign w:val="center"/>
          </w:tcPr>
          <w:p w14:paraId="5E8967E4">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名称</w:t>
            </w:r>
          </w:p>
        </w:tc>
        <w:tc>
          <w:tcPr>
            <w:tcW w:w="345" w:type="pct"/>
            <w:vAlign w:val="center"/>
          </w:tcPr>
          <w:p w14:paraId="72DCD02D">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参考品牌</w:t>
            </w:r>
            <w:r>
              <w:rPr>
                <w:rFonts w:hint="eastAsia" w:ascii="宋体" w:hAnsi="宋体" w:cs="宋体"/>
                <w:b/>
                <w:bCs/>
                <w:color w:val="auto"/>
                <w:kern w:val="2"/>
                <w:sz w:val="20"/>
                <w:szCs w:val="20"/>
                <w:highlight w:val="none"/>
                <w:lang w:val="en-US" w:eastAsia="zh-CN" w:bidi="ar-SA"/>
              </w:rPr>
              <w:t>及型号</w:t>
            </w:r>
          </w:p>
        </w:tc>
        <w:tc>
          <w:tcPr>
            <w:tcW w:w="2937" w:type="pct"/>
            <w:vAlign w:val="center"/>
          </w:tcPr>
          <w:p w14:paraId="1AF2A0D5">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sz w:val="20"/>
                <w:szCs w:val="20"/>
                <w:highlight w:val="none"/>
              </w:rPr>
              <w:t>规格参数</w:t>
            </w:r>
          </w:p>
        </w:tc>
        <w:tc>
          <w:tcPr>
            <w:tcW w:w="212" w:type="pct"/>
            <w:vAlign w:val="center"/>
          </w:tcPr>
          <w:p w14:paraId="47E28092">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单位</w:t>
            </w:r>
          </w:p>
        </w:tc>
        <w:tc>
          <w:tcPr>
            <w:tcW w:w="205" w:type="pct"/>
            <w:vAlign w:val="center"/>
          </w:tcPr>
          <w:p w14:paraId="27AA3CB8">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数量</w:t>
            </w:r>
          </w:p>
        </w:tc>
        <w:tc>
          <w:tcPr>
            <w:tcW w:w="378" w:type="pct"/>
            <w:vAlign w:val="center"/>
          </w:tcPr>
          <w:p w14:paraId="417169E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单价（元）</w:t>
            </w:r>
          </w:p>
        </w:tc>
        <w:tc>
          <w:tcPr>
            <w:tcW w:w="370" w:type="pct"/>
            <w:vAlign w:val="center"/>
          </w:tcPr>
          <w:p w14:paraId="5010D55C">
            <w:pPr>
              <w:keepNext w:val="0"/>
              <w:keepLines w:val="0"/>
              <w:pageBreakBefore w:val="0"/>
              <w:kinsoku/>
              <w:wordWrap/>
              <w:overflowPunct/>
              <w:topLinePunct w:val="0"/>
              <w:autoSpaceDE/>
              <w:autoSpaceDN/>
              <w:bidi w:val="0"/>
              <w:spacing w:line="288" w:lineRule="auto"/>
              <w:jc w:val="both"/>
              <w:textAlignment w:val="auto"/>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合价（元）</w:t>
            </w:r>
          </w:p>
        </w:tc>
      </w:tr>
      <w:tr w14:paraId="32B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222" w:type="pct"/>
            <w:vAlign w:val="center"/>
          </w:tcPr>
          <w:p w14:paraId="332DF16E">
            <w:pPr>
              <w:keepNext w:val="0"/>
              <w:keepLines w:val="0"/>
              <w:pageBreakBefore w:val="0"/>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w:t>
            </w:r>
          </w:p>
        </w:tc>
        <w:tc>
          <w:tcPr>
            <w:tcW w:w="328" w:type="pct"/>
            <w:vAlign w:val="center"/>
          </w:tcPr>
          <w:p w14:paraId="363CBE27">
            <w:pPr>
              <w:keepNext w:val="0"/>
              <w:keepLines w:val="0"/>
              <w:pageBreakBefore w:val="0"/>
              <w:kinsoku/>
              <w:wordWrap/>
              <w:overflowPunct/>
              <w:topLinePunct w:val="0"/>
              <w:autoSpaceDE/>
              <w:autoSpaceDN/>
              <w:bidi w:val="0"/>
              <w:spacing w:line="288" w:lineRule="auto"/>
              <w:jc w:val="center"/>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LED显示屏</w:t>
            </w:r>
          </w:p>
        </w:tc>
        <w:tc>
          <w:tcPr>
            <w:tcW w:w="345" w:type="pct"/>
            <w:vAlign w:val="center"/>
          </w:tcPr>
          <w:p w14:paraId="03AFEA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12BCAEA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30E6B8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DCEC74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786B5279">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58E34E7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2C5A07D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6851DC0B">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818E8A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0E8C25D2">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lang w:eastAsia="zh-CN"/>
              </w:rPr>
            </w:pPr>
          </w:p>
          <w:p w14:paraId="5759A9B7">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615BCC18">
            <w:pPr>
              <w:keepNext w:val="0"/>
              <w:keepLines w:val="0"/>
              <w:pageBreakBefore w:val="0"/>
              <w:kinsoku/>
              <w:wordWrap/>
              <w:overflowPunct/>
              <w:topLinePunct w:val="0"/>
              <w:autoSpaceDE/>
              <w:autoSpaceDN/>
              <w:bidi w:val="0"/>
              <w:spacing w:line="288" w:lineRule="auto"/>
              <w:jc w:val="center"/>
              <w:textAlignment w:val="auto"/>
              <w:rPr>
                <w:rFonts w:hint="eastAsia" w:ascii="宋体" w:hAnsi="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雷曼LM-P1.8、</w:t>
            </w:r>
          </w:p>
          <w:p w14:paraId="2443BFE1">
            <w:pPr>
              <w:keepNext w:val="0"/>
              <w:keepLines w:val="0"/>
              <w:pageBreakBefore w:val="0"/>
              <w:kinsoku/>
              <w:wordWrap/>
              <w:overflowPunct/>
              <w:topLinePunct w:val="0"/>
              <w:autoSpaceDE/>
              <w:autoSpaceDN/>
              <w:bidi w:val="0"/>
              <w:spacing w:line="288" w:lineRule="auto"/>
              <w:jc w:val="center"/>
              <w:textAlignment w:val="auto"/>
              <w:rPr>
                <w:rFonts w:hint="eastAsia" w:ascii="宋体" w:hAnsi="宋体" w:cs="宋体"/>
                <w:color w:val="auto"/>
                <w:kern w:val="2"/>
                <w:sz w:val="20"/>
                <w:szCs w:val="20"/>
                <w:highlight w:val="none"/>
                <w:lang w:val="en-US" w:eastAsia="zh-CN" w:bidi="ar-SA"/>
              </w:rPr>
            </w:pPr>
            <w:r>
              <w:rPr>
                <w:rFonts w:hint="eastAsia" w:ascii="宋体" w:hAnsi="宋体" w:cs="宋体"/>
                <w:color w:val="auto"/>
                <w:kern w:val="2"/>
                <w:sz w:val="20"/>
                <w:szCs w:val="20"/>
                <w:highlight w:val="none"/>
                <w:lang w:val="en-US" w:eastAsia="zh-CN" w:bidi="ar-SA"/>
              </w:rPr>
              <w:t>维合丰WB-C1.86-960X960、锐丽 RLED-P1.8</w:t>
            </w:r>
          </w:p>
          <w:p w14:paraId="2808DCF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7E52877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BBDF04E">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D552D2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138F9F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01C539B">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7003496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00B590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3586591">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4A18F0C">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2BBBD68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90BE883">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12FA824">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144B462F">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4FCA392D">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039BF708">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sz w:val="20"/>
                <w:szCs w:val="20"/>
                <w:highlight w:val="none"/>
              </w:rPr>
            </w:pPr>
          </w:p>
          <w:p w14:paraId="5E68A6B7">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b w:val="0"/>
                <w:bCs w:val="0"/>
                <w:color w:val="auto"/>
                <w:kern w:val="2"/>
                <w:sz w:val="20"/>
                <w:szCs w:val="20"/>
                <w:highlight w:val="none"/>
                <w:lang w:val="en-US" w:eastAsia="zh-CN" w:bidi="ar-SA"/>
              </w:rPr>
            </w:pPr>
          </w:p>
        </w:tc>
        <w:tc>
          <w:tcPr>
            <w:tcW w:w="2937" w:type="pct"/>
          </w:tcPr>
          <w:p w14:paraId="2D41E86C">
            <w:pPr>
              <w:keepNext w:val="0"/>
              <w:keepLines w:val="0"/>
              <w:pageBreakBefore w:val="0"/>
              <w:numPr>
                <w:ilvl w:val="0"/>
                <w:numId w:val="0"/>
              </w:numPr>
              <w:kinsoku/>
              <w:wordWrap/>
              <w:overflowPunct/>
              <w:topLinePunct w:val="0"/>
              <w:autoSpaceDN/>
              <w:bidi w:val="0"/>
              <w:adjustRightInd/>
              <w:spacing w:line="460" w:lineRule="exact"/>
              <w:jc w:val="left"/>
              <w:textAlignment w:val="auto"/>
              <w:rPr>
                <w:rFonts w:hint="eastAsia" w:ascii="宋体" w:hAnsi="宋体"/>
                <w:b/>
                <w:bCs/>
                <w:color w:val="auto"/>
                <w:kern w:val="0"/>
                <w:sz w:val="22"/>
                <w:highlight w:val="none"/>
                <w:lang w:bidi="ar"/>
              </w:rPr>
            </w:pPr>
            <w:r>
              <w:rPr>
                <w:rFonts w:hint="eastAsia" w:ascii="宋体" w:hAnsi="宋体" w:eastAsia="宋体" w:cs="Times New Roman"/>
                <w:b/>
                <w:bCs/>
                <w:color w:val="auto"/>
                <w:kern w:val="0"/>
                <w:sz w:val="22"/>
                <w:szCs w:val="22"/>
                <w:highlight w:val="none"/>
                <w:lang w:val="en-US" w:eastAsia="zh-CN" w:bidi="ar"/>
              </w:rPr>
              <w:t>一、</w:t>
            </w:r>
            <w:r>
              <w:rPr>
                <w:rFonts w:hint="eastAsia" w:ascii="宋体" w:hAnsi="宋体"/>
                <w:b/>
                <w:bCs/>
                <w:color w:val="auto"/>
                <w:kern w:val="0"/>
                <w:sz w:val="22"/>
                <w:highlight w:val="none"/>
                <w:lang w:bidi="ar"/>
              </w:rPr>
              <w:t>室内LED屏 1套</w:t>
            </w:r>
            <w:r>
              <w:rPr>
                <w:rFonts w:hint="eastAsia" w:ascii="宋体" w:hAnsi="宋体"/>
                <w:b/>
                <w:bCs/>
                <w:color w:val="auto"/>
                <w:kern w:val="0"/>
                <w:sz w:val="22"/>
                <w:highlight w:val="none"/>
                <w:lang w:eastAsia="zh-CN" w:bidi="ar"/>
              </w:rPr>
              <w:t>（</w:t>
            </w:r>
            <w:r>
              <w:rPr>
                <w:rFonts w:hint="eastAsia" w:ascii="宋体" w:hAnsi="宋体"/>
                <w:b/>
                <w:bCs/>
                <w:color w:val="auto"/>
                <w:kern w:val="0"/>
                <w:sz w:val="22"/>
                <w:highlight w:val="none"/>
                <w:lang w:val="en-US" w:eastAsia="zh-CN" w:bidi="ar"/>
              </w:rPr>
              <w:t>总面积10.75㎡）</w:t>
            </w:r>
          </w:p>
          <w:p w14:paraId="248E9501">
            <w:pPr>
              <w:keepNext w:val="0"/>
              <w:keepLines w:val="0"/>
              <w:pageBreakBefore w:val="0"/>
              <w:kinsoku/>
              <w:wordWrap/>
              <w:overflowPunct/>
              <w:topLinePunct w:val="0"/>
              <w:autoSpaceDN/>
              <w:bidi w:val="0"/>
              <w:adjustRightInd/>
              <w:spacing w:line="460" w:lineRule="exact"/>
              <w:jc w:val="left"/>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1.▲点间距：≤1.86mm，像素密度：≤288906点/㎡，屏体尺寸宽度≥4.48米，高度≥2.4米；备用LED模组4张；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2.▲采用 SMD三合一封装、灯珠表面黑色雾化处理；亮度：显示单元亮度≥600nits，亮度调节0～100%无极可调，白平衡亮度≥600cd/㎡；（6500K校正后）；白场色坐标：白场色坐标符合SJ/T11141-2017 5.10.5规定范围；亮度鉴别等级：符合SJ/T 11141-2017标准C级，BJ≥20；灰度等级：红，绿，蓝各256级；支持EPWM灰阶控制技术，支持软件实现0-100%不同亮度情况下，灰度10-22bits任意灰度设置：100%亮度22bit灰度；提升低灰视觉效果；MTBF平均失效间隔时间：≥150000小时；防护等级：≥IP65；</w:t>
            </w:r>
            <w:r>
              <w:rPr>
                <w:rFonts w:hint="eastAsia" w:ascii="宋体" w:hAnsi="宋体" w:eastAsia="宋体" w:cs="宋体"/>
                <w:b/>
                <w:bCs/>
                <w:i w:val="0"/>
                <w:iCs w:val="0"/>
                <w:color w:val="000000"/>
                <w:kern w:val="0"/>
                <w:sz w:val="20"/>
                <w:szCs w:val="20"/>
                <w:highlight w:val="none"/>
                <w:u w:val="none"/>
                <w:lang w:val="en-US" w:eastAsia="zh-CN" w:bidi="ar"/>
              </w:rPr>
              <w:t>（投标时须提供国家认可的第三方检测机构出具的关于该功能检测报告复印件，并加盖供应商公章）</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3.灯芯的波长误差值在±1nm 之内，每个灯芯的亮度误差在 5%以内；模组尺寸：320mm*160mm；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4.可视角度：水平角度≥160°、垂直角度≥160°；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5.亮度均匀性：≥97%；色度均匀性：±0.005Cx,Cy之内；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6.对比度：≥5000:1；换帧频率：50/60Hz；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7.刷新率：≥3840Hz；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8.功耗（W/㎡）：峰值≤395W/㎡，平均≤135W/㎡；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9.休眠模式功耗(W/m²）：显示屏黑屏不点亮时，功耗≤40W/m²；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10.基板要求：符合GB4588.3-2002环氧玻璃布层压板，机械性能、电性能、耐高湿性能以及耐焊接性能符合要求，使用温度130℃；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11.噪音测试：显示屏工作时应保持低噪状态。屏体球面半径1米处，整屏噪声≤5db；1.5米处，整屏噪声≤4db；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12.用户级模组维护：模组支持带电维护，热插拔不超过10秒，更换模组；支待自动校正。模组工作电压＜4.5V。模组底壳采用高强度塑胶大件，防护性能大大提高；模组采用磁吸固定方式，模组磁吸固定点≥8个；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智能节电：具备自动关机节能功能，支持自动检测屏幕前是否有人，当有人时屏幕正常点亮；当无人时，一段时间后（可设置)屏幕自动调暗或黑屏，智能(黑屏)节电功能开启智能节电功能比没有开启节能80%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低亮高灰：具备低亮高灰功能，亮度调节至500cd/m²灰度等级为16bit；刷新率不低于3200Hz；亮度调节至300cd/m²灰度等级为15bit:刷新率不低于3100Hz；亮度在200cd/m²时，灰度等级在14bit以上，刷新率不低于3000Hz；亮度在100cd/m²时，灰度等级在14bit以上，刷新率不低于2800Hz；色温误差：色温为6500K时，100%，75%，50%，25%四档电平白场调节色温误差≤200K；抗风安全性能：LED显示屏满足抗风荷载试验各项参数正常使用的安全要求，抗拉力≥15kN；信号支持效果：支持4K、8K超高分辩率显示，色温均匀性好、亮度均匀性好，对比度高，色域广；</w:t>
            </w:r>
            <w:r>
              <w:rPr>
                <w:rFonts w:hint="eastAsia" w:ascii="宋体" w:hAnsi="宋体" w:eastAsia="宋体" w:cs="宋体"/>
                <w:b/>
                <w:bCs/>
                <w:i w:val="0"/>
                <w:iCs w:val="0"/>
                <w:color w:val="000000"/>
                <w:kern w:val="0"/>
                <w:sz w:val="20"/>
                <w:szCs w:val="20"/>
                <w:highlight w:val="none"/>
                <w:u w:val="none"/>
                <w:lang w:val="en-US" w:eastAsia="zh-CN" w:bidi="ar"/>
              </w:rPr>
              <w:t>（投标时须提供国家认可的第三方检测机构出具的关于该功能检测报告复印件，并加盖供应商公章）</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15.摩尔纹抑制：支持抑制摩尔纹功能。减轻摩尔纹视觉主观效果80%；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16.电源要求：供电开关电源采用宽动态电源，电压具有高适应性，在一定范围内不同等级的电压都能应用。电源采用无风扇设计，带主动PFC功能的高效率电源，功率因数＞0.99,带同步镇流功能，转换效率≥0.92；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17.图像增强：采用先进的γ校正技术，可通过调整γ曲线提升图像清晰度、对比度、饱和度、色度和流畅度等视觉效果；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18.安全防护功能：具有防潮，完全防尘，防腐蚀，防静电、抗震动、防撞、防摔、抗雷击等功能，具有电源过压、过流、断电保护、分布上电措施，具有实时监控温度、故障报警功能；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图像处理：具有视频降噪、增强、运动补偿、色彩变换、色坐标变换、钝化、消除鬼影拖尾等图像处理功能；具有亮度、对比度、色度调节、视觉修正等图像调整功能；LED图像无失真现象；LED图像显示画面无重影、毛毛虫及鬼影现象，无几何失真和非线性失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20.沙尘试验：通过GB/T2423.37-2006 4.2沙尘试验，粒子尺寸＜75μm的滑石粉，尘降量600g/（㎡·d)，自由降尘，试验时间8h，产品未发现尘沉积及侵入；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 xml:space="preserve">21.▲为确保投标方的产品符合节能环保及质量的要求，产品须具有中国质量认证中心（CQC）颁发的中国环保（II型）认证证书，CCC证书，节能证书。（投标时提供证书复印件）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 xml:space="preserve">22.▲供应商或者报价产品LED生产商取得IECQ证书有害物质过程管理认证证书、GB/T27922-2011《商品售后服务评价体系》五星级认证证书；GB/T 23001-2017两化融合管理体系评定证书，ISO 50001能源管理体系认证证书、GJB9001C武器装备质量管理体系认证证书（投标时提供证书复印件）;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23.▲投标产品LED封装结构及工艺为LED显示屏制造商自主研发；LED显示屏采用完全自主PCB板、LED封装结构、显示模组和显示屏技术；</w:t>
            </w:r>
          </w:p>
          <w:p w14:paraId="2FF9DBD4">
            <w:pPr>
              <w:keepNext w:val="0"/>
              <w:keepLines w:val="0"/>
              <w:pageBreakBefore w:val="0"/>
              <w:kinsoku/>
              <w:wordWrap/>
              <w:overflowPunct/>
              <w:topLinePunct w:val="0"/>
              <w:autoSpaceDN/>
              <w:bidi w:val="0"/>
              <w:adjustRightInd/>
              <w:spacing w:line="460" w:lineRule="exact"/>
              <w:jc w:val="left"/>
              <w:textAlignment w:val="auto"/>
              <w:rPr>
                <w:rFonts w:hint="eastAsia" w:ascii="宋体" w:hAnsi="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二、接收卡（28张）</w:t>
            </w:r>
          </w:p>
          <w:p w14:paraId="775BF89F">
            <w:pPr>
              <w:keepNext w:val="0"/>
              <w:keepLines w:val="0"/>
              <w:pageBreakBefore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1.▲单卡最大带载 512×512像素，最多支持 24 组RGB 并行数据；1、最大带载512x512，最多支持16组并行数据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2.无需转接板，单卡自带HUB75接口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3.支持逐点亮度校正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4.快速亮暗线调节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5.支持3D功能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6.支持Mapping功能开启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7.支持色彩管理，将显示色域在多个色域之间自由切换，使显示屏色彩更精准。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8.支持18Bit+,使LED显示屏灰阶提升4倍，有效处理低亮时灰度丢失问题，使图像显示更细腻。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9.▲采用 12 个标准HUB75接口，具有高稳定性和高可靠性，适用于多种环境的搭建；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10.支持逐点亮色度校正，可以对每个灯点的亮度和色度进行校正，有效消除色差，使整屏的亮度和色度达到高度均匀一致，提高显示屏的画质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11.快速亮暗线调节在调试软件上进行快速亮暗线调节，快速解决因箱体及模组拼接造成的显示屏亮暗线，调节过程中即时生效，简单易用。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12.▲配合支持 3D 功能的独立主控，在软件或独立主控的操作面板上开启 3D 功能，并设置 3D 参数，使画面显示 3D 效果。</w:t>
            </w:r>
          </w:p>
          <w:p w14:paraId="280CB561">
            <w:pPr>
              <w:keepNext w:val="0"/>
              <w:keepLines w:val="0"/>
              <w:pageBreakBefore w:val="0"/>
              <w:numPr>
                <w:ilvl w:val="0"/>
                <w:numId w:val="0"/>
              </w:numPr>
              <w:kinsoku/>
              <w:wordWrap/>
              <w:overflowPunct/>
              <w:topLinePunct w:val="0"/>
              <w:autoSpaceDN/>
              <w:bidi w:val="0"/>
              <w:adjustRightInd/>
              <w:spacing w:line="460" w:lineRule="exact"/>
              <w:jc w:val="left"/>
              <w:textAlignment w:val="auto"/>
              <w:rPr>
                <w:rFonts w:hint="eastAsia" w:ascii="宋体" w:hAnsi="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bidi="ar-SA"/>
              </w:rPr>
              <w:t>三、</w:t>
            </w:r>
            <w:r>
              <w:rPr>
                <w:rFonts w:hint="eastAsia" w:ascii="宋体" w:hAnsi="宋体" w:cs="宋体"/>
                <w:b/>
                <w:bCs/>
                <w:color w:val="auto"/>
                <w:kern w:val="0"/>
                <w:sz w:val="20"/>
                <w:szCs w:val="20"/>
                <w:highlight w:val="none"/>
                <w:lang w:val="en-US" w:eastAsia="zh-CN"/>
              </w:rPr>
              <w:t>开关电源（1项）</w:t>
            </w:r>
          </w:p>
          <w:p w14:paraId="373FECC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bCs/>
                <w:color w:val="auto"/>
                <w:kern w:val="0"/>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1.▲输入电压范围：额定输入电压:100-240VAC, 50/60Hz 2. 5A 额定输出电压：5VDC, 40A；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2.纹波和噪声：≤200mVp-p；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3.过载保护：额定负载的110～150%范围内电源保护，去载恢复正常输出；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4.短路保护：输出端短路时电源保护，输出关断，去掉短路恢复正常输出；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5.安全标准：符合GB4943-2011；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6.▲为确保项目整体兼容性和稳定性，开关电源与LED显示屏必须为同一品牌。</w:t>
            </w:r>
          </w:p>
          <w:p w14:paraId="29C60F8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四、显示屏控制器（1套）</w:t>
            </w:r>
          </w:p>
          <w:p w14:paraId="4A1CA667">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bCs/>
                <w:color w:val="auto"/>
                <w:kern w:val="0"/>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 支持 HDR 高动态范围显示，能够极大地增强显示屏的画质，使画面色彩更加真实生动，细节更加清晰。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.▲支持 4路输入接口，包括 2 路 HDMI1.3，1 路 DVI，1 路AUDIO。支持 6个网口输出，最大带载390万像素，最大宽度 10240 像素，最大高度8192 像素。支持创建 10 个用户场景作为模板保存，方便快速调用。支持逐点亮度校正，可以对每个灯点的亮度和色度进行校正，有效消除色差，使整屏的亮度和色度达到高度均匀一致，提高显示屏的画质。支持全屏缩放、点对点显示和自定义缩放三种缩放模式。以画面左上角的参考点，设置输入截取。发送卡和视频处理器二合一 ，连线更加少 ，稳定性兼容性大大提升。</w:t>
            </w:r>
            <w:r>
              <w:rPr>
                <w:rFonts w:hint="eastAsia" w:ascii="宋体" w:hAnsi="宋体" w:eastAsia="宋体" w:cs="宋体"/>
                <w:b/>
                <w:bCs/>
                <w:i w:val="0"/>
                <w:iCs w:val="0"/>
                <w:color w:val="000000"/>
                <w:kern w:val="0"/>
                <w:sz w:val="20"/>
                <w:szCs w:val="20"/>
                <w:highlight w:val="none"/>
                <w:u w:val="none"/>
                <w:lang w:val="en-US" w:eastAsia="zh-CN" w:bidi="ar"/>
              </w:rPr>
              <w:t>（投标时须提供国家认可的第三方检测机构出具的关于该功能检测报告复印件，并加盖供应商公章）</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3.无需电脑，支持一键将优先级最低的窗口全屏自动缩放。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.▲支持监视，可以设置为预监编辑画面或预监显示屏画面。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 .液晶面板可实时显示型号、IP地址，窗口及信号源的分辨率以及状态信息，输出网口的状态，屏幕大小及帧频信息，设备同步模式展示，USB 连线或网线状态，屏体亮度。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 . 符合 GB 4943.1-2022 音视频、信息技术和通信技术设备安全标准对设备进行跌落试验的要求，跌落高度 750mm±10mm，试验三次，试验后外观、功能应正常。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 通过耐压试验，电源输入端对外壳施加1500V，测试1 分钟，试验后无击穿、飞弧或 超漏现象。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8.▲为确保项目整体兼容性和稳定性，开关电源、视频处理器与LED显示屏必须为同一品牌，投标时须提供CCC认证证书扫描件。</w:t>
            </w:r>
          </w:p>
          <w:p w14:paraId="52EAE2F6">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五、配电柜（1套）</w:t>
            </w:r>
          </w:p>
          <w:p w14:paraId="1667F34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1.▲配电功率≥10KW；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配电箱壳体外表面喷涂无眩目反光的覆盖层，表面无起泡、裂紋或流痕等缺陷;面板能在不小于90度的角度内灵活启闭；母线无毛刺、锤痕，接触面平整，主辅电路接线正确，导线截面、颜色、标志及相序符合要求:标志、符号及铭牌应正确、清晰、齐全且易于辨认，安装的位置正确;室内电柜防护外壳防护等级IP30;户外电柜防护外壳防护等級IP65；机械碰撞等级IK10;灰色钣金箱体，外壳板材厚度2mm;布线合理规格、操作性能和功能安全可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3.空气开关、断路器、刀闸、接线端子、保护设备(避雷器、热继电器、时间继电器、熔断器等)、测量设备(电压表、电流表、频率表、功率表等)所有硬件设备符合相关国家标准；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4.额定工作电压AC380V+5%(三相五线)；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5.额定频率50Hz；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6.绝缘电阻测量：A+B+C+N-地≧5МΩ、A+B+C-N≧5МΩ、A-B≧5МΩ、B-C≧5МΩ、C-A≧5МΩ；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7.保护措施和保护电路连续性检查：骨架对地≤0.1Ω、仪表门对地≤0.1Ω、电路安装板对地≤0.1Ω、功能单元对地≤0.1Ω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8.额定绝缘电压：660V；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9.爬电距离相与相之间≥12.5mm；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10.支持分布式自动逐级上电功能；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11.带电部件与裸露导电部件之间：≥5.5mm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12.试验电压：1.89KV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13.▲电气间隙相与相之间：≥5.5mm；支持温感、烟感接入，当超过预设阈值时，启动应急机制，自动切断电源保护配电柜及接入设备，实现PLC功能</w:t>
            </w:r>
            <w:r>
              <w:rPr>
                <w:rFonts w:hint="eastAsia" w:ascii="宋体" w:hAnsi="宋体" w:eastAsia="宋体" w:cs="宋体"/>
                <w:b/>
                <w:bCs/>
                <w:i w:val="0"/>
                <w:iCs w:val="0"/>
                <w:color w:val="000000"/>
                <w:kern w:val="0"/>
                <w:sz w:val="20"/>
                <w:szCs w:val="20"/>
                <w:highlight w:val="none"/>
                <w:u w:val="none"/>
                <w:lang w:val="en-US" w:eastAsia="zh-CN" w:bidi="ar"/>
              </w:rPr>
              <w:t>（竞标时提供国家认可的第三方检测机构出具的检测报告复印件并加盖供应商公章）。</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14.▲支持GSM、GPRS、3G、4G、5G等RTU物联网终端远程控制，实现手机、PAD等移动智能云端控制；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15.▲选定“启用定时计划”后,经过用户预先设定，即可以对显示屏进行定时自动开关控制，无需人工值守；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16.具有过流、短路等保护功能;符合成套设备的防护等级要求;符合短路耐受强度验证要求;符合绝缘材料耐受内部电效应引起的非正常发热和着火验证要求；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17.▲与显示屏同一品牌，投标时需提供CQC产品认证证书Ⅱ型自愿认证证书原件扫描件；LED显示屏商需具有智能配电管理系统或显示配电系统PLC智能远程控制软件著作权证书，提供软件著作权证书原件扫描件。</w:t>
            </w:r>
          </w:p>
          <w:p w14:paraId="16527031">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六、屏体内框架及外装饰包边（11.45㎡）</w:t>
            </w:r>
          </w:p>
          <w:p w14:paraId="77D2B078">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1.考虑屏幕兼容与后期维护钢结构支架需与LED大屏为同一品牌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2.挂墙安装方式，采用钢材料结构框架，不锈钢材料包边，四边包边均为：5cm。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3.▲镀锌钢管，型号包括：40*80*2.0、40*40*2.0、20*40*2.0、30*40*2.0、40*40*3.0、20*40*3.0、30*40*3.0、40*40*5.0、20*40*5.0、30*40*5.0符合中国ROHS GB/T26572-2011电子电气产品中限用物质的限量要求。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4.▲结构检测结果：铅（Pb）含量不超5mg/kg，镉（Cd）含量不超5mg/kg，汞（Hg）含量不超5mg/kg，六价铬（Cr VI）非金属含量不超10mg/kg、金属呈阴性，多溴联苯、多溴二苯醚单类均不超5mg/kg，均未超限</w:t>
            </w:r>
            <w:r>
              <w:rPr>
                <w:rFonts w:hint="eastAsia" w:ascii="宋体" w:hAnsi="宋体" w:eastAsia="宋体" w:cs="宋体"/>
                <w:b/>
                <w:bCs/>
                <w:i w:val="0"/>
                <w:iCs w:val="0"/>
                <w:color w:val="000000"/>
                <w:kern w:val="0"/>
                <w:sz w:val="20"/>
                <w:szCs w:val="20"/>
                <w:highlight w:val="none"/>
                <w:u w:val="none"/>
                <w:lang w:val="en-US" w:eastAsia="zh-CN" w:bidi="ar"/>
              </w:rPr>
              <w:t>（竞标时提供国家认可的第三方检测机构出具的检测报告复印件并加盖供应商公章）；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5.▲中性盐雾测试，满足GB/T 2423.17-2008测试标准，测试后样品外观无明显腐蚀；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6.屏幕显示面积：长4.48M*2.4M=10.75㎡，显示屏含外框包边面积：长4.58M*高2.5M=11.45㎡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7。含本项目相关的辅材主电缆、电源线3*2.5mm100米、六类网线610米、水晶头1盒等，项目费用包含所需设计费、税费、运费、安装、清除垃圾、电路布线安装调试、网络布线费用等。</w:t>
            </w:r>
          </w:p>
          <w:p w14:paraId="2D240F63">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bCs/>
                <w:color w:val="auto"/>
                <w:kern w:val="0"/>
                <w:sz w:val="20"/>
                <w:szCs w:val="20"/>
                <w:highlight w:val="none"/>
                <w:lang w:val="en-US" w:eastAsia="zh-CN" w:bidi="ar-SA"/>
              </w:rPr>
            </w:pPr>
            <w:r>
              <w:rPr>
                <w:rFonts w:hint="eastAsia" w:ascii="宋体" w:hAnsi="宋体" w:eastAsia="宋体" w:cs="宋体"/>
                <w:b/>
                <w:bCs/>
                <w:color w:val="auto"/>
                <w:kern w:val="0"/>
                <w:sz w:val="20"/>
                <w:szCs w:val="20"/>
                <w:highlight w:val="none"/>
                <w:lang w:val="en-US" w:eastAsia="zh-CN" w:bidi="ar-SA"/>
              </w:rPr>
              <w:t>七、无线投屏器</w:t>
            </w:r>
            <w:r>
              <w:rPr>
                <w:rFonts w:hint="eastAsia" w:ascii="宋体" w:hAnsi="宋体" w:cs="宋体"/>
                <w:b/>
                <w:bCs/>
                <w:color w:val="auto"/>
                <w:kern w:val="0"/>
                <w:sz w:val="20"/>
                <w:szCs w:val="20"/>
                <w:highlight w:val="none"/>
                <w:lang w:val="en-US" w:eastAsia="zh-CN" w:bidi="ar-SA"/>
              </w:rPr>
              <w:t>（1台）</w:t>
            </w:r>
          </w:p>
          <w:p w14:paraId="1C6FA37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bCs/>
                <w:color w:val="auto"/>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1、▲支持操作系统：支持Windows 7/8.1/10 32和64位、MAC OS X 10.10及以上、支持智能手机/平板无线投屏：支持airplay功能，推荐使用iOS9及以上，OS X 10.10及以上；支持miracast功能；支持安卓APP投屏（Android 5.0及以上)。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2、▲硬件规格：1Xhdmi1.4接口，1x网络接口（百兆网口），1x3.5mm音频接口，1Xusb2.0接口，1x12V1A电源接口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3、▲视频输入分辨率：可达4K/3840x2160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4、视频输出分辨率：可达1920x1080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5、帧数：可达30帧/每秒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6、视频输出：通过HDMI输出，输出的分辨率可以自适应或手动设置。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7、支持三种发射器：USB发射器（标配、通用性好）或HDMI发射器（选配、无需软件更流畅），TYPEC发射器（选配、无需软件更流畅）。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8、▲支持WIN 纯软件投屏，通过WIN Sender应用软件。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9、支持miracast投屏，不需要切换主机WiFi配置。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10、各种发射端（硬件发射器、AirPlay、miracast等等）投屏可相互切换，不需要等待。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11、显示比例：可显示等比，4：3，16：9，16：10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12、支持投屏过程分辨率和显示比例可修改、支持同一网段下手机自动搜索多台接收端设备并投屏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13、同时显示源端数量：1路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14、同时接入源端数量：可支持8路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15、音频输出：44.1KHz/16bit 立体声、通过HDMI内嵌音频和3.5mm模拟线路音频输出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16、支持双WiFi：热点AP为5G/2.4G双频模组；网卡STA也是5G/2.4G双频模组。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17、支持无线桥接。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18、支持有线桥接。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19、无线传输协议：支持IEEE 802.11ac/802.11n,WIFI有20个信道可选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20、无线传输速率：可达867Mbps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21、无线传输距离： 15米视距 (一键联主机和一键联按键之间无遮挡)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22、无线传输频段：可支持2.4 GHz或5 GHz，默认5G。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23、无线加密协议：支持WPA2-PSK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24、传输延时：平均延时小于100mS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25、支持开机,待机画面客制化、支持WEB管理介面、支持修改频段及信道、支持修改视频输出分辨率、支持修改WiFi名称及密码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26、支持安卓controller主持模式控制，支持集控管理软件WIN Controller。</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27、可选择的信道数量：9(5G)/11(2.4G)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28、支持触摸回传：USB发射器、HDMI发射器、TYPEC发射器和WIN Sender都支持。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29、支持扩展桌面投屏。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30、支持投屏码功能。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31、支持AP、有线和无线网卡三种投屏接入方式，并且这三种方式投屏可以任意组合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32、支持显示自动满屏设置。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33、电源/功耗：平均功耗不高于5W；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34、温度范围：运行：+5°C ~ +40°C；存放：-20°C ~ +60°C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35、湿度范围：存放：0 ~ 90%相对湿度，无冷凝；运行：0 ~ 90%相对湿度，无冷凝</w:t>
            </w:r>
          </w:p>
          <w:p w14:paraId="652D4405">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eastAsia" w:ascii="宋体" w:hAnsi="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bidi="ar-SA"/>
              </w:rPr>
              <w:t>八、视频切换器</w:t>
            </w:r>
            <w:r>
              <w:rPr>
                <w:rFonts w:hint="eastAsia" w:ascii="宋体" w:hAnsi="宋体" w:cs="宋体"/>
                <w:b/>
                <w:bCs/>
                <w:color w:val="auto"/>
                <w:kern w:val="0"/>
                <w:sz w:val="20"/>
                <w:szCs w:val="20"/>
                <w:highlight w:val="none"/>
                <w:lang w:val="en-US" w:eastAsia="zh-CN"/>
              </w:rPr>
              <w:t>（1台）</w:t>
            </w:r>
          </w:p>
          <w:p w14:paraId="5DE6740E">
            <w:pPr>
              <w:keepNext w:val="0"/>
              <w:keepLines w:val="0"/>
              <w:pageBreakBefore w:val="0"/>
              <w:widowControl w:val="0"/>
              <w:numPr>
                <w:ilvl w:val="0"/>
                <w:numId w:val="0"/>
              </w:numPr>
              <w:kinsoku/>
              <w:wordWrap/>
              <w:overflowPunct/>
              <w:topLinePunct w:val="0"/>
              <w:autoSpaceDN/>
              <w:bidi w:val="0"/>
              <w:adjustRightInd/>
              <w:spacing w:line="460" w:lineRule="exact"/>
              <w:ind w:left="0" w:leftChars="0" w:firstLine="0" w:firstLineChars="0"/>
              <w:jc w:val="left"/>
              <w:textAlignment w:val="auto"/>
              <w:rPr>
                <w:rFonts w:hint="eastAsia" w:ascii="宋体" w:hAnsi="宋体" w:eastAsia="宋体" w:cs="宋体"/>
                <w:b/>
                <w:bCs/>
                <w:color w:val="auto"/>
                <w:kern w:val="0"/>
                <w:sz w:val="20"/>
                <w:szCs w:val="20"/>
                <w:highlight w:val="none"/>
                <w:lang w:val="en-US" w:eastAsia="zh-CN" w:bidi="ar-SA"/>
              </w:rPr>
            </w:pPr>
            <w:r>
              <w:rPr>
                <w:rStyle w:val="15"/>
                <w:rFonts w:eastAsia="宋体"/>
                <w:highlight w:val="none"/>
                <w:lang w:val="en-US" w:eastAsia="zh-CN" w:bidi="ar"/>
              </w:rPr>
              <w:t>1</w:t>
            </w:r>
            <w:r>
              <w:rPr>
                <w:rStyle w:val="16"/>
                <w:highlight w:val="none"/>
                <w:lang w:val="en-US" w:eastAsia="zh-CN" w:bidi="ar"/>
              </w:rPr>
              <w:t>、</w:t>
            </w:r>
            <w:r>
              <w:rPr>
                <w:rStyle w:val="15"/>
                <w:rFonts w:eastAsia="宋体"/>
                <w:highlight w:val="none"/>
                <w:lang w:val="en-US" w:eastAsia="zh-CN" w:bidi="ar"/>
              </w:rPr>
              <w:t>▲</w:t>
            </w:r>
            <w:r>
              <w:rPr>
                <w:rStyle w:val="16"/>
                <w:highlight w:val="none"/>
                <w:lang w:val="en-US" w:eastAsia="zh-CN" w:bidi="ar"/>
              </w:rPr>
              <w:t>支持的最大分辨率</w:t>
            </w:r>
            <w:r>
              <w:rPr>
                <w:rStyle w:val="15"/>
                <w:rFonts w:eastAsia="宋体"/>
                <w:highlight w:val="none"/>
                <w:lang w:val="en-US" w:eastAsia="zh-CN" w:bidi="ar"/>
              </w:rPr>
              <w:t>‌</w:t>
            </w:r>
            <w:r>
              <w:rPr>
                <w:rStyle w:val="16"/>
                <w:highlight w:val="none"/>
                <w:lang w:val="en-US" w:eastAsia="zh-CN" w:bidi="ar"/>
              </w:rPr>
              <w:t>：支持</w:t>
            </w:r>
            <w:r>
              <w:rPr>
                <w:rStyle w:val="15"/>
                <w:rFonts w:eastAsia="宋体"/>
                <w:highlight w:val="none"/>
                <w:lang w:val="en-US" w:eastAsia="zh-CN" w:bidi="ar"/>
              </w:rPr>
              <w:t>4K</w:t>
            </w:r>
            <w:r>
              <w:rPr>
                <w:rStyle w:val="16"/>
                <w:highlight w:val="none"/>
                <w:lang w:val="en-US" w:eastAsia="zh-CN" w:bidi="ar"/>
              </w:rPr>
              <w:t>分辨率，</w:t>
            </w:r>
            <w:r>
              <w:rPr>
                <w:rStyle w:val="15"/>
                <w:rFonts w:eastAsia="宋体"/>
                <w:highlight w:val="none"/>
                <w:lang w:val="en-US" w:eastAsia="zh-CN" w:bidi="ar"/>
              </w:rPr>
              <w:t>3840*2160@60Hz</w:t>
            </w:r>
            <w:r>
              <w:rPr>
                <w:rStyle w:val="16"/>
                <w:highlight w:val="none"/>
                <w:lang w:val="en-US" w:eastAsia="zh-CN" w:bidi="ar"/>
              </w:rPr>
              <w:t>的分辨率；</w:t>
            </w:r>
            <w:r>
              <w:rPr>
                <w:rStyle w:val="15"/>
                <w:rFonts w:eastAsia="宋体"/>
                <w:highlight w:val="none"/>
                <w:lang w:val="en-US" w:eastAsia="zh-CN" w:bidi="ar"/>
              </w:rPr>
              <w:br w:type="textWrapping"/>
            </w:r>
            <w:r>
              <w:rPr>
                <w:rStyle w:val="15"/>
                <w:rFonts w:eastAsia="宋体"/>
                <w:highlight w:val="none"/>
                <w:lang w:val="en-US" w:eastAsia="zh-CN" w:bidi="ar"/>
              </w:rPr>
              <w:t>‌2</w:t>
            </w:r>
            <w:r>
              <w:rPr>
                <w:rStyle w:val="16"/>
                <w:highlight w:val="none"/>
                <w:lang w:val="en-US" w:eastAsia="zh-CN" w:bidi="ar"/>
              </w:rPr>
              <w:t>、音频输出方式</w:t>
            </w:r>
            <w:r>
              <w:rPr>
                <w:rStyle w:val="15"/>
                <w:rFonts w:eastAsia="宋体"/>
                <w:highlight w:val="none"/>
                <w:lang w:val="en-US" w:eastAsia="zh-CN" w:bidi="ar"/>
              </w:rPr>
              <w:t>‌</w:t>
            </w:r>
            <w:r>
              <w:rPr>
                <w:rStyle w:val="16"/>
                <w:highlight w:val="none"/>
                <w:lang w:val="en-US" w:eastAsia="zh-CN" w:bidi="ar"/>
              </w:rPr>
              <w:t>：支持光纤和</w:t>
            </w:r>
            <w:r>
              <w:rPr>
                <w:rStyle w:val="15"/>
                <w:rFonts w:eastAsia="宋体"/>
                <w:highlight w:val="none"/>
                <w:lang w:val="en-US" w:eastAsia="zh-CN" w:bidi="ar"/>
              </w:rPr>
              <w:t>3.5mm</w:t>
            </w:r>
            <w:r>
              <w:rPr>
                <w:rStyle w:val="16"/>
                <w:highlight w:val="none"/>
                <w:lang w:val="en-US" w:eastAsia="zh-CN" w:bidi="ar"/>
              </w:rPr>
              <w:t>耳机接口。</w:t>
            </w:r>
            <w:r>
              <w:rPr>
                <w:rStyle w:val="15"/>
                <w:rFonts w:eastAsia="宋体"/>
                <w:highlight w:val="none"/>
                <w:lang w:val="en-US" w:eastAsia="zh-CN" w:bidi="ar"/>
              </w:rPr>
              <w:br w:type="textWrapping"/>
            </w:r>
            <w:r>
              <w:rPr>
                <w:rStyle w:val="15"/>
                <w:rFonts w:eastAsia="宋体"/>
                <w:highlight w:val="none"/>
                <w:lang w:val="en-US" w:eastAsia="zh-CN" w:bidi="ar"/>
              </w:rPr>
              <w:t>‌3</w:t>
            </w:r>
            <w:r>
              <w:rPr>
                <w:rStyle w:val="16"/>
                <w:highlight w:val="none"/>
                <w:lang w:val="en-US" w:eastAsia="zh-CN" w:bidi="ar"/>
              </w:rPr>
              <w:t>、支持的</w:t>
            </w:r>
            <w:r>
              <w:rPr>
                <w:rStyle w:val="15"/>
                <w:rFonts w:eastAsia="宋体"/>
                <w:highlight w:val="none"/>
                <w:lang w:val="en-US" w:eastAsia="zh-CN" w:bidi="ar"/>
              </w:rPr>
              <w:t>HDMI</w:t>
            </w:r>
            <w:r>
              <w:rPr>
                <w:rStyle w:val="16"/>
                <w:highlight w:val="none"/>
                <w:lang w:val="en-US" w:eastAsia="zh-CN" w:bidi="ar"/>
              </w:rPr>
              <w:t>版本</w:t>
            </w:r>
            <w:r>
              <w:rPr>
                <w:rStyle w:val="15"/>
                <w:rFonts w:eastAsia="宋体"/>
                <w:highlight w:val="none"/>
                <w:lang w:val="en-US" w:eastAsia="zh-CN" w:bidi="ar"/>
              </w:rPr>
              <w:t>‌</w:t>
            </w:r>
            <w:r>
              <w:rPr>
                <w:rStyle w:val="16"/>
                <w:highlight w:val="none"/>
                <w:lang w:val="en-US" w:eastAsia="zh-CN" w:bidi="ar"/>
              </w:rPr>
              <w:t>：</w:t>
            </w:r>
            <w:r>
              <w:rPr>
                <w:rStyle w:val="15"/>
                <w:rFonts w:eastAsia="宋体"/>
                <w:highlight w:val="none"/>
                <w:lang w:val="en-US" w:eastAsia="zh-CN" w:bidi="ar"/>
              </w:rPr>
              <w:t>HDMI 2.0</w:t>
            </w:r>
            <w:r>
              <w:rPr>
                <w:rStyle w:val="16"/>
                <w:highlight w:val="none"/>
                <w:lang w:val="en-US" w:eastAsia="zh-CN" w:bidi="ar"/>
              </w:rPr>
              <w:t>。</w:t>
            </w:r>
            <w:r>
              <w:rPr>
                <w:rStyle w:val="15"/>
                <w:rFonts w:eastAsia="宋体"/>
                <w:highlight w:val="none"/>
                <w:lang w:val="en-US" w:eastAsia="zh-CN" w:bidi="ar"/>
              </w:rPr>
              <w:br w:type="textWrapping"/>
            </w:r>
            <w:r>
              <w:rPr>
                <w:rStyle w:val="15"/>
                <w:rFonts w:eastAsia="宋体"/>
                <w:highlight w:val="none"/>
                <w:lang w:val="en-US" w:eastAsia="zh-CN" w:bidi="ar"/>
              </w:rPr>
              <w:t>4</w:t>
            </w:r>
            <w:r>
              <w:rPr>
                <w:rStyle w:val="16"/>
                <w:highlight w:val="none"/>
                <w:lang w:val="en-US" w:eastAsia="zh-CN" w:bidi="ar"/>
              </w:rPr>
              <w:t>、</w:t>
            </w:r>
            <w:r>
              <w:rPr>
                <w:rStyle w:val="15"/>
                <w:rFonts w:eastAsia="宋体"/>
                <w:highlight w:val="none"/>
                <w:lang w:val="en-US" w:eastAsia="zh-CN" w:bidi="ar"/>
              </w:rPr>
              <w:t>▲</w:t>
            </w:r>
            <w:r>
              <w:rPr>
                <w:rStyle w:val="16"/>
                <w:highlight w:val="none"/>
                <w:lang w:val="en-US" w:eastAsia="zh-CN" w:bidi="ar"/>
              </w:rPr>
              <w:t>矩阵四进二出，支持的色深（</w:t>
            </w:r>
            <w:r>
              <w:rPr>
                <w:rStyle w:val="15"/>
                <w:rFonts w:eastAsia="宋体"/>
                <w:highlight w:val="none"/>
                <w:lang w:val="en-US" w:eastAsia="zh-CN" w:bidi="ar"/>
              </w:rPr>
              <w:t>8/10/12</w:t>
            </w:r>
            <w:r>
              <w:rPr>
                <w:rStyle w:val="16"/>
                <w:highlight w:val="none"/>
                <w:lang w:val="en-US" w:eastAsia="zh-CN" w:bidi="ar"/>
              </w:rPr>
              <w:t>位色深）、支持的</w:t>
            </w:r>
            <w:r>
              <w:rPr>
                <w:rStyle w:val="15"/>
                <w:rFonts w:eastAsia="宋体"/>
                <w:highlight w:val="none"/>
                <w:lang w:val="en-US" w:eastAsia="zh-CN" w:bidi="ar"/>
              </w:rPr>
              <w:t>LPCM/Dolby/DTS 5.1</w:t>
            </w:r>
            <w:r>
              <w:rPr>
                <w:rStyle w:val="16"/>
                <w:highlight w:val="none"/>
                <w:lang w:val="en-US" w:eastAsia="zh-CN" w:bidi="ar"/>
              </w:rPr>
              <w:t>声道提取；</w:t>
            </w:r>
            <w:r>
              <w:rPr>
                <w:rStyle w:val="15"/>
                <w:rFonts w:eastAsia="宋体"/>
                <w:highlight w:val="none"/>
                <w:lang w:val="en-US" w:eastAsia="zh-CN" w:bidi="ar"/>
              </w:rPr>
              <w:br w:type="textWrapping"/>
            </w:r>
            <w:r>
              <w:rPr>
                <w:rStyle w:val="15"/>
                <w:rFonts w:eastAsia="宋体"/>
                <w:highlight w:val="none"/>
                <w:lang w:val="en-US" w:eastAsia="zh-CN" w:bidi="ar"/>
              </w:rPr>
              <w:t>5</w:t>
            </w:r>
            <w:r>
              <w:rPr>
                <w:rStyle w:val="16"/>
                <w:highlight w:val="none"/>
                <w:lang w:val="en-US" w:eastAsia="zh-CN" w:bidi="ar"/>
              </w:rPr>
              <w:t>、矩阵能够处理高清晰度的视频和音频信号，适用于各种高清视频会议</w:t>
            </w:r>
            <w:r>
              <w:rPr>
                <w:rStyle w:val="15"/>
                <w:rFonts w:eastAsia="宋体"/>
                <w:highlight w:val="none"/>
                <w:lang w:val="en-US" w:eastAsia="zh-CN" w:bidi="ar"/>
              </w:rPr>
              <w:t>‌</w:t>
            </w:r>
            <w:r>
              <w:rPr>
                <w:rStyle w:val="16"/>
                <w:highlight w:val="none"/>
                <w:lang w:val="en-US" w:eastAsia="zh-CN" w:bidi="ar"/>
              </w:rPr>
              <w:t>。</w:t>
            </w:r>
          </w:p>
          <w:p w14:paraId="3CF72B5C">
            <w:pPr>
              <w:keepNext w:val="0"/>
              <w:keepLines w:val="0"/>
              <w:pageBreakBefore w:val="0"/>
              <w:widowControl w:val="0"/>
              <w:numPr>
                <w:ilvl w:val="0"/>
                <w:numId w:val="0"/>
              </w:numPr>
              <w:kinsoku/>
              <w:wordWrap/>
              <w:overflowPunct/>
              <w:topLinePunct w:val="0"/>
              <w:autoSpaceDN/>
              <w:bidi w:val="0"/>
              <w:adjustRightInd/>
              <w:spacing w:line="460" w:lineRule="exact"/>
              <w:ind w:left="0" w:leftChars="0" w:firstLine="0" w:firstLineChars="0"/>
              <w:jc w:val="left"/>
              <w:textAlignment w:val="auto"/>
              <w:rPr>
                <w:rFonts w:hint="eastAsia" w:ascii="宋体" w:hAnsi="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bidi="ar-SA"/>
              </w:rPr>
              <w:t>九、智能工控管理机</w:t>
            </w:r>
            <w:r>
              <w:rPr>
                <w:rFonts w:hint="eastAsia" w:ascii="宋体" w:hAnsi="宋体" w:cs="宋体"/>
                <w:b/>
                <w:bCs/>
                <w:color w:val="auto"/>
                <w:kern w:val="0"/>
                <w:sz w:val="20"/>
                <w:szCs w:val="20"/>
                <w:highlight w:val="none"/>
                <w:lang w:val="en-US" w:eastAsia="zh-CN"/>
              </w:rPr>
              <w:t>（1台）</w:t>
            </w:r>
          </w:p>
          <w:p w14:paraId="11F20435">
            <w:pPr>
              <w:keepNext w:val="0"/>
              <w:keepLines w:val="0"/>
              <w:pageBreakBefore w:val="0"/>
              <w:widowControl w:val="0"/>
              <w:numPr>
                <w:ilvl w:val="0"/>
                <w:numId w:val="0"/>
              </w:numPr>
              <w:kinsoku/>
              <w:wordWrap/>
              <w:overflowPunct/>
              <w:topLinePunct w:val="0"/>
              <w:autoSpaceDN/>
              <w:bidi w:val="0"/>
              <w:adjustRightInd/>
              <w:spacing w:line="460" w:lineRule="exact"/>
              <w:ind w:left="0" w:leftChars="0" w:firstLine="0" w:firstLineChars="0"/>
              <w:jc w:val="left"/>
              <w:textAlignment w:val="auto"/>
              <w:rPr>
                <w:rFonts w:hint="eastAsia" w:ascii="宋体" w:hAnsi="宋体" w:eastAsia="宋体" w:cs="宋体"/>
                <w:b/>
                <w:bCs/>
                <w:color w:val="auto"/>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1.DHCP Option43方式，DNS域名上线；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2.整机可用端口数≥8个；该设备具备Android、windows、Linux、IOS、统信UOS、银河麒麟KylinOS等主流操作系统的播放内容及画中画与弹窗内容进行检测过滤；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3.▲支持二层广播，配置静态IP地址；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4.支持上网行为管理、行为审计、VPN、上网认证、投屏等、支持STP、RSTP、MSTP协议；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5.▲支持M-LAG技术，跨设备链路聚合， 并对于配对的设备有独立的控制平面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6.集成统一网络控制器，支持防网关ARP欺骗、管理员分级管理、支持端口保护、隔离；支持防止DOS、ARP攻击功能；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12、▲支持防IP扫描、防UDP端口扫描、防TCP端口扫描等异常行为；支持识别IPC等哑终端设备类型；</w:t>
            </w:r>
            <w:r>
              <w:rPr>
                <w:rFonts w:hint="eastAsia" w:ascii="宋体" w:hAnsi="宋体" w:eastAsia="宋体" w:cs="宋体"/>
                <w:b/>
                <w:bCs/>
                <w:i w:val="0"/>
                <w:iCs w:val="0"/>
                <w:color w:val="000000"/>
                <w:kern w:val="0"/>
                <w:sz w:val="20"/>
                <w:szCs w:val="20"/>
                <w:highlight w:val="none"/>
                <w:u w:val="none"/>
                <w:lang w:val="en-US" w:eastAsia="zh-CN" w:bidi="ar"/>
              </w:rPr>
              <w:t>（投标时须提供国家认可的第三方检测机构出具的关于该功能检测报告复印件及功能截图，并加盖供应商公章）</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8.▲支持终端类型库，基于指纹终端类型库自动识别PC、路由器、摄像头设备、无线AP等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9.支持对病毒的网络层传播行为进行溯源及阻断，防止内网病毒扩散;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10.支持基于MAC/ IP子网/认证策略/端口的VLAN；支持Voice VLAN；支持QinQ；</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11.能够实现拓扑呈现，实时反馈CPU内存情况，远程配置等；</w:t>
            </w:r>
          </w:p>
          <w:p w14:paraId="6B7550FE">
            <w:pPr>
              <w:keepNext w:val="0"/>
              <w:keepLines w:val="0"/>
              <w:pageBreakBefore w:val="0"/>
              <w:widowControl w:val="0"/>
              <w:numPr>
                <w:ilvl w:val="0"/>
                <w:numId w:val="0"/>
              </w:numPr>
              <w:kinsoku/>
              <w:wordWrap/>
              <w:overflowPunct/>
              <w:topLinePunct w:val="0"/>
              <w:autoSpaceDN/>
              <w:bidi w:val="0"/>
              <w:adjustRightInd/>
              <w:spacing w:line="460" w:lineRule="exact"/>
              <w:ind w:left="0" w:leftChars="0" w:firstLine="0" w:firstLineChars="0"/>
              <w:jc w:val="left"/>
              <w:textAlignment w:val="auto"/>
              <w:rPr>
                <w:rFonts w:hint="eastAsia" w:ascii="宋体" w:hAnsi="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bidi="ar-SA"/>
              </w:rPr>
              <w:t>十、LED终端管理系统</w:t>
            </w:r>
            <w:r>
              <w:rPr>
                <w:rFonts w:hint="eastAsia" w:ascii="宋体" w:hAnsi="宋体" w:cs="宋体"/>
                <w:b/>
                <w:bCs/>
                <w:color w:val="auto"/>
                <w:kern w:val="0"/>
                <w:sz w:val="20"/>
                <w:szCs w:val="20"/>
                <w:highlight w:val="none"/>
                <w:lang w:val="en-US" w:eastAsia="zh-CN"/>
              </w:rPr>
              <w:t>（1项）</w:t>
            </w:r>
          </w:p>
          <w:p w14:paraId="70FFE02D">
            <w:pPr>
              <w:keepNext w:val="0"/>
              <w:keepLines w:val="0"/>
              <w:pageBreakBefore w:val="0"/>
              <w:widowControl w:val="0"/>
              <w:numPr>
                <w:ilvl w:val="0"/>
                <w:numId w:val="0"/>
              </w:numPr>
              <w:kinsoku/>
              <w:wordWrap/>
              <w:overflowPunct/>
              <w:topLinePunct w:val="0"/>
              <w:autoSpaceDN/>
              <w:bidi w:val="0"/>
              <w:adjustRightInd/>
              <w:spacing w:line="460" w:lineRule="exact"/>
              <w:jc w:val="left"/>
              <w:textAlignment w:val="auto"/>
              <w:rPr>
                <w:rFonts w:hint="default" w:ascii="宋体" w:hAnsi="宋体" w:cs="宋体"/>
                <w:b/>
                <w:bCs/>
                <w:color w:val="auto"/>
                <w:kern w:val="0"/>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1.▲支持多种视频格式、图片、动画、Office文件、文字、时钟、走马灯、天气、计时、温湿度、流媒体、网页、采集卡、摄像头、Rss简讯；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2.丰富的媒体属性：包括透明、背景颜色、背景图片、透明度、音量、显示比例、出入场特效、特效速度、文字颜色、炫彩效果、字体、风格等；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可针对文件/文件夹设置关注，所关注的文件发生任何增、改变动时，关注者将收到消息提醒，以异动形式出现在个人异动列表当中，提供关注列表管理；支持同时开启多个镜像，同时对不同镜像进行操作、软件安装等；可以设置固定时间、每天、每周、每月进行定时执行各种任务类型，包括开机、关机、切换模板、还原数据盘；</w:t>
            </w:r>
            <w:r>
              <w:rPr>
                <w:rFonts w:hint="eastAsia" w:ascii="宋体" w:hAnsi="宋体" w:eastAsia="宋体" w:cs="宋体"/>
                <w:b/>
                <w:bCs/>
                <w:i w:val="0"/>
                <w:iCs w:val="0"/>
                <w:color w:val="000000"/>
                <w:kern w:val="0"/>
                <w:sz w:val="20"/>
                <w:szCs w:val="20"/>
                <w:highlight w:val="none"/>
                <w:u w:val="none"/>
                <w:lang w:val="en-US" w:eastAsia="zh-CN" w:bidi="ar"/>
              </w:rPr>
              <w:t>(响应文件中提供功能界面截图并加盖供应商公章)</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支持多个窗口个数不同的页面按次数或播放时长切换播放，且切换过程平滑无黑帧；页面支持一个或多个窗口；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 可设置不同的日期和时间播放不同的节目页。</w:t>
            </w:r>
          </w:p>
        </w:tc>
        <w:tc>
          <w:tcPr>
            <w:tcW w:w="212" w:type="pct"/>
            <w:vAlign w:val="center"/>
          </w:tcPr>
          <w:p w14:paraId="5E486287">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kern w:val="2"/>
                <w:sz w:val="20"/>
                <w:szCs w:val="20"/>
                <w:highlight w:val="none"/>
                <w:vertAlign w:val="baseline"/>
                <w:lang w:val="en-US" w:eastAsia="zh-CN" w:bidi="ar-SA"/>
              </w:rPr>
              <w:t>套</w:t>
            </w:r>
          </w:p>
        </w:tc>
        <w:tc>
          <w:tcPr>
            <w:tcW w:w="205" w:type="pct"/>
            <w:vAlign w:val="center"/>
          </w:tcPr>
          <w:p w14:paraId="4456A230">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cs="宋体"/>
                <w:color w:val="auto"/>
                <w:kern w:val="2"/>
                <w:sz w:val="20"/>
                <w:szCs w:val="20"/>
                <w:highlight w:val="none"/>
                <w:vertAlign w:val="baseline"/>
                <w:lang w:val="en-US" w:eastAsia="zh-CN" w:bidi="ar-SA"/>
              </w:rPr>
              <w:t>1</w:t>
            </w:r>
          </w:p>
        </w:tc>
        <w:tc>
          <w:tcPr>
            <w:tcW w:w="378" w:type="pct"/>
            <w:shd w:val="clear" w:color="auto" w:fill="auto"/>
            <w:vAlign w:val="center"/>
          </w:tcPr>
          <w:p w14:paraId="74167A36">
            <w:pPr>
              <w:keepNext w:val="0"/>
              <w:keepLines w:val="0"/>
              <w:widowControl/>
              <w:suppressLineNumbers w:val="0"/>
              <w:jc w:val="center"/>
              <w:textAlignment w:val="center"/>
              <w:rPr>
                <w:rFonts w:hint="default" w:ascii="黑体" w:hAnsi="宋体" w:eastAsia="黑体" w:cs="黑体"/>
                <w:b/>
                <w:bCs/>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2"/>
                <w:szCs w:val="22"/>
                <w:highlight w:val="none"/>
                <w:u w:val="none"/>
                <w:lang w:val="en-US" w:eastAsia="zh-CN" w:bidi="ar-SA"/>
              </w:rPr>
              <w:t>75000</w:t>
            </w:r>
          </w:p>
        </w:tc>
        <w:tc>
          <w:tcPr>
            <w:tcW w:w="370" w:type="pct"/>
            <w:shd w:val="clear" w:color="auto" w:fill="auto"/>
            <w:vAlign w:val="center"/>
          </w:tcPr>
          <w:p w14:paraId="37E15E30">
            <w:pPr>
              <w:keepNext w:val="0"/>
              <w:keepLines w:val="0"/>
              <w:widowControl/>
              <w:suppressLineNumbers w:val="0"/>
              <w:jc w:val="center"/>
              <w:textAlignment w:val="center"/>
              <w:rPr>
                <w:rFonts w:hint="eastAsia" w:ascii="黑体" w:hAnsi="宋体" w:eastAsia="黑体" w:cs="黑体"/>
                <w:b w:val="0"/>
                <w:bCs w:val="0"/>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2"/>
                <w:szCs w:val="22"/>
                <w:highlight w:val="none"/>
                <w:u w:val="none"/>
                <w:lang w:val="en-US" w:eastAsia="zh-CN" w:bidi="ar-SA"/>
              </w:rPr>
              <w:t>75000</w:t>
            </w:r>
          </w:p>
        </w:tc>
      </w:tr>
      <w:tr w14:paraId="3CD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629" w:type="pct"/>
            <w:gridSpan w:val="7"/>
            <w:vAlign w:val="center"/>
          </w:tcPr>
          <w:p w14:paraId="4F873D1F">
            <w:pPr>
              <w:keepNext w:val="0"/>
              <w:keepLines w:val="0"/>
              <w:pageBreakBefore w:val="0"/>
              <w:widowControl/>
              <w:numPr>
                <w:ilvl w:val="0"/>
                <w:numId w:val="0"/>
              </w:numPr>
              <w:kinsoku/>
              <w:wordWrap/>
              <w:overflowPunct/>
              <w:topLinePunct w:val="0"/>
              <w:autoSpaceDE/>
              <w:autoSpaceDN/>
              <w:bidi w:val="0"/>
              <w:spacing w:line="288" w:lineRule="auto"/>
              <w:jc w:val="center"/>
              <w:textAlignment w:val="auto"/>
              <w:rPr>
                <w:rFonts w:hint="eastAsia" w:ascii="宋体" w:hAnsi="宋体" w:eastAsia="宋体" w:cs="宋体"/>
                <w:color w:val="auto"/>
                <w:kern w:val="2"/>
                <w:sz w:val="20"/>
                <w:szCs w:val="20"/>
                <w:highlight w:val="none"/>
                <w:vertAlign w:val="baseline"/>
                <w:lang w:val="en-US" w:eastAsia="zh-CN" w:bidi="ar-SA"/>
              </w:rPr>
            </w:pPr>
            <w:r>
              <w:rPr>
                <w:rFonts w:hint="eastAsia" w:ascii="宋体" w:hAnsi="宋体" w:eastAsia="宋体" w:cs="宋体"/>
                <w:b/>
                <w:bCs/>
                <w:color w:val="auto"/>
                <w:kern w:val="0"/>
                <w:sz w:val="20"/>
                <w:szCs w:val="20"/>
                <w:highlight w:val="none"/>
                <w:lang w:val="en-US" w:eastAsia="zh-CN"/>
              </w:rPr>
              <w:t>合计</w:t>
            </w:r>
          </w:p>
        </w:tc>
        <w:tc>
          <w:tcPr>
            <w:tcW w:w="370" w:type="pct"/>
            <w:shd w:val="clear" w:color="auto" w:fill="auto"/>
            <w:vAlign w:val="center"/>
          </w:tcPr>
          <w:p w14:paraId="1BBA203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2"/>
                <w:sz w:val="22"/>
                <w:szCs w:val="22"/>
                <w:highlight w:val="none"/>
                <w:u w:val="none"/>
                <w:lang w:val="en-US" w:eastAsia="zh-CN" w:bidi="ar-SA"/>
              </w:rPr>
              <w:t>75000</w:t>
            </w:r>
          </w:p>
        </w:tc>
      </w:tr>
    </w:tbl>
    <w:p w14:paraId="28A35434">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2F0D6F3C">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4624"/>
      </w:tblGrid>
      <w:tr w14:paraId="154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2"/>
          </w:tcPr>
          <w:p w14:paraId="6724E585">
            <w:pPr>
              <w:rPr>
                <w:rFonts w:hint="eastAsia" w:ascii="宋体" w:hAnsi="宋体" w:eastAsia="宋体" w:cs="宋体"/>
                <w:color w:val="auto"/>
                <w:highlight w:val="none"/>
                <w:vertAlign w:val="baseline"/>
              </w:rPr>
            </w:pPr>
            <w:r>
              <w:rPr>
                <w:rFonts w:hint="eastAsia" w:ascii="宋体" w:hAnsi="宋体" w:eastAsia="宋体" w:cs="Calibri"/>
                <w:b/>
                <w:bCs/>
                <w:color w:val="auto"/>
                <w:kern w:val="0"/>
                <w:sz w:val="20"/>
                <w:szCs w:val="20"/>
                <w:highlight w:val="none"/>
                <w:lang w:val="en-US" w:eastAsia="zh-CN"/>
              </w:rPr>
              <w:t>▲</w:t>
            </w:r>
            <w:r>
              <w:rPr>
                <w:rFonts w:hint="eastAsia" w:ascii="宋体" w:hAnsi="宋体" w:eastAsia="宋体" w:cs="宋体"/>
                <w:b/>
                <w:bCs/>
                <w:color w:val="auto"/>
                <w:kern w:val="0"/>
                <w:szCs w:val="21"/>
                <w:highlight w:val="none"/>
              </w:rPr>
              <w:t>二、商务服务要求表</w:t>
            </w:r>
          </w:p>
        </w:tc>
      </w:tr>
      <w:tr w14:paraId="668C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7B70F0AD">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4"/>
                <w:rFonts w:hint="eastAsia" w:ascii="宋体" w:hAnsi="宋体" w:eastAsia="宋体" w:cs="宋体"/>
                <w:color w:val="auto"/>
                <w:sz w:val="21"/>
                <w:szCs w:val="21"/>
                <w:highlight w:val="none"/>
              </w:rPr>
              <w:t>交货时间及地点</w:t>
            </w:r>
          </w:p>
        </w:tc>
        <w:tc>
          <w:tcPr>
            <w:tcW w:w="14624" w:type="dxa"/>
            <w:shd w:val="clear" w:color="auto" w:fill="auto"/>
            <w:vAlign w:val="center"/>
          </w:tcPr>
          <w:p w14:paraId="55E9414F">
            <w:pPr>
              <w:widowControl/>
              <w:numPr>
                <w:ilvl w:val="0"/>
                <w:numId w:val="0"/>
              </w:numPr>
              <w:snapToGrid w:val="0"/>
              <w:spacing w:line="400" w:lineRule="exact"/>
              <w:jc w:val="left"/>
              <w:textAlignment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1、合同签订日期：中标通知书发出后</w:t>
            </w:r>
            <w:r>
              <w:rPr>
                <w:rFonts w:hint="eastAsia" w:asciiTheme="minorEastAsia" w:hAnsiTheme="minorEastAsia" w:cstheme="minorEastAsia"/>
                <w:kern w:val="0"/>
                <w:szCs w:val="21"/>
                <w:highlight w:val="none"/>
                <w:lang w:val="en-US" w:eastAsia="zh-CN"/>
              </w:rPr>
              <w:t>10</w:t>
            </w:r>
            <w:r>
              <w:rPr>
                <w:rFonts w:hint="eastAsia" w:asciiTheme="minorEastAsia" w:hAnsiTheme="minorEastAsia" w:cstheme="minorEastAsia"/>
                <w:kern w:val="0"/>
                <w:szCs w:val="21"/>
                <w:highlight w:val="none"/>
              </w:rPr>
              <w:t xml:space="preserve">日内。 </w:t>
            </w:r>
          </w:p>
          <w:p w14:paraId="59F8EBB0">
            <w:pPr>
              <w:widowControl/>
              <w:numPr>
                <w:ilvl w:val="0"/>
                <w:numId w:val="0"/>
              </w:numPr>
              <w:snapToGrid w:val="0"/>
              <w:spacing w:line="400" w:lineRule="exact"/>
              <w:jc w:val="left"/>
              <w:textAlignment w:val="center"/>
              <w:rPr>
                <w:rFonts w:hint="eastAsia" w:asciiTheme="minorEastAsia" w:hAnsiTheme="minorEastAsia" w:cstheme="minorEastAsia"/>
                <w:kern w:val="0"/>
                <w:szCs w:val="21"/>
                <w:highlight w:val="none"/>
              </w:rPr>
            </w:pPr>
            <w:r>
              <w:rPr>
                <w:rFonts w:hint="eastAsia" w:asciiTheme="minorEastAsia" w:hAnsiTheme="minorEastAsia" w:cstheme="minorEastAsia"/>
                <w:kern w:val="0"/>
                <w:szCs w:val="21"/>
                <w:highlight w:val="none"/>
              </w:rPr>
              <w:t>2、交货（实施）时间：合同签订之日起</w:t>
            </w:r>
            <w:r>
              <w:rPr>
                <w:rFonts w:hint="eastAsia" w:asciiTheme="minorEastAsia" w:hAnsiTheme="minorEastAsia" w:cstheme="minorEastAsia"/>
                <w:kern w:val="0"/>
                <w:szCs w:val="21"/>
                <w:highlight w:val="none"/>
                <w:lang w:val="en-US" w:eastAsia="zh-CN"/>
              </w:rPr>
              <w:t>30</w:t>
            </w:r>
            <w:r>
              <w:rPr>
                <w:rFonts w:hint="eastAsia" w:asciiTheme="minorEastAsia" w:hAnsiTheme="minorEastAsia" w:cstheme="minorEastAsia"/>
                <w:kern w:val="0"/>
                <w:szCs w:val="21"/>
                <w:highlight w:val="none"/>
              </w:rPr>
              <w:t>个日历日内交货并安装调试完毕。</w:t>
            </w:r>
          </w:p>
          <w:p w14:paraId="3BE34CE9">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Style w:val="14"/>
                <w:rFonts w:hint="eastAsia" w:asciiTheme="minorEastAsia" w:hAnsiTheme="minorEastAsia" w:eastAsiaTheme="minorEastAsia" w:cstheme="minorEastAsia"/>
                <w:color w:val="auto"/>
                <w:sz w:val="21"/>
                <w:szCs w:val="21"/>
                <w:highlight w:val="none"/>
                <w:lang w:val="en-US" w:eastAsia="zh-CN"/>
              </w:rPr>
              <w:t>3</w:t>
            </w:r>
            <w:r>
              <w:rPr>
                <w:rStyle w:val="14"/>
                <w:rFonts w:hint="eastAsia" w:asciiTheme="minorEastAsia" w:hAnsiTheme="minorEastAsia" w:eastAsiaTheme="minorEastAsia" w:cstheme="minorEastAsia"/>
                <w:color w:val="auto"/>
                <w:sz w:val="21"/>
                <w:szCs w:val="21"/>
                <w:highlight w:val="none"/>
                <w:lang w:eastAsia="zh-CN"/>
              </w:rPr>
              <w:t>、</w:t>
            </w:r>
            <w:r>
              <w:rPr>
                <w:rStyle w:val="14"/>
                <w:rFonts w:hint="default" w:asciiTheme="minorEastAsia" w:hAnsiTheme="minorEastAsia" w:eastAsiaTheme="minorEastAsia" w:cstheme="minorEastAsia"/>
                <w:color w:val="auto"/>
                <w:sz w:val="21"/>
                <w:szCs w:val="21"/>
                <w:highlight w:val="none"/>
              </w:rPr>
              <w:t>交货地点：</w:t>
            </w:r>
            <w:r>
              <w:rPr>
                <w:rFonts w:hint="eastAsia" w:asciiTheme="minorEastAsia" w:hAnsiTheme="minorEastAsia" w:cstheme="minorEastAsia"/>
                <w:szCs w:val="21"/>
                <w:highlight w:val="none"/>
              </w:rPr>
              <w:t>广西南宁市采购人指定地点（广西水利电力职业技术学院</w:t>
            </w:r>
            <w:r>
              <w:rPr>
                <w:rFonts w:hint="eastAsia" w:asciiTheme="minorEastAsia" w:hAnsiTheme="minorEastAsia" w:cstheme="minorEastAsia"/>
                <w:szCs w:val="21"/>
                <w:highlight w:val="none"/>
                <w:lang w:val="en-US" w:eastAsia="zh-CN"/>
              </w:rPr>
              <w:t>里建</w:t>
            </w:r>
            <w:r>
              <w:rPr>
                <w:rFonts w:hint="eastAsia" w:asciiTheme="minorEastAsia" w:hAnsiTheme="minorEastAsia" w:cstheme="minorEastAsia"/>
                <w:szCs w:val="21"/>
                <w:highlight w:val="none"/>
              </w:rPr>
              <w:t>校区）</w:t>
            </w:r>
            <w:r>
              <w:rPr>
                <w:rStyle w:val="14"/>
                <w:rFonts w:hint="default" w:asciiTheme="minorEastAsia" w:hAnsiTheme="minorEastAsia" w:eastAsiaTheme="minorEastAsia" w:cstheme="minorEastAsia"/>
                <w:color w:val="auto"/>
                <w:sz w:val="21"/>
                <w:szCs w:val="21"/>
                <w:highlight w:val="none"/>
              </w:rPr>
              <w:t>。</w:t>
            </w:r>
          </w:p>
        </w:tc>
      </w:tr>
      <w:tr w14:paraId="5B2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ABD7DCC">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4"/>
                <w:rFonts w:hint="eastAsia" w:ascii="宋体" w:hAnsi="宋体" w:eastAsia="宋体" w:cs="宋体"/>
                <w:color w:val="auto"/>
                <w:sz w:val="21"/>
                <w:szCs w:val="21"/>
                <w:highlight w:val="none"/>
              </w:rPr>
              <w:t>质保期</w:t>
            </w:r>
          </w:p>
        </w:tc>
        <w:tc>
          <w:tcPr>
            <w:tcW w:w="14624" w:type="dxa"/>
            <w:shd w:val="clear" w:color="auto" w:fill="auto"/>
            <w:vAlign w:val="center"/>
          </w:tcPr>
          <w:p w14:paraId="23EDCCBE">
            <w:pPr>
              <w:widowControl/>
              <w:numPr>
                <w:ilvl w:val="0"/>
                <w:numId w:val="0"/>
              </w:numPr>
              <w:jc w:val="left"/>
              <w:textAlignment w:val="center"/>
              <w:rPr>
                <w:rFonts w:hint="eastAsia" w:ascii="宋体" w:hAnsi="宋体" w:eastAsia="宋体" w:cs="宋体"/>
                <w:color w:val="auto"/>
                <w:kern w:val="2"/>
                <w:sz w:val="21"/>
                <w:szCs w:val="21"/>
                <w:highlight w:val="none"/>
                <w:lang w:val="en-US" w:eastAsia="zh-CN" w:bidi="ar-SA"/>
              </w:rPr>
            </w:pPr>
            <w:r>
              <w:rPr>
                <w:rStyle w:val="14"/>
                <w:rFonts w:hint="default" w:asciiTheme="minorEastAsia" w:hAnsiTheme="minorEastAsia" w:eastAsiaTheme="minorEastAsia" w:cstheme="minorEastAsia"/>
                <w:color w:val="auto"/>
                <w:sz w:val="21"/>
                <w:szCs w:val="21"/>
                <w:highlight w:val="none"/>
              </w:rPr>
              <w:t>按国家有关规定或厂家承诺实行“三包”，</w:t>
            </w:r>
            <w:r>
              <w:rPr>
                <w:rFonts w:hint="eastAsia" w:asciiTheme="minorEastAsia" w:hAnsiTheme="minorEastAsia" w:cstheme="minorEastAsia"/>
                <w:kern w:val="0"/>
                <w:szCs w:val="21"/>
                <w:highlight w:val="none"/>
              </w:rPr>
              <w:t>质保期从验收合格之日起整机不少于</w:t>
            </w:r>
            <w:r>
              <w:rPr>
                <w:rFonts w:hint="eastAsia" w:asciiTheme="minorEastAsia" w:hAnsiTheme="minorEastAsia" w:cstheme="minorEastAsia"/>
                <w:kern w:val="0"/>
                <w:szCs w:val="21"/>
                <w:highlight w:val="none"/>
                <w:u w:val="single"/>
                <w:lang w:val="en-US" w:eastAsia="zh-CN"/>
              </w:rPr>
              <w:t>3</w:t>
            </w:r>
            <w:r>
              <w:rPr>
                <w:rFonts w:hint="eastAsia" w:asciiTheme="minorEastAsia" w:hAnsiTheme="minorEastAsia" w:cstheme="minorEastAsia"/>
                <w:kern w:val="0"/>
                <w:szCs w:val="21"/>
                <w:highlight w:val="none"/>
              </w:rPr>
              <w:t>年</w:t>
            </w:r>
            <w:r>
              <w:rPr>
                <w:rFonts w:hint="eastAsia" w:asciiTheme="minorEastAsia" w:hAnsiTheme="minorEastAsia" w:cstheme="minorEastAsia"/>
                <w:kern w:val="0"/>
                <w:szCs w:val="21"/>
                <w:highlight w:val="none"/>
              </w:rPr>
              <w:t>（技术参数中有特别指明质保期的按参数要求，厂家质保期高于采购要求的按厂家质保）</w:t>
            </w:r>
            <w:r>
              <w:rPr>
                <w:rStyle w:val="14"/>
                <w:rFonts w:hint="default" w:asciiTheme="minorEastAsia" w:hAnsiTheme="minorEastAsia" w:eastAsiaTheme="minorEastAsia" w:cstheme="minorEastAsia"/>
                <w:color w:val="auto"/>
                <w:sz w:val="21"/>
                <w:szCs w:val="21"/>
                <w:highlight w:val="none"/>
              </w:rPr>
              <w:t>，质保期内全免费上门维修、免费更换零部件，质保期过后提供终身技术支持和维护。</w:t>
            </w:r>
          </w:p>
        </w:tc>
      </w:tr>
      <w:tr w14:paraId="4E1F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4891CE8A">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产品质量与售后服务要求</w:t>
            </w:r>
          </w:p>
        </w:tc>
        <w:tc>
          <w:tcPr>
            <w:tcW w:w="14624" w:type="dxa"/>
            <w:shd w:val="clear" w:color="auto" w:fill="auto"/>
            <w:vAlign w:val="center"/>
          </w:tcPr>
          <w:p w14:paraId="4011C85E">
            <w:pPr>
              <w:widowControl/>
              <w:snapToGrid w:val="0"/>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b/>
                <w:bCs/>
                <w:color w:val="auto"/>
                <w:kern w:val="2"/>
                <w:sz w:val="21"/>
                <w:szCs w:val="21"/>
                <w:highlight w:val="none"/>
                <w:lang w:val="en-US" w:eastAsia="zh-CN" w:bidi="ar-SA"/>
              </w:rPr>
              <w:t>供应商所投产品必须为采购需求中所列出的品牌型号之一。</w:t>
            </w:r>
            <w:r>
              <w:rPr>
                <w:rFonts w:hint="eastAsia" w:ascii="宋体" w:hAnsi="宋体" w:eastAsia="宋体" w:cs="宋体"/>
                <w:color w:val="auto"/>
                <w:kern w:val="2"/>
                <w:sz w:val="21"/>
                <w:szCs w:val="21"/>
                <w:highlight w:val="none"/>
                <w:lang w:val="en-US" w:eastAsia="zh-CN" w:bidi="ar-SA"/>
              </w:rPr>
              <w:t>所投产品必须能实质性响应采购要求（所投产品应完全满足或优于采购参数要求），供货时能按照采购需求的要求提供厂家的供货证明和售后服务承诺书原件，避免假冒伪劣产品。对不能满足参数要求虚假响应，采购人可作废标处理，并依法向供应商追究违约责任。</w:t>
            </w:r>
          </w:p>
          <w:p w14:paraId="11D58D1B">
            <w:pPr>
              <w:widowControl/>
              <w:snapToGrid w:val="0"/>
              <w:spacing w:line="400" w:lineRule="exact"/>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故障响应时间：成交供应商收到采购人的故障维修通知后30分钟内电话服务应答，2小时内到达现场进行维修，4小时内排除故障，如24小时内无法修复的，质保期内成交供应商应无条件更换新设备或提供代用设备，或采取使设备可正常运转的措施。</w:t>
            </w:r>
          </w:p>
        </w:tc>
      </w:tr>
      <w:tr w14:paraId="118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DBED3ED">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实施和安装要求</w:t>
            </w:r>
          </w:p>
        </w:tc>
        <w:tc>
          <w:tcPr>
            <w:tcW w:w="14624" w:type="dxa"/>
            <w:shd w:val="clear" w:color="auto" w:fill="auto"/>
            <w:vAlign w:val="center"/>
          </w:tcPr>
          <w:p w14:paraId="4DFD51E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本项目为交钥匙工程，成交后，供应商需应严格按竞标产品的安装规范要求进行安装调试，保证设备正常运行，质量合格。</w:t>
            </w:r>
          </w:p>
          <w:p w14:paraId="3897F2EA">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（1）根据采购要求的工期提供项目实施方案及进度安排计划表；</w:t>
            </w:r>
          </w:p>
          <w:p w14:paraId="248AD737">
            <w:pPr>
              <w:spacing w:line="400" w:lineRule="exact"/>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供应商必须服从采购单位现场负责人的指挥，按指定地点进行设备安装、调试，确保设备安装符合国家现行技术规范标准；</w:t>
            </w:r>
          </w:p>
          <w:p w14:paraId="726392B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（3）安装过程中的所有安全保障由供应商自行负责；</w:t>
            </w:r>
          </w:p>
          <w:p w14:paraId="1A4230A6">
            <w:pPr>
              <w:spacing w:line="400" w:lineRule="exact"/>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）项目实施过程中产生的垃圾废料由供应商负责清理至校外。</w:t>
            </w:r>
          </w:p>
        </w:tc>
      </w:tr>
      <w:tr w14:paraId="55B1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6C362CE8">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4"/>
                <w:rFonts w:hint="eastAsia" w:ascii="宋体" w:hAnsi="宋体" w:eastAsia="宋体" w:cs="宋体"/>
                <w:color w:val="auto"/>
                <w:sz w:val="21"/>
                <w:szCs w:val="21"/>
                <w:highlight w:val="none"/>
              </w:rPr>
              <w:t>付款方式</w:t>
            </w:r>
          </w:p>
        </w:tc>
        <w:tc>
          <w:tcPr>
            <w:tcW w:w="14624" w:type="dxa"/>
            <w:shd w:val="clear" w:color="auto" w:fill="auto"/>
            <w:vAlign w:val="center"/>
          </w:tcPr>
          <w:p w14:paraId="52FA89C8">
            <w:pPr>
              <w:widowControl/>
              <w:snapToGrid w:val="0"/>
              <w:spacing w:line="400" w:lineRule="exact"/>
              <w:jc w:val="left"/>
              <w:textAlignment w:val="center"/>
              <w:rPr>
                <w:rFonts w:hint="eastAsia" w:ascii="宋体" w:hAnsi="宋体" w:eastAsia="宋体" w:cs="宋体"/>
                <w:color w:val="auto"/>
                <w:sz w:val="21"/>
                <w:szCs w:val="21"/>
                <w:highlight w:val="none"/>
                <w:lang w:val="en-US" w:eastAsia="zh-CN"/>
              </w:rPr>
            </w:pPr>
            <w:r>
              <w:rPr>
                <w:szCs w:val="21"/>
                <w:highlight w:val="none"/>
              </w:rPr>
              <w:t> </w:t>
            </w:r>
            <w:r>
              <w:rPr>
                <w:rFonts w:hint="eastAsia" w:ascii="宋体" w:hAnsi="宋体"/>
                <w:kern w:val="0"/>
                <w:szCs w:val="21"/>
                <w:highlight w:val="none"/>
              </w:rPr>
              <w:t>项目全部货物服务交付并安装调试至正常运行，经采购人最终验收合格后，中标人开具增值税专用发票给采购人，采购人在收到发票后10个工作日内一次性支付100%合同货款。</w:t>
            </w:r>
          </w:p>
        </w:tc>
      </w:tr>
      <w:tr w14:paraId="1114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325E5B12">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Style w:val="14"/>
                <w:rFonts w:hint="eastAsia" w:ascii="宋体" w:hAnsi="宋体" w:eastAsia="宋体" w:cs="宋体"/>
                <w:color w:val="auto"/>
                <w:sz w:val="21"/>
                <w:szCs w:val="21"/>
                <w:highlight w:val="none"/>
              </w:rPr>
              <w:t>验收要求</w:t>
            </w:r>
          </w:p>
        </w:tc>
        <w:tc>
          <w:tcPr>
            <w:tcW w:w="14624" w:type="dxa"/>
            <w:shd w:val="clear" w:color="auto" w:fill="auto"/>
            <w:vAlign w:val="center"/>
          </w:tcPr>
          <w:p w14:paraId="1EE60033">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验收标准：按合同要求及国家标准进行验收。验收时，采购人将严格按照合同要求及国家标准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保留进一步追究责任的权利。 </w:t>
            </w:r>
          </w:p>
          <w:p w14:paraId="1EC41D59">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供应商完成设备安装与调试后，需对拟交付的合同成果及其组件进行自检并提出书面验收申请，经采购人同意后共同组织验收，签写相应验收意见并签名确认。如对验收存在异议的，可聘请第三方按合同约定组织验收，所有费用由成交供应商负责。</w:t>
            </w:r>
          </w:p>
          <w:p w14:paraId="344AE140">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3、货物（设备）验收合格，项目约定产品或服务方可正式交接，双方对相关货物清单、随机附件及验收结论意见书等书面材料进行清点签字后，作为项目的最终验收。</w:t>
            </w:r>
          </w:p>
          <w:p w14:paraId="70F06C5C">
            <w:pPr>
              <w:widowControl/>
              <w:snapToGrid w:val="0"/>
              <w:spacing w:line="40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4、验收费用：验收所产生的劳务费、检验费及相关发生的全部费用均由成交人承担。</w:t>
            </w:r>
          </w:p>
        </w:tc>
      </w:tr>
      <w:tr w14:paraId="3AC5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shd w:val="clear" w:color="auto" w:fill="auto"/>
            <w:vAlign w:val="center"/>
          </w:tcPr>
          <w:p w14:paraId="2982A134">
            <w:pPr>
              <w:widowControl/>
              <w:snapToGrid w:val="0"/>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其他要求</w:t>
            </w:r>
          </w:p>
        </w:tc>
        <w:tc>
          <w:tcPr>
            <w:tcW w:w="14624" w:type="dxa"/>
            <w:shd w:val="clear" w:color="auto" w:fill="auto"/>
            <w:vAlign w:val="center"/>
          </w:tcPr>
          <w:p w14:paraId="4E6B1206">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1、供应商必须实质性响应本项目标注“▲”的技术参数要求，不允许负偏离，对技术参数要求中非标注“▲”的技术参数负偏离项数不超过</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项，否则视为无效响应。投标时，供应商所投产品须满足或优于技术参数配置要求【需提供《商务、技术响应、偏离情况说明表》（格式自拟）、《竞标报价表》和投标产品的《技术参数配置清单》（格式见附件）及检测报告复印件等相关佐证材料，以上材料加盖供应商公章】， 否则视为无效响应。</w:t>
            </w:r>
          </w:p>
          <w:p w14:paraId="0D81F7CC">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2、根据《财政部 发展改革委 生态环境部 市场监管总局关于调整优化节能产品、环境标志产品政府采购执行机制的通知》（财库〔2019〕9 号）和《关于印发节能产品政府采购品目清单的通知》（财库〔2019〕19 号）的规定，本项目采购的产品如属于节能产品政府采购品目清单内标注“★”的产品的，供应商的竞标货物必须使用政府强制采购的节能产品，竞标时须提供国家确定的认证机构出具的、处于有效期之内的有效的节能产品认证证书复印件并加盖供应商公章，否则响应文件作无效竞标处理。</w:t>
            </w:r>
          </w:p>
          <w:p w14:paraId="234862E8">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供应商在参与竞标报价前需仔细阅读项目采购的技术及商务要求，评估自身履约能力，谢绝恶意低价、不按要求报价、中标后无故放弃、不按合同履行等违约行为。对出现此类行为的成交供应商，将根据在线竞价违约处理规则，依法依规提请政采云平台进行处罚，并保留依法追究违约责任的权利，供应商的违约行为列入不良记录记入政府采购诚信档案。采购单位有权将在线询价单中的商务要求列入合同条款，否则有权拒签合同。</w:t>
            </w:r>
          </w:p>
          <w:p w14:paraId="72C7B0A5">
            <w:pPr>
              <w:autoSpaceDE w:val="0"/>
              <w:autoSpaceDN w:val="0"/>
              <w:adjustRightIn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中标公示期内若有其他供应商质疑情况下，中标单位必须提供与标书技术要求及功能符合的样品一套至采购人处进行整体性能与标书文件核对，协助质疑答复。如出现所提供样品不符招标要求或无法提供样品，均视为虚假应标处理并根据招标法及标书要求追究法律责任。</w:t>
            </w:r>
          </w:p>
        </w:tc>
      </w:tr>
    </w:tbl>
    <w:p w14:paraId="7FFFC52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238068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399A27B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74C1ECEB">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2D39C01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7AC602F">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4AB17D94">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056EEC4B">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03C87BBE">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73D51DF5">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6C6627BF">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0C53793A">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056D3992">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579234A8">
      <w:pPr>
        <w:keepNext w:val="0"/>
        <w:keepLines w:val="0"/>
        <w:pageBreakBefore w:val="0"/>
        <w:widowControl/>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highlight w:val="none"/>
          <w:lang w:val="en-US" w:eastAsia="zh-CN"/>
        </w:rPr>
      </w:pPr>
    </w:p>
    <w:p w14:paraId="3E626ABD">
      <w:pPr>
        <w:rPr>
          <w:color w:val="auto"/>
          <w:highlight w:val="none"/>
        </w:rPr>
      </w:pPr>
      <w:r>
        <w:rPr>
          <w:rFonts w:hint="eastAsia"/>
          <w:color w:val="auto"/>
          <w:highlight w:val="none"/>
        </w:rPr>
        <w:t>附件</w:t>
      </w:r>
    </w:p>
    <w:p w14:paraId="60A5A090">
      <w:pPr>
        <w:tabs>
          <w:tab w:val="left" w:pos="3479"/>
        </w:tabs>
        <w:spacing w:line="520" w:lineRule="exact"/>
        <w:jc w:val="center"/>
        <w:rPr>
          <w:rFonts w:hint="eastAsia" w:asciiTheme="minorEastAsia" w:hAnsiTheme="minorEastAsia" w:cstheme="minorEastAsia"/>
          <w:b/>
          <w:color w:val="auto"/>
          <w:sz w:val="32"/>
          <w:szCs w:val="32"/>
          <w:highlight w:val="none"/>
        </w:rPr>
      </w:pPr>
      <w:r>
        <w:rPr>
          <w:rFonts w:hint="eastAsia" w:asciiTheme="minorEastAsia" w:hAnsiTheme="minorEastAsia" w:cstheme="minorEastAsia"/>
          <w:b/>
          <w:color w:val="auto"/>
          <w:sz w:val="44"/>
          <w:szCs w:val="44"/>
          <w:highlight w:val="none"/>
        </w:rPr>
        <w:t>竞  标  报  价  表</w:t>
      </w:r>
    </w:p>
    <w:p w14:paraId="4D0D8E3A">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1C161FB7">
      <w:pPr>
        <w:snapToGrid w:val="0"/>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                                                                                    单位：元</w:t>
      </w:r>
    </w:p>
    <w:tbl>
      <w:tblPr>
        <w:tblStyle w:val="6"/>
        <w:tblW w:w="145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4343"/>
        <w:gridCol w:w="2865"/>
        <w:gridCol w:w="1050"/>
        <w:gridCol w:w="1590"/>
        <w:gridCol w:w="1445"/>
        <w:gridCol w:w="2383"/>
      </w:tblGrid>
      <w:tr w14:paraId="529E6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38" w:type="dxa"/>
            <w:tcBorders>
              <w:top w:val="single" w:color="auto" w:sz="4" w:space="0"/>
              <w:left w:val="single" w:color="auto" w:sz="4" w:space="0"/>
              <w:bottom w:val="single" w:color="auto" w:sz="4" w:space="0"/>
              <w:right w:val="single" w:color="auto" w:sz="4" w:space="0"/>
            </w:tcBorders>
            <w:vAlign w:val="center"/>
          </w:tcPr>
          <w:p w14:paraId="17CB5E63">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项号</w:t>
            </w:r>
          </w:p>
        </w:tc>
        <w:tc>
          <w:tcPr>
            <w:tcW w:w="4343" w:type="dxa"/>
            <w:tcBorders>
              <w:top w:val="single" w:color="auto" w:sz="4" w:space="0"/>
              <w:left w:val="single" w:color="auto" w:sz="4" w:space="0"/>
              <w:bottom w:val="single" w:color="auto" w:sz="4" w:space="0"/>
              <w:right w:val="single" w:color="auto" w:sz="4" w:space="0"/>
            </w:tcBorders>
            <w:vAlign w:val="center"/>
          </w:tcPr>
          <w:p w14:paraId="6FF0CA90">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货物名称</w:t>
            </w:r>
          </w:p>
        </w:tc>
        <w:tc>
          <w:tcPr>
            <w:tcW w:w="2865" w:type="dxa"/>
            <w:tcBorders>
              <w:top w:val="single" w:color="auto" w:sz="4" w:space="0"/>
              <w:left w:val="single" w:color="auto" w:sz="4" w:space="0"/>
              <w:bottom w:val="single" w:color="auto" w:sz="4" w:space="0"/>
              <w:right w:val="single" w:color="auto" w:sz="4" w:space="0"/>
            </w:tcBorders>
            <w:vAlign w:val="center"/>
          </w:tcPr>
          <w:p w14:paraId="0397E4E9">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75357603">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单位</w:t>
            </w:r>
          </w:p>
        </w:tc>
        <w:tc>
          <w:tcPr>
            <w:tcW w:w="1590" w:type="dxa"/>
            <w:tcBorders>
              <w:top w:val="single" w:color="auto" w:sz="4" w:space="0"/>
              <w:left w:val="single" w:color="auto" w:sz="4" w:space="0"/>
              <w:bottom w:val="single" w:color="auto" w:sz="4" w:space="0"/>
              <w:right w:val="single" w:color="auto" w:sz="4" w:space="0"/>
            </w:tcBorders>
            <w:vAlign w:val="center"/>
          </w:tcPr>
          <w:p w14:paraId="1EFD5A36">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数量</w:t>
            </w:r>
          </w:p>
          <w:p w14:paraId="787A8CAD">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①</w:t>
            </w:r>
          </w:p>
        </w:tc>
        <w:tc>
          <w:tcPr>
            <w:tcW w:w="1445" w:type="dxa"/>
            <w:tcBorders>
              <w:top w:val="single" w:color="auto" w:sz="4" w:space="0"/>
              <w:left w:val="single" w:color="auto" w:sz="4" w:space="0"/>
              <w:bottom w:val="single" w:color="auto" w:sz="4" w:space="0"/>
              <w:right w:val="single" w:color="auto" w:sz="4" w:space="0"/>
            </w:tcBorders>
            <w:vAlign w:val="center"/>
          </w:tcPr>
          <w:p w14:paraId="1073B87E">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单价</w:t>
            </w:r>
          </w:p>
          <w:p w14:paraId="42798620">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②</w:t>
            </w:r>
          </w:p>
        </w:tc>
        <w:tc>
          <w:tcPr>
            <w:tcW w:w="2383" w:type="dxa"/>
            <w:tcBorders>
              <w:top w:val="single" w:color="auto" w:sz="4" w:space="0"/>
              <w:left w:val="single" w:color="auto" w:sz="4" w:space="0"/>
              <w:bottom w:val="single" w:color="auto" w:sz="4" w:space="0"/>
              <w:right w:val="single" w:color="auto" w:sz="4" w:space="0"/>
            </w:tcBorders>
            <w:vAlign w:val="center"/>
          </w:tcPr>
          <w:p w14:paraId="4B1B56FC">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竞标报价</w:t>
            </w:r>
          </w:p>
          <w:p w14:paraId="72E4E7D2">
            <w:pPr>
              <w:spacing w:line="360" w:lineRule="exact"/>
              <w:jc w:val="center"/>
              <w:rPr>
                <w:rFonts w:hint="eastAsia" w:ascii="宋体" w:hAnsi="宋体" w:cs="仿宋_GB2312"/>
                <w:b/>
                <w:bCs/>
                <w:color w:val="auto"/>
                <w:szCs w:val="21"/>
                <w:highlight w:val="none"/>
              </w:rPr>
            </w:pPr>
            <w:r>
              <w:rPr>
                <w:rFonts w:hint="eastAsia" w:ascii="宋体" w:hAnsi="宋体" w:cs="仿宋_GB2312"/>
                <w:b/>
                <w:bCs/>
                <w:color w:val="auto"/>
                <w:szCs w:val="21"/>
                <w:highlight w:val="none"/>
              </w:rPr>
              <w:t>③=①×②</w:t>
            </w:r>
          </w:p>
        </w:tc>
      </w:tr>
      <w:tr w14:paraId="73C8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21028E75">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1</w:t>
            </w:r>
          </w:p>
        </w:tc>
        <w:tc>
          <w:tcPr>
            <w:tcW w:w="4343" w:type="dxa"/>
            <w:tcBorders>
              <w:top w:val="single" w:color="auto" w:sz="4" w:space="0"/>
              <w:left w:val="single" w:color="auto" w:sz="4" w:space="0"/>
              <w:bottom w:val="single" w:color="auto" w:sz="4" w:space="0"/>
              <w:right w:val="single" w:color="auto" w:sz="4" w:space="0"/>
            </w:tcBorders>
            <w:vAlign w:val="center"/>
          </w:tcPr>
          <w:p w14:paraId="7A1FDE31">
            <w:pPr>
              <w:spacing w:line="360" w:lineRule="auto"/>
              <w:jc w:val="center"/>
              <w:rPr>
                <w:rFonts w:hint="eastAsia" w:ascii="宋体" w:hAnsi="宋体" w:cs="仿宋_GB2312"/>
                <w:color w:val="auto"/>
                <w:szCs w:val="21"/>
                <w:highlight w:val="none"/>
              </w:rPr>
            </w:pPr>
            <w:r>
              <w:rPr>
                <w:rFonts w:hint="eastAsia" w:ascii="宋体" w:hAnsi="宋体" w:cs="宋体"/>
                <w:color w:val="auto"/>
                <w:kern w:val="2"/>
                <w:sz w:val="20"/>
                <w:szCs w:val="20"/>
                <w:highlight w:val="none"/>
                <w:lang w:val="en-US" w:eastAsia="zh-CN" w:bidi="ar-SA"/>
              </w:rPr>
              <w:t>LED显示屏</w:t>
            </w:r>
          </w:p>
        </w:tc>
        <w:tc>
          <w:tcPr>
            <w:tcW w:w="2865" w:type="dxa"/>
            <w:tcBorders>
              <w:top w:val="single" w:color="auto" w:sz="4" w:space="0"/>
              <w:left w:val="single" w:color="auto" w:sz="4" w:space="0"/>
              <w:bottom w:val="single" w:color="auto" w:sz="4" w:space="0"/>
              <w:right w:val="single" w:color="auto" w:sz="4" w:space="0"/>
            </w:tcBorders>
            <w:vAlign w:val="center"/>
          </w:tcPr>
          <w:p w14:paraId="339BE6C7">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EF12633">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套</w:t>
            </w:r>
          </w:p>
        </w:tc>
        <w:tc>
          <w:tcPr>
            <w:tcW w:w="1590" w:type="dxa"/>
            <w:tcBorders>
              <w:top w:val="single" w:color="auto" w:sz="4" w:space="0"/>
              <w:left w:val="single" w:color="auto" w:sz="4" w:space="0"/>
              <w:bottom w:val="single" w:color="auto" w:sz="4" w:space="0"/>
              <w:right w:val="single" w:color="auto" w:sz="4" w:space="0"/>
            </w:tcBorders>
            <w:vAlign w:val="center"/>
          </w:tcPr>
          <w:p w14:paraId="04535E6E">
            <w:pPr>
              <w:spacing w:line="360" w:lineRule="exact"/>
              <w:jc w:val="center"/>
              <w:rPr>
                <w:rFonts w:hint="eastAsia" w:ascii="宋体" w:hAnsi="宋体" w:eastAsia="宋体" w:cs="仿宋_GB2312"/>
                <w:b/>
                <w:bCs/>
                <w:color w:val="auto"/>
                <w:szCs w:val="21"/>
                <w:highlight w:val="none"/>
                <w:lang w:val="en-US" w:eastAsia="zh-CN"/>
              </w:rPr>
            </w:pPr>
            <w:r>
              <w:rPr>
                <w:rFonts w:hint="eastAsia" w:ascii="宋体" w:hAnsi="宋体" w:cs="仿宋_GB2312"/>
                <w:b/>
                <w:bCs/>
                <w:color w:val="auto"/>
                <w:szCs w:val="21"/>
                <w:highlight w:val="none"/>
                <w:lang w:val="en-US" w:eastAsia="zh-CN"/>
              </w:rPr>
              <w:t>1</w:t>
            </w:r>
          </w:p>
        </w:tc>
        <w:tc>
          <w:tcPr>
            <w:tcW w:w="1445" w:type="dxa"/>
            <w:tcBorders>
              <w:top w:val="single" w:color="auto" w:sz="4" w:space="0"/>
              <w:left w:val="single" w:color="auto" w:sz="4" w:space="0"/>
              <w:bottom w:val="single" w:color="auto" w:sz="4" w:space="0"/>
              <w:right w:val="single" w:color="auto" w:sz="4" w:space="0"/>
            </w:tcBorders>
            <w:vAlign w:val="center"/>
          </w:tcPr>
          <w:p w14:paraId="0D5A44A8">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5B089854">
            <w:pPr>
              <w:spacing w:line="360" w:lineRule="auto"/>
              <w:jc w:val="center"/>
              <w:rPr>
                <w:rFonts w:hint="eastAsia" w:ascii="宋体" w:hAnsi="宋体" w:cs="仿宋_GB2312"/>
                <w:color w:val="auto"/>
                <w:szCs w:val="21"/>
                <w:highlight w:val="none"/>
              </w:rPr>
            </w:pPr>
          </w:p>
        </w:tc>
      </w:tr>
      <w:tr w14:paraId="6262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743A395D">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2</w:t>
            </w:r>
          </w:p>
        </w:tc>
        <w:tc>
          <w:tcPr>
            <w:tcW w:w="4343" w:type="dxa"/>
            <w:tcBorders>
              <w:top w:val="single" w:color="auto" w:sz="4" w:space="0"/>
              <w:left w:val="single" w:color="auto" w:sz="4" w:space="0"/>
              <w:bottom w:val="single" w:color="auto" w:sz="4" w:space="0"/>
              <w:right w:val="single" w:color="auto" w:sz="4" w:space="0"/>
            </w:tcBorders>
            <w:vAlign w:val="center"/>
          </w:tcPr>
          <w:p w14:paraId="78B7AC7A">
            <w:pPr>
              <w:spacing w:line="360" w:lineRule="auto"/>
              <w:jc w:val="center"/>
              <w:rPr>
                <w:rFonts w:hint="eastAsia" w:ascii="宋体" w:hAnsi="宋体" w:cs="仿宋_GB2312"/>
                <w:color w:val="auto"/>
                <w:szCs w:val="21"/>
                <w:highlight w:val="none"/>
              </w:rPr>
            </w:pPr>
          </w:p>
        </w:tc>
        <w:tc>
          <w:tcPr>
            <w:tcW w:w="2865" w:type="dxa"/>
            <w:tcBorders>
              <w:top w:val="single" w:color="auto" w:sz="4" w:space="0"/>
              <w:left w:val="single" w:color="auto" w:sz="4" w:space="0"/>
              <w:bottom w:val="single" w:color="auto" w:sz="4" w:space="0"/>
              <w:right w:val="single" w:color="auto" w:sz="4" w:space="0"/>
            </w:tcBorders>
            <w:vAlign w:val="center"/>
          </w:tcPr>
          <w:p w14:paraId="3960C2BA">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501B1D88">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B48BA95">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702AA73D">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F5EC972">
            <w:pPr>
              <w:spacing w:line="360" w:lineRule="auto"/>
              <w:jc w:val="center"/>
              <w:rPr>
                <w:rFonts w:hint="eastAsia" w:ascii="宋体" w:hAnsi="宋体" w:cs="仿宋_GB2312"/>
                <w:color w:val="auto"/>
                <w:szCs w:val="21"/>
                <w:highlight w:val="none"/>
              </w:rPr>
            </w:pPr>
          </w:p>
        </w:tc>
      </w:tr>
      <w:tr w14:paraId="2D73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06055889">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16223067">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38A78E79">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F11947F">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07A8C20">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685E861C">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D4BBBE3">
            <w:pPr>
              <w:spacing w:line="360" w:lineRule="auto"/>
              <w:jc w:val="center"/>
              <w:rPr>
                <w:rFonts w:hint="eastAsia" w:ascii="宋体" w:hAnsi="宋体" w:cs="仿宋_GB2312"/>
                <w:color w:val="auto"/>
                <w:szCs w:val="21"/>
                <w:highlight w:val="none"/>
              </w:rPr>
            </w:pPr>
          </w:p>
        </w:tc>
      </w:tr>
      <w:tr w14:paraId="4E61E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838" w:type="dxa"/>
            <w:tcBorders>
              <w:top w:val="single" w:color="auto" w:sz="4" w:space="0"/>
              <w:left w:val="single" w:color="auto" w:sz="4" w:space="0"/>
              <w:bottom w:val="single" w:color="auto" w:sz="4" w:space="0"/>
              <w:right w:val="single" w:color="auto" w:sz="4" w:space="0"/>
            </w:tcBorders>
            <w:vAlign w:val="center"/>
          </w:tcPr>
          <w:p w14:paraId="4ABB277F">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4343" w:type="dxa"/>
            <w:tcBorders>
              <w:top w:val="single" w:color="auto" w:sz="4" w:space="0"/>
              <w:left w:val="single" w:color="auto" w:sz="4" w:space="0"/>
              <w:bottom w:val="single" w:color="auto" w:sz="4" w:space="0"/>
              <w:right w:val="single" w:color="auto" w:sz="4" w:space="0"/>
            </w:tcBorders>
            <w:vAlign w:val="center"/>
          </w:tcPr>
          <w:p w14:paraId="08E70ABB">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w:t>
            </w:r>
          </w:p>
        </w:tc>
        <w:tc>
          <w:tcPr>
            <w:tcW w:w="2865" w:type="dxa"/>
            <w:tcBorders>
              <w:top w:val="single" w:color="auto" w:sz="4" w:space="0"/>
              <w:left w:val="single" w:color="auto" w:sz="4" w:space="0"/>
              <w:bottom w:val="single" w:color="auto" w:sz="4" w:space="0"/>
              <w:right w:val="single" w:color="auto" w:sz="4" w:space="0"/>
            </w:tcBorders>
            <w:vAlign w:val="center"/>
          </w:tcPr>
          <w:p w14:paraId="22936860">
            <w:pPr>
              <w:spacing w:line="360" w:lineRule="auto"/>
              <w:jc w:val="center"/>
              <w:rPr>
                <w:rFonts w:hint="eastAsia" w:ascii="宋体" w:hAnsi="宋体" w:cs="仿宋_GB2312"/>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0C17E672">
            <w:pPr>
              <w:spacing w:line="360" w:lineRule="exact"/>
              <w:jc w:val="center"/>
              <w:rPr>
                <w:rFonts w:hint="eastAsia" w:ascii="宋体" w:hAnsi="宋体" w:cs="仿宋_GB2312"/>
                <w:b/>
                <w:bCs/>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BF06667">
            <w:pPr>
              <w:spacing w:line="360" w:lineRule="exact"/>
              <w:jc w:val="center"/>
              <w:rPr>
                <w:rFonts w:hint="eastAsia" w:ascii="宋体" w:hAnsi="宋体" w:cs="仿宋_GB2312"/>
                <w:b/>
                <w:bCs/>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vAlign w:val="center"/>
          </w:tcPr>
          <w:p w14:paraId="20953FBB">
            <w:pPr>
              <w:spacing w:line="360" w:lineRule="auto"/>
              <w:jc w:val="center"/>
              <w:rPr>
                <w:rFonts w:hint="eastAsia" w:ascii="宋体" w:hAnsi="宋体" w:cs="仿宋_GB2312"/>
                <w:color w:val="auto"/>
                <w:szCs w:val="21"/>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18BAB942">
            <w:pPr>
              <w:spacing w:line="360" w:lineRule="auto"/>
              <w:jc w:val="center"/>
              <w:rPr>
                <w:rFonts w:hint="eastAsia" w:ascii="宋体" w:hAnsi="宋体" w:cs="仿宋_GB2312"/>
                <w:color w:val="auto"/>
                <w:szCs w:val="21"/>
                <w:highlight w:val="none"/>
              </w:rPr>
            </w:pPr>
          </w:p>
        </w:tc>
      </w:tr>
      <w:tr w14:paraId="685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514" w:type="dxa"/>
            <w:gridSpan w:val="7"/>
            <w:tcBorders>
              <w:top w:val="single" w:color="auto" w:sz="4" w:space="0"/>
              <w:left w:val="single" w:color="auto" w:sz="4" w:space="0"/>
              <w:bottom w:val="single" w:color="auto" w:sz="4" w:space="0"/>
              <w:right w:val="single" w:color="auto" w:sz="4" w:space="0"/>
            </w:tcBorders>
            <w:vAlign w:val="center"/>
          </w:tcPr>
          <w:p w14:paraId="1D0F2039">
            <w:pPr>
              <w:snapToGrid w:val="0"/>
              <w:spacing w:line="360" w:lineRule="auto"/>
              <w:rPr>
                <w:rFonts w:hint="eastAsia" w:ascii="宋体" w:hAnsi="宋体" w:cs="仿宋_GB2312"/>
                <w:color w:val="auto"/>
                <w:szCs w:val="21"/>
                <w:highlight w:val="none"/>
                <w:u w:val="single"/>
              </w:rPr>
            </w:pPr>
            <w:r>
              <w:rPr>
                <w:rFonts w:hint="eastAsia" w:ascii="宋体" w:hAnsi="宋体" w:cs="仿宋_GB2312"/>
                <w:color w:val="auto"/>
                <w:szCs w:val="21"/>
                <w:highlight w:val="none"/>
              </w:rPr>
              <w:t>合计金额大写：人民币      （</w:t>
            </w:r>
            <w:r>
              <w:rPr>
                <w:rFonts w:hint="eastAsia" w:ascii="宋体" w:hAnsi="宋体" w:cs="宋体"/>
                <w:color w:val="auto"/>
                <w:szCs w:val="21"/>
                <w:highlight w:val="none"/>
              </w:rPr>
              <w:t>￥</w:t>
            </w:r>
            <w:r>
              <w:rPr>
                <w:rFonts w:hint="eastAsia" w:ascii="宋体" w:hAnsi="宋体" w:cs="仿宋_GB2312"/>
                <w:color w:val="auto"/>
                <w:szCs w:val="21"/>
                <w:highlight w:val="none"/>
              </w:rPr>
              <w:t>：   ）</w:t>
            </w:r>
          </w:p>
        </w:tc>
      </w:tr>
    </w:tbl>
    <w:p w14:paraId="7720247B">
      <w:pPr>
        <w:spacing w:line="360" w:lineRule="exact"/>
        <w:ind w:firstLine="420" w:firstLineChars="200"/>
        <w:contextualSpacing/>
        <w:rPr>
          <w:rFonts w:hint="eastAsia" w:ascii="宋体" w:hAnsi="宋体"/>
          <w:color w:val="auto"/>
          <w:szCs w:val="21"/>
          <w:highlight w:val="none"/>
        </w:rPr>
      </w:pPr>
      <w:r>
        <w:rPr>
          <w:rFonts w:hint="eastAsia" w:ascii="宋体" w:hAnsi="宋体"/>
          <w:color w:val="auto"/>
          <w:szCs w:val="21"/>
          <w:highlight w:val="none"/>
        </w:rPr>
        <w:t>注: 1.所有价格均用人民币表示，单位为元，精确到小数点后两数位。</w:t>
      </w:r>
    </w:p>
    <w:p w14:paraId="27247D31">
      <w:pPr>
        <w:spacing w:line="360" w:lineRule="exact"/>
        <w:ind w:firstLine="840" w:firstLineChars="400"/>
        <w:contextualSpacing/>
        <w:rPr>
          <w:rFonts w:hint="eastAsia" w:ascii="宋体" w:hAnsi="宋体"/>
          <w:color w:val="auto"/>
          <w:szCs w:val="21"/>
          <w:highlight w:val="none"/>
        </w:rPr>
      </w:pPr>
      <w:r>
        <w:rPr>
          <w:rFonts w:hint="eastAsia" w:ascii="宋体" w:hAnsi="宋体"/>
          <w:color w:val="auto"/>
          <w:szCs w:val="21"/>
          <w:highlight w:val="none"/>
        </w:rPr>
        <w:t>2、供应商的报价表必须加盖供应商公章并由法定代表人或者委托代理人签字，否则其响应文件按无效响应处理。</w:t>
      </w:r>
    </w:p>
    <w:p w14:paraId="3DE39A0A">
      <w:pPr>
        <w:spacing w:line="360" w:lineRule="exact"/>
        <w:ind w:firstLine="840" w:firstLineChars="400"/>
        <w:contextualSpacing/>
        <w:rPr>
          <w:rFonts w:hint="eastAsia" w:ascii="宋体" w:hAnsi="宋体"/>
          <w:color w:val="auto"/>
          <w:szCs w:val="21"/>
          <w:highlight w:val="none"/>
        </w:rPr>
      </w:pPr>
      <w:r>
        <w:rPr>
          <w:rFonts w:hint="eastAsia" w:ascii="宋体" w:hAnsi="宋体"/>
          <w:color w:val="auto"/>
          <w:szCs w:val="21"/>
          <w:highlight w:val="none"/>
        </w:rPr>
        <w:t>3、报价一经涂改，应在涂改处加盖供应商公章或者由法定代表人或者授权委托人签字或者盖章，否则其响应文件按无效响应处理。</w:t>
      </w:r>
    </w:p>
    <w:p w14:paraId="5F995848">
      <w:pPr>
        <w:spacing w:line="360" w:lineRule="exact"/>
        <w:contextualSpacing/>
        <w:rPr>
          <w:rFonts w:hint="eastAsia" w:ascii="宋体" w:hAnsi="宋体"/>
          <w:color w:val="auto"/>
          <w:szCs w:val="21"/>
          <w:highlight w:val="none"/>
        </w:rPr>
      </w:pPr>
    </w:p>
    <w:p w14:paraId="18DCBC84">
      <w:pPr>
        <w:spacing w:line="360" w:lineRule="auto"/>
        <w:ind w:right="-817" w:rightChars="-389" w:firstLine="5460" w:firstLineChars="26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 xml:space="preserve">法定代表人或者委托代理人（签字）：                    </w:t>
      </w:r>
    </w:p>
    <w:p w14:paraId="6738DF2E">
      <w:pPr>
        <w:spacing w:line="360" w:lineRule="auto"/>
        <w:ind w:right="-817" w:rightChars="-389" w:firstLine="7140" w:firstLineChars="34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 xml:space="preserve">供应商（盖公章）：      </w:t>
      </w:r>
    </w:p>
    <w:p w14:paraId="0BD6CFA4">
      <w:pPr>
        <w:spacing w:line="360" w:lineRule="auto"/>
        <w:ind w:right="-817" w:rightChars="-389" w:firstLine="8190" w:firstLineChars="3900"/>
        <w:contextualSpacing/>
        <w:rPr>
          <w:rFonts w:hint="eastAsia" w:ascii="宋体" w:hAnsi="宋体" w:cs="仿宋_GB2312"/>
          <w:color w:val="auto"/>
          <w:szCs w:val="21"/>
          <w:highlight w:val="none"/>
        </w:rPr>
      </w:pPr>
      <w:r>
        <w:rPr>
          <w:rFonts w:hint="eastAsia" w:ascii="宋体" w:hAnsi="宋体" w:cs="仿宋_GB2312"/>
          <w:color w:val="auto"/>
          <w:szCs w:val="21"/>
          <w:highlight w:val="none"/>
        </w:rPr>
        <w:t>日 期：   年   月   日</w:t>
      </w:r>
    </w:p>
    <w:p w14:paraId="1323BCA2">
      <w:pPr>
        <w:spacing w:line="360" w:lineRule="auto"/>
        <w:ind w:right="-817" w:rightChars="-389" w:firstLine="8190" w:firstLineChars="3900"/>
        <w:contextualSpacing/>
        <w:rPr>
          <w:rFonts w:hint="eastAsia" w:ascii="宋体" w:hAnsi="宋体" w:cs="仿宋_GB2312"/>
          <w:color w:val="auto"/>
          <w:szCs w:val="21"/>
          <w:highlight w:val="none"/>
        </w:rPr>
      </w:pPr>
    </w:p>
    <w:p w14:paraId="2474CA1C">
      <w:pPr>
        <w:spacing w:line="360" w:lineRule="auto"/>
        <w:ind w:right="-817" w:rightChars="-389" w:firstLine="8190" w:firstLineChars="3900"/>
        <w:contextualSpacing/>
        <w:rPr>
          <w:rFonts w:hint="eastAsia" w:ascii="宋体" w:hAnsi="宋体" w:cs="仿宋_GB2312"/>
          <w:color w:val="auto"/>
          <w:szCs w:val="21"/>
          <w:highlight w:val="none"/>
        </w:rPr>
      </w:pPr>
    </w:p>
    <w:p w14:paraId="53A85A38">
      <w:pPr>
        <w:spacing w:line="360" w:lineRule="auto"/>
        <w:ind w:right="-817" w:rightChars="-389" w:firstLine="8190" w:firstLineChars="3900"/>
        <w:contextualSpacing/>
        <w:rPr>
          <w:rFonts w:hint="eastAsia" w:ascii="宋体" w:hAnsi="宋体" w:cs="仿宋_GB2312"/>
          <w:color w:val="auto"/>
          <w:szCs w:val="21"/>
          <w:highlight w:val="none"/>
        </w:rPr>
      </w:pPr>
    </w:p>
    <w:p w14:paraId="2F3FAB2E">
      <w:pPr>
        <w:spacing w:line="360" w:lineRule="auto"/>
        <w:ind w:right="-817" w:rightChars="-389" w:firstLine="8190" w:firstLineChars="3900"/>
        <w:contextualSpacing/>
        <w:rPr>
          <w:rFonts w:hint="eastAsia" w:ascii="宋体" w:hAnsi="宋体" w:cs="仿宋_GB2312"/>
          <w:color w:val="auto"/>
          <w:szCs w:val="21"/>
          <w:highlight w:val="none"/>
        </w:rPr>
      </w:pPr>
    </w:p>
    <w:p w14:paraId="46A6633B">
      <w:pPr>
        <w:adjustRightInd w:val="0"/>
        <w:snapToGrid w:val="0"/>
        <w:spacing w:line="520" w:lineRule="exact"/>
        <w:jc w:val="center"/>
        <w:rPr>
          <w:rFonts w:hint="eastAsia" w:ascii="方正小标宋简体" w:hAnsi="方正小标宋简体" w:eastAsia="方正小标宋简体" w:cs="方正小标宋简体"/>
          <w:bCs/>
          <w:sz w:val="44"/>
          <w:szCs w:val="44"/>
          <w:highlight w:val="none"/>
        </w:rPr>
      </w:pPr>
      <w:r>
        <w:rPr>
          <w:rFonts w:hint="eastAsia" w:ascii="宋体" w:hAnsi="宋体"/>
          <w:b/>
          <w:sz w:val="44"/>
          <w:szCs w:val="44"/>
          <w:highlight w:val="none"/>
        </w:rPr>
        <w:t>货物技术参数配置清单</w:t>
      </w:r>
    </w:p>
    <w:p w14:paraId="7118F3EA">
      <w:pPr>
        <w:spacing w:line="360" w:lineRule="auto"/>
        <w:rPr>
          <w:rFonts w:hint="eastAsia" w:ascii="宋体" w:hAnsi="宋体"/>
          <w:szCs w:val="21"/>
          <w:highlight w:val="none"/>
        </w:rPr>
      </w:pPr>
      <w:r>
        <w:rPr>
          <w:rFonts w:hint="eastAsia" w:ascii="宋体" w:hAnsi="宋体"/>
          <w:szCs w:val="21"/>
          <w:highlight w:val="none"/>
        </w:rPr>
        <w:t xml:space="preserve">项目名称： </w:t>
      </w:r>
    </w:p>
    <w:tbl>
      <w:tblPr>
        <w:tblStyle w:val="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2"/>
        <w:gridCol w:w="2829"/>
        <w:gridCol w:w="706"/>
        <w:gridCol w:w="1097"/>
        <w:gridCol w:w="1394"/>
        <w:gridCol w:w="1857"/>
        <w:gridCol w:w="1807"/>
        <w:gridCol w:w="1760"/>
        <w:gridCol w:w="3392"/>
      </w:tblGrid>
      <w:tr w14:paraId="2216C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149E5FC">
            <w:pPr>
              <w:snapToGrid w:val="0"/>
              <w:spacing w:before="50" w:after="50"/>
              <w:jc w:val="center"/>
              <w:rPr>
                <w:rFonts w:hint="eastAsia" w:ascii="宋体" w:hAnsi="宋体"/>
                <w:szCs w:val="21"/>
                <w:highlight w:val="none"/>
              </w:rPr>
            </w:pPr>
            <w:r>
              <w:rPr>
                <w:rFonts w:hint="eastAsia" w:ascii="宋体" w:hAnsi="宋体"/>
                <w:szCs w:val="21"/>
                <w:highlight w:val="none"/>
              </w:rPr>
              <w:t>序号</w:t>
            </w:r>
          </w:p>
        </w:tc>
        <w:tc>
          <w:tcPr>
            <w:tcW w:w="905" w:type="pct"/>
            <w:tcBorders>
              <w:top w:val="single" w:color="auto" w:sz="4" w:space="0"/>
              <w:left w:val="single" w:color="auto" w:sz="4" w:space="0"/>
              <w:bottom w:val="single" w:color="auto" w:sz="4" w:space="0"/>
              <w:right w:val="single" w:color="auto" w:sz="4" w:space="0"/>
            </w:tcBorders>
            <w:vAlign w:val="center"/>
          </w:tcPr>
          <w:p w14:paraId="21C8FE18">
            <w:pPr>
              <w:snapToGrid w:val="0"/>
              <w:spacing w:before="50" w:after="50"/>
              <w:jc w:val="center"/>
              <w:rPr>
                <w:rFonts w:hint="eastAsia" w:ascii="宋体" w:hAnsi="宋体"/>
                <w:szCs w:val="21"/>
                <w:highlight w:val="none"/>
              </w:rPr>
            </w:pPr>
            <w:r>
              <w:rPr>
                <w:rFonts w:hint="eastAsia" w:ascii="宋体" w:hAnsi="宋体"/>
                <w:szCs w:val="21"/>
                <w:highlight w:val="none"/>
              </w:rPr>
              <w:t>货物名称</w:t>
            </w:r>
          </w:p>
        </w:tc>
        <w:tc>
          <w:tcPr>
            <w:tcW w:w="226" w:type="pct"/>
            <w:tcBorders>
              <w:top w:val="single" w:color="auto" w:sz="4" w:space="0"/>
              <w:left w:val="single" w:color="auto" w:sz="4" w:space="0"/>
              <w:bottom w:val="single" w:color="auto" w:sz="4" w:space="0"/>
              <w:right w:val="single" w:color="auto" w:sz="4" w:space="0"/>
            </w:tcBorders>
            <w:vAlign w:val="center"/>
          </w:tcPr>
          <w:p w14:paraId="718827A2">
            <w:pPr>
              <w:snapToGrid w:val="0"/>
              <w:spacing w:before="50" w:after="50"/>
              <w:jc w:val="center"/>
              <w:rPr>
                <w:rFonts w:hint="eastAsia" w:ascii="宋体" w:hAnsi="宋体"/>
                <w:szCs w:val="21"/>
                <w:highlight w:val="none"/>
              </w:rPr>
            </w:pPr>
            <w:r>
              <w:rPr>
                <w:rFonts w:hint="eastAsia" w:ascii="宋体" w:hAnsi="宋体"/>
                <w:szCs w:val="21"/>
                <w:highlight w:val="none"/>
              </w:rPr>
              <w:t>单位</w:t>
            </w:r>
          </w:p>
        </w:tc>
        <w:tc>
          <w:tcPr>
            <w:tcW w:w="351" w:type="pct"/>
            <w:tcBorders>
              <w:top w:val="single" w:color="auto" w:sz="4" w:space="0"/>
              <w:left w:val="single" w:color="auto" w:sz="4" w:space="0"/>
              <w:bottom w:val="single" w:color="auto" w:sz="4" w:space="0"/>
              <w:right w:val="single" w:color="auto" w:sz="4" w:space="0"/>
            </w:tcBorders>
            <w:vAlign w:val="center"/>
          </w:tcPr>
          <w:p w14:paraId="4A8A17B4">
            <w:pPr>
              <w:snapToGrid w:val="0"/>
              <w:spacing w:before="50" w:after="50"/>
              <w:jc w:val="center"/>
              <w:rPr>
                <w:rFonts w:hint="eastAsia" w:ascii="宋体" w:hAnsi="宋体"/>
                <w:szCs w:val="21"/>
                <w:highlight w:val="none"/>
              </w:rPr>
            </w:pPr>
            <w:r>
              <w:rPr>
                <w:rFonts w:hint="eastAsia" w:ascii="宋体" w:hAnsi="宋体"/>
                <w:szCs w:val="21"/>
                <w:highlight w:val="none"/>
              </w:rPr>
              <w:t>数量</w:t>
            </w:r>
          </w:p>
        </w:tc>
        <w:tc>
          <w:tcPr>
            <w:tcW w:w="446" w:type="pct"/>
            <w:tcBorders>
              <w:top w:val="single" w:color="auto" w:sz="4" w:space="0"/>
              <w:left w:val="single" w:color="auto" w:sz="4" w:space="0"/>
              <w:bottom w:val="single" w:color="auto" w:sz="4" w:space="0"/>
              <w:right w:val="single" w:color="auto" w:sz="4" w:space="0"/>
            </w:tcBorders>
            <w:vAlign w:val="center"/>
          </w:tcPr>
          <w:p w14:paraId="4EDFBBC8">
            <w:pPr>
              <w:snapToGrid w:val="0"/>
              <w:spacing w:before="50" w:after="50"/>
              <w:jc w:val="center"/>
              <w:rPr>
                <w:rFonts w:hint="eastAsia" w:ascii="宋体" w:hAnsi="宋体"/>
                <w:szCs w:val="21"/>
                <w:highlight w:val="none"/>
              </w:rPr>
            </w:pPr>
            <w:r>
              <w:rPr>
                <w:rFonts w:hint="eastAsia" w:ascii="宋体" w:hAnsi="宋体"/>
                <w:szCs w:val="21"/>
                <w:highlight w:val="none"/>
              </w:rPr>
              <w:t>品牌</w:t>
            </w:r>
          </w:p>
        </w:tc>
        <w:tc>
          <w:tcPr>
            <w:tcW w:w="594" w:type="pct"/>
            <w:tcBorders>
              <w:top w:val="single" w:color="auto" w:sz="4" w:space="0"/>
              <w:left w:val="single" w:color="auto" w:sz="4" w:space="0"/>
              <w:bottom w:val="single" w:color="auto" w:sz="4" w:space="0"/>
              <w:right w:val="single" w:color="auto" w:sz="4" w:space="0"/>
            </w:tcBorders>
            <w:vAlign w:val="center"/>
          </w:tcPr>
          <w:p w14:paraId="0C72BE19">
            <w:pPr>
              <w:snapToGrid w:val="0"/>
              <w:spacing w:before="50" w:after="50"/>
              <w:jc w:val="center"/>
              <w:rPr>
                <w:rFonts w:hint="eastAsia" w:ascii="宋体" w:hAnsi="宋体"/>
                <w:szCs w:val="21"/>
                <w:highlight w:val="none"/>
              </w:rPr>
            </w:pPr>
            <w:r>
              <w:rPr>
                <w:rFonts w:hint="eastAsia" w:ascii="宋体" w:hAnsi="宋体"/>
                <w:szCs w:val="21"/>
                <w:highlight w:val="none"/>
              </w:rPr>
              <w:t>规格型号</w:t>
            </w:r>
          </w:p>
        </w:tc>
        <w:tc>
          <w:tcPr>
            <w:tcW w:w="578" w:type="pct"/>
            <w:tcBorders>
              <w:top w:val="single" w:color="auto" w:sz="4" w:space="0"/>
              <w:left w:val="single" w:color="auto" w:sz="4" w:space="0"/>
              <w:bottom w:val="single" w:color="auto" w:sz="4" w:space="0"/>
              <w:right w:val="single" w:color="auto" w:sz="4" w:space="0"/>
            </w:tcBorders>
            <w:vAlign w:val="center"/>
          </w:tcPr>
          <w:p w14:paraId="77C59776">
            <w:pPr>
              <w:snapToGrid w:val="0"/>
              <w:spacing w:before="50" w:after="50"/>
              <w:jc w:val="center"/>
              <w:rPr>
                <w:rFonts w:hint="eastAsia" w:ascii="宋体" w:hAnsi="宋体"/>
                <w:szCs w:val="21"/>
                <w:highlight w:val="none"/>
              </w:rPr>
            </w:pPr>
            <w:r>
              <w:rPr>
                <w:rFonts w:hint="eastAsia" w:ascii="宋体" w:hAnsi="宋体"/>
                <w:szCs w:val="21"/>
                <w:highlight w:val="none"/>
              </w:rPr>
              <w:t>制造商</w:t>
            </w:r>
          </w:p>
        </w:tc>
        <w:tc>
          <w:tcPr>
            <w:tcW w:w="563" w:type="pct"/>
            <w:tcBorders>
              <w:top w:val="single" w:color="auto" w:sz="4" w:space="0"/>
              <w:left w:val="single" w:color="auto" w:sz="4" w:space="0"/>
              <w:bottom w:val="single" w:color="auto" w:sz="4" w:space="0"/>
              <w:right w:val="single" w:color="auto" w:sz="4" w:space="0"/>
            </w:tcBorders>
            <w:vAlign w:val="center"/>
          </w:tcPr>
          <w:p w14:paraId="00DB263D">
            <w:pPr>
              <w:snapToGrid w:val="0"/>
              <w:spacing w:before="50" w:after="50"/>
              <w:jc w:val="center"/>
              <w:rPr>
                <w:rFonts w:hint="eastAsia" w:ascii="宋体" w:hAnsi="宋体"/>
                <w:szCs w:val="21"/>
                <w:highlight w:val="none"/>
              </w:rPr>
            </w:pPr>
            <w:r>
              <w:rPr>
                <w:rFonts w:hint="eastAsia" w:ascii="宋体" w:hAnsi="宋体"/>
                <w:szCs w:val="21"/>
                <w:highlight w:val="none"/>
              </w:rPr>
              <w:t>原产地</w:t>
            </w:r>
          </w:p>
        </w:tc>
        <w:tc>
          <w:tcPr>
            <w:tcW w:w="1085" w:type="pct"/>
            <w:tcBorders>
              <w:top w:val="single" w:color="auto" w:sz="4" w:space="0"/>
              <w:left w:val="single" w:color="auto" w:sz="4" w:space="0"/>
              <w:bottom w:val="single" w:color="auto" w:sz="4" w:space="0"/>
              <w:right w:val="single" w:color="auto" w:sz="4" w:space="0"/>
            </w:tcBorders>
            <w:vAlign w:val="center"/>
          </w:tcPr>
          <w:p w14:paraId="3C31E609">
            <w:pPr>
              <w:snapToGrid w:val="0"/>
              <w:spacing w:before="50" w:after="50"/>
              <w:jc w:val="center"/>
              <w:rPr>
                <w:rFonts w:hint="eastAsia" w:ascii="宋体" w:hAnsi="宋体"/>
                <w:szCs w:val="21"/>
                <w:highlight w:val="none"/>
              </w:rPr>
            </w:pPr>
            <w:r>
              <w:rPr>
                <w:rFonts w:hint="eastAsia" w:ascii="宋体" w:hAnsi="宋体"/>
                <w:szCs w:val="21"/>
                <w:highlight w:val="none"/>
              </w:rPr>
              <w:t>技术参数及性能配置</w:t>
            </w:r>
          </w:p>
        </w:tc>
      </w:tr>
      <w:tr w14:paraId="54FB4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47" w:type="pct"/>
            <w:tcBorders>
              <w:top w:val="single" w:color="auto" w:sz="4" w:space="0"/>
              <w:left w:val="single" w:color="auto" w:sz="4" w:space="0"/>
              <w:right w:val="single" w:color="auto" w:sz="4" w:space="0"/>
            </w:tcBorders>
            <w:vAlign w:val="center"/>
          </w:tcPr>
          <w:p w14:paraId="10205FDB">
            <w:pPr>
              <w:snapToGrid w:val="0"/>
              <w:spacing w:before="50" w:after="50"/>
              <w:jc w:val="center"/>
              <w:rPr>
                <w:rFonts w:hint="eastAsia" w:ascii="宋体" w:hAnsi="宋体"/>
                <w:szCs w:val="21"/>
                <w:highlight w:val="none"/>
              </w:rPr>
            </w:pPr>
            <w:r>
              <w:rPr>
                <w:rFonts w:hint="eastAsia" w:ascii="宋体" w:hAnsi="宋体"/>
                <w:szCs w:val="21"/>
                <w:highlight w:val="none"/>
              </w:rPr>
              <w:t>1</w:t>
            </w:r>
          </w:p>
        </w:tc>
        <w:tc>
          <w:tcPr>
            <w:tcW w:w="905" w:type="pct"/>
            <w:tcBorders>
              <w:top w:val="single" w:color="auto" w:sz="4" w:space="0"/>
              <w:left w:val="single" w:color="auto" w:sz="4" w:space="0"/>
              <w:bottom w:val="single" w:color="auto" w:sz="4" w:space="0"/>
              <w:right w:val="single" w:color="auto" w:sz="4" w:space="0"/>
            </w:tcBorders>
            <w:vAlign w:val="center"/>
          </w:tcPr>
          <w:p w14:paraId="1F74BB4F">
            <w:pPr>
              <w:widowControl/>
              <w:jc w:val="center"/>
              <w:textAlignment w:val="center"/>
              <w:rPr>
                <w:rFonts w:hint="eastAsia" w:ascii="宋体" w:hAnsi="宋体"/>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27877978">
            <w:pPr>
              <w:widowControl/>
              <w:jc w:val="center"/>
              <w:textAlignment w:val="center"/>
              <w:rPr>
                <w:rFonts w:hint="eastAsia" w:ascii="宋体" w:hAnsi="宋体"/>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3476AD1A">
            <w:pPr>
              <w:widowControl/>
              <w:jc w:val="center"/>
              <w:textAlignment w:val="center"/>
              <w:rPr>
                <w:rFonts w:hint="eastAsia" w:ascii="宋体" w:hAnsi="宋体"/>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29EC6CBE">
            <w:pPr>
              <w:snapToGrid w:val="0"/>
              <w:spacing w:before="50" w:after="50"/>
              <w:jc w:val="center"/>
              <w:rPr>
                <w:rFonts w:hint="eastAsia" w:ascii="宋体" w:hAnsi="宋体"/>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7DDCA39D">
            <w:pPr>
              <w:snapToGrid w:val="0"/>
              <w:spacing w:before="50" w:after="50"/>
              <w:jc w:val="center"/>
              <w:rPr>
                <w:rFonts w:hint="eastAsia" w:ascii="宋体" w:hAnsi="宋体"/>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67285F6F">
            <w:pPr>
              <w:snapToGrid w:val="0"/>
              <w:spacing w:before="50" w:after="50"/>
              <w:jc w:val="center"/>
              <w:rPr>
                <w:rFonts w:hint="eastAsia" w:ascii="宋体" w:hAnsi="宋体"/>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03DBD8F5">
            <w:pPr>
              <w:snapToGrid w:val="0"/>
              <w:spacing w:before="50" w:after="50"/>
              <w:jc w:val="center"/>
              <w:rPr>
                <w:rFonts w:hint="eastAsia" w:ascii="宋体" w:hAnsi="宋体"/>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D02491A">
            <w:pPr>
              <w:snapToGrid w:val="0"/>
              <w:spacing w:before="50" w:after="50"/>
              <w:jc w:val="center"/>
              <w:rPr>
                <w:rFonts w:hint="eastAsia" w:ascii="宋体" w:hAnsi="宋体"/>
                <w:szCs w:val="21"/>
                <w:highlight w:val="none"/>
              </w:rPr>
            </w:pPr>
          </w:p>
        </w:tc>
      </w:tr>
      <w:tr w14:paraId="0B1B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6C0B33CF">
            <w:pPr>
              <w:snapToGrid w:val="0"/>
              <w:spacing w:before="50" w:after="50"/>
              <w:jc w:val="center"/>
              <w:rPr>
                <w:rFonts w:hint="eastAsia" w:ascii="宋体" w:hAnsi="宋体"/>
                <w:szCs w:val="21"/>
                <w:highlight w:val="none"/>
              </w:rPr>
            </w:pPr>
            <w:r>
              <w:rPr>
                <w:rFonts w:hint="eastAsia" w:ascii="宋体" w:hAnsi="宋体"/>
                <w:szCs w:val="21"/>
                <w:highlight w:val="none"/>
              </w:rPr>
              <w:t>2</w:t>
            </w:r>
          </w:p>
        </w:tc>
        <w:tc>
          <w:tcPr>
            <w:tcW w:w="905" w:type="pct"/>
            <w:tcBorders>
              <w:top w:val="single" w:color="auto" w:sz="4" w:space="0"/>
              <w:left w:val="single" w:color="auto" w:sz="4" w:space="0"/>
              <w:bottom w:val="single" w:color="auto" w:sz="4" w:space="0"/>
              <w:right w:val="single" w:color="auto" w:sz="4" w:space="0"/>
            </w:tcBorders>
            <w:vAlign w:val="center"/>
          </w:tcPr>
          <w:p w14:paraId="4C8732D8">
            <w:pPr>
              <w:widowControl/>
              <w:jc w:val="center"/>
              <w:textAlignment w:val="center"/>
              <w:rPr>
                <w:rFonts w:hint="eastAsia" w:ascii="宋体" w:hAnsi="宋体"/>
                <w:color w:val="000000"/>
                <w:kern w:val="0"/>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4E8CD63D">
            <w:pPr>
              <w:widowControl/>
              <w:jc w:val="center"/>
              <w:textAlignment w:val="center"/>
              <w:rPr>
                <w:rFonts w:hint="eastAsia" w:ascii="宋体" w:hAnsi="宋体"/>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67E1489D">
            <w:pPr>
              <w:widowControl/>
              <w:jc w:val="center"/>
              <w:textAlignment w:val="center"/>
              <w:rPr>
                <w:rFonts w:hint="eastAsia" w:ascii="宋体" w:hAnsi="宋体"/>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2EA6E337">
            <w:pPr>
              <w:snapToGrid w:val="0"/>
              <w:spacing w:before="50" w:after="50"/>
              <w:jc w:val="center"/>
              <w:rPr>
                <w:rFonts w:hint="eastAsia" w:ascii="宋体" w:hAnsi="宋体"/>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7FF6C6BE">
            <w:pPr>
              <w:snapToGrid w:val="0"/>
              <w:spacing w:before="50" w:after="50"/>
              <w:jc w:val="center"/>
              <w:rPr>
                <w:rFonts w:hint="eastAsia" w:ascii="宋体" w:hAnsi="宋体"/>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2D1EC980">
            <w:pPr>
              <w:snapToGrid w:val="0"/>
              <w:spacing w:before="50" w:after="50"/>
              <w:jc w:val="center"/>
              <w:rPr>
                <w:rFonts w:hint="eastAsia" w:ascii="宋体" w:hAnsi="宋体"/>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785C57F6">
            <w:pPr>
              <w:snapToGrid w:val="0"/>
              <w:spacing w:before="50" w:after="50"/>
              <w:jc w:val="center"/>
              <w:rPr>
                <w:rFonts w:hint="eastAsia" w:ascii="宋体" w:hAnsi="宋体"/>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319B1543">
            <w:pPr>
              <w:snapToGrid w:val="0"/>
              <w:spacing w:before="50" w:after="50"/>
              <w:jc w:val="center"/>
              <w:rPr>
                <w:rFonts w:hint="eastAsia" w:ascii="宋体" w:hAnsi="宋体"/>
                <w:szCs w:val="21"/>
                <w:highlight w:val="none"/>
              </w:rPr>
            </w:pPr>
          </w:p>
        </w:tc>
      </w:tr>
      <w:tr w14:paraId="7CC08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47" w:type="pct"/>
            <w:tcBorders>
              <w:top w:val="single" w:color="auto" w:sz="4" w:space="0"/>
              <w:left w:val="single" w:color="auto" w:sz="4" w:space="0"/>
              <w:bottom w:val="single" w:color="auto" w:sz="4" w:space="0"/>
              <w:right w:val="single" w:color="auto" w:sz="4" w:space="0"/>
            </w:tcBorders>
            <w:vAlign w:val="center"/>
          </w:tcPr>
          <w:p w14:paraId="2B2E394B">
            <w:pPr>
              <w:snapToGrid w:val="0"/>
              <w:spacing w:before="50" w:after="50"/>
              <w:jc w:val="center"/>
              <w:rPr>
                <w:rFonts w:hint="eastAsia" w:ascii="宋体" w:hAnsi="宋体"/>
                <w:szCs w:val="21"/>
                <w:highlight w:val="none"/>
              </w:rPr>
            </w:pPr>
            <w:r>
              <w:rPr>
                <w:rFonts w:hint="eastAsia" w:ascii="宋体" w:hAnsi="宋体"/>
                <w:szCs w:val="21"/>
                <w:highlight w:val="none"/>
              </w:rPr>
              <w:t>……</w:t>
            </w:r>
          </w:p>
        </w:tc>
        <w:tc>
          <w:tcPr>
            <w:tcW w:w="905" w:type="pct"/>
            <w:tcBorders>
              <w:top w:val="single" w:color="auto" w:sz="4" w:space="0"/>
              <w:left w:val="single" w:color="auto" w:sz="4" w:space="0"/>
              <w:bottom w:val="single" w:color="auto" w:sz="4" w:space="0"/>
              <w:right w:val="single" w:color="auto" w:sz="4" w:space="0"/>
            </w:tcBorders>
            <w:vAlign w:val="center"/>
          </w:tcPr>
          <w:p w14:paraId="0376EC9C">
            <w:pPr>
              <w:widowControl/>
              <w:jc w:val="center"/>
              <w:textAlignment w:val="center"/>
              <w:rPr>
                <w:rFonts w:hint="eastAsia" w:ascii="宋体" w:hAnsi="宋体"/>
                <w:color w:val="000000"/>
                <w:kern w:val="0"/>
                <w:szCs w:val="21"/>
                <w:highlight w:val="none"/>
              </w:rPr>
            </w:pPr>
          </w:p>
        </w:tc>
        <w:tc>
          <w:tcPr>
            <w:tcW w:w="226" w:type="pct"/>
            <w:tcBorders>
              <w:top w:val="single" w:color="auto" w:sz="4" w:space="0"/>
              <w:left w:val="single" w:color="auto" w:sz="4" w:space="0"/>
              <w:bottom w:val="single" w:color="auto" w:sz="4" w:space="0"/>
              <w:right w:val="single" w:color="auto" w:sz="4" w:space="0"/>
            </w:tcBorders>
            <w:vAlign w:val="center"/>
          </w:tcPr>
          <w:p w14:paraId="377592BA">
            <w:pPr>
              <w:widowControl/>
              <w:jc w:val="center"/>
              <w:textAlignment w:val="center"/>
              <w:rPr>
                <w:rFonts w:hint="eastAsia" w:ascii="宋体" w:hAnsi="宋体"/>
                <w:szCs w:val="21"/>
                <w:highlight w:val="none"/>
              </w:rPr>
            </w:pPr>
          </w:p>
        </w:tc>
        <w:tc>
          <w:tcPr>
            <w:tcW w:w="351" w:type="pct"/>
            <w:tcBorders>
              <w:top w:val="single" w:color="auto" w:sz="4" w:space="0"/>
              <w:left w:val="single" w:color="auto" w:sz="4" w:space="0"/>
              <w:bottom w:val="single" w:color="auto" w:sz="4" w:space="0"/>
              <w:right w:val="single" w:color="auto" w:sz="4" w:space="0"/>
            </w:tcBorders>
            <w:vAlign w:val="center"/>
          </w:tcPr>
          <w:p w14:paraId="468EE0D1">
            <w:pPr>
              <w:widowControl/>
              <w:jc w:val="center"/>
              <w:textAlignment w:val="center"/>
              <w:rPr>
                <w:rFonts w:hint="eastAsia" w:ascii="宋体" w:hAnsi="宋体"/>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66B43837">
            <w:pPr>
              <w:snapToGrid w:val="0"/>
              <w:spacing w:before="50" w:after="50"/>
              <w:jc w:val="center"/>
              <w:rPr>
                <w:rFonts w:hint="eastAsia" w:ascii="宋体" w:hAnsi="宋体"/>
                <w:szCs w:val="21"/>
                <w:highlight w:val="none"/>
              </w:rPr>
            </w:pPr>
          </w:p>
        </w:tc>
        <w:tc>
          <w:tcPr>
            <w:tcW w:w="594" w:type="pct"/>
            <w:tcBorders>
              <w:top w:val="single" w:color="auto" w:sz="4" w:space="0"/>
              <w:left w:val="single" w:color="auto" w:sz="4" w:space="0"/>
              <w:bottom w:val="single" w:color="auto" w:sz="4" w:space="0"/>
              <w:right w:val="single" w:color="auto" w:sz="4" w:space="0"/>
            </w:tcBorders>
          </w:tcPr>
          <w:p w14:paraId="5D123DC0">
            <w:pPr>
              <w:snapToGrid w:val="0"/>
              <w:spacing w:before="50" w:after="50"/>
              <w:jc w:val="center"/>
              <w:rPr>
                <w:rFonts w:hint="eastAsia" w:ascii="宋体" w:hAnsi="宋体"/>
                <w:szCs w:val="21"/>
                <w:highlight w:val="none"/>
              </w:rPr>
            </w:pPr>
          </w:p>
        </w:tc>
        <w:tc>
          <w:tcPr>
            <w:tcW w:w="578" w:type="pct"/>
            <w:tcBorders>
              <w:top w:val="single" w:color="auto" w:sz="4" w:space="0"/>
              <w:left w:val="single" w:color="auto" w:sz="4" w:space="0"/>
              <w:bottom w:val="single" w:color="auto" w:sz="4" w:space="0"/>
              <w:right w:val="single" w:color="auto" w:sz="4" w:space="0"/>
            </w:tcBorders>
            <w:vAlign w:val="center"/>
          </w:tcPr>
          <w:p w14:paraId="2E7B8865">
            <w:pPr>
              <w:snapToGrid w:val="0"/>
              <w:spacing w:before="50" w:after="50"/>
              <w:jc w:val="center"/>
              <w:rPr>
                <w:rFonts w:hint="eastAsia" w:ascii="宋体" w:hAnsi="宋体"/>
                <w:szCs w:val="21"/>
                <w:highlight w:val="none"/>
              </w:rPr>
            </w:pPr>
          </w:p>
        </w:tc>
        <w:tc>
          <w:tcPr>
            <w:tcW w:w="563" w:type="pct"/>
            <w:tcBorders>
              <w:top w:val="single" w:color="auto" w:sz="4" w:space="0"/>
              <w:left w:val="single" w:color="auto" w:sz="4" w:space="0"/>
              <w:bottom w:val="single" w:color="auto" w:sz="4" w:space="0"/>
              <w:right w:val="single" w:color="auto" w:sz="4" w:space="0"/>
            </w:tcBorders>
            <w:vAlign w:val="center"/>
          </w:tcPr>
          <w:p w14:paraId="3C48EF83">
            <w:pPr>
              <w:snapToGrid w:val="0"/>
              <w:spacing w:before="50" w:after="50"/>
              <w:jc w:val="center"/>
              <w:rPr>
                <w:rFonts w:hint="eastAsia" w:ascii="宋体" w:hAnsi="宋体"/>
                <w:szCs w:val="21"/>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D654267">
            <w:pPr>
              <w:snapToGrid w:val="0"/>
              <w:spacing w:before="50" w:after="50"/>
              <w:jc w:val="center"/>
              <w:rPr>
                <w:rFonts w:hint="eastAsia" w:ascii="宋体" w:hAnsi="宋体"/>
                <w:szCs w:val="21"/>
                <w:highlight w:val="none"/>
              </w:rPr>
            </w:pPr>
          </w:p>
        </w:tc>
      </w:tr>
    </w:tbl>
    <w:p w14:paraId="648CD903">
      <w:pPr>
        <w:contextualSpacing/>
        <w:rPr>
          <w:rFonts w:hint="eastAsia" w:ascii="宋体" w:hAnsi="宋体"/>
          <w:szCs w:val="21"/>
          <w:highlight w:val="none"/>
        </w:rPr>
      </w:pPr>
      <w:r>
        <w:rPr>
          <w:rFonts w:hint="eastAsia" w:ascii="宋体" w:hAnsi="宋体"/>
          <w:szCs w:val="21"/>
          <w:highlight w:val="none"/>
        </w:rPr>
        <w:t>备注：</w:t>
      </w:r>
      <w:r>
        <w:rPr>
          <w:rFonts w:hint="eastAsia" w:ascii="宋体" w:hAnsi="宋体"/>
          <w:b/>
          <w:bCs/>
          <w:szCs w:val="21"/>
          <w:highlight w:val="none"/>
        </w:rPr>
        <w:t>以上货物配置清单中“货物名称、数量及单位、品牌、规格型号、制造商、原产地、技术参数及性能配置”必须如实填写完整，品牌、规格型号没有则填无，填写有缺漏的，响应文件按无效响应处理</w:t>
      </w:r>
      <w:r>
        <w:rPr>
          <w:rFonts w:hint="eastAsia" w:ascii="宋体" w:hAnsi="宋体"/>
          <w:b/>
          <w:szCs w:val="21"/>
          <w:highlight w:val="none"/>
        </w:rPr>
        <w:t>。</w:t>
      </w:r>
      <w:r>
        <w:rPr>
          <w:rFonts w:hint="eastAsia" w:ascii="宋体" w:hAnsi="宋体"/>
          <w:szCs w:val="21"/>
          <w:highlight w:val="none"/>
        </w:rPr>
        <w:t>货物名称、数量及单位、品牌必须与“竞标报价表”一致，</w:t>
      </w:r>
      <w:r>
        <w:rPr>
          <w:rFonts w:hint="eastAsia" w:ascii="宋体" w:hAnsi="宋体"/>
          <w:bCs/>
          <w:szCs w:val="21"/>
          <w:highlight w:val="none"/>
        </w:rPr>
        <w:t>否则响应文件按无效响应处理</w:t>
      </w:r>
      <w:r>
        <w:rPr>
          <w:rFonts w:hint="eastAsia" w:ascii="宋体" w:hAnsi="宋体"/>
          <w:b/>
          <w:szCs w:val="21"/>
          <w:highlight w:val="none"/>
        </w:rPr>
        <w:t>。</w:t>
      </w:r>
      <w:r>
        <w:rPr>
          <w:rFonts w:hint="eastAsia" w:ascii="宋体" w:hAnsi="宋体"/>
          <w:szCs w:val="21"/>
          <w:highlight w:val="none"/>
        </w:rPr>
        <w:tab/>
      </w:r>
    </w:p>
    <w:p w14:paraId="24A64991">
      <w:pPr>
        <w:pStyle w:val="5"/>
        <w:rPr>
          <w:rFonts w:hint="eastAsia" w:ascii="宋体" w:hAnsi="宋体" w:cs="宋体"/>
          <w:szCs w:val="21"/>
          <w:highlight w:val="none"/>
        </w:rPr>
      </w:pPr>
    </w:p>
    <w:p w14:paraId="4BFE1AB8">
      <w:pPr>
        <w:ind w:right="-817" w:rightChars="-389"/>
        <w:contextualSpacing/>
        <w:jc w:val="center"/>
        <w:rPr>
          <w:rFonts w:hint="eastAsia" w:ascii="宋体" w:hAnsi="宋体"/>
          <w:szCs w:val="21"/>
          <w:highlight w:val="none"/>
        </w:rPr>
      </w:pPr>
      <w:r>
        <w:rPr>
          <w:rFonts w:hint="eastAsia" w:ascii="宋体" w:hAnsi="宋体"/>
          <w:szCs w:val="21"/>
          <w:highlight w:val="none"/>
        </w:rPr>
        <w:t>法定代表人或者委托代理人（签字）：</w:t>
      </w:r>
    </w:p>
    <w:p w14:paraId="7347544C">
      <w:pPr>
        <w:ind w:right="-817" w:rightChars="-389" w:firstLine="7245" w:firstLineChars="3450"/>
        <w:contextualSpacing/>
        <w:rPr>
          <w:rFonts w:hint="eastAsia" w:ascii="宋体" w:hAnsi="宋体"/>
          <w:szCs w:val="21"/>
          <w:highlight w:val="none"/>
        </w:rPr>
      </w:pPr>
      <w:r>
        <w:rPr>
          <w:rFonts w:hint="eastAsia" w:ascii="宋体" w:hAnsi="宋体"/>
          <w:szCs w:val="21"/>
          <w:highlight w:val="none"/>
        </w:rPr>
        <w:t xml:space="preserve">供应商（盖公章）：      </w:t>
      </w:r>
    </w:p>
    <w:p w14:paraId="4188AEF4">
      <w:pPr>
        <w:ind w:right="-817" w:rightChars="-389" w:firstLine="8190" w:firstLineChars="3900"/>
        <w:contextualSpacing/>
        <w:rPr>
          <w:highlight w:val="none"/>
        </w:rPr>
      </w:pPr>
      <w:r>
        <w:rPr>
          <w:rFonts w:hint="eastAsia" w:ascii="宋体" w:hAnsi="宋体"/>
          <w:szCs w:val="21"/>
          <w:highlight w:val="none"/>
        </w:rPr>
        <w:t>日  期：    年   月   日</w:t>
      </w:r>
    </w:p>
    <w:p w14:paraId="3DA5D3A2">
      <w:pPr>
        <w:rPr>
          <w:highlight w:val="none"/>
        </w:rPr>
      </w:pPr>
    </w:p>
    <w:p w14:paraId="3A4574FE">
      <w:pPr>
        <w:ind w:right="-817" w:rightChars="-389" w:firstLine="8190" w:firstLineChars="3900"/>
        <w:contextualSpacing/>
        <w:rPr>
          <w:rFonts w:hint="eastAsia" w:ascii="宋体" w:hAnsi="宋体" w:eastAsia="宋体" w:cs="宋体"/>
          <w:color w:val="auto"/>
          <w:sz w:val="21"/>
          <w:szCs w:val="21"/>
          <w:highlight w:val="none"/>
          <w:lang w:val="en-US" w:eastAsia="zh-CN"/>
        </w:rPr>
      </w:pPr>
    </w:p>
    <w:bookmarkEnd w:id="0"/>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DB177D-6FAB-479B-8367-A1F18FE119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B1D6549-A1A5-493D-B1C5-5853CCB1E4A6}"/>
  </w:font>
  <w:font w:name="仿宋_GB2312">
    <w:panose1 w:val="02010609030101010101"/>
    <w:charset w:val="86"/>
    <w:family w:val="modern"/>
    <w:pitch w:val="default"/>
    <w:sig w:usb0="00000001" w:usb1="080E0000" w:usb2="00000000" w:usb3="00000000" w:csb0="00040000" w:csb1="00000000"/>
    <w:embedRegular r:id="rId3" w:fontKey="{28636B57-E0E4-4005-B8A2-ED2F5C710CB6}"/>
  </w:font>
  <w:font w:name="方正小标宋简体">
    <w:panose1 w:val="03000509000000000000"/>
    <w:charset w:val="86"/>
    <w:family w:val="script"/>
    <w:pitch w:val="default"/>
    <w:sig w:usb0="00000001" w:usb1="080E0000" w:usb2="00000000" w:usb3="00000000" w:csb0="00040000" w:csb1="00000000"/>
    <w:embedRegular r:id="rId4" w:fontKey="{2FE232D4-5205-4843-9223-F272BF2879B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TAxOGNiNWY5YjZiYjRiZTBiMDc3NTc1OWE2YTUifQ=="/>
  </w:docVars>
  <w:rsids>
    <w:rsidRoot w:val="46492AE9"/>
    <w:rsid w:val="00264E69"/>
    <w:rsid w:val="00333C76"/>
    <w:rsid w:val="005C2A9D"/>
    <w:rsid w:val="0083050D"/>
    <w:rsid w:val="01C544F5"/>
    <w:rsid w:val="024822CD"/>
    <w:rsid w:val="02BB60B1"/>
    <w:rsid w:val="03CE5A7E"/>
    <w:rsid w:val="03FB7492"/>
    <w:rsid w:val="04381A26"/>
    <w:rsid w:val="044C330C"/>
    <w:rsid w:val="047C3FFD"/>
    <w:rsid w:val="05825674"/>
    <w:rsid w:val="059917D1"/>
    <w:rsid w:val="05E435F1"/>
    <w:rsid w:val="072858CC"/>
    <w:rsid w:val="07680680"/>
    <w:rsid w:val="07C2391D"/>
    <w:rsid w:val="09A51675"/>
    <w:rsid w:val="09C556F2"/>
    <w:rsid w:val="09E162A4"/>
    <w:rsid w:val="0A3F5991"/>
    <w:rsid w:val="0A544CC8"/>
    <w:rsid w:val="0D6276FC"/>
    <w:rsid w:val="0D8B27AF"/>
    <w:rsid w:val="0FDA30C2"/>
    <w:rsid w:val="0FFE195E"/>
    <w:rsid w:val="10317B99"/>
    <w:rsid w:val="1069326D"/>
    <w:rsid w:val="10934408"/>
    <w:rsid w:val="12624550"/>
    <w:rsid w:val="12FB3585"/>
    <w:rsid w:val="12FC7CAB"/>
    <w:rsid w:val="15145780"/>
    <w:rsid w:val="15632BBE"/>
    <w:rsid w:val="15D1541F"/>
    <w:rsid w:val="1735576C"/>
    <w:rsid w:val="174C46E4"/>
    <w:rsid w:val="176E1B89"/>
    <w:rsid w:val="182E4DAB"/>
    <w:rsid w:val="19381F1E"/>
    <w:rsid w:val="194D74B2"/>
    <w:rsid w:val="1A7F4983"/>
    <w:rsid w:val="1AFA0F74"/>
    <w:rsid w:val="1B057CF1"/>
    <w:rsid w:val="1CCF4430"/>
    <w:rsid w:val="1CEA2D34"/>
    <w:rsid w:val="1EB66ED2"/>
    <w:rsid w:val="1F291E28"/>
    <w:rsid w:val="1FB719A5"/>
    <w:rsid w:val="20033557"/>
    <w:rsid w:val="20080E5C"/>
    <w:rsid w:val="20091C16"/>
    <w:rsid w:val="21290155"/>
    <w:rsid w:val="21661111"/>
    <w:rsid w:val="218164F0"/>
    <w:rsid w:val="21C916A0"/>
    <w:rsid w:val="22206AE2"/>
    <w:rsid w:val="222B7EDF"/>
    <w:rsid w:val="227B6E3E"/>
    <w:rsid w:val="22896782"/>
    <w:rsid w:val="22906A74"/>
    <w:rsid w:val="22BD058C"/>
    <w:rsid w:val="22D636B5"/>
    <w:rsid w:val="23005B4C"/>
    <w:rsid w:val="23491FB8"/>
    <w:rsid w:val="23E26A49"/>
    <w:rsid w:val="24A05A4C"/>
    <w:rsid w:val="24CD14A7"/>
    <w:rsid w:val="24E47F82"/>
    <w:rsid w:val="24FC2C7E"/>
    <w:rsid w:val="25B24942"/>
    <w:rsid w:val="25C2598D"/>
    <w:rsid w:val="264B0C32"/>
    <w:rsid w:val="26A748A6"/>
    <w:rsid w:val="26AF70B6"/>
    <w:rsid w:val="2751016E"/>
    <w:rsid w:val="278A3680"/>
    <w:rsid w:val="282633A8"/>
    <w:rsid w:val="286A05DF"/>
    <w:rsid w:val="28E141FE"/>
    <w:rsid w:val="28FB2A87"/>
    <w:rsid w:val="293D309F"/>
    <w:rsid w:val="29514455"/>
    <w:rsid w:val="29562532"/>
    <w:rsid w:val="29B019A3"/>
    <w:rsid w:val="29F179E6"/>
    <w:rsid w:val="2A4C4A62"/>
    <w:rsid w:val="2AE83430"/>
    <w:rsid w:val="2C31056E"/>
    <w:rsid w:val="2C980571"/>
    <w:rsid w:val="2D412A2F"/>
    <w:rsid w:val="2D460049"/>
    <w:rsid w:val="2D4D6201"/>
    <w:rsid w:val="2D555A65"/>
    <w:rsid w:val="2DD018D3"/>
    <w:rsid w:val="2E1819E5"/>
    <w:rsid w:val="2E40595A"/>
    <w:rsid w:val="2F6446E6"/>
    <w:rsid w:val="2FCB7E5A"/>
    <w:rsid w:val="320512B5"/>
    <w:rsid w:val="330662B0"/>
    <w:rsid w:val="350A469D"/>
    <w:rsid w:val="356B7865"/>
    <w:rsid w:val="357868A7"/>
    <w:rsid w:val="35A10297"/>
    <w:rsid w:val="3613599B"/>
    <w:rsid w:val="366559E4"/>
    <w:rsid w:val="36F227F3"/>
    <w:rsid w:val="38C22C79"/>
    <w:rsid w:val="38DA4FA2"/>
    <w:rsid w:val="398126A4"/>
    <w:rsid w:val="398E34A3"/>
    <w:rsid w:val="399B3F89"/>
    <w:rsid w:val="399E5E40"/>
    <w:rsid w:val="39CF48CB"/>
    <w:rsid w:val="39F767A7"/>
    <w:rsid w:val="3A033549"/>
    <w:rsid w:val="3A791A5E"/>
    <w:rsid w:val="3ACD3B57"/>
    <w:rsid w:val="3C231166"/>
    <w:rsid w:val="3C3B4CB8"/>
    <w:rsid w:val="3C67348A"/>
    <w:rsid w:val="3C8658DE"/>
    <w:rsid w:val="3CC75445"/>
    <w:rsid w:val="3D355CEE"/>
    <w:rsid w:val="3DC254CA"/>
    <w:rsid w:val="3E4929BF"/>
    <w:rsid w:val="3E5F4AE1"/>
    <w:rsid w:val="3ECC2AA4"/>
    <w:rsid w:val="3EE80F60"/>
    <w:rsid w:val="3F424B14"/>
    <w:rsid w:val="3FD1152F"/>
    <w:rsid w:val="3FE61943"/>
    <w:rsid w:val="40330901"/>
    <w:rsid w:val="41C41316"/>
    <w:rsid w:val="41D30A5F"/>
    <w:rsid w:val="423B7FDB"/>
    <w:rsid w:val="42614D21"/>
    <w:rsid w:val="42725B89"/>
    <w:rsid w:val="428F54EA"/>
    <w:rsid w:val="436037BB"/>
    <w:rsid w:val="43953BCE"/>
    <w:rsid w:val="441E71D2"/>
    <w:rsid w:val="44A27E03"/>
    <w:rsid w:val="44B4705C"/>
    <w:rsid w:val="44C304A5"/>
    <w:rsid w:val="45B31B87"/>
    <w:rsid w:val="45DB64CD"/>
    <w:rsid w:val="46492AE9"/>
    <w:rsid w:val="47543636"/>
    <w:rsid w:val="47D33885"/>
    <w:rsid w:val="4A0251E4"/>
    <w:rsid w:val="4A622219"/>
    <w:rsid w:val="4A913ECA"/>
    <w:rsid w:val="4AA76173"/>
    <w:rsid w:val="4ABF498D"/>
    <w:rsid w:val="4B0770BF"/>
    <w:rsid w:val="4E4D4E0A"/>
    <w:rsid w:val="4EC45545"/>
    <w:rsid w:val="4ECC264C"/>
    <w:rsid w:val="50394E2D"/>
    <w:rsid w:val="507263F6"/>
    <w:rsid w:val="509E5922"/>
    <w:rsid w:val="510C4F82"/>
    <w:rsid w:val="51907961"/>
    <w:rsid w:val="51B43ED4"/>
    <w:rsid w:val="51BD267C"/>
    <w:rsid w:val="521775E3"/>
    <w:rsid w:val="53E35D94"/>
    <w:rsid w:val="549D32C7"/>
    <w:rsid w:val="556915A4"/>
    <w:rsid w:val="55D50038"/>
    <w:rsid w:val="55FB4C01"/>
    <w:rsid w:val="55FD61F8"/>
    <w:rsid w:val="567C0098"/>
    <w:rsid w:val="569C0B56"/>
    <w:rsid w:val="56AE26CA"/>
    <w:rsid w:val="56DE5E59"/>
    <w:rsid w:val="5753390A"/>
    <w:rsid w:val="5795302F"/>
    <w:rsid w:val="58705DF6"/>
    <w:rsid w:val="594D4389"/>
    <w:rsid w:val="594F0EDF"/>
    <w:rsid w:val="5A670A9F"/>
    <w:rsid w:val="5B344A4C"/>
    <w:rsid w:val="5B4672E2"/>
    <w:rsid w:val="5C1A0C76"/>
    <w:rsid w:val="5C5278E9"/>
    <w:rsid w:val="5D303DA6"/>
    <w:rsid w:val="5D493CE1"/>
    <w:rsid w:val="5D656145"/>
    <w:rsid w:val="5E800D5D"/>
    <w:rsid w:val="5E987E55"/>
    <w:rsid w:val="5EE272E6"/>
    <w:rsid w:val="5EE96902"/>
    <w:rsid w:val="5F577B32"/>
    <w:rsid w:val="5F846FCB"/>
    <w:rsid w:val="5FCB28A8"/>
    <w:rsid w:val="60CD54B1"/>
    <w:rsid w:val="6109328C"/>
    <w:rsid w:val="613A0A90"/>
    <w:rsid w:val="61B96A60"/>
    <w:rsid w:val="61DC2DC0"/>
    <w:rsid w:val="61ED6709"/>
    <w:rsid w:val="627209BD"/>
    <w:rsid w:val="62D56A83"/>
    <w:rsid w:val="62F63236"/>
    <w:rsid w:val="63E9040E"/>
    <w:rsid w:val="63F43719"/>
    <w:rsid w:val="64364DEF"/>
    <w:rsid w:val="6490433F"/>
    <w:rsid w:val="675A757F"/>
    <w:rsid w:val="67921CCC"/>
    <w:rsid w:val="679C300B"/>
    <w:rsid w:val="67C277C8"/>
    <w:rsid w:val="67C768DC"/>
    <w:rsid w:val="68F95994"/>
    <w:rsid w:val="6922138F"/>
    <w:rsid w:val="6A9736B6"/>
    <w:rsid w:val="6AE54D7A"/>
    <w:rsid w:val="6C573720"/>
    <w:rsid w:val="6CA834AF"/>
    <w:rsid w:val="6D003795"/>
    <w:rsid w:val="6E46167B"/>
    <w:rsid w:val="6F0841CC"/>
    <w:rsid w:val="6F3B7985"/>
    <w:rsid w:val="6FCD6822"/>
    <w:rsid w:val="702634C5"/>
    <w:rsid w:val="717670E7"/>
    <w:rsid w:val="71C31235"/>
    <w:rsid w:val="71F96A05"/>
    <w:rsid w:val="735E1215"/>
    <w:rsid w:val="7365314D"/>
    <w:rsid w:val="747A41E0"/>
    <w:rsid w:val="749D5D6D"/>
    <w:rsid w:val="74D250AB"/>
    <w:rsid w:val="75F4180E"/>
    <w:rsid w:val="75FE0BB1"/>
    <w:rsid w:val="7662101C"/>
    <w:rsid w:val="767D7101"/>
    <w:rsid w:val="77252585"/>
    <w:rsid w:val="77991BD9"/>
    <w:rsid w:val="77FB0FEB"/>
    <w:rsid w:val="78AF42C1"/>
    <w:rsid w:val="78CC09CF"/>
    <w:rsid w:val="78E77772"/>
    <w:rsid w:val="791B780E"/>
    <w:rsid w:val="794F33AE"/>
    <w:rsid w:val="7A41642C"/>
    <w:rsid w:val="7A794B87"/>
    <w:rsid w:val="7A9C0BDF"/>
    <w:rsid w:val="7BB57A83"/>
    <w:rsid w:val="7BBB4D2B"/>
    <w:rsid w:val="7BD6412D"/>
    <w:rsid w:val="7BF344C5"/>
    <w:rsid w:val="7C82216F"/>
    <w:rsid w:val="7CCA7C28"/>
    <w:rsid w:val="7CE24C65"/>
    <w:rsid w:val="7CE62F77"/>
    <w:rsid w:val="7CEB1414"/>
    <w:rsid w:val="7DA7785B"/>
    <w:rsid w:val="7DB87DA9"/>
    <w:rsid w:val="7DBC3708"/>
    <w:rsid w:val="7DFA10D0"/>
    <w:rsid w:val="7E603BAA"/>
    <w:rsid w:val="7EEE1FE7"/>
    <w:rsid w:val="7F29292E"/>
    <w:rsid w:val="7F3948E4"/>
    <w:rsid w:val="7F7E49ED"/>
    <w:rsid w:val="7F815536"/>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cs="仿宋_GB2312"/>
      <w:sz w:val="32"/>
      <w:szCs w:val="32"/>
    </w:rPr>
  </w:style>
  <w:style w:type="paragraph" w:styleId="4">
    <w:name w:val="index 1"/>
    <w:basedOn w:val="1"/>
    <w:next w:val="1"/>
    <w:qFormat/>
    <w:uiPriority w:val="0"/>
    <w:pPr>
      <w:spacing w:line="400" w:lineRule="exact"/>
      <w:ind w:firstLine="420" w:firstLineChars="200"/>
    </w:pPr>
    <w:rPr>
      <w:rFonts w:ascii="宋体" w:hAnsi="Courier New"/>
      <w:b/>
      <w:szCs w:val="20"/>
    </w:rPr>
  </w:style>
  <w:style w:type="paragraph" w:styleId="5">
    <w:name w:val="Body Text First Indent 2"/>
    <w:basedOn w:val="3"/>
    <w:next w:val="2"/>
    <w:qFormat/>
    <w:uiPriority w:val="0"/>
    <w:pPr>
      <w:spacing w:after="120"/>
      <w:ind w:left="420" w:leftChars="200" w:firstLine="420" w:firstLineChars="200"/>
    </w:pPr>
    <w:rPr>
      <w:rFonts w:ascii="Times New Roman" w:eastAsia="宋体"/>
      <w:sz w:val="21"/>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qFormat/>
    <w:uiPriority w:val="0"/>
    <w:rPr>
      <w:sz w:val="21"/>
      <w:szCs w:val="21"/>
    </w:rPr>
  </w:style>
  <w:style w:type="paragraph" w:customStyle="1" w:styleId="10">
    <w:name w:val="表格文字"/>
    <w:basedOn w:val="1"/>
    <w:qFormat/>
    <w:uiPriority w:val="0"/>
    <w:pPr>
      <w:spacing w:before="25" w:after="25"/>
      <w:jc w:val="left"/>
    </w:pPr>
    <w:rPr>
      <w:bCs/>
      <w:spacing w:val="10"/>
      <w:kern w:val="0"/>
      <w:sz w:val="24"/>
    </w:rPr>
  </w:style>
  <w:style w:type="character" w:customStyle="1" w:styleId="11">
    <w:name w:val="NormalCharacter"/>
    <w:semiHidden/>
    <w:qFormat/>
    <w:uiPriority w:val="0"/>
    <w:rPr>
      <w:rFonts w:ascii="Calibri" w:hAnsi="Calibri"/>
      <w:kern w:val="2"/>
      <w:sz w:val="21"/>
      <w:szCs w:val="24"/>
      <w:lang w:val="en-US" w:eastAsia="zh-CN" w:bidi="ar-SA"/>
    </w:r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31"/>
    <w:basedOn w:val="8"/>
    <w:qFormat/>
    <w:uiPriority w:val="0"/>
    <w:rPr>
      <w:rFonts w:hint="eastAsia" w:ascii="宋体" w:hAnsi="宋体" w:eastAsia="宋体" w:cs="宋体"/>
      <w:color w:val="000000"/>
      <w:sz w:val="20"/>
      <w:szCs w:val="20"/>
      <w:u w:val="none"/>
    </w:rPr>
  </w:style>
  <w:style w:type="character" w:customStyle="1" w:styleId="15">
    <w:name w:val="font51"/>
    <w:basedOn w:val="8"/>
    <w:qFormat/>
    <w:uiPriority w:val="0"/>
    <w:rPr>
      <w:rFonts w:hint="default" w:ascii="Times New Roman" w:hAnsi="Times New Roman" w:cs="Times New Roman"/>
      <w:color w:val="000000"/>
      <w:sz w:val="20"/>
      <w:szCs w:val="20"/>
      <w:u w:val="none"/>
    </w:rPr>
  </w:style>
  <w:style w:type="character" w:customStyle="1" w:styleId="16">
    <w:name w:val="font4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6031</Words>
  <Characters>7490</Characters>
  <Lines>0</Lines>
  <Paragraphs>0</Paragraphs>
  <TotalTime>7</TotalTime>
  <ScaleCrop>false</ScaleCrop>
  <LinksUpToDate>false</LinksUpToDate>
  <CharactersWithSpaces>7594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2023-06-06T09:36:00Z</dcterms:created>
  <dc:creator>刘新月</dc:creator>
  <cp:lastModifiedBy>刘阳</cp:lastModifiedBy>
  <cp:lastPrinted>2024-06-20T10:35:00Z</cp:lastPrinted>
  <dcterms:modified xsi:type="dcterms:W3CDTF">2025-11-03T08:53:23Z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677804BADA5D4841900397AD3DC8A408_13</vt:lpwstr>
  </property>
  <property fmtid="{D5CDD505-2E9C-101B-9397-08002B2CF9AE}" pid="4" name="KSOTemplateDocerSaveRecord">
    <vt:lpwstr>eyJoZGlkIjoiZTBhZDFiNjI4ODcyYTZkOWU0MGZhMDM4NjNiOWNmNjciLCJ1c2VySWQiOiIxNzAwOTg5NDA4In0=</vt:lpwstr>
  </property>
</Properties>
</file>