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1F2C">
      <w:pPr>
        <w:spacing w:line="36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玉林市玉州区育苗小学</w:t>
      </w:r>
    </w:p>
    <w:p w14:paraId="66A61B7F">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物业管理服务需求</w:t>
      </w:r>
    </w:p>
    <w:p w14:paraId="1D9B78C0">
      <w:pPr>
        <w:spacing w:line="360" w:lineRule="auto"/>
        <w:jc w:val="center"/>
        <w:rPr>
          <w:rFonts w:hint="eastAsia" w:ascii="宋体" w:hAnsi="宋体" w:eastAsia="宋体" w:cs="宋体"/>
          <w:b/>
          <w:bCs/>
          <w:color w:val="auto"/>
          <w:sz w:val="18"/>
          <w:szCs w:val="18"/>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bookmarkStart w:id="1" w:name="_GoBack"/>
      <w:bookmarkEnd w:id="1"/>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2AA05F1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（1）负责校区内所有道路路面、绿化带等公共区域卫生保洁；</w:t>
      </w:r>
    </w:p>
    <w:p w14:paraId="6E6B5A9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（2）负责教学楼</w:t>
      </w:r>
      <w:r>
        <w:rPr>
          <w:rFonts w:hint="eastAsia" w:ascii="宋体" w:hAnsi="宋体" w:eastAsia="宋体" w:cs="宋体"/>
          <w:color w:val="auto"/>
          <w:sz w:val="24"/>
          <w:szCs w:val="24"/>
          <w:lang w:eastAsia="zh-CN"/>
        </w:rPr>
        <w:t>、办公楼</w:t>
      </w:r>
      <w:r>
        <w:rPr>
          <w:rFonts w:hint="eastAsia" w:ascii="宋体" w:hAnsi="宋体" w:eastAsia="宋体" w:cs="宋体"/>
          <w:color w:val="auto"/>
          <w:sz w:val="24"/>
          <w:szCs w:val="24"/>
        </w:rPr>
        <w:t>公共区域卫生（包括公共厕所、走道、楼梯扶手等，下同）及楼道绿植养护；</w:t>
      </w:r>
    </w:p>
    <w:p w14:paraId="4A5642D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（3）负责管道、沉沙井、水池、清理疏通等。</w:t>
      </w:r>
    </w:p>
    <w:p w14:paraId="3F749AB4">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负责化粪池清理。</w:t>
      </w:r>
    </w:p>
    <w:p w14:paraId="003F7CA5">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180FF65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01195CA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（6）化粪池每年清理不少于1次。</w:t>
      </w:r>
    </w:p>
    <w:p w14:paraId="5DB35AE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配合业主单位完成保洁临时性任务。</w:t>
      </w:r>
    </w:p>
    <w:p w14:paraId="2EA6635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服务标准：</w:t>
      </w:r>
    </w:p>
    <w:p w14:paraId="319C73E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教学楼、办公楼楼道天花无污迹、积尘、蛛网、霉迹；防器材、电箱、交换器：无污迹、积尘、蛛网、霉迹；地板干净：无明显污渍、积水、烟头、杂物；墙面、门窗：无污迹、积尘杂物，墙面无乱画、张贴；楼梯、走廊：畅通，无堆积物、乱画。</w:t>
      </w:r>
    </w:p>
    <w:p w14:paraId="7BEF8F9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）道路清扫要达到“七无”：①无泥沙；②无果皮纸屑；③无杂草；④无烟头；⑤无污迹无；⑥无生活垃圾堆放；⑦无砖块等建筑垃圾堆放。</w:t>
      </w:r>
    </w:p>
    <w:p w14:paraId="36AED6C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公共设区域的果皮箱体表面保持干净，周围无垃圾落地，无异味，无污渍；排水通畅，无堵塞，无树叶、砖头等垃圾，无白色污染物；排污井排水通畅，无堵塞，无树叶、砖头等垃圾，无白色污染物；各类标识牌和宣传栏等无灰尘、无污渍、无蜘蛛网等；露天公共座椅表面干净，无灰尘、无污渍、无蜘蛛网等；灯杆电杆3米以下无灰尘、无污渍、无张贴物、无乱涂乱画等；室外消防器材（消防栓、灭火器等）无灰尘、无污渍、无张贴物、无乱涂乱画等。</w:t>
      </w:r>
    </w:p>
    <w:p w14:paraId="4B342E8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（4）卫生间保持清洁、干净，洗手盆上无杂物、无纸屑、无积水；及时清理脚印、水渍；镜子每日全面擦拭清洁；大小便池内外无淡洉；墙面、水管、隔断、门坎、窗台无灰尘，厕所内无异味。</w:t>
      </w:r>
    </w:p>
    <w:p w14:paraId="47911FB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（5）校区内管道、沉沙井、水池、清理疏通及时，化粪池无外溢无堵塞现象现象。</w:t>
      </w:r>
    </w:p>
    <w:p w14:paraId="780007DF">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绿化养护服务内容、服务要求和服务标准</w:t>
      </w:r>
    </w:p>
    <w:p w14:paraId="3720D757">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500EECE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（1）负责服务范围内各种花卉植物的修剪、养护、浇灌、施肥、松土、防涝、防冻工作。定期喷洒药物，预防病虫害。</w:t>
      </w:r>
    </w:p>
    <w:p w14:paraId="7E6A695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（2）做好草坪树木修剪，保持无杂草、枯枝、补种等。</w:t>
      </w:r>
    </w:p>
    <w:p w14:paraId="0C0EBBA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（3）负责管理区域内的盘花培育及摆放、更换等工作。</w:t>
      </w:r>
    </w:p>
    <w:p w14:paraId="56F38AF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（4）配合校方完成绿化临时性工作任务。</w:t>
      </w:r>
    </w:p>
    <w:p w14:paraId="0BA74233">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7ED9A39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（1）每天全面清扫绿化带、绿篱色块及沟内的落叶、垃圾等杂物一次，巡回保洁一次，拾捡垃圾等。</w:t>
      </w:r>
    </w:p>
    <w:p w14:paraId="4AC7287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（2）每年3-5月份和11-12月份全面给绿地各施肥一次。其他季节根据绿植生长情况追肥。绿植葱绿，茂盛生长。</w:t>
      </w:r>
    </w:p>
    <w:p w14:paraId="5863FAA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（3）乔木、灌木、草坪、绿地被根据植物长势、造型需求等进行适时修剪。</w:t>
      </w:r>
    </w:p>
    <w:p w14:paraId="2F6BDA8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（4）据不同植物特性、土壤的干湿度，做到适时、适量，不遗漏，每次浇水要浇足浇透，不得浪费水。</w:t>
      </w:r>
    </w:p>
    <w:p w14:paraId="18A313F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预防为主，定期做绿植好喷药防治工作。一般在病虫害发生季节4-10月份，每月对易感植物喷药不少于2次。在开放性的绿地中喷药时，及时公告并选择学校休息日人流较少的时段进行。同时采取必要的防护措施，避免危及他人。</w:t>
      </w:r>
    </w:p>
    <w:p w14:paraId="54E72267">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1E77E50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（1）绿地无破坏、践踏，花草树木长势良好，无病虫害，无杂草，无枯死。及配合业主方更换各类荫生植物，保持地面无枯枝、枯叶、无绿化废弃物。</w:t>
      </w:r>
    </w:p>
    <w:p w14:paraId="662BE47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（2）草坪常绿、不枯黄，草坪高度不超过10公分。</w:t>
      </w:r>
    </w:p>
    <w:p w14:paraId="537A94D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（3）绿化存活率达到90%以上，绿地更新及时率达到98%。</w:t>
      </w:r>
    </w:p>
    <w:p w14:paraId="65908BB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（4）虫害的树木不超过2%，食叶性害虫为害率小于5%，刺吸性害虫为害率小于10%，蛀干性害虫为害率小于3%。</w:t>
      </w:r>
    </w:p>
    <w:p w14:paraId="735DD2B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（5）残枝断叶控制率达到98%。</w:t>
      </w:r>
    </w:p>
    <w:p w14:paraId="284617B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（6）定期组织浇灌、施肥和松土，做好防涝、防冻工作。</w:t>
      </w:r>
    </w:p>
    <w:p w14:paraId="2E8973F1">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（7）绿化建筑小品无损坏</w:t>
      </w:r>
      <w:r>
        <w:rPr>
          <w:rFonts w:hint="eastAsia" w:ascii="宋体" w:hAnsi="宋体" w:eastAsia="宋体" w:cs="宋体"/>
          <w:color w:val="auto"/>
          <w:sz w:val="24"/>
          <w:szCs w:val="24"/>
          <w:lang w:eastAsia="zh-CN"/>
        </w:rPr>
        <w:t>。</w:t>
      </w:r>
    </w:p>
    <w:p w14:paraId="6D96A6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（8）保持绿地土壤疏松、无积水，合理、有效施肥，以增强土壤肥力，改善土壤理化性状。</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校园维修</w:t>
      </w:r>
      <w:r>
        <w:rPr>
          <w:rFonts w:hint="eastAsia" w:ascii="宋体" w:hAnsi="宋体" w:eastAsia="宋体" w:cs="宋体"/>
          <w:color w:val="auto"/>
          <w:sz w:val="24"/>
          <w:szCs w:val="24"/>
        </w:rPr>
        <w:t>服务内容、服务要求和服务标准</w:t>
      </w:r>
    </w:p>
    <w:p w14:paraId="290D5FD2">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35FEAE07">
      <w:pPr>
        <w:pStyle w:val="4"/>
        <w:numPr>
          <w:ilvl w:val="2"/>
          <w:numId w:val="0"/>
        </w:num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b w:val="0"/>
          <w:bCs/>
          <w:spacing w:val="-2"/>
          <w:sz w:val="24"/>
          <w:szCs w:val="24"/>
        </w:rPr>
        <w:t>负责校园内</w:t>
      </w:r>
      <w:r>
        <w:rPr>
          <w:rFonts w:hint="eastAsia" w:ascii="宋体" w:hAnsi="宋体" w:eastAsia="宋体" w:cs="宋体"/>
          <w:b w:val="0"/>
          <w:bCs/>
          <w:spacing w:val="-2"/>
          <w:sz w:val="24"/>
          <w:szCs w:val="24"/>
          <w:lang w:eastAsia="zh-CN"/>
        </w:rPr>
        <w:t>水电系统、</w:t>
      </w:r>
      <w:r>
        <w:rPr>
          <w:rFonts w:hint="eastAsia" w:ascii="宋体" w:hAnsi="宋体" w:eastAsia="宋体" w:cs="宋体"/>
          <w:b w:val="0"/>
          <w:bCs/>
          <w:spacing w:val="-2"/>
          <w:sz w:val="24"/>
          <w:szCs w:val="24"/>
        </w:rPr>
        <w:t>教室设备、安防监控系统、网络系统、饮水设备</w:t>
      </w:r>
      <w:r>
        <w:rPr>
          <w:rFonts w:hint="eastAsia" w:ascii="宋体" w:hAnsi="宋体" w:eastAsia="宋体" w:cs="宋体"/>
          <w:b w:val="0"/>
          <w:bCs/>
          <w:spacing w:val="-2"/>
          <w:sz w:val="24"/>
          <w:szCs w:val="24"/>
          <w:lang w:eastAsia="zh-CN"/>
        </w:rPr>
        <w:t>、</w:t>
      </w:r>
      <w:r>
        <w:rPr>
          <w:rFonts w:hint="eastAsia" w:ascii="宋体" w:hAnsi="宋体" w:eastAsia="宋体" w:cs="宋体"/>
          <w:b w:val="0"/>
          <w:bCs/>
          <w:spacing w:val="-2"/>
          <w:sz w:val="24"/>
          <w:szCs w:val="24"/>
        </w:rPr>
        <w:t>办公电器设备的</w:t>
      </w:r>
      <w:r>
        <w:rPr>
          <w:rFonts w:hint="eastAsia" w:ascii="宋体" w:hAnsi="宋体" w:eastAsia="宋体" w:cs="宋体"/>
          <w:b w:val="0"/>
          <w:bCs/>
          <w:sz w:val="24"/>
          <w:szCs w:val="24"/>
        </w:rPr>
        <w:t>管理与维护</w:t>
      </w:r>
      <w:r>
        <w:rPr>
          <w:rFonts w:hint="eastAsia" w:ascii="宋体" w:hAnsi="宋体" w:eastAsia="宋体" w:cs="宋体"/>
          <w:b w:val="0"/>
          <w:bCs/>
          <w:sz w:val="24"/>
          <w:szCs w:val="24"/>
          <w:lang w:eastAsia="zh-CN"/>
        </w:rPr>
        <w:t>，主要分为：</w:t>
      </w:r>
    </w:p>
    <w:p w14:paraId="5ED2309E">
      <w:pPr>
        <w:numPr>
          <w:ilvl w:val="0"/>
          <w:numId w:val="4"/>
        </w:numPr>
        <w:spacing w:line="360" w:lineRule="auto"/>
        <w:ind w:firstLine="540"/>
        <w:rPr>
          <w:rFonts w:hint="eastAsia" w:ascii="宋体" w:hAnsi="宋体" w:eastAsia="宋体" w:cs="宋体"/>
          <w:color w:val="auto"/>
          <w:sz w:val="24"/>
          <w:szCs w:val="24"/>
        </w:rPr>
      </w:pPr>
      <w:r>
        <w:rPr>
          <w:rFonts w:hint="eastAsia" w:ascii="宋体" w:hAnsi="宋体" w:eastAsia="宋体" w:cs="宋体"/>
          <w:spacing w:val="1"/>
          <w:sz w:val="24"/>
          <w:szCs w:val="24"/>
        </w:rPr>
        <w:t>照明及动力等电力系统：包括配电房的电力系统。校园内外</w:t>
      </w:r>
      <w:r>
        <w:rPr>
          <w:rFonts w:hint="eastAsia" w:ascii="宋体" w:hAnsi="宋体" w:eastAsia="宋体" w:cs="宋体"/>
          <w:spacing w:val="-6"/>
          <w:sz w:val="24"/>
          <w:szCs w:val="24"/>
        </w:rPr>
        <w:t>照明、开关插座、所有配电房，母线排及各线路的一般性保养、检查、维修和更换工作</w:t>
      </w:r>
      <w:r>
        <w:rPr>
          <w:rFonts w:hint="eastAsia" w:ascii="宋体" w:hAnsi="宋体" w:eastAsia="宋体" w:cs="宋体"/>
          <w:color w:val="auto"/>
          <w:sz w:val="24"/>
          <w:szCs w:val="24"/>
        </w:rPr>
        <w:t>。</w:t>
      </w:r>
    </w:p>
    <w:p w14:paraId="3E2F898F">
      <w:pPr>
        <w:numPr>
          <w:ilvl w:val="0"/>
          <w:numId w:val="4"/>
        </w:numPr>
        <w:spacing w:line="360" w:lineRule="auto"/>
        <w:ind w:left="0" w:leftChars="0" w:firstLine="540" w:firstLineChars="0"/>
        <w:rPr>
          <w:rFonts w:hint="eastAsia" w:ascii="宋体" w:hAnsi="宋体" w:eastAsia="宋体" w:cs="宋体"/>
          <w:color w:val="auto"/>
          <w:sz w:val="24"/>
          <w:szCs w:val="24"/>
        </w:rPr>
      </w:pPr>
      <w:r>
        <w:rPr>
          <w:rFonts w:hint="eastAsia" w:ascii="宋体" w:hAnsi="宋体" w:eastAsia="宋体" w:cs="宋体"/>
          <w:spacing w:val="1"/>
          <w:sz w:val="24"/>
          <w:szCs w:val="24"/>
        </w:rPr>
        <w:t>给排水系统（大修除外</w:t>
      </w:r>
      <w:r>
        <w:rPr>
          <w:rFonts w:hint="eastAsia" w:ascii="宋体" w:hAnsi="宋体" w:eastAsia="宋体" w:cs="宋体"/>
          <w:spacing w:val="13"/>
          <w:sz w:val="24"/>
          <w:szCs w:val="24"/>
        </w:rPr>
        <w:t>）：</w:t>
      </w:r>
      <w:r>
        <w:rPr>
          <w:rFonts w:hint="eastAsia" w:ascii="宋体" w:hAnsi="宋体" w:eastAsia="宋体" w:cs="宋体"/>
          <w:spacing w:val="1"/>
          <w:sz w:val="24"/>
          <w:szCs w:val="24"/>
        </w:rPr>
        <w:t>雨水管、排污管、给水管、进水阀</w:t>
      </w:r>
      <w:r>
        <w:rPr>
          <w:rFonts w:hint="eastAsia" w:ascii="宋体" w:hAnsi="宋体" w:eastAsia="宋体" w:cs="宋体"/>
          <w:sz w:val="24"/>
          <w:szCs w:val="24"/>
        </w:rPr>
        <w:t xml:space="preserve">门等全部水系 </w:t>
      </w:r>
      <w:r>
        <w:rPr>
          <w:rFonts w:hint="eastAsia" w:ascii="宋体" w:hAnsi="宋体" w:eastAsia="宋体" w:cs="宋体"/>
          <w:spacing w:val="-1"/>
          <w:sz w:val="24"/>
          <w:szCs w:val="24"/>
        </w:rPr>
        <w:t>统的日常管理、保养、一般性维修和急修</w:t>
      </w:r>
      <w:r>
        <w:rPr>
          <w:rFonts w:hint="eastAsia" w:ascii="宋体" w:hAnsi="宋体" w:eastAsia="宋体" w:cs="宋体"/>
          <w:color w:val="auto"/>
          <w:sz w:val="24"/>
          <w:szCs w:val="24"/>
        </w:rPr>
        <w:t>。</w:t>
      </w:r>
    </w:p>
    <w:p w14:paraId="593EB69F">
      <w:pPr>
        <w:numPr>
          <w:ilvl w:val="0"/>
          <w:numId w:val="4"/>
        </w:numPr>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auto"/>
          <w:sz w:val="24"/>
          <w:szCs w:val="24"/>
        </w:rPr>
        <w:t>校区教学设备、办公设备、空调、安防监控系统、网络系统、饮水设备及学生课桌椅等的日常维修维护。</w:t>
      </w:r>
    </w:p>
    <w:p w14:paraId="561F6FCC">
      <w:pPr>
        <w:numPr>
          <w:ilvl w:val="0"/>
          <w:numId w:val="4"/>
        </w:numPr>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根据学校总务科的安排，完成相应的</w:t>
      </w:r>
      <w:r>
        <w:rPr>
          <w:rFonts w:hint="eastAsia" w:ascii="宋体" w:hAnsi="宋体" w:eastAsia="宋体" w:cs="宋体"/>
          <w:color w:val="000000"/>
          <w:sz w:val="24"/>
          <w:szCs w:val="24"/>
          <w:lang w:eastAsia="zh-CN"/>
        </w:rPr>
        <w:t>工作</w:t>
      </w:r>
      <w:r>
        <w:rPr>
          <w:rFonts w:hint="eastAsia" w:ascii="宋体" w:hAnsi="宋体" w:eastAsia="宋体" w:cs="宋体"/>
          <w:color w:val="000000"/>
          <w:sz w:val="24"/>
          <w:szCs w:val="24"/>
        </w:rPr>
        <w:t>任务。</w:t>
      </w:r>
    </w:p>
    <w:p w14:paraId="69866A55">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6814FE6D">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（1）保证各类水电设施、设备的正常运行，负责水电设施的日常维修做好供水供电系统运行情况记录，保证正常供水供电。</w:t>
      </w:r>
    </w:p>
    <w:p w14:paraId="7FFD3818">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）提高安全意识，经常检查水电设施、设备，发现问题及时处理。</w:t>
      </w:r>
    </w:p>
    <w:p w14:paraId="063C9C9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）做好用水用电的抄表核对工作，配合财会及时、足额收缴水电费。认真管理学校的管道设施，杜绝浪费现像。</w:t>
      </w:r>
    </w:p>
    <w:p w14:paraId="38C41E2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）严格遵守操作规程，不准他人乱接乱拉电线，对线路接头要包扎牢固，各隐蔽线路不得外露。</w:t>
      </w:r>
    </w:p>
    <w:p w14:paraId="5B7467D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）清查全校水电路线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合理利用学校水电，防止浪费，不得私自将水源、电源接出校外。</w:t>
      </w:r>
    </w:p>
    <w:p w14:paraId="155141F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）实行每天24小时客户报修电话接待，将报修电话向校方业主公布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接到报修电话及时记录，并通知维修部门派人员维修。</w:t>
      </w:r>
    </w:p>
    <w:p w14:paraId="6A17F76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水电急修项目：接报修后20分钟到达现场，2小时内修复；其他</w:t>
      </w:r>
      <w:r>
        <w:rPr>
          <w:rFonts w:hint="eastAsia" w:ascii="宋体" w:hAnsi="宋体" w:eastAsia="宋体" w:cs="宋体"/>
          <w:b w:val="0"/>
          <w:bCs w:val="0"/>
          <w:color w:val="auto"/>
          <w:sz w:val="24"/>
          <w:szCs w:val="24"/>
          <w:lang w:eastAsia="zh-CN"/>
        </w:rPr>
        <w:t>设备</w:t>
      </w:r>
      <w:r>
        <w:rPr>
          <w:rFonts w:hint="eastAsia" w:ascii="宋体" w:hAnsi="宋体" w:eastAsia="宋体" w:cs="宋体"/>
          <w:b w:val="0"/>
          <w:bCs w:val="0"/>
          <w:color w:val="auto"/>
          <w:sz w:val="24"/>
          <w:szCs w:val="24"/>
        </w:rPr>
        <w:t>维修项目：30分钟之内到达现场查勘，根据维修项目情况，能立即修复的，当场给予解决；不能马上修复的，按约定时间给予修复；非责任维修：1小时到达现场查勘，与客户洽谈，确定维修费和维修时间，按约维修。</w:t>
      </w:r>
    </w:p>
    <w:p w14:paraId="0EAA0A74">
      <w:pPr>
        <w:pStyle w:val="4"/>
        <w:numPr>
          <w:ilvl w:val="2"/>
          <w:numId w:val="0"/>
        </w:numPr>
        <w:spacing w:line="360" w:lineRule="auto"/>
        <w:ind w:left="40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维修完毕应要求客户签名确认，并征求满意度。</w:t>
      </w:r>
    </w:p>
    <w:p w14:paraId="4AEA6D6E">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612EFAF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（1）维修服务应达到：临修急修及时率100%；维修质量合格率99%以上；客户满意率95%以上；服务回访率100%，回访中发现维修质量问题，及时预约整改。</w:t>
      </w:r>
    </w:p>
    <w:p w14:paraId="39E865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（2）设备定期巡检，确保正常运行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绘制简单的平面图，管线大致系统图，能清楚正确的在图纸上标出发生故障的位置。</w:t>
      </w:r>
    </w:p>
    <w:p w14:paraId="2DAA9AC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及时处理用电隐患、更换损坏灯具及设备，对存在用电隐患提出整改意见。</w:t>
      </w:r>
    </w:p>
    <w:p w14:paraId="7301DDF4">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物业服务人员配置及要求</w:t>
      </w:r>
    </w:p>
    <w:p w14:paraId="7E545577">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（1）水电维修工1人：需有5年以上相关岗位工作经验，要求</w:t>
      </w:r>
      <w:r>
        <w:rPr>
          <w:rFonts w:hint="eastAsia" w:ascii="宋体" w:hAnsi="宋体" w:eastAsia="宋体" w:cs="宋体"/>
          <w:b/>
          <w:bCs/>
          <w:color w:val="auto"/>
          <w:sz w:val="24"/>
          <w:szCs w:val="24"/>
        </w:rPr>
        <w:t>持有高、低压电工证</w:t>
      </w:r>
      <w:r>
        <w:rPr>
          <w:rFonts w:hint="eastAsia" w:ascii="宋体" w:hAnsi="宋体" w:cs="宋体"/>
          <w:b/>
          <w:bCs/>
          <w:color w:val="auto"/>
          <w:sz w:val="24"/>
          <w:szCs w:val="24"/>
          <w:lang w:eastAsia="zh-CN"/>
        </w:rPr>
        <w:t>，须在响应文件中提供相关证件。</w:t>
      </w:r>
    </w:p>
    <w:p w14:paraId="0EAA0A4C">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（2）电教设备维护工1人：需有3年以上维修多媒体设备等相关岗位工作经验，要求</w:t>
      </w:r>
      <w:r>
        <w:rPr>
          <w:rFonts w:hint="eastAsia" w:ascii="宋体" w:hAnsi="宋体" w:eastAsia="宋体" w:cs="宋体"/>
          <w:b/>
          <w:bCs/>
          <w:color w:val="auto"/>
          <w:sz w:val="24"/>
          <w:szCs w:val="24"/>
        </w:rPr>
        <w:t>持有电工证</w:t>
      </w:r>
      <w:r>
        <w:rPr>
          <w:rFonts w:hint="eastAsia" w:ascii="宋体" w:hAnsi="宋体" w:cs="宋体"/>
          <w:color w:val="auto"/>
          <w:sz w:val="24"/>
          <w:szCs w:val="24"/>
          <w:lang w:eastAsia="zh-CN"/>
        </w:rPr>
        <w:t>，须在响应文件中提供相关证件</w:t>
      </w:r>
    </w:p>
    <w:p w14:paraId="3773CE34">
      <w:pPr>
        <w:spacing w:line="360" w:lineRule="auto"/>
        <w:ind w:firstLine="540"/>
        <w:rPr>
          <w:rFonts w:hint="eastAsia" w:ascii="宋体" w:hAnsi="宋体" w:cs="宋体"/>
          <w:color w:val="auto"/>
          <w:sz w:val="24"/>
          <w:szCs w:val="24"/>
          <w:lang w:eastAsia="zh-CN"/>
        </w:rPr>
      </w:pPr>
      <w:r>
        <w:rPr>
          <w:rFonts w:hint="eastAsia" w:ascii="宋体" w:hAnsi="宋体" w:eastAsia="宋体" w:cs="宋体"/>
          <w:color w:val="auto"/>
          <w:sz w:val="24"/>
          <w:szCs w:val="24"/>
        </w:rPr>
        <w:t>（3）保洁员</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人：保洁人员需有2年以上相关岗位工作经验，年龄要求男性不得超过55岁、女性不超过50岁，具有服务意识，其中至少一人</w:t>
      </w:r>
      <w:r>
        <w:rPr>
          <w:rFonts w:hint="eastAsia" w:ascii="宋体" w:hAnsi="宋体" w:eastAsia="宋体" w:cs="宋体"/>
          <w:b/>
          <w:bCs/>
          <w:color w:val="auto"/>
          <w:sz w:val="24"/>
          <w:szCs w:val="24"/>
        </w:rPr>
        <w:t>持有</w:t>
      </w:r>
      <w:r>
        <w:rPr>
          <w:rFonts w:hint="eastAsia" w:ascii="宋体" w:hAnsi="宋体" w:eastAsia="宋体" w:cs="宋体"/>
          <w:b/>
          <w:bCs/>
          <w:color w:val="auto"/>
          <w:sz w:val="24"/>
          <w:szCs w:val="24"/>
          <w:lang w:eastAsia="zh-CN"/>
        </w:rPr>
        <w:t>高级</w:t>
      </w:r>
      <w:r>
        <w:rPr>
          <w:rFonts w:hint="eastAsia" w:ascii="宋体" w:hAnsi="宋体" w:eastAsia="宋体" w:cs="宋体"/>
          <w:b/>
          <w:bCs/>
          <w:color w:val="auto"/>
          <w:sz w:val="24"/>
          <w:szCs w:val="24"/>
        </w:rPr>
        <w:t>公共卫生消毒员证书</w:t>
      </w:r>
      <w:r>
        <w:rPr>
          <w:rFonts w:hint="eastAsia" w:ascii="宋体" w:hAnsi="宋体" w:cs="宋体"/>
          <w:color w:val="auto"/>
          <w:sz w:val="24"/>
          <w:szCs w:val="24"/>
          <w:lang w:eastAsia="zh-CN"/>
        </w:rPr>
        <w:t>，须在响应文件中提供相关证件。</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总人数：</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所有服务人员需经过采购方面试合格后才可上岗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rPr>
        <w:t>须在响应文件中提供相关证件复印件，原件备查</w:t>
      </w:r>
      <w:r>
        <w:rPr>
          <w:rFonts w:hint="eastAsia" w:ascii="宋体" w:hAnsi="宋体" w:eastAsia="宋体" w:cs="宋体"/>
          <w:color w:val="auto"/>
          <w:sz w:val="24"/>
          <w:szCs w:val="24"/>
          <w:lang w:eastAsia="zh-CN"/>
        </w:rPr>
        <w:t>；供应商需在本采购单位所在地为服务人员购买社保，并</w:t>
      </w:r>
      <w:r>
        <w:rPr>
          <w:rFonts w:hint="eastAsia" w:ascii="宋体" w:hAnsi="宋体" w:eastAsia="宋体" w:cs="宋体"/>
          <w:b w:val="0"/>
          <w:bCs w:val="0"/>
          <w:color w:val="auto"/>
          <w:sz w:val="24"/>
          <w:szCs w:val="24"/>
        </w:rPr>
        <w:t>提供为其缴纳的在响应文件递交截止之日前3个月的在该单位社保缴纳证明复印件。</w:t>
      </w:r>
      <w:r>
        <w:rPr>
          <w:rFonts w:hint="eastAsia" w:ascii="宋体" w:hAnsi="宋体" w:eastAsia="宋体" w:cs="宋体"/>
          <w:b w:val="0"/>
          <w:bCs w:val="0"/>
          <w:color w:val="auto"/>
          <w:sz w:val="24"/>
          <w:szCs w:val="24"/>
          <w:lang w:eastAsia="zh-CN"/>
        </w:rPr>
        <w:t>】</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06BA7308">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1、物业服务费包含供应商为完成各项物业服务需要所需聘请的工作人员的工资费用、社会保险费用、加班费、服装费、物业服务使用工具费用、各项税费及管理费用等；</w:t>
      </w:r>
    </w:p>
    <w:p w14:paraId="2B53BBDE">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2、为了避免不合理报价、降低服务质量，规定报价应遵循优质、合理的原则。</w:t>
      </w:r>
    </w:p>
    <w:p w14:paraId="79A1CB4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3、报价需按照报价表（附件一）进行报价。</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、合同签订期：自成交通知书发出之日起25日内。若因成交供应商自身原因未能在约定的时间内与采购人签订合同的，采购人将不再受理合同签订事宜，成交供应商自行承担由此产生的后果。 </w:t>
      </w:r>
    </w:p>
    <w:p w14:paraId="4FED4A1C">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个月</w:t>
      </w:r>
    </w:p>
    <w:p w14:paraId="72E315A6">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lang w:eastAsia="zh-CN"/>
        </w:rPr>
        <w:t>玉林市玉州区</w:t>
      </w:r>
      <w:r>
        <w:rPr>
          <w:rFonts w:hint="eastAsia" w:ascii="宋体" w:hAnsi="宋体" w:cs="宋体"/>
          <w:color w:val="auto"/>
          <w:sz w:val="24"/>
          <w:szCs w:val="24"/>
          <w:lang w:eastAsia="zh-CN"/>
        </w:rPr>
        <w:t>育苗小学</w:t>
      </w:r>
    </w:p>
    <w:p w14:paraId="0EB9DF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268125B">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bCs/>
          <w:color w:val="auto"/>
          <w:sz w:val="24"/>
          <w:szCs w:val="24"/>
        </w:rPr>
        <w:t>供应商服务响应、偏离情况表</w:t>
      </w:r>
      <w:r>
        <w:rPr>
          <w:rFonts w:hint="eastAsia" w:ascii="宋体" w:hAnsi="宋体" w:eastAsia="宋体" w:cs="宋体"/>
          <w:b w:val="0"/>
          <w:bCs w:val="0"/>
          <w:color w:val="auto"/>
          <w:sz w:val="24"/>
          <w:szCs w:val="24"/>
        </w:rPr>
        <w:t>（格式自拟，注明响应偏离内容与说明，</w:t>
      </w:r>
      <w:r>
        <w:rPr>
          <w:rFonts w:hint="eastAsia" w:ascii="宋体" w:hAnsi="宋体" w:eastAsia="宋体" w:cs="宋体"/>
          <w:b/>
          <w:bCs/>
          <w:color w:val="auto"/>
          <w:sz w:val="24"/>
          <w:szCs w:val="24"/>
        </w:rPr>
        <w:t>必须提供，未明确偏离或偏离核心需求视为未实质性响应</w:t>
      </w:r>
      <w:r>
        <w:rPr>
          <w:rFonts w:hint="eastAsia" w:ascii="宋体" w:hAnsi="宋体" w:eastAsia="宋体" w:cs="宋体"/>
          <w:b w:val="0"/>
          <w:bCs w:val="0"/>
          <w:color w:val="auto"/>
          <w:sz w:val="24"/>
          <w:szCs w:val="24"/>
        </w:rPr>
        <w:t>）；</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bCs/>
          <w:color w:val="auto"/>
          <w:sz w:val="24"/>
          <w:szCs w:val="24"/>
        </w:rPr>
        <w:t>供应商有效的营业执照复印件</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w:t>
      </w:r>
      <w:r>
        <w:rPr>
          <w:rFonts w:hint="eastAsia" w:ascii="宋体" w:hAnsi="宋体" w:eastAsia="宋体" w:cs="宋体"/>
          <w:b w:val="0"/>
          <w:bCs w:val="0"/>
          <w:color w:val="auto"/>
          <w:sz w:val="24"/>
          <w:szCs w:val="24"/>
        </w:rPr>
        <w:t>，需年检合格，经营范围包含物业管理服务，无相关经营范围视为无效）；</w:t>
      </w:r>
    </w:p>
    <w:p w14:paraId="32E4138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eastAsia="宋体" w:cs="宋体"/>
          <w:b/>
          <w:bCs/>
          <w:color w:val="auto"/>
          <w:sz w:val="24"/>
          <w:szCs w:val="24"/>
        </w:rPr>
        <w:t>提供2024年度财务报表</w:t>
      </w:r>
      <w:r>
        <w:rPr>
          <w:rFonts w:hint="eastAsia" w:ascii="宋体" w:hAnsi="宋体" w:eastAsia="宋体" w:cs="宋体"/>
          <w:b w:val="0"/>
          <w:bCs w:val="0"/>
          <w:color w:val="auto"/>
          <w:sz w:val="24"/>
          <w:szCs w:val="24"/>
        </w:rPr>
        <w:t>。新成立单位据实提供（</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1ED44CB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bCs/>
          <w:color w:val="auto"/>
          <w:sz w:val="24"/>
          <w:szCs w:val="24"/>
          <w:lang w:eastAsia="zh-CN"/>
        </w:rPr>
        <w:t>纳税证明：</w:t>
      </w:r>
      <w:r>
        <w:rPr>
          <w:rFonts w:hint="eastAsia" w:ascii="宋体" w:hAnsi="宋体" w:cs="宋体"/>
          <w:b w:val="0"/>
          <w:bCs w:val="0"/>
          <w:color w:val="auto"/>
          <w:sz w:val="24"/>
          <w:szCs w:val="24"/>
          <w:lang w:eastAsia="zh-CN"/>
        </w:rPr>
        <w:t>响应文件递交截止之日前半年内依法缴纳税费或依法免缴税费的证明复印件；无纳税记录的，需提供供应商所在地主管税务部门出具的《依法纳税或依法免税证明》复印件</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3D8A506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bCs/>
          <w:color w:val="auto"/>
          <w:sz w:val="24"/>
          <w:szCs w:val="24"/>
          <w:lang w:eastAsia="zh-CN"/>
        </w:rPr>
        <w:t>社保缴费证明：</w:t>
      </w:r>
      <w:r>
        <w:rPr>
          <w:rFonts w:hint="eastAsia" w:ascii="宋体" w:hAnsi="宋体" w:cs="宋体"/>
          <w:b w:val="0"/>
          <w:bCs w:val="0"/>
          <w:color w:val="auto"/>
          <w:sz w:val="24"/>
          <w:szCs w:val="24"/>
          <w:lang w:eastAsia="zh-CN"/>
        </w:rPr>
        <w:t>2025 年 1 月至 2025 年 10 月内连续 3 个月依法缴纳社会保障资金的缴费凭证复印件；无缴费记录的，需提供供应商所在地社保部门出具的《依法缴纳或依法免缴社保费证明》复印件</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1B8F35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r>
        <w:rPr>
          <w:rFonts w:hint="eastAsia" w:ascii="宋体" w:hAnsi="宋体" w:eastAsia="宋体" w:cs="宋体"/>
          <w:b/>
          <w:bCs/>
          <w:color w:val="auto"/>
          <w:sz w:val="24"/>
          <w:szCs w:val="24"/>
        </w:rPr>
        <w:t>报价表</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格式自拟，需明确单价、总价及各项费用构成（人员工资、社保、工具费等，</w:t>
      </w:r>
      <w:r>
        <w:rPr>
          <w:rFonts w:hint="eastAsia" w:ascii="宋体" w:hAnsi="宋体" w:cs="宋体"/>
          <w:b/>
          <w:bCs/>
          <w:color w:val="auto"/>
          <w:sz w:val="24"/>
          <w:szCs w:val="24"/>
          <w:lang w:val="en-US" w:eastAsia="zh-CN"/>
        </w:rPr>
        <w:t>必须提供，</w:t>
      </w:r>
      <w:r>
        <w:rPr>
          <w:rFonts w:hint="eastAsia" w:ascii="宋体" w:hAnsi="宋体" w:cs="宋体"/>
          <w:b w:val="0"/>
          <w:bCs w:val="0"/>
          <w:color w:val="auto"/>
          <w:sz w:val="24"/>
          <w:szCs w:val="24"/>
          <w:lang w:val="en-US" w:eastAsia="zh-CN"/>
        </w:rPr>
        <w:t>构成模糊视为无效）</w:t>
      </w:r>
      <w:r>
        <w:rPr>
          <w:rFonts w:hint="eastAsia" w:ascii="宋体" w:hAnsi="宋体" w:eastAsia="宋体" w:cs="宋体"/>
          <w:b w:val="0"/>
          <w:bCs w:val="0"/>
          <w:color w:val="auto"/>
          <w:sz w:val="24"/>
          <w:szCs w:val="24"/>
        </w:rPr>
        <w:t>；</w:t>
      </w:r>
    </w:p>
    <w:p w14:paraId="49707615">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7.拟派驻服务人员名单及资料（</w:t>
      </w:r>
      <w:r>
        <w:rPr>
          <w:rFonts w:hint="eastAsia" w:ascii="宋体" w:hAnsi="宋体" w:cs="宋体"/>
          <w:b w:val="0"/>
          <w:bCs w:val="0"/>
          <w:color w:val="auto"/>
          <w:sz w:val="24"/>
          <w:szCs w:val="24"/>
          <w:lang w:eastAsia="zh-CN"/>
        </w:rPr>
        <w:t>按人员配置要求</w:t>
      </w:r>
      <w:r>
        <w:rPr>
          <w:rFonts w:hint="eastAsia" w:ascii="宋体" w:hAnsi="宋体" w:eastAsia="宋体" w:cs="宋体"/>
          <w:b w:val="0"/>
          <w:bCs w:val="0"/>
          <w:color w:val="auto"/>
          <w:sz w:val="24"/>
          <w:szCs w:val="24"/>
        </w:rPr>
        <w:t>附相关证书复印件）（</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669A967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8.参加政府采购活动前三年内在经营活动中没有重大违法记录的书面声明。（格式自拟，</w:t>
      </w:r>
      <w:r>
        <w:rPr>
          <w:rFonts w:hint="eastAsia" w:ascii="宋体" w:hAnsi="宋体" w:eastAsia="宋体" w:cs="宋体"/>
          <w:b/>
          <w:bCs/>
          <w:color w:val="auto"/>
          <w:sz w:val="24"/>
          <w:szCs w:val="24"/>
        </w:rPr>
        <w:t>必须提供，</w:t>
      </w:r>
      <w:r>
        <w:rPr>
          <w:rFonts w:hint="eastAsia" w:ascii="宋体" w:hAnsi="宋体" w:eastAsia="宋体" w:cs="宋体"/>
          <w:b w:val="0"/>
          <w:bCs w:val="0"/>
          <w:color w:val="auto"/>
          <w:sz w:val="24"/>
          <w:szCs w:val="24"/>
        </w:rPr>
        <w:t>否则响应文件按无效响应处理）；</w:t>
      </w:r>
    </w:p>
    <w:p w14:paraId="1F506C91">
      <w:pPr>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9.提供响应文件递交截止日前 7 天内的以下平台查询结果（</w:t>
      </w:r>
      <w:r>
        <w:rPr>
          <w:rFonts w:hint="eastAsia" w:ascii="宋体" w:hAnsi="宋体" w:cs="宋体"/>
          <w:b/>
          <w:bCs/>
          <w:color w:val="auto"/>
          <w:sz w:val="24"/>
          <w:szCs w:val="24"/>
          <w:lang w:val="en-US" w:eastAsia="zh-CN"/>
        </w:rPr>
        <w:t>必须提供</w:t>
      </w:r>
      <w:r>
        <w:rPr>
          <w:rFonts w:hint="eastAsia" w:ascii="宋体" w:hAnsi="宋体" w:cs="宋体"/>
          <w:b w:val="0"/>
          <w:bCs w:val="0"/>
          <w:color w:val="auto"/>
          <w:sz w:val="24"/>
          <w:szCs w:val="24"/>
          <w:lang w:val="en-US" w:eastAsia="zh-CN"/>
        </w:rPr>
        <w:t>，有失信记录视为无效）</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9.3“国家企业信用信息公示系统”：行政处罚信息、经营异常名录、严重违法失信名单。</w:t>
      </w:r>
    </w:p>
    <w:p w14:paraId="3807D1EF">
      <w:pPr>
        <w:spacing w:line="360" w:lineRule="auto"/>
        <w:ind w:firstLine="480" w:firstLineChars="20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cs="宋体"/>
          <w:b w:val="0"/>
          <w:bCs w:val="0"/>
          <w:color w:val="auto"/>
          <w:sz w:val="24"/>
          <w:szCs w:val="24"/>
          <w:lang w:eastAsia="zh-CN"/>
        </w:rPr>
        <w:t>类似项目业绩：</w:t>
      </w:r>
      <w:r>
        <w:rPr>
          <w:rFonts w:hint="eastAsia" w:ascii="宋体" w:hAnsi="宋体" w:cs="宋体"/>
          <w:b w:val="0"/>
          <w:bCs w:val="0"/>
          <w:color w:val="auto"/>
          <w:sz w:val="24"/>
          <w:szCs w:val="24"/>
          <w:lang w:eastAsia="zh-CN"/>
        </w:rPr>
        <w:t>近三年内完成过至少 3 个类似项目，且单个合同金额不低于</w:t>
      </w: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eastAsia="zh-CN"/>
        </w:rPr>
        <w:t>万元。（</w:t>
      </w:r>
      <w:r>
        <w:rPr>
          <w:rFonts w:hint="eastAsia" w:ascii="宋体" w:hAnsi="宋体" w:cs="宋体"/>
          <w:b/>
          <w:bCs/>
          <w:color w:val="auto"/>
          <w:sz w:val="24"/>
          <w:szCs w:val="24"/>
          <w:lang w:eastAsia="zh-CN"/>
        </w:rPr>
        <w:t>必须提供</w:t>
      </w:r>
      <w:r>
        <w:rPr>
          <w:rFonts w:hint="eastAsia" w:ascii="宋体" w:hAnsi="宋体" w:cs="宋体"/>
          <w:b w:val="0"/>
          <w:bCs w:val="0"/>
          <w:color w:val="auto"/>
          <w:sz w:val="24"/>
          <w:szCs w:val="24"/>
          <w:lang w:eastAsia="zh-CN"/>
        </w:rPr>
        <w:t>，否则响应文件按无效响应处理）。</w:t>
      </w:r>
    </w:p>
    <w:p w14:paraId="3FC2A0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.供应商认为需要提供的其他文件。注： 以上标明“必须提供 ”的材料文件，</w:t>
      </w:r>
      <w:r>
        <w:rPr>
          <w:rFonts w:hint="eastAsia" w:ascii="宋体" w:hAnsi="宋体" w:eastAsia="宋体" w:cs="宋体"/>
          <w:b/>
          <w:bCs/>
          <w:color w:val="auto"/>
          <w:sz w:val="24"/>
          <w:szCs w:val="24"/>
        </w:rPr>
        <w:t>必须加盖供应商签章，否则响应文件作无效处理。</w:t>
      </w:r>
    </w:p>
    <w:p w14:paraId="080B932D">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679E3702">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6F44272D">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三</w:t>
      </w:r>
      <w:r>
        <w:rPr>
          <w:rFonts w:hint="eastAsia" w:ascii="宋体" w:hAnsi="宋体" w:eastAsia="宋体" w:cs="宋体"/>
          <w:color w:val="auto"/>
          <w:kern w:val="2"/>
          <w:sz w:val="24"/>
          <w:szCs w:val="24"/>
          <w:lang w:val="en-US" w:eastAsia="zh-CN" w:bidi="ar-SA"/>
        </w:rPr>
        <w:t>）供应商上传的响应文件必须加盖单位公章，以PDF格式进行上传，内容必须清晰可见，否则竞标无效。供应商参与在线询价时，应在响应文件中提交完全符合询价资格条件的证书复印件，供应商没有按照本项目询价公告要求提供全部资料，或者供应商没有对上述采购需求的所有内容作出实质性响应的，其竞标无效。</w:t>
      </w:r>
    </w:p>
    <w:p w14:paraId="50316789">
      <w:pPr>
        <w:spacing w:line="360" w:lineRule="auto"/>
        <w:ind w:firstLine="480" w:firstLineChars="200"/>
        <w:rPr>
          <w:rFonts w:hint="eastAsia" w:ascii="宋体" w:hAnsi="宋体" w:eastAsia="宋体" w:cs="宋体"/>
          <w:color w:val="auto"/>
          <w:kern w:val="2"/>
          <w:sz w:val="24"/>
          <w:szCs w:val="24"/>
          <w:lang w:val="en-US" w:eastAsia="zh-CN" w:bidi="ar-SA"/>
        </w:rPr>
      </w:pPr>
    </w:p>
    <w:p w14:paraId="5B08C159">
      <w:pPr>
        <w:spacing w:line="360" w:lineRule="auto"/>
        <w:ind w:firstLine="480" w:firstLineChars="200"/>
        <w:rPr>
          <w:rFonts w:hint="eastAsia" w:ascii="宋体" w:hAnsi="宋体" w:eastAsia="宋体" w:cs="宋体"/>
          <w:color w:val="auto"/>
          <w:kern w:val="2"/>
          <w:sz w:val="24"/>
          <w:szCs w:val="24"/>
          <w:lang w:val="en-US" w:eastAsia="zh-CN" w:bidi="ar-SA"/>
        </w:rPr>
      </w:pPr>
    </w:p>
    <w:p w14:paraId="32A85680">
      <w:pPr>
        <w:spacing w:line="360" w:lineRule="auto"/>
        <w:ind w:firstLine="480" w:firstLineChars="200"/>
        <w:rPr>
          <w:rFonts w:hint="eastAsia" w:ascii="宋体" w:hAnsi="宋体" w:eastAsia="宋体" w:cs="宋体"/>
          <w:color w:val="auto"/>
          <w:kern w:val="2"/>
          <w:sz w:val="24"/>
          <w:szCs w:val="24"/>
          <w:lang w:val="en-US" w:eastAsia="zh-CN" w:bidi="ar-SA"/>
        </w:rPr>
      </w:pPr>
    </w:p>
    <w:p w14:paraId="4A9B2262">
      <w:pPr>
        <w:spacing w:line="360" w:lineRule="auto"/>
        <w:ind w:firstLine="480" w:firstLineChars="200"/>
        <w:rPr>
          <w:rFonts w:hint="eastAsia" w:ascii="宋体" w:hAnsi="宋体" w:eastAsia="宋体" w:cs="宋体"/>
          <w:color w:val="auto"/>
          <w:kern w:val="2"/>
          <w:sz w:val="24"/>
          <w:szCs w:val="24"/>
          <w:lang w:val="en-US" w:eastAsia="zh-CN" w:bidi="ar-SA"/>
        </w:rPr>
      </w:pPr>
    </w:p>
    <w:p w14:paraId="7D55A402">
      <w:pPr>
        <w:spacing w:line="360" w:lineRule="auto"/>
        <w:ind w:firstLine="480" w:firstLineChars="200"/>
        <w:rPr>
          <w:rFonts w:hint="eastAsia" w:ascii="宋体" w:hAnsi="宋体" w:eastAsia="宋体" w:cs="宋体"/>
          <w:color w:val="auto"/>
          <w:kern w:val="2"/>
          <w:sz w:val="24"/>
          <w:szCs w:val="24"/>
          <w:lang w:val="en-US" w:eastAsia="zh-CN" w:bidi="ar-SA"/>
        </w:rPr>
      </w:pPr>
    </w:p>
    <w:p w14:paraId="63529DE7">
      <w:pPr>
        <w:spacing w:line="360" w:lineRule="auto"/>
        <w:ind w:firstLine="480" w:firstLineChars="200"/>
        <w:rPr>
          <w:rFonts w:hint="eastAsia" w:ascii="宋体" w:hAnsi="宋体" w:eastAsia="宋体" w:cs="宋体"/>
          <w:color w:val="auto"/>
          <w:kern w:val="2"/>
          <w:sz w:val="24"/>
          <w:szCs w:val="24"/>
          <w:lang w:val="en-US" w:eastAsia="zh-CN" w:bidi="ar-SA"/>
        </w:rPr>
      </w:pPr>
    </w:p>
    <w:p w14:paraId="1BA9D3FD">
      <w:pPr>
        <w:spacing w:line="360" w:lineRule="auto"/>
        <w:ind w:firstLine="480" w:firstLineChars="200"/>
        <w:rPr>
          <w:rFonts w:hint="eastAsia" w:ascii="宋体" w:hAnsi="宋体" w:eastAsia="宋体" w:cs="宋体"/>
          <w:color w:val="auto"/>
          <w:kern w:val="2"/>
          <w:sz w:val="24"/>
          <w:szCs w:val="24"/>
          <w:lang w:val="en-US" w:eastAsia="zh-CN" w:bidi="ar-SA"/>
        </w:rPr>
      </w:pPr>
    </w:p>
    <w:p w14:paraId="2CAC4FC3">
      <w:pPr>
        <w:spacing w:line="360" w:lineRule="auto"/>
        <w:ind w:firstLine="480" w:firstLineChars="200"/>
        <w:rPr>
          <w:rFonts w:hint="eastAsia" w:ascii="宋体" w:hAnsi="宋体" w:eastAsia="宋体" w:cs="宋体"/>
          <w:color w:val="auto"/>
          <w:kern w:val="2"/>
          <w:sz w:val="24"/>
          <w:szCs w:val="24"/>
          <w:lang w:val="en-US" w:eastAsia="zh-CN" w:bidi="ar-SA"/>
        </w:rPr>
      </w:pPr>
    </w:p>
    <w:p w14:paraId="7542DD70">
      <w:pPr>
        <w:spacing w:line="360" w:lineRule="auto"/>
        <w:ind w:firstLine="480" w:firstLineChars="200"/>
        <w:rPr>
          <w:rFonts w:hint="eastAsia" w:ascii="宋体" w:hAnsi="宋体" w:eastAsia="宋体" w:cs="宋体"/>
          <w:color w:val="auto"/>
          <w:kern w:val="2"/>
          <w:sz w:val="24"/>
          <w:szCs w:val="24"/>
          <w:lang w:val="en-US" w:eastAsia="zh-CN" w:bidi="ar-SA"/>
        </w:rPr>
      </w:pPr>
    </w:p>
    <w:p w14:paraId="1E1759EB">
      <w:pPr>
        <w:spacing w:line="360" w:lineRule="auto"/>
        <w:ind w:firstLine="480" w:firstLineChars="200"/>
        <w:rPr>
          <w:rFonts w:hint="eastAsia" w:ascii="宋体" w:hAnsi="宋体" w:eastAsia="宋体" w:cs="宋体"/>
          <w:color w:val="auto"/>
          <w:kern w:val="2"/>
          <w:sz w:val="24"/>
          <w:szCs w:val="24"/>
          <w:lang w:val="en-US" w:eastAsia="zh-CN" w:bidi="ar-SA"/>
        </w:rPr>
      </w:pPr>
    </w:p>
    <w:p w14:paraId="4CF85A26">
      <w:pPr>
        <w:spacing w:line="360" w:lineRule="auto"/>
        <w:ind w:firstLine="480" w:firstLineChars="200"/>
        <w:rPr>
          <w:rFonts w:hint="eastAsia" w:ascii="宋体" w:hAnsi="宋体" w:eastAsia="宋体" w:cs="宋体"/>
          <w:color w:val="auto"/>
          <w:kern w:val="2"/>
          <w:sz w:val="24"/>
          <w:szCs w:val="24"/>
          <w:lang w:val="en-US" w:eastAsia="zh-CN" w:bidi="ar-SA"/>
        </w:rPr>
      </w:pPr>
    </w:p>
    <w:p w14:paraId="1D95F435">
      <w:pPr>
        <w:spacing w:line="360" w:lineRule="auto"/>
        <w:ind w:firstLine="480" w:firstLineChars="200"/>
        <w:rPr>
          <w:rFonts w:hint="eastAsia" w:ascii="宋体" w:hAnsi="宋体" w:eastAsia="宋体" w:cs="宋体"/>
          <w:color w:val="auto"/>
          <w:kern w:val="2"/>
          <w:sz w:val="24"/>
          <w:szCs w:val="24"/>
          <w:lang w:val="en-US" w:eastAsia="zh-CN" w:bidi="ar-SA"/>
        </w:rPr>
      </w:pPr>
    </w:p>
    <w:p w14:paraId="7FADA1F2">
      <w:pPr>
        <w:spacing w:line="360" w:lineRule="auto"/>
        <w:ind w:firstLine="480" w:firstLineChars="200"/>
        <w:rPr>
          <w:rFonts w:hint="eastAsia" w:ascii="宋体" w:hAnsi="宋体" w:eastAsia="宋体" w:cs="宋体"/>
          <w:color w:val="auto"/>
          <w:kern w:val="2"/>
          <w:sz w:val="24"/>
          <w:szCs w:val="24"/>
          <w:lang w:val="en-US" w:eastAsia="zh-CN" w:bidi="ar-SA"/>
        </w:rPr>
      </w:pPr>
    </w:p>
    <w:p w14:paraId="1F7E08B3">
      <w:pPr>
        <w:spacing w:line="360" w:lineRule="auto"/>
        <w:ind w:firstLine="480" w:firstLineChars="200"/>
        <w:rPr>
          <w:rFonts w:hint="eastAsia" w:ascii="宋体" w:hAnsi="宋体" w:eastAsia="宋体" w:cs="宋体"/>
          <w:color w:val="auto"/>
          <w:kern w:val="2"/>
          <w:sz w:val="24"/>
          <w:szCs w:val="24"/>
          <w:lang w:val="en-US" w:eastAsia="zh-CN" w:bidi="ar-SA"/>
        </w:rPr>
      </w:pPr>
    </w:p>
    <w:p w14:paraId="0C8F2DFB">
      <w:pPr>
        <w:spacing w:line="360" w:lineRule="auto"/>
        <w:ind w:firstLine="480" w:firstLineChars="200"/>
        <w:rPr>
          <w:rFonts w:hint="eastAsia" w:ascii="宋体" w:hAnsi="宋体" w:eastAsia="宋体" w:cs="宋体"/>
          <w:color w:val="auto"/>
          <w:kern w:val="2"/>
          <w:sz w:val="24"/>
          <w:szCs w:val="24"/>
          <w:lang w:val="en-US" w:eastAsia="zh-CN" w:bidi="ar-SA"/>
        </w:rPr>
      </w:pPr>
    </w:p>
    <w:p w14:paraId="25AE499A">
      <w:pPr>
        <w:spacing w:line="360" w:lineRule="auto"/>
        <w:ind w:firstLine="480" w:firstLineChars="200"/>
        <w:rPr>
          <w:rFonts w:hint="eastAsia" w:ascii="宋体" w:hAnsi="宋体" w:eastAsia="宋体" w:cs="宋体"/>
          <w:color w:val="auto"/>
          <w:kern w:val="2"/>
          <w:sz w:val="24"/>
          <w:szCs w:val="24"/>
          <w:lang w:val="en-US" w:eastAsia="zh-CN" w:bidi="ar-SA"/>
        </w:rPr>
      </w:pPr>
    </w:p>
    <w:p w14:paraId="40088F4E">
      <w:pPr>
        <w:spacing w:line="360" w:lineRule="auto"/>
        <w:ind w:firstLine="480" w:firstLineChars="200"/>
        <w:rPr>
          <w:rFonts w:hint="eastAsia" w:ascii="宋体" w:hAnsi="宋体" w:eastAsia="宋体" w:cs="宋体"/>
          <w:color w:val="auto"/>
          <w:kern w:val="2"/>
          <w:sz w:val="24"/>
          <w:szCs w:val="24"/>
          <w:lang w:val="en-US" w:eastAsia="zh-CN" w:bidi="ar-SA"/>
        </w:rPr>
      </w:pPr>
    </w:p>
    <w:p w14:paraId="390553BF">
      <w:pPr>
        <w:tabs>
          <w:tab w:val="left" w:pos="3479"/>
        </w:tabs>
        <w:spacing w:line="520" w:lineRule="exact"/>
        <w:jc w:val="center"/>
        <w:rPr>
          <w:rFonts w:hint="eastAsia" w:ascii="宋体" w:hAnsi="宋体" w:eastAsia="宋体" w:cs="宋体"/>
          <w:color w:val="000000"/>
          <w:sz w:val="32"/>
          <w:szCs w:val="32"/>
        </w:rPr>
      </w:pPr>
      <w:r>
        <w:rPr>
          <w:rFonts w:hint="eastAsia" w:ascii="宋体" w:hAnsi="宋体" w:eastAsia="宋体" w:cs="宋体"/>
          <w:color w:val="000000"/>
          <w:sz w:val="44"/>
          <w:szCs w:val="44"/>
        </w:rPr>
        <w:t xml:space="preserve"> </w:t>
      </w:r>
      <w:r>
        <w:rPr>
          <w:rFonts w:hint="eastAsia" w:ascii="宋体" w:hAnsi="宋体" w:eastAsia="宋体" w:cs="宋体"/>
          <w:b/>
          <w:bCs/>
          <w:color w:val="000000"/>
          <w:sz w:val="44"/>
          <w:szCs w:val="44"/>
        </w:rPr>
        <w:t>报  价  表</w:t>
      </w:r>
    </w:p>
    <w:p w14:paraId="3D316FB7">
      <w:pPr>
        <w:spacing w:line="520" w:lineRule="exact"/>
        <w:jc w:val="center"/>
        <w:rPr>
          <w:rFonts w:hint="eastAsia" w:ascii="宋体" w:hAnsi="宋体" w:eastAsia="宋体" w:cs="宋体"/>
          <w:color w:val="000000"/>
          <w:sz w:val="32"/>
          <w:szCs w:val="32"/>
        </w:rPr>
      </w:pPr>
    </w:p>
    <w:p w14:paraId="1ACBED24">
      <w:pPr>
        <w:snapToGrid w:val="0"/>
        <w:spacing w:before="50" w:after="50" w:line="360" w:lineRule="auto"/>
        <w:rPr>
          <w:rFonts w:hint="eastAsia" w:ascii="宋体" w:hAnsi="宋体" w:eastAsia="宋体" w:cs="宋体"/>
          <w:color w:val="000000"/>
          <w:sz w:val="24"/>
        </w:rPr>
      </w:pPr>
      <w:bookmarkStart w:id="0" w:name="_Hlk48036220"/>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1986E2A0">
      <w:pPr>
        <w:snapToGrid w:val="0"/>
        <w:spacing w:before="50" w:after="50" w:line="360" w:lineRule="auto"/>
        <w:rPr>
          <w:rFonts w:hint="eastAsia" w:ascii="宋体" w:hAnsi="宋体" w:eastAsia="宋体" w:cs="宋体"/>
          <w:color w:val="000000"/>
          <w:sz w:val="24"/>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67EEC6E3">
      <w:pPr>
        <w:snapToGrid w:val="0"/>
        <w:spacing w:before="50" w:after="50" w:line="360" w:lineRule="auto"/>
        <w:ind w:firstLine="7080" w:firstLineChars="2950"/>
        <w:rPr>
          <w:rFonts w:hint="eastAsia" w:ascii="宋体" w:hAnsi="宋体" w:eastAsia="宋体" w:cs="宋体"/>
          <w:color w:val="000000"/>
          <w:sz w:val="24"/>
        </w:rPr>
      </w:pPr>
      <w:r>
        <w:rPr>
          <w:rFonts w:hint="eastAsia" w:ascii="宋体" w:hAnsi="宋体" w:eastAsia="宋体" w:cs="宋体"/>
          <w:color w:val="000000"/>
          <w:sz w:val="24"/>
        </w:rPr>
        <w:t>单位：元</w:t>
      </w:r>
    </w:p>
    <w:tbl>
      <w:tblPr>
        <w:tblStyle w:val="11"/>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1DC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21C577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0555837">
            <w:pPr>
              <w:spacing w:line="360" w:lineRule="auto"/>
              <w:jc w:val="center"/>
              <w:rPr>
                <w:rFonts w:hint="eastAsia" w:ascii="宋体" w:hAnsi="宋体" w:eastAsia="宋体" w:cs="宋体"/>
                <w:color w:val="000000"/>
                <w:sz w:val="24"/>
              </w:rPr>
            </w:pPr>
            <w:r>
              <w:rPr>
                <w:rFonts w:hint="eastAsia" w:ascii="宋体" w:hAnsi="宋体" w:eastAsia="宋体" w:cs="宋体"/>
                <w:b/>
                <w:color w:val="000000"/>
                <w:sz w:val="24"/>
              </w:rPr>
              <w:t>项目名称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704AEF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EF3FA3D">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5A93EE9">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7DE8B2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7EA01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408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8EBC1A2">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60F1DDB">
            <w:pPr>
              <w:spacing w:line="360" w:lineRule="auto"/>
              <w:jc w:val="center"/>
              <w:rPr>
                <w:rFonts w:hint="eastAsia" w:ascii="宋体" w:hAnsi="宋体" w:eastAsia="宋体" w:cs="宋体"/>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0E3F5A55">
            <w:pPr>
              <w:spacing w:line="360" w:lineRule="auto"/>
              <w:jc w:val="center"/>
              <w:rPr>
                <w:rFonts w:hint="eastAsia" w:ascii="宋体" w:hAnsi="宋体" w:eastAsia="宋体" w:cs="宋体"/>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3E0A4C32">
            <w:pPr>
              <w:spacing w:line="360" w:lineRule="auto"/>
              <w:rPr>
                <w:rFonts w:hint="eastAsia" w:ascii="宋体" w:hAnsi="宋体" w:eastAsia="宋体" w:cs="宋体"/>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C7CD272">
            <w:pPr>
              <w:spacing w:line="360" w:lineRule="auto"/>
              <w:rPr>
                <w:rFonts w:hint="eastAsia" w:ascii="宋体" w:hAnsi="宋体" w:eastAsia="宋体" w:cs="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12BE1745">
            <w:pPr>
              <w:spacing w:line="360" w:lineRule="auto"/>
              <w:rPr>
                <w:rFonts w:hint="eastAsia" w:ascii="宋体" w:hAnsi="宋体" w:eastAsia="宋体" w:cs="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6F19861">
            <w:pPr>
              <w:spacing w:line="360" w:lineRule="auto"/>
              <w:rPr>
                <w:rFonts w:hint="eastAsia" w:ascii="宋体" w:hAnsi="宋体" w:eastAsia="宋体" w:cs="宋体"/>
                <w:color w:val="000000"/>
                <w:sz w:val="24"/>
              </w:rPr>
            </w:pPr>
          </w:p>
        </w:tc>
      </w:tr>
      <w:tr w14:paraId="485D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C6044D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02465CD">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73602772">
            <w:pPr>
              <w:spacing w:line="360" w:lineRule="auto"/>
              <w:jc w:val="center"/>
              <w:rPr>
                <w:rFonts w:hint="eastAsia" w:ascii="宋体" w:hAnsi="宋体" w:eastAsia="宋体" w:cs="宋体"/>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24531AAC">
            <w:pPr>
              <w:spacing w:line="360" w:lineRule="auto"/>
              <w:rPr>
                <w:rFonts w:hint="eastAsia" w:ascii="宋体" w:hAnsi="宋体" w:eastAsia="宋体" w:cs="宋体"/>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6B10436D">
            <w:pPr>
              <w:spacing w:line="360" w:lineRule="auto"/>
              <w:rPr>
                <w:rFonts w:hint="eastAsia" w:ascii="宋体" w:hAnsi="宋体" w:eastAsia="宋体" w:cs="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39D7940D">
            <w:pPr>
              <w:spacing w:line="360" w:lineRule="auto"/>
              <w:rPr>
                <w:rFonts w:hint="eastAsia" w:ascii="宋体" w:hAnsi="宋体" w:eastAsia="宋体" w:cs="宋体"/>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12DB070">
            <w:pPr>
              <w:spacing w:line="360" w:lineRule="auto"/>
              <w:rPr>
                <w:rFonts w:hint="eastAsia" w:ascii="宋体" w:hAnsi="宋体" w:eastAsia="宋体" w:cs="宋体"/>
                <w:color w:val="000000"/>
                <w:sz w:val="24"/>
              </w:rPr>
            </w:pPr>
          </w:p>
        </w:tc>
      </w:tr>
      <w:tr w14:paraId="0FE1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130D8569">
            <w:pPr>
              <w:snapToGrid w:val="0"/>
              <w:spacing w:before="50" w:after="50" w:line="360" w:lineRule="auto"/>
              <w:rPr>
                <w:rFonts w:hint="eastAsia" w:ascii="宋体" w:hAnsi="宋体" w:eastAsia="宋体" w:cs="宋体"/>
                <w:color w:val="000000"/>
                <w:sz w:val="24"/>
              </w:rPr>
            </w:pPr>
            <w:r>
              <w:rPr>
                <w:rFonts w:hint="eastAsia" w:ascii="宋体" w:hAnsi="宋体" w:eastAsia="宋体" w:cs="宋体"/>
                <w:color w:val="000000"/>
                <w:sz w:val="24"/>
              </w:rPr>
              <w:t>合计金额大写：人民币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tc>
      </w:tr>
      <w:tr w14:paraId="5FCF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1B94BE01">
            <w:pPr>
              <w:snapToGrid w:val="0"/>
              <w:spacing w:before="50" w:after="50"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服务期限：</w:t>
            </w:r>
            <w:r>
              <w:rPr>
                <w:rFonts w:hint="eastAsia" w:ascii="宋体" w:hAnsi="宋体" w:eastAsia="宋体" w:cs="宋体"/>
                <w:color w:val="000000"/>
                <w:sz w:val="24"/>
                <w:lang w:val="en-US" w:eastAsia="zh-CN"/>
              </w:rPr>
              <w:t>1年（具体起止时间以合同签订为准）</w:t>
            </w:r>
          </w:p>
        </w:tc>
      </w:tr>
    </w:tbl>
    <w:p w14:paraId="5F0F4A34">
      <w:pPr>
        <w:spacing w:line="360" w:lineRule="auto"/>
        <w:contextualSpacing/>
        <w:jc w:val="left"/>
        <w:rPr>
          <w:rFonts w:hint="eastAsia" w:ascii="宋体" w:hAnsi="宋体" w:eastAsia="宋体" w:cs="宋体"/>
          <w:color w:val="000000"/>
          <w:sz w:val="24"/>
        </w:rPr>
      </w:pPr>
      <w:r>
        <w:rPr>
          <w:rFonts w:hint="eastAsia" w:ascii="宋体" w:hAnsi="宋体" w:eastAsia="宋体" w:cs="宋体"/>
          <w:color w:val="000000"/>
          <w:sz w:val="24"/>
        </w:rPr>
        <w:t xml:space="preserve">注: </w:t>
      </w:r>
    </w:p>
    <w:p w14:paraId="4B232514">
      <w:pPr>
        <w:spacing w:line="360" w:lineRule="auto"/>
        <w:ind w:firstLine="480" w:firstLineChars="200"/>
        <w:contextualSpacing/>
        <w:jc w:val="left"/>
        <w:rPr>
          <w:rFonts w:hint="eastAsia" w:ascii="宋体" w:hAnsi="宋体" w:eastAsia="宋体" w:cs="宋体"/>
          <w:color w:val="000000"/>
          <w:sz w:val="24"/>
        </w:rPr>
      </w:pPr>
      <w:r>
        <w:rPr>
          <w:rFonts w:hint="eastAsia" w:ascii="宋体" w:hAnsi="宋体" w:eastAsia="宋体" w:cs="宋体"/>
          <w:color w:val="000000"/>
          <w:sz w:val="24"/>
        </w:rPr>
        <w:t>1.供应商的报价表必须加盖供应商公章</w:t>
      </w:r>
      <w:r>
        <w:rPr>
          <w:rFonts w:hint="eastAsia" w:ascii="宋体" w:hAnsi="宋体" w:eastAsia="宋体" w:cs="宋体"/>
          <w:b/>
          <w:color w:val="000000"/>
          <w:sz w:val="24"/>
        </w:rPr>
        <w:t>否则其响应文件按无效响应处理</w:t>
      </w:r>
      <w:r>
        <w:rPr>
          <w:rFonts w:hint="eastAsia" w:ascii="宋体" w:hAnsi="宋体" w:eastAsia="宋体" w:cs="宋体"/>
          <w:color w:val="000000"/>
          <w:sz w:val="24"/>
        </w:rPr>
        <w:t>。</w:t>
      </w:r>
    </w:p>
    <w:p w14:paraId="572339DA">
      <w:pPr>
        <w:spacing w:line="360" w:lineRule="auto"/>
        <w:ind w:firstLine="480" w:firstLineChars="200"/>
        <w:contextualSpacing/>
        <w:jc w:val="left"/>
        <w:rPr>
          <w:rFonts w:hint="eastAsia" w:ascii="宋体" w:hAnsi="宋体" w:eastAsia="宋体" w:cs="宋体"/>
          <w:b/>
          <w:color w:val="000000"/>
          <w:sz w:val="24"/>
        </w:rPr>
      </w:pPr>
      <w:r>
        <w:rPr>
          <w:rFonts w:hint="eastAsia" w:ascii="宋体" w:hAnsi="宋体" w:eastAsia="宋体" w:cs="宋体"/>
          <w:color w:val="000000"/>
          <w:sz w:val="24"/>
        </w:rPr>
        <w:t>2.报价一经涂改，应在涂改处加盖供应商公章</w:t>
      </w:r>
      <w:r>
        <w:rPr>
          <w:rFonts w:hint="eastAsia" w:ascii="宋体" w:hAnsi="宋体" w:eastAsia="宋体" w:cs="宋体"/>
          <w:color w:val="000000"/>
          <w:sz w:val="24"/>
          <w:lang w:eastAsia="zh-CN"/>
        </w:rPr>
        <w:t>，</w:t>
      </w:r>
      <w:r>
        <w:rPr>
          <w:rFonts w:hint="eastAsia" w:ascii="宋体" w:hAnsi="宋体" w:eastAsia="宋体" w:cs="宋体"/>
          <w:b/>
          <w:color w:val="000000"/>
          <w:sz w:val="24"/>
        </w:rPr>
        <w:t>否则其响应文件按无效响应处理。</w:t>
      </w:r>
    </w:p>
    <w:p w14:paraId="2082D188">
      <w:pPr>
        <w:spacing w:line="360" w:lineRule="auto"/>
        <w:ind w:firstLine="480" w:firstLineChars="200"/>
        <w:contextualSpacing/>
        <w:jc w:val="left"/>
        <w:rPr>
          <w:rFonts w:hint="eastAsia" w:ascii="宋体" w:hAnsi="宋体" w:eastAsia="宋体" w:cs="宋体"/>
          <w:color w:val="000000"/>
          <w:sz w:val="24"/>
        </w:rPr>
      </w:pPr>
      <w:r>
        <w:rPr>
          <w:rFonts w:hint="eastAsia" w:ascii="宋体" w:hAnsi="宋体" w:eastAsia="宋体" w:cs="宋体"/>
          <w:color w:val="000000"/>
          <w:sz w:val="24"/>
        </w:rPr>
        <w:t>3.报价应保留两位小数，</w:t>
      </w:r>
      <w:r>
        <w:rPr>
          <w:rFonts w:hint="eastAsia" w:ascii="宋体" w:hAnsi="宋体" w:eastAsia="宋体" w:cs="宋体"/>
          <w:b/>
          <w:color w:val="000000"/>
          <w:sz w:val="24"/>
        </w:rPr>
        <w:t>否则其响应文件按无效响应处理</w:t>
      </w:r>
      <w:r>
        <w:rPr>
          <w:rFonts w:hint="eastAsia" w:ascii="宋体" w:hAnsi="宋体" w:eastAsia="宋体" w:cs="宋体"/>
          <w:color w:val="000000"/>
          <w:sz w:val="24"/>
        </w:rPr>
        <w:t>。</w:t>
      </w:r>
    </w:p>
    <w:p w14:paraId="72C46E97">
      <w:pPr>
        <w:spacing w:line="360" w:lineRule="auto"/>
        <w:ind w:right="-817" w:rightChars="-389" w:firstLine="2640" w:firstLineChars="1100"/>
        <w:contextualSpacing/>
        <w:rPr>
          <w:rFonts w:hint="eastAsia" w:ascii="宋体" w:hAnsi="宋体" w:eastAsia="宋体" w:cs="宋体"/>
          <w:color w:val="000000"/>
          <w:sz w:val="24"/>
        </w:rPr>
      </w:pPr>
    </w:p>
    <w:p w14:paraId="6F0B8AA7">
      <w:pPr>
        <w:spacing w:line="360" w:lineRule="auto"/>
        <w:ind w:right="-817" w:rightChars="-389" w:firstLine="2640" w:firstLineChars="1100"/>
        <w:contextualSpacing/>
        <w:rPr>
          <w:rFonts w:hint="eastAsia" w:ascii="宋体" w:hAnsi="宋体" w:eastAsia="宋体" w:cs="宋体"/>
          <w:color w:val="000000"/>
          <w:sz w:val="24"/>
        </w:rPr>
      </w:pPr>
    </w:p>
    <w:p w14:paraId="26D73915">
      <w:pPr>
        <w:spacing w:line="360" w:lineRule="auto"/>
        <w:ind w:right="-817" w:rightChars="-389" w:firstLine="2640" w:firstLineChars="1100"/>
        <w:contextualSpacing/>
        <w:rPr>
          <w:rFonts w:hint="eastAsia" w:ascii="宋体" w:hAnsi="宋体" w:eastAsia="宋体" w:cs="宋体"/>
          <w:color w:val="000000"/>
          <w:sz w:val="24"/>
        </w:rPr>
      </w:pPr>
    </w:p>
    <w:p w14:paraId="7FC4D6A0">
      <w:pPr>
        <w:spacing w:line="360" w:lineRule="auto"/>
        <w:ind w:right="-817" w:rightChars="-389" w:firstLine="3960" w:firstLineChars="1650"/>
        <w:contextualSpacing/>
        <w:rPr>
          <w:rFonts w:hint="eastAsia" w:ascii="宋体" w:hAnsi="宋体" w:eastAsia="宋体" w:cs="宋体"/>
          <w:color w:val="000000"/>
          <w:sz w:val="24"/>
        </w:rPr>
      </w:pPr>
      <w:r>
        <w:rPr>
          <w:rFonts w:hint="eastAsia" w:ascii="宋体" w:hAnsi="宋体" w:eastAsia="宋体" w:cs="宋体"/>
          <w:color w:val="000000"/>
          <w:sz w:val="24"/>
        </w:rPr>
        <w:t xml:space="preserve">                    </w:t>
      </w:r>
    </w:p>
    <w:p w14:paraId="74770512">
      <w:pPr>
        <w:spacing w:line="360" w:lineRule="auto"/>
        <w:ind w:right="-817" w:rightChars="-389" w:firstLine="4080" w:firstLineChars="1700"/>
        <w:contextualSpacing/>
        <w:rPr>
          <w:rFonts w:hint="eastAsia" w:ascii="宋体" w:hAnsi="宋体" w:eastAsia="宋体" w:cs="宋体"/>
          <w:color w:val="000000"/>
          <w:sz w:val="24"/>
        </w:rPr>
      </w:pPr>
      <w:r>
        <w:rPr>
          <w:rFonts w:hint="eastAsia" w:ascii="宋体" w:hAnsi="宋体" w:eastAsia="宋体" w:cs="宋体"/>
          <w:color w:val="000000"/>
          <w:sz w:val="24"/>
        </w:rPr>
        <w:t xml:space="preserve">供应商（签章）：      </w:t>
      </w:r>
    </w:p>
    <w:p w14:paraId="2E491FD8">
      <w:pPr>
        <w:spacing w:line="360" w:lineRule="auto"/>
        <w:ind w:right="-817" w:rightChars="-389" w:firstLine="4080" w:firstLineChars="17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rPr>
        <w:t>日期：   年   月   日</w:t>
      </w:r>
      <w:bookmarkEnd w:id="0"/>
    </w:p>
    <w:p w14:paraId="31A8E61E">
      <w:pPr>
        <w:spacing w:line="360" w:lineRule="auto"/>
        <w:ind w:firstLine="480" w:firstLineChars="200"/>
        <w:rPr>
          <w:rFonts w:hint="eastAsia" w:ascii="宋体" w:hAnsi="宋体" w:eastAsia="宋体" w:cs="宋体"/>
          <w:color w:val="auto"/>
          <w:kern w:val="2"/>
          <w:sz w:val="24"/>
          <w:szCs w:val="24"/>
          <w:lang w:val="en-US" w:eastAsia="zh-CN" w:bidi="ar-SA"/>
        </w:rPr>
      </w:pPr>
    </w:p>
    <w:sectPr>
      <w:footerReference r:id="rId3" w:type="default"/>
      <w:pgSz w:w="11906" w:h="16838"/>
      <w:pgMar w:top="820" w:right="1797" w:bottom="9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093450B5"/>
    <w:multiLevelType w:val="singleLevel"/>
    <w:tmpl w:val="093450B5"/>
    <w:lvl w:ilvl="0" w:tentative="0">
      <w:start w:val="1"/>
      <w:numFmt w:val="decimal"/>
      <w:suff w:val="nothing"/>
      <w:lvlText w:val="（%1）"/>
      <w:lvlJc w:val="left"/>
    </w:lvl>
  </w:abstractNum>
  <w:abstractNum w:abstractNumId="2">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4E45813"/>
    <w:rsid w:val="050531F4"/>
    <w:rsid w:val="055E6E53"/>
    <w:rsid w:val="05790336"/>
    <w:rsid w:val="067E0BBE"/>
    <w:rsid w:val="0684105D"/>
    <w:rsid w:val="069C50F1"/>
    <w:rsid w:val="06A62718"/>
    <w:rsid w:val="072916E2"/>
    <w:rsid w:val="0734173C"/>
    <w:rsid w:val="074240D0"/>
    <w:rsid w:val="080953AA"/>
    <w:rsid w:val="08512C9F"/>
    <w:rsid w:val="092F1C11"/>
    <w:rsid w:val="09A03FC2"/>
    <w:rsid w:val="0DE417ED"/>
    <w:rsid w:val="0E2D3866"/>
    <w:rsid w:val="0EF4796D"/>
    <w:rsid w:val="0F655282"/>
    <w:rsid w:val="0FA423B1"/>
    <w:rsid w:val="10667F1C"/>
    <w:rsid w:val="11131E71"/>
    <w:rsid w:val="114F61E9"/>
    <w:rsid w:val="1368553F"/>
    <w:rsid w:val="13CE1647"/>
    <w:rsid w:val="13DB3D64"/>
    <w:rsid w:val="146D0B1E"/>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B70241"/>
    <w:rsid w:val="20CE00EF"/>
    <w:rsid w:val="25AD37B3"/>
    <w:rsid w:val="2879265E"/>
    <w:rsid w:val="28B65451"/>
    <w:rsid w:val="296E7C07"/>
    <w:rsid w:val="299627B0"/>
    <w:rsid w:val="2B546836"/>
    <w:rsid w:val="2B98409C"/>
    <w:rsid w:val="2BA74026"/>
    <w:rsid w:val="2C792640"/>
    <w:rsid w:val="2D1934DC"/>
    <w:rsid w:val="2E3C4CA4"/>
    <w:rsid w:val="30676426"/>
    <w:rsid w:val="30A661AC"/>
    <w:rsid w:val="30FA44EA"/>
    <w:rsid w:val="32AE58F9"/>
    <w:rsid w:val="33010E09"/>
    <w:rsid w:val="338830BA"/>
    <w:rsid w:val="3504046E"/>
    <w:rsid w:val="37C4498C"/>
    <w:rsid w:val="398919E9"/>
    <w:rsid w:val="3C025CDD"/>
    <w:rsid w:val="3C793F97"/>
    <w:rsid w:val="3CAA70B7"/>
    <w:rsid w:val="3CC95186"/>
    <w:rsid w:val="3CD74F51"/>
    <w:rsid w:val="3D4972FF"/>
    <w:rsid w:val="3D874491"/>
    <w:rsid w:val="4171065E"/>
    <w:rsid w:val="42310E70"/>
    <w:rsid w:val="424566C9"/>
    <w:rsid w:val="42975AAB"/>
    <w:rsid w:val="429A3325"/>
    <w:rsid w:val="43882A36"/>
    <w:rsid w:val="44C602C6"/>
    <w:rsid w:val="467852BF"/>
    <w:rsid w:val="46E26BDC"/>
    <w:rsid w:val="46EA2912"/>
    <w:rsid w:val="48D61225"/>
    <w:rsid w:val="4B0F6DC8"/>
    <w:rsid w:val="4D2A1D88"/>
    <w:rsid w:val="4DE120BE"/>
    <w:rsid w:val="4F102BE2"/>
    <w:rsid w:val="4F423342"/>
    <w:rsid w:val="4F773CEF"/>
    <w:rsid w:val="508433D5"/>
    <w:rsid w:val="50DA74C8"/>
    <w:rsid w:val="50DE21C3"/>
    <w:rsid w:val="53397B4D"/>
    <w:rsid w:val="549F28CA"/>
    <w:rsid w:val="54E23EFE"/>
    <w:rsid w:val="5577614A"/>
    <w:rsid w:val="569864A3"/>
    <w:rsid w:val="57823F3E"/>
    <w:rsid w:val="5783023E"/>
    <w:rsid w:val="5A0A0C84"/>
    <w:rsid w:val="5A3F751D"/>
    <w:rsid w:val="5BDB3ECE"/>
    <w:rsid w:val="5CE609FA"/>
    <w:rsid w:val="5E1875E1"/>
    <w:rsid w:val="6002296F"/>
    <w:rsid w:val="6184058B"/>
    <w:rsid w:val="62DE0FD8"/>
    <w:rsid w:val="632830D8"/>
    <w:rsid w:val="64835103"/>
    <w:rsid w:val="6545060B"/>
    <w:rsid w:val="65725B42"/>
    <w:rsid w:val="65B45650"/>
    <w:rsid w:val="69730251"/>
    <w:rsid w:val="69C76052"/>
    <w:rsid w:val="6A51271E"/>
    <w:rsid w:val="6A907BF0"/>
    <w:rsid w:val="6ACD38A3"/>
    <w:rsid w:val="6B071A62"/>
    <w:rsid w:val="6B382D3A"/>
    <w:rsid w:val="6CC56A5C"/>
    <w:rsid w:val="6D046757"/>
    <w:rsid w:val="6FC80BA5"/>
    <w:rsid w:val="6FD956D8"/>
    <w:rsid w:val="708F2934"/>
    <w:rsid w:val="71DB0960"/>
    <w:rsid w:val="729C7FB4"/>
    <w:rsid w:val="736F3422"/>
    <w:rsid w:val="77775ED1"/>
    <w:rsid w:val="77B419E0"/>
    <w:rsid w:val="79393B8B"/>
    <w:rsid w:val="7B5C3AC4"/>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Hyperlink"/>
    <w:autoRedefine/>
    <w:qFormat/>
    <w:uiPriority w:val="0"/>
    <w:rPr>
      <w:color w:val="0000FF"/>
      <w:u w:val="single"/>
    </w:rPr>
  </w:style>
  <w:style w:type="character" w:customStyle="1" w:styleId="14">
    <w:name w:val="font11"/>
    <w:basedOn w:val="12"/>
    <w:autoRedefine/>
    <w:qFormat/>
    <w:uiPriority w:val="0"/>
    <w:rPr>
      <w:rFonts w:hint="eastAsia" w:ascii="宋体" w:hAnsi="宋体" w:eastAsia="宋体" w:cs="宋体"/>
      <w:b/>
      <w:bCs/>
      <w:color w:val="000000"/>
      <w:sz w:val="20"/>
      <w:szCs w:val="20"/>
      <w:u w:val="none"/>
    </w:rPr>
  </w:style>
  <w:style w:type="character" w:customStyle="1" w:styleId="15">
    <w:name w:val="font31"/>
    <w:basedOn w:val="12"/>
    <w:autoRedefine/>
    <w:qFormat/>
    <w:uiPriority w:val="0"/>
    <w:rPr>
      <w:rFonts w:hint="eastAsia" w:ascii="宋体" w:hAnsi="宋体" w:eastAsia="宋体" w:cs="宋体"/>
      <w:color w:val="000000"/>
      <w:sz w:val="22"/>
      <w:szCs w:val="22"/>
      <w:u w:val="none"/>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5080</Words>
  <Characters>5183</Characters>
  <Lines>0</Lines>
  <Paragraphs>0</Paragraphs>
  <TotalTime>0</TotalTime>
  <ScaleCrop>false</ScaleCrop>
  <LinksUpToDate>false</LinksUpToDate>
  <CharactersWithSpaces>5327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2025-11-04T06:57:39Z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