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宋体" w:hAnsi="宋体" w:eastAsia="宋体" w:cs="宋体"/>
          <w:b/>
          <w:bCs/>
          <w:color w:val="auto"/>
          <w:sz w:val="44"/>
          <w:szCs w:val="44"/>
        </w:rPr>
      </w:pPr>
      <w:r>
        <w:rPr>
          <w:rFonts w:hint="eastAsia" w:ascii="宋体" w:hAnsi="宋体" w:cs="宋体"/>
          <w:b/>
          <w:bCs/>
          <w:color w:val="auto"/>
          <w:sz w:val="44"/>
          <w:szCs w:val="44"/>
          <w:lang w:eastAsia="zh-CN"/>
        </w:rPr>
        <w:t>玉州区名山初级中学</w:t>
      </w:r>
      <w:r>
        <w:rPr>
          <w:rFonts w:hint="eastAsia" w:ascii="宋体" w:hAnsi="宋体" w:eastAsia="宋体" w:cs="宋体"/>
          <w:b/>
          <w:bCs/>
          <w:color w:val="auto"/>
          <w:sz w:val="44"/>
          <w:szCs w:val="44"/>
        </w:rPr>
        <w:t>物业管理服务需求</w:t>
      </w:r>
    </w:p>
    <w:p w14:paraId="1D9B78C0">
      <w:pPr>
        <w:spacing w:line="360" w:lineRule="auto"/>
        <w:jc w:val="center"/>
        <w:rPr>
          <w:rFonts w:hint="eastAsia" w:ascii="宋体" w:hAnsi="宋体" w:eastAsia="宋体" w:cs="宋体"/>
          <w:b/>
          <w:bCs/>
          <w:color w:val="auto"/>
          <w:sz w:val="18"/>
          <w:szCs w:val="18"/>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2DEDC04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校区公共区域：涵盖所有道路路面、绿化带、体育场等室外空间的卫生保洁</w:t>
      </w:r>
      <w:r>
        <w:rPr>
          <w:rFonts w:hint="eastAsia" w:ascii="宋体" w:hAnsi="宋体" w:cs="宋体"/>
          <w:color w:val="auto"/>
          <w:sz w:val="24"/>
          <w:szCs w:val="24"/>
          <w:lang w:val="en-US" w:eastAsia="zh-CN"/>
        </w:rPr>
        <w:t>及垃圾清理</w:t>
      </w:r>
      <w:r>
        <w:rPr>
          <w:rFonts w:hint="eastAsia" w:ascii="宋体" w:hAnsi="宋体" w:eastAsia="宋体" w:cs="宋体"/>
          <w:color w:val="auto"/>
          <w:sz w:val="24"/>
          <w:szCs w:val="24"/>
        </w:rPr>
        <w:t>。</w:t>
      </w:r>
    </w:p>
    <w:p w14:paraId="7A6DA63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建筑内部公共区域：包括教学楼、办公楼的公共通道、走廊、楼梯扶手、公共厕所。</w:t>
      </w:r>
    </w:p>
    <w:p w14:paraId="74ECF860">
      <w:pPr>
        <w:spacing w:line="360" w:lineRule="auto"/>
        <w:ind w:firstLine="540"/>
        <w:rPr>
          <w:rFonts w:hint="eastAsia" w:ascii="宋体" w:hAnsi="宋体" w:eastAsia="宋体" w:cs="宋体"/>
        </w:rPr>
      </w:pPr>
      <w:r>
        <w:rPr>
          <w:rFonts w:hint="eastAsia" w:ascii="宋体" w:hAnsi="宋体" w:eastAsia="宋体" w:cs="宋体"/>
          <w:color w:val="auto"/>
          <w:sz w:val="24"/>
          <w:szCs w:val="24"/>
        </w:rPr>
        <w:t>设施设备清洁：化粪池的定期清理工作。</w:t>
      </w:r>
    </w:p>
    <w:p w14:paraId="003F7CA5">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180FF65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r>
        <w:rPr>
          <w:rFonts w:hint="eastAsia" w:ascii="宋体" w:hAnsi="宋体" w:cs="宋体"/>
          <w:color w:val="auto"/>
          <w:sz w:val="24"/>
          <w:szCs w:val="24"/>
          <w:lang w:eastAsia="zh-CN"/>
        </w:rPr>
        <w:t>并清运</w:t>
      </w:r>
      <w:bookmarkStart w:id="0" w:name="_GoBack"/>
      <w:bookmarkEnd w:id="0"/>
      <w:r>
        <w:rPr>
          <w:rFonts w:hint="eastAsia" w:ascii="宋体" w:hAnsi="宋体" w:eastAsia="宋体" w:cs="宋体"/>
          <w:color w:val="auto"/>
          <w:sz w:val="24"/>
          <w:szCs w:val="24"/>
        </w:rPr>
        <w:t>。</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01195CA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（6）化粪池每</w:t>
      </w:r>
      <w:r>
        <w:rPr>
          <w:rFonts w:hint="eastAsia" w:ascii="宋体" w:hAnsi="宋体" w:cs="宋体"/>
          <w:color w:val="auto"/>
          <w:sz w:val="24"/>
          <w:szCs w:val="24"/>
          <w:lang w:eastAsia="zh-CN"/>
        </w:rPr>
        <w:t>半</w:t>
      </w:r>
      <w:r>
        <w:rPr>
          <w:rFonts w:hint="eastAsia" w:ascii="宋体" w:hAnsi="宋体" w:eastAsia="宋体" w:cs="宋体"/>
          <w:color w:val="auto"/>
          <w:sz w:val="24"/>
          <w:szCs w:val="24"/>
        </w:rPr>
        <w:t>年清理不少于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次。</w:t>
      </w:r>
    </w:p>
    <w:p w14:paraId="5DB35AE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配合业主单位完成保洁临时性任务。</w:t>
      </w:r>
    </w:p>
    <w:p w14:paraId="2EA66355">
      <w:pPr>
        <w:spacing w:line="360" w:lineRule="auto"/>
        <w:ind w:firstLine="54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服务标准：</w:t>
      </w:r>
    </w:p>
    <w:p w14:paraId="45AFDF5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卫生间：保持清洁干净，洗手盆无杂物、无纸屑、无积水；及时清理脚印、水渍；镜子每日全面擦拭；大小便池内外无污渍；墙面、水管、隔断、门坎、窗台无灰尘，厕所内无异味。</w:t>
      </w:r>
    </w:p>
    <w:p w14:paraId="47911FB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设施维护：校区内管道、沉沙井、水池清理疏通及时，化粪池无外溢、无堵塞现象。</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设备维修</w:t>
      </w:r>
      <w:r>
        <w:rPr>
          <w:rFonts w:hint="eastAsia" w:ascii="宋体" w:hAnsi="宋体" w:eastAsia="宋体" w:cs="宋体"/>
          <w:color w:val="auto"/>
          <w:sz w:val="24"/>
          <w:szCs w:val="24"/>
        </w:rPr>
        <w:t>服务内容、服务要求和服务标准</w:t>
      </w:r>
    </w:p>
    <w:p w14:paraId="290D5FD2">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40785F48">
      <w:pPr>
        <w:numPr>
          <w:ilvl w:val="0"/>
          <w:numId w:val="0"/>
        </w:numPr>
        <w:spacing w:line="360" w:lineRule="auto"/>
        <w:ind w:left="540" w:leftChars="0"/>
        <w:outlineLvl w:val="9"/>
        <w:rPr>
          <w:rFonts w:hint="eastAsia" w:ascii="宋体" w:hAnsi="宋体" w:eastAsia="宋体" w:cs="宋体"/>
          <w:b w:val="0"/>
          <w:bCs/>
          <w:spacing w:val="-2"/>
          <w:sz w:val="24"/>
          <w:szCs w:val="24"/>
          <w:lang w:eastAsia="zh-CN"/>
        </w:rPr>
      </w:pPr>
      <w:r>
        <w:rPr>
          <w:rFonts w:hint="eastAsia" w:ascii="宋体" w:hAnsi="宋体" w:eastAsia="宋体" w:cs="宋体"/>
          <w:b w:val="0"/>
          <w:bCs/>
          <w:spacing w:val="-2"/>
          <w:sz w:val="24"/>
          <w:szCs w:val="24"/>
          <w:lang w:eastAsia="zh-CN"/>
        </w:rPr>
        <w:t>（1）电力系统：负责配电房电力系统，校园内外照明、开关插座，所有配电房母线排及各线路的一般性保养、检查、维修和更换。</w:t>
      </w:r>
    </w:p>
    <w:p w14:paraId="02D9795F">
      <w:pPr>
        <w:numPr>
          <w:ilvl w:val="0"/>
          <w:numId w:val="0"/>
        </w:numPr>
        <w:spacing w:line="360" w:lineRule="auto"/>
        <w:ind w:left="540" w:leftChars="0"/>
        <w:outlineLvl w:val="9"/>
        <w:rPr>
          <w:rFonts w:hint="eastAsia" w:ascii="宋体" w:hAnsi="宋体" w:eastAsia="宋体" w:cs="宋体"/>
          <w:b w:val="0"/>
          <w:bCs/>
          <w:spacing w:val="-2"/>
          <w:sz w:val="24"/>
          <w:szCs w:val="24"/>
          <w:lang w:eastAsia="zh-CN"/>
        </w:rPr>
      </w:pPr>
      <w:r>
        <w:rPr>
          <w:rFonts w:hint="eastAsia" w:ascii="宋体" w:hAnsi="宋体" w:eastAsia="宋体" w:cs="宋体"/>
          <w:b w:val="0"/>
          <w:bCs/>
          <w:spacing w:val="-2"/>
          <w:sz w:val="24"/>
          <w:szCs w:val="24"/>
          <w:lang w:eastAsia="zh-CN"/>
        </w:rPr>
        <w:t>（2）给排水系统（大修除外）：对雨水管、排污管、给水管、进水阀门等全部水系系统进行日常管理、保养、一般性维修和急修。</w:t>
      </w:r>
    </w:p>
    <w:p w14:paraId="0709C444">
      <w:pPr>
        <w:numPr>
          <w:ilvl w:val="0"/>
          <w:numId w:val="0"/>
        </w:numPr>
        <w:spacing w:line="360" w:lineRule="auto"/>
        <w:ind w:left="540" w:leftChars="0"/>
        <w:outlineLvl w:val="9"/>
        <w:rPr>
          <w:rFonts w:hint="eastAsia" w:ascii="宋体" w:hAnsi="宋体" w:eastAsia="宋体" w:cs="宋体"/>
          <w:color w:val="000000"/>
          <w:sz w:val="24"/>
          <w:szCs w:val="24"/>
        </w:rPr>
      </w:pPr>
      <w:r>
        <w:rPr>
          <w:rFonts w:hint="eastAsia" w:ascii="宋体" w:hAnsi="宋体" w:eastAsia="宋体" w:cs="宋体"/>
          <w:b w:val="0"/>
          <w:bCs/>
          <w:spacing w:val="-2"/>
          <w:sz w:val="24"/>
          <w:szCs w:val="24"/>
          <w:lang w:eastAsia="zh-CN"/>
        </w:rPr>
        <w:t>（3）专项任务：根据学校总务科安排，完成相应工作任务。</w:t>
      </w:r>
    </w:p>
    <w:p w14:paraId="69866A55">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5DE0E0E5">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（1）运行保障：</w:t>
      </w:r>
      <w:r>
        <w:rPr>
          <w:rFonts w:hint="eastAsia" w:ascii="宋体" w:hAnsi="宋体" w:eastAsia="宋体" w:cs="宋体"/>
          <w:b w:val="0"/>
          <w:bCs w:val="0"/>
          <w:color w:val="auto"/>
          <w:sz w:val="24"/>
          <w:szCs w:val="24"/>
        </w:rPr>
        <w:t>保证各类水电设施、设备正常运行，做好供水供电系统运行情况记录，确保正常供水供电。</w:t>
      </w:r>
    </w:p>
    <w:p w14:paraId="5D428743">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rPr>
        <w:t>安全管理：提高安全意识，定期检查水电设施、设备，发现问题及时处理；严格遵守操作规程，禁止他人乱接乱拉电线，线路接头包扎牢固，隐蔽线路不得外露；清查全校水电路线，合理利用水电，防止浪费，严禁私自将水源、电源接出校外。</w:t>
      </w:r>
    </w:p>
    <w:p w14:paraId="7C9E90F4">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（3）报修响应：开通校园24小时报修服务电话并向校方公布，接到报修后即时记录并调度维修人员，具体响应时限如下：</w:t>
      </w:r>
    </w:p>
    <w:p w14:paraId="46E1B10D">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设备急修项目（影响教学办公正常开展的故障）：接报后20分钟内抵达校园现场，2小时内完成修复；</w:t>
      </w:r>
    </w:p>
    <w:p w14:paraId="56798585">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常规设备维修项目：30分钟内抵达现场查勘，可即时修复的当场解决，无法即时修复的按约定时间完工；</w:t>
      </w:r>
    </w:p>
    <w:p w14:paraId="746CE889">
      <w:pPr>
        <w:numPr>
          <w:ilvl w:val="2"/>
          <w:numId w:val="0"/>
        </w:numPr>
        <w:spacing w:line="360" w:lineRule="auto"/>
        <w:ind w:left="400" w:leftChars="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非责任维修项目：1小时内抵达现场查勘，与校方协商确定维修费用及工期后，按约定执行。</w:t>
      </w:r>
    </w:p>
    <w:p w14:paraId="0EAA0A74">
      <w:pPr>
        <w:numPr>
          <w:ilvl w:val="2"/>
          <w:numId w:val="0"/>
        </w:numPr>
        <w:spacing w:line="360" w:lineRule="auto"/>
        <w:ind w:left="400" w:leftChars="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（4）服务确认：维修完成后，需由校方相关负责人签名确认，同步收集服务满意度反馈。</w:t>
      </w:r>
    </w:p>
    <w:p w14:paraId="4AEA6D6E">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68A28ED8">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（1）维修服务指标：校园临修急修及时率100%；维修质量合格率99%以上；校方满意率95%以上；服务回访率100%，回访发现维修质量问题的，即时预约整改。</w:t>
      </w:r>
    </w:p>
    <w:p w14:paraId="03ACCFB5">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（2）设备管理：定期开展校园设备巡检，建立设备巡检记录；</w:t>
      </w:r>
    </w:p>
    <w:p w14:paraId="2DAA9AC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（3）隐患处理：及时处置校园内设备使用安全隐患，更换损坏部件及设备，针对发现的隐患出具专项整改意见并协助落实。</w:t>
      </w:r>
    </w:p>
    <w:p w14:paraId="7301DDF4">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物业服务人员配置及要求</w:t>
      </w:r>
    </w:p>
    <w:p w14:paraId="152190B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 人员配置及要求</w:t>
      </w:r>
    </w:p>
    <w:p w14:paraId="0EAA0A4C">
      <w:pPr>
        <w:spacing w:line="360" w:lineRule="auto"/>
        <w:ind w:firstLine="540"/>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水电维修工1人：需有5年以上相关岗位工作经验，要求持有高、低压电工证</w:t>
      </w:r>
      <w:r>
        <w:rPr>
          <w:rFonts w:hint="eastAsia" w:ascii="宋体" w:hAnsi="宋体" w:cs="宋体"/>
          <w:b w:val="0"/>
          <w:bCs w:val="0"/>
          <w:color w:val="auto"/>
          <w:sz w:val="24"/>
          <w:szCs w:val="24"/>
          <w:lang w:eastAsia="zh-CN"/>
        </w:rPr>
        <w:t>，须在响应文件中提供相关证件</w:t>
      </w:r>
      <w:r>
        <w:rPr>
          <w:rFonts w:hint="eastAsia" w:ascii="宋体" w:hAnsi="宋体" w:eastAsia="宋体" w:cs="宋体"/>
          <w:b w:val="0"/>
          <w:bCs w:val="0"/>
          <w:color w:val="auto"/>
          <w:sz w:val="24"/>
          <w:szCs w:val="24"/>
          <w:lang w:eastAsia="zh-CN"/>
        </w:rPr>
        <w:t>。</w:t>
      </w:r>
    </w:p>
    <w:p w14:paraId="3773CE34">
      <w:pPr>
        <w:spacing w:line="360" w:lineRule="auto"/>
        <w:ind w:firstLine="540"/>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）保洁员</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人：保洁人员需有2年以上相关岗位工作经验，年龄要求男性不得超过55岁、女性不超过50岁，具有服务意识，</w:t>
      </w:r>
      <w:r>
        <w:rPr>
          <w:rFonts w:hint="eastAsia" w:ascii="宋体" w:hAnsi="宋体" w:eastAsia="宋体" w:cs="宋体"/>
          <w:b w:val="0"/>
          <w:bCs w:val="0"/>
          <w:color w:val="auto"/>
          <w:sz w:val="24"/>
          <w:szCs w:val="24"/>
          <w:lang w:eastAsia="zh-CN"/>
        </w:rPr>
        <w:t>必须</w:t>
      </w:r>
      <w:r>
        <w:rPr>
          <w:rFonts w:hint="eastAsia" w:ascii="宋体" w:hAnsi="宋体" w:eastAsia="宋体" w:cs="宋体"/>
          <w:b w:val="0"/>
          <w:bCs w:val="0"/>
          <w:color w:val="auto"/>
          <w:sz w:val="24"/>
          <w:szCs w:val="24"/>
        </w:rPr>
        <w:t>持有</w:t>
      </w:r>
      <w:r>
        <w:rPr>
          <w:rFonts w:hint="eastAsia" w:ascii="宋体" w:hAnsi="宋体" w:eastAsia="宋体" w:cs="宋体"/>
          <w:b w:val="0"/>
          <w:bCs w:val="0"/>
          <w:color w:val="auto"/>
          <w:sz w:val="24"/>
          <w:szCs w:val="24"/>
          <w:lang w:eastAsia="zh-CN"/>
        </w:rPr>
        <w:t>高级</w:t>
      </w:r>
      <w:r>
        <w:rPr>
          <w:rFonts w:hint="eastAsia" w:ascii="宋体" w:hAnsi="宋体" w:eastAsia="宋体" w:cs="宋体"/>
          <w:b w:val="0"/>
          <w:bCs w:val="0"/>
          <w:color w:val="auto"/>
          <w:sz w:val="24"/>
          <w:szCs w:val="24"/>
        </w:rPr>
        <w:t>公共卫生消毒员证书</w:t>
      </w:r>
      <w:r>
        <w:rPr>
          <w:rFonts w:hint="eastAsia" w:ascii="宋体" w:hAnsi="宋体" w:eastAsia="宋体" w:cs="宋体"/>
          <w:b w:val="0"/>
          <w:bCs w:val="0"/>
          <w:color w:val="auto"/>
          <w:sz w:val="24"/>
          <w:szCs w:val="24"/>
          <w:lang w:eastAsia="zh-CN"/>
        </w:rPr>
        <w:t>，须在响应文件中提供相关证件。</w:t>
      </w:r>
    </w:p>
    <w:p w14:paraId="73B15642">
      <w:pPr>
        <w:spacing w:line="360" w:lineRule="auto"/>
        <w:ind w:firstLine="540"/>
        <w:rPr>
          <w:rFonts w:hint="eastAsia" w:ascii="宋体" w:hAnsi="宋体" w:eastAsia="宋体" w:cs="宋体"/>
          <w:color w:val="auto"/>
          <w:sz w:val="24"/>
          <w:szCs w:val="24"/>
        </w:rPr>
      </w:pPr>
      <w:r>
        <w:rPr>
          <w:rFonts w:hint="eastAsia" w:ascii="宋体" w:hAnsi="宋体" w:eastAsia="宋体" w:cs="宋体"/>
          <w:b/>
          <w:bCs/>
          <w:color w:val="auto"/>
          <w:sz w:val="24"/>
          <w:szCs w:val="24"/>
        </w:rPr>
        <w:t>2. 人员管理要求</w:t>
      </w:r>
    </w:p>
    <w:p w14:paraId="1AA57FB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所有服务人员需经过采购方面试合格后方可上岗。</w:t>
      </w:r>
    </w:p>
    <w:p w14:paraId="26D05DC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供应商须在响应文件中提供所有服务人员相关证件复印件，原件备查。</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7A311BF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费用构成：物业服务费包含工作人员工资、社会保险、加班费、服装费、工具费、税费及管理费等。</w:t>
      </w:r>
    </w:p>
    <w:p w14:paraId="235235E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报价一致性：</w:t>
      </w:r>
      <w:r>
        <w:rPr>
          <w:rFonts w:hint="eastAsia" w:ascii="宋体" w:hAnsi="宋体" w:eastAsia="宋体" w:cs="宋体"/>
          <w:b/>
          <w:bCs/>
          <w:color w:val="auto"/>
          <w:sz w:val="24"/>
          <w:szCs w:val="24"/>
          <w:lang w:val="en-US" w:eastAsia="zh-CN"/>
        </w:rPr>
        <w:t>响应文件中的报价需与政采云系统报价一致，误差超过 0.1%，视为报价无效；</w:t>
      </w:r>
      <w:r>
        <w:rPr>
          <w:rFonts w:hint="eastAsia" w:ascii="宋体" w:hAnsi="宋体" w:eastAsia="宋体" w:cs="宋体"/>
          <w:color w:val="auto"/>
          <w:sz w:val="24"/>
          <w:szCs w:val="24"/>
          <w:lang w:val="en-US" w:eastAsia="zh-CN"/>
        </w:rPr>
        <w:t>故意填报低价后申请调价，直接解除合同并上报监管部门。</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、服务期限与地点：服务期限</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个月，服务地点为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玉林市</w:t>
      </w:r>
      <w:r>
        <w:rPr>
          <w:rFonts w:hint="eastAsia" w:ascii="宋体" w:hAnsi="宋体" w:cs="宋体"/>
          <w:color w:val="auto"/>
          <w:sz w:val="24"/>
          <w:szCs w:val="24"/>
          <w:lang w:eastAsia="zh-CN"/>
        </w:rPr>
        <w:t>玉州区名山初级中学</w:t>
      </w:r>
      <w:r>
        <w:rPr>
          <w:rFonts w:hint="eastAsia" w:ascii="宋体" w:hAnsi="宋体" w:eastAsia="宋体" w:cs="宋体"/>
          <w:color w:val="auto"/>
          <w:sz w:val="24"/>
          <w:szCs w:val="24"/>
        </w:rPr>
        <w:t>（不得擅自将服务转包或分包，发现转包/分包，直接解除合同并要求赔偿合同总额 20% 的违约金）。</w:t>
      </w:r>
    </w:p>
    <w:p w14:paraId="0EB9DF04">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bCs/>
          <w:color w:val="auto"/>
          <w:sz w:val="24"/>
          <w:szCs w:val="24"/>
        </w:rPr>
        <w:t>供应商有效的营业执照复印件</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（必须提供，经营范围包含物业管理服务，无相关经营范围视为无效）。</w:t>
      </w:r>
    </w:p>
    <w:p w14:paraId="2FC1A059">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2024年度</w:t>
      </w:r>
      <w:r>
        <w:rPr>
          <w:rFonts w:hint="eastAsia" w:ascii="宋体" w:hAnsi="宋体" w:eastAsia="宋体" w:cs="宋体"/>
          <w:b/>
          <w:bCs/>
          <w:color w:val="auto"/>
          <w:sz w:val="24"/>
          <w:szCs w:val="24"/>
          <w:lang w:eastAsia="zh-CN"/>
        </w:rPr>
        <w:t>财务报表</w:t>
      </w:r>
      <w:r>
        <w:rPr>
          <w:rFonts w:hint="eastAsia" w:ascii="宋体" w:hAnsi="宋体" w:eastAsia="宋体" w:cs="宋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纳税证明：</w:t>
      </w:r>
      <w:r>
        <w:rPr>
          <w:rFonts w:hint="eastAsia" w:ascii="宋体" w:hAnsi="宋体" w:eastAsia="宋体" w:cs="宋体"/>
          <w:b w:val="0"/>
          <w:bCs w:val="0"/>
          <w:color w:val="auto"/>
          <w:sz w:val="24"/>
          <w:szCs w:val="24"/>
          <w:lang w:eastAsia="zh-CN"/>
        </w:rPr>
        <w:t>响应文件递交截止之日前半年内依法缴纳税费的证明复印件；无纳税记录的，需提供供应商所在地主管税务部门出具的《依法纳税或依法免税证明》复印件（必须提供，证明虚假视为无效）。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社保缴纳证明：</w:t>
      </w:r>
      <w:r>
        <w:rPr>
          <w:rFonts w:hint="eastAsia" w:ascii="宋体" w:hAnsi="宋体" w:eastAsia="宋体" w:cs="宋体"/>
          <w:b w:val="0"/>
          <w:bCs w:val="0"/>
          <w:color w:val="auto"/>
          <w:sz w:val="24"/>
          <w:szCs w:val="24"/>
          <w:lang w:eastAsia="zh-CN"/>
        </w:rPr>
        <w:t xml:space="preserve">2025 年 1 月至 2025 年 </w:t>
      </w:r>
      <w:r>
        <w:rPr>
          <w:rFonts w:hint="eastAsia" w:ascii="宋体" w:hAnsi="宋体" w:cs="宋体"/>
          <w:b w:val="0"/>
          <w:bCs w:val="0"/>
          <w:color w:val="auto"/>
          <w:sz w:val="24"/>
          <w:szCs w:val="24"/>
          <w:lang w:val="en-US" w:eastAsia="zh-CN"/>
        </w:rPr>
        <w:t>11</w:t>
      </w:r>
      <w:r>
        <w:rPr>
          <w:rFonts w:hint="eastAsia" w:ascii="宋体" w:hAnsi="宋体" w:eastAsia="宋体" w:cs="宋体"/>
          <w:b w:val="0"/>
          <w:bCs w:val="0"/>
          <w:color w:val="auto"/>
          <w:sz w:val="24"/>
          <w:szCs w:val="24"/>
          <w:lang w:eastAsia="zh-CN"/>
        </w:rPr>
        <w:t xml:space="preserve"> 月内连续 3 个月依法缴纳社会保障资金的缴费凭证复印件；无缴费记录的，需提供供应商所在地社保部门出具的《依法免缴社保费证明》复印件（必须提供，需与投标单位一致，第三方代缴视为无效）。</w:t>
      </w:r>
    </w:p>
    <w:p w14:paraId="65B769CB">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lang w:eastAsia="zh-CN"/>
        </w:rPr>
        <w:t>类似项目业绩：</w:t>
      </w:r>
      <w:r>
        <w:rPr>
          <w:rFonts w:hint="eastAsia" w:ascii="宋体" w:hAnsi="宋体" w:eastAsia="宋体" w:cs="宋体"/>
          <w:b w:val="0"/>
          <w:bCs w:val="0"/>
          <w:color w:val="auto"/>
          <w:sz w:val="24"/>
          <w:szCs w:val="24"/>
          <w:lang w:eastAsia="zh-CN"/>
        </w:rPr>
        <w:t>近三年内完成过至少 3 个类似项目，且单个合同金额不低于</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万元。（必须提供，否则响应文件按无效响应处理）。</w:t>
      </w:r>
    </w:p>
    <w:p w14:paraId="0040434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拟派驻服务人员名单及资料</w:t>
      </w:r>
      <w:r>
        <w:rPr>
          <w:rFonts w:hint="eastAsia" w:ascii="宋体" w:hAnsi="宋体" w:eastAsia="宋体" w:cs="宋体"/>
          <w:b/>
          <w:bCs/>
          <w:color w:val="auto"/>
          <w:sz w:val="24"/>
          <w:szCs w:val="24"/>
          <w:lang w:eastAsia="zh-CN"/>
        </w:rPr>
        <w:t>：</w:t>
      </w:r>
    </w:p>
    <w:p w14:paraId="49707615">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包括姓名、性别、出生日期、相关证书复印件及社保证明（必须提供，证书虚假或社保不符视为无效）。</w:t>
      </w:r>
    </w:p>
    <w:p w14:paraId="3375CD3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bCs/>
          <w:color w:val="auto"/>
          <w:sz w:val="24"/>
          <w:szCs w:val="24"/>
          <w:lang w:val="en-US" w:eastAsia="zh-CN"/>
        </w:rPr>
        <w:t>供应商服务响应、偏离情况表：</w:t>
      </w:r>
      <w:r>
        <w:rPr>
          <w:rFonts w:hint="eastAsia" w:ascii="宋体" w:hAnsi="宋体" w:eastAsia="宋体" w:cs="宋体"/>
          <w:b w:val="0"/>
          <w:bCs w:val="0"/>
          <w:color w:val="auto"/>
          <w:sz w:val="24"/>
          <w:szCs w:val="24"/>
        </w:rPr>
        <w:t>（格式自拟，注明响应偏离内容与说明，必须提供，未明确偏离或偏离核心需求视为未实质性响应）</w:t>
      </w:r>
      <w:r>
        <w:rPr>
          <w:rFonts w:hint="eastAsia" w:ascii="宋体" w:hAnsi="宋体" w:eastAsia="宋体" w:cs="宋体"/>
          <w:b w:val="0"/>
          <w:bCs w:val="0"/>
          <w:color w:val="auto"/>
          <w:sz w:val="24"/>
          <w:szCs w:val="24"/>
          <w:lang w:eastAsia="zh-CN"/>
        </w:rPr>
        <w:t>。</w:t>
      </w:r>
    </w:p>
    <w:p w14:paraId="67DA0F7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无重大违法记录声明：</w:t>
      </w:r>
      <w:r>
        <w:rPr>
          <w:rFonts w:hint="eastAsia" w:ascii="宋体" w:hAnsi="宋体" w:eastAsia="宋体" w:cs="宋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bCs/>
          <w:color w:val="auto"/>
          <w:sz w:val="24"/>
          <w:szCs w:val="24"/>
          <w:lang w:val="en-US" w:eastAsia="zh-CN"/>
        </w:rPr>
        <w:t>信用记录查询结果：</w:t>
      </w:r>
      <w:r>
        <w:rPr>
          <w:rFonts w:hint="eastAsia" w:ascii="宋体" w:hAnsi="宋体" w:eastAsia="宋体" w:cs="宋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9.1“信用中国” 网站</w:t>
      </w:r>
      <w:r>
        <w:rPr>
          <w:rFonts w:hint="eastAsia" w:ascii="宋体" w:hAnsi="宋体" w:cs="宋体"/>
          <w:b w:val="0"/>
          <w:bCs w:val="0"/>
          <w:color w:val="auto"/>
          <w:sz w:val="24"/>
          <w:szCs w:val="24"/>
          <w:lang w:val="en-US" w:eastAsia="zh-CN"/>
        </w:rPr>
        <w:t>（https://www.creditchina.gov.cn/）</w:t>
      </w:r>
      <w:r>
        <w:rPr>
          <w:rFonts w:hint="eastAsia" w:ascii="宋体" w:hAnsi="宋体" w:eastAsia="宋体" w:cs="宋体"/>
          <w:b w:val="0"/>
          <w:bCs w:val="0"/>
          <w:color w:val="auto"/>
          <w:sz w:val="24"/>
          <w:szCs w:val="24"/>
          <w:lang w:val="en-US" w:eastAsia="zh-CN"/>
        </w:rPr>
        <w:t>：失信被执行人、重大税收违法案件当事人名单、政府采购严重违法失信行为记录名单。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9.2“中国政府采购网”</w:t>
      </w:r>
      <w:r>
        <w:rPr>
          <w:rFonts w:hint="eastAsia" w:ascii="宋体" w:hAnsi="宋体" w:cs="宋体"/>
          <w:b w:val="0"/>
          <w:bCs w:val="0"/>
          <w:color w:val="auto"/>
          <w:sz w:val="24"/>
          <w:szCs w:val="24"/>
          <w:lang w:val="en-US" w:eastAsia="zh-CN"/>
        </w:rPr>
        <w:t>（http://www.ccgp.gov.cn/search/cr/）</w:t>
      </w:r>
      <w:r>
        <w:rPr>
          <w:rFonts w:hint="eastAsia" w:ascii="宋体" w:hAnsi="宋体" w:eastAsia="宋体" w:cs="宋体"/>
          <w:b w:val="0"/>
          <w:bCs w:val="0"/>
          <w:color w:val="auto"/>
          <w:sz w:val="24"/>
          <w:szCs w:val="24"/>
          <w:lang w:val="en-US" w:eastAsia="zh-CN"/>
        </w:rPr>
        <w:t>：政府采购严重违法失信行为记录名单。</w:t>
      </w:r>
    </w:p>
    <w:p w14:paraId="4FA6AA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9.3“国家企业信用信息公示系统”</w:t>
      </w:r>
      <w:r>
        <w:rPr>
          <w:rFonts w:hint="eastAsia" w:ascii="宋体" w:hAnsi="宋体" w:cs="宋体"/>
          <w:b w:val="0"/>
          <w:bCs w:val="0"/>
          <w:color w:val="auto"/>
          <w:sz w:val="24"/>
          <w:szCs w:val="24"/>
          <w:lang w:val="en-US" w:eastAsia="zh-CN"/>
        </w:rPr>
        <w:t>（https://shiming.gsxt.gov.cn/socialuser-use-rllogin.html）</w:t>
      </w:r>
      <w:r>
        <w:rPr>
          <w:rFonts w:hint="eastAsia" w:ascii="宋体" w:hAnsi="宋体" w:eastAsia="宋体" w:cs="宋体"/>
          <w:b w:val="0"/>
          <w:bCs w:val="0"/>
          <w:color w:val="auto"/>
          <w:sz w:val="24"/>
          <w:szCs w:val="24"/>
          <w:lang w:val="en-US" w:eastAsia="zh-CN"/>
        </w:rPr>
        <w:t>：行政处罚信息、经营异常名录、严重违法失信名单。</w:t>
      </w:r>
    </w:p>
    <w:p w14:paraId="34708D59">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bCs/>
          <w:color w:val="auto"/>
          <w:sz w:val="24"/>
          <w:szCs w:val="24"/>
          <w:lang w:val="en-US" w:eastAsia="zh-CN"/>
        </w:rPr>
        <w:t>报价表：</w:t>
      </w:r>
      <w:r>
        <w:rPr>
          <w:rFonts w:hint="eastAsia" w:ascii="宋体" w:hAnsi="宋体" w:eastAsia="宋体" w:cs="宋体"/>
          <w:b w:val="0"/>
          <w:bCs w:val="0"/>
          <w:color w:val="auto"/>
          <w:sz w:val="24"/>
          <w:szCs w:val="24"/>
          <w:lang w:val="en-US" w:eastAsia="zh-CN"/>
        </w:rPr>
        <w:t>格式自拟，需明确单价、总价及各项费用构成（人员工资、社保、工具费等，必须提供，构成模糊视为无效）。</w:t>
      </w:r>
    </w:p>
    <w:p w14:paraId="2760DC5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bCs/>
          <w:color w:val="auto"/>
          <w:sz w:val="24"/>
          <w:szCs w:val="24"/>
        </w:rPr>
        <w:t>.供应商认为需要提供的其他文件</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（如服务方案、应急预案、工具采购合同模板等）</w:t>
      </w:r>
      <w:r>
        <w:rPr>
          <w:rFonts w:hint="eastAsia" w:ascii="宋体" w:hAnsi="宋体" w:eastAsia="宋体" w:cs="宋体"/>
          <w:b w:val="0"/>
          <w:bCs w:val="0"/>
          <w:color w:val="auto"/>
          <w:sz w:val="24"/>
          <w:szCs w:val="24"/>
        </w:rPr>
        <w:t>。</w:t>
      </w:r>
    </w:p>
    <w:p w14:paraId="3FC2A0F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注：响应文件需以 PDF 格式上传，内容清晰可见，加盖单位公章，否则竞标无效；</w:t>
      </w:r>
    </w:p>
    <w:p w14:paraId="080B932D">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4DA7AFF6">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（四）无效投标情形：</w:t>
      </w:r>
    </w:p>
    <w:p w14:paraId="6C481C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报价低于成本且无法提供合理说明（恶意低价）。</w:t>
      </w:r>
    </w:p>
    <w:p w14:paraId="31A8E61E">
      <w:pPr>
        <w:spacing w:line="360" w:lineRule="auto"/>
        <w:ind w:firstLine="480" w:firstLineChars="200"/>
        <w:rPr>
          <w:rFonts w:hint="eastAsia" w:ascii="宋体" w:hAnsi="宋体" w:eastAsia="宋体" w:cs="宋体"/>
          <w:color w:val="auto"/>
          <w:kern w:val="2"/>
          <w:sz w:val="24"/>
          <w:szCs w:val="24"/>
          <w:lang w:val="en-US" w:eastAsia="zh-CN" w:bidi="ar-SA"/>
        </w:rPr>
      </w:pPr>
    </w:p>
    <w:sectPr>
      <w:footerReference r:id="rId3" w:type="default"/>
      <w:pgSz w:w="11906" w:h="16838"/>
      <w:pgMar w:top="1240" w:right="1269" w:bottom="109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358051C"/>
    <w:rsid w:val="04E45813"/>
    <w:rsid w:val="050531F4"/>
    <w:rsid w:val="055E6E53"/>
    <w:rsid w:val="05790336"/>
    <w:rsid w:val="067E0BBE"/>
    <w:rsid w:val="0684105D"/>
    <w:rsid w:val="069C50F1"/>
    <w:rsid w:val="06A62718"/>
    <w:rsid w:val="072916E2"/>
    <w:rsid w:val="0734173C"/>
    <w:rsid w:val="074240D0"/>
    <w:rsid w:val="07EC6998"/>
    <w:rsid w:val="080953AA"/>
    <w:rsid w:val="08512C9F"/>
    <w:rsid w:val="092F1C11"/>
    <w:rsid w:val="09A03FC2"/>
    <w:rsid w:val="09C65540"/>
    <w:rsid w:val="09FC4E8C"/>
    <w:rsid w:val="0D044784"/>
    <w:rsid w:val="0D1B387B"/>
    <w:rsid w:val="0DE417ED"/>
    <w:rsid w:val="0E2010D7"/>
    <w:rsid w:val="0E2D3866"/>
    <w:rsid w:val="0EEA668C"/>
    <w:rsid w:val="0EF4796D"/>
    <w:rsid w:val="0F655282"/>
    <w:rsid w:val="0FA423B1"/>
    <w:rsid w:val="0FBD54DC"/>
    <w:rsid w:val="10263327"/>
    <w:rsid w:val="10667F1C"/>
    <w:rsid w:val="10A20BE6"/>
    <w:rsid w:val="10F15EDF"/>
    <w:rsid w:val="11131E71"/>
    <w:rsid w:val="114F61E9"/>
    <w:rsid w:val="1368553F"/>
    <w:rsid w:val="13CE1647"/>
    <w:rsid w:val="13DB3D64"/>
    <w:rsid w:val="146D0B1E"/>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9F6845"/>
    <w:rsid w:val="20B70241"/>
    <w:rsid w:val="20CE00EF"/>
    <w:rsid w:val="25046AA6"/>
    <w:rsid w:val="25AD37B3"/>
    <w:rsid w:val="26286395"/>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2AE58F9"/>
    <w:rsid w:val="33010E09"/>
    <w:rsid w:val="338830BA"/>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171065E"/>
    <w:rsid w:val="42310E70"/>
    <w:rsid w:val="424566C9"/>
    <w:rsid w:val="42975AAB"/>
    <w:rsid w:val="429A3325"/>
    <w:rsid w:val="43882A36"/>
    <w:rsid w:val="44C602C6"/>
    <w:rsid w:val="44E60EA8"/>
    <w:rsid w:val="460055F1"/>
    <w:rsid w:val="467852BF"/>
    <w:rsid w:val="46C74C15"/>
    <w:rsid w:val="46E26BDC"/>
    <w:rsid w:val="46EA2912"/>
    <w:rsid w:val="48D61225"/>
    <w:rsid w:val="48D93187"/>
    <w:rsid w:val="49AE7168"/>
    <w:rsid w:val="4A1D065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99315A9"/>
    <w:rsid w:val="5A0A0C84"/>
    <w:rsid w:val="5A3F751D"/>
    <w:rsid w:val="5BA320C9"/>
    <w:rsid w:val="5BDB3ECE"/>
    <w:rsid w:val="5CE609FA"/>
    <w:rsid w:val="5DDA0D3B"/>
    <w:rsid w:val="5E1875E1"/>
    <w:rsid w:val="6002296F"/>
    <w:rsid w:val="60125EE4"/>
    <w:rsid w:val="6184058B"/>
    <w:rsid w:val="619B3170"/>
    <w:rsid w:val="62DE0FD8"/>
    <w:rsid w:val="62F0539E"/>
    <w:rsid w:val="632830D8"/>
    <w:rsid w:val="64835103"/>
    <w:rsid w:val="6545060B"/>
    <w:rsid w:val="65725B42"/>
    <w:rsid w:val="65B45650"/>
    <w:rsid w:val="663821E0"/>
    <w:rsid w:val="664A7F53"/>
    <w:rsid w:val="67A4673A"/>
    <w:rsid w:val="67EC2FBF"/>
    <w:rsid w:val="689F24AF"/>
    <w:rsid w:val="69730251"/>
    <w:rsid w:val="6A51271E"/>
    <w:rsid w:val="6A907BF0"/>
    <w:rsid w:val="6ACD38A3"/>
    <w:rsid w:val="6B071A62"/>
    <w:rsid w:val="6B382D3A"/>
    <w:rsid w:val="6B6F54F9"/>
    <w:rsid w:val="6CC56A5C"/>
    <w:rsid w:val="6D046757"/>
    <w:rsid w:val="6DB23EDA"/>
    <w:rsid w:val="6FC80BA5"/>
    <w:rsid w:val="6FD956D8"/>
    <w:rsid w:val="708F2934"/>
    <w:rsid w:val="71DB0960"/>
    <w:rsid w:val="71FA376F"/>
    <w:rsid w:val="729C7FB4"/>
    <w:rsid w:val="73637E23"/>
    <w:rsid w:val="736F3422"/>
    <w:rsid w:val="76214543"/>
    <w:rsid w:val="76674885"/>
    <w:rsid w:val="77775ED1"/>
    <w:rsid w:val="77B419E0"/>
    <w:rsid w:val="79393B8B"/>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4003</Words>
  <Characters>4062</Characters>
  <Lines>0</Lines>
  <Paragraphs>0</Paragraphs>
  <TotalTime>3</TotalTime>
  <ScaleCrop>false</ScaleCrop>
  <LinksUpToDate>false</LinksUpToDate>
  <CharactersWithSpaces>4108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2025-12-01T04:01:26Z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