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A5E0">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采购需求表</w:t>
      </w:r>
    </w:p>
    <w:p w14:paraId="6AD38962">
      <w:pPr>
        <w:pStyle w:val="3"/>
        <w:rPr>
          <w:rFonts w:hint="eastAsia" w:ascii="宋体" w:hAnsi="宋体" w:eastAsia="宋体" w:cs="宋体"/>
          <w:i w:val="0"/>
          <w:iCs w:val="0"/>
          <w:color w:val="000000"/>
          <w:kern w:val="0"/>
          <w:sz w:val="21"/>
          <w:szCs w:val="21"/>
          <w:u w:val="none"/>
          <w:lang w:val="en-US" w:eastAsia="zh-CN" w:bidi="ar"/>
        </w:rPr>
      </w:pPr>
    </w:p>
    <w:p w14:paraId="4876E682">
      <w:pPr>
        <w:pStyle w:val="3"/>
        <w:rPr>
          <w:rFonts w:hint="eastAsia" w:ascii="宋体" w:hAnsi="宋体" w:eastAsia="宋体" w:cs="宋体"/>
          <w:i w:val="0"/>
          <w:iCs w:val="0"/>
          <w:color w:val="000000"/>
          <w:kern w:val="0"/>
          <w:sz w:val="21"/>
          <w:szCs w:val="21"/>
          <w:u w:val="none"/>
          <w:lang w:val="en-US" w:eastAsia="zh-CN" w:bidi="ar"/>
        </w:rPr>
      </w:pPr>
    </w:p>
    <w:p w14:paraId="3F3BC8DD">
      <w:pPr>
        <w:pStyle w:val="3"/>
        <w:ind w:left="0" w:leftChars="0" w:firstLine="0" w:firstLineChars="0"/>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投标人规模要求: 小型企业,微型企业</w:t>
      </w:r>
    </w:p>
    <w:p w14:paraId="53A292E2">
      <w:pPr>
        <w:pStyle w:val="3"/>
        <w:rPr>
          <w:rFonts w:hint="eastAsia" w:ascii="宋体" w:hAnsi="宋体" w:eastAsia="宋体" w:cs="宋体"/>
          <w:i w:val="0"/>
          <w:iCs w:val="0"/>
          <w:color w:val="000000"/>
          <w:kern w:val="0"/>
          <w:sz w:val="21"/>
          <w:szCs w:val="21"/>
          <w:u w:val="none"/>
          <w:lang w:val="en-US" w:eastAsia="zh-CN" w:bidi="ar"/>
        </w:rPr>
      </w:pPr>
    </w:p>
    <w:tbl>
      <w:tblPr>
        <w:tblStyle w:val="5"/>
        <w:tblW w:w="9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1125"/>
        <w:gridCol w:w="6212"/>
        <w:gridCol w:w="688"/>
        <w:gridCol w:w="662"/>
      </w:tblGrid>
      <w:tr w14:paraId="4536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81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3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参数配置</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48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14:paraId="338F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43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B26">
            <w:pPr>
              <w:keepNext w:val="0"/>
              <w:keepLines w:val="0"/>
              <w:widowControl/>
              <w:numPr>
                <w:ilvl w:val="0"/>
                <w:numId w:val="0"/>
              </w:numPr>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全彩室内大屏</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4C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1、LED像素点间距≤1.86mm;像素密度≥288906点/㎡</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t>显示尺寸≥5.76m×3.2m。</w:t>
            </w:r>
          </w:p>
          <w:p w14:paraId="14A7DF04">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2、灯珠尺寸：1515</w:t>
            </w:r>
          </w:p>
          <w:p w14:paraId="50A73F9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3、模组尺寸：320mm ×160mm × 28.6 mm（含磁铁厚度）</w:t>
            </w:r>
          </w:p>
          <w:p w14:paraId="0400B6D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4、模组分辨率：172 × 86</w:t>
            </w:r>
          </w:p>
          <w:p w14:paraId="353CABC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5、白平衡亮度：500 cd/㎡</w:t>
            </w:r>
          </w:p>
          <w:p w14:paraId="6FF6B47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6、刷新率：3840 Hz</w:t>
            </w:r>
          </w:p>
          <w:p w14:paraId="4CA99B7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7、★显示屏峰值功耗≤430W/㎡ ，平均功耗≤145W/㎡（提供首页具有CNAS及CMA标识的第三方检测报告复印件并加盖厂家公章，否则投标无效）。</w:t>
            </w:r>
          </w:p>
          <w:p w14:paraId="59AD170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8、★支持信源接入状态显示,可通过物理按键、客户端、遥控器、设备自带Web 浏览器进行信源切换（提供首页具有CNAS及CMA标识的第三方检测报告复印件并加盖厂家公章，否则投标无效）。 </w:t>
            </w:r>
          </w:p>
          <w:p w14:paraId="4A2F23C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9、★支持通过 Web 浏览器查看 LED 整墙的概览信息和 LED 屏连线状态;支持查看行列网格展示屏幕接收卡规模,在Web 端鼠标移到网格上时,可展示该网格所属网口的所有接收卡单元并高亮展示,可展示网线连线顺序、网口号、工作状态（提供首页具有CNAS及CMA标识的第三方检测报告复印件并加盖厂家公章，否则投标无效） 。</w:t>
            </w:r>
          </w:p>
          <w:p w14:paraId="710333B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10、★支持从客户端、设备自带 Web 浏览器查看绑定的接收卡序号、接收卡型号、接收卡软件版本、网口 link 状态、接收卡电压、接收卡温度（提供首页具有CNAS及CMA标识的第三方检测报告复印件并加盖厂家公章，否则投标无效）。 </w:t>
            </w:r>
          </w:p>
          <w:p w14:paraId="236B72E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11、★视网膜蓝光危害:符合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首页具有CNAS及CMA标识的第三方检测报告复印件并加盖厂家公章，否则投标无效）。 </w:t>
            </w:r>
          </w:p>
          <w:p w14:paraId="408AE8A5">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12、★依据 GB/T 20145-2006标准进行光生物安全评估检测,应属无危害类;光生物安全检测无危害类限值:30000s 曝辐中不造成光化学紫外危害(ES),并在1000s内不造成近紫外危害(EUVA),并在 10s内不造成对视网膜热危害 (LR),且在 1000s 内不造成对眼睛的红外辐射危害(EIR)（提供首页具有CNAS及CMA标识的第三方检测报告复印件并加盖厂家公章，否则投标无效）。 </w:t>
            </w:r>
          </w:p>
          <w:p w14:paraId="3930992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13、依据“ SJ/T11590-2016”标准从显示屏正面分别观察高速行驶中的汽车车牌、奔跑中的运动员面容，图像清晰无拖影、能识别车牌号及运动员面部特征。符合评价优。 </w:t>
            </w:r>
          </w:p>
          <w:p w14:paraId="54B502F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14、★依据“ SJ/T11590-2016”标准观察显示屏正面及侧面人的肤色、蓝天、白云、红旗，绿草地各种图案无偏色。符合评价优（5分）（提供首页具有CNAS及CMA标识的第三方检测报告复印件并加盖厂家公章，否则投标无效）。 </w:t>
            </w:r>
          </w:p>
          <w:p w14:paraId="082C21E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15、依据“ SJ/T11590-2016”标准从正面及侧面分别观察亮度及色度，无马赛克现象、无灰尘效应。符合评价优。</w:t>
            </w:r>
          </w:p>
          <w:p w14:paraId="4188DDA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16、★LED制造商应具有较强的实验室检测能力，具备灯和灯系统的光生物安全性 GB/T 20145-2006标准的测试能力。（提供国家认可的中心实验室认证证书复印件及体现检测范围内容项，否则投标无效）。 </w:t>
            </w:r>
          </w:p>
          <w:p w14:paraId="275E140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17、在同一局域网段/级联模式下，支持通过LED客户端发现该网络下的所有在线设备，并能展示设备ip、端口、网关、型号、序列号、软件版本号等信息。</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16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F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5683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B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25D9">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集中式拼控器-4路HDMI输入板</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4042">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1、设备具有≥4路HDMI输入板，支持4路2K HDMI信号输入，444采集。</w:t>
            </w:r>
          </w:p>
          <w:p w14:paraId="3E16C168">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2、设备支持HDMI音频复合输入。</w:t>
            </w:r>
          </w:p>
          <w:p w14:paraId="39044548">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3、音频输入接口数≥4路。</w:t>
            </w:r>
          </w:p>
          <w:p w14:paraId="33E70BC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4、音频输入接口具备HDMI复合音频。</w:t>
            </w:r>
          </w:p>
          <w:p w14:paraId="5CD58AF2">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5、音频采样率：32K/48K采样率。</w:t>
            </w:r>
          </w:p>
          <w:p w14:paraId="741F4683">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6、音频支持双声道 。</w:t>
            </w:r>
          </w:p>
          <w:p w14:paraId="06A7612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7、视频输入接口具备HDMI 1.4接口。</w:t>
            </w:r>
          </w:p>
          <w:p w14:paraId="2D6DE4C5">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8、视频输入接口数≥4路。</w:t>
            </w:r>
          </w:p>
          <w:p w14:paraId="54A77C21">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9、视频输入分辨率支持1024 × 768@60 Hz、1280 × 1024@60 Hz、1366 × 768@60 Hz、1440 × 900@60 Hz、1680 × 1050@60 Hz、1280 × 960@60 Hz、1600 × 1200@60 Hz、1280 × 720P@50 Hz、1280 × 720P@60 Hz、1920 × 1080P@50 Hz、1920 × 1080P@60 Hz、1920 × 1200@60 Hz。</w:t>
            </w:r>
          </w:p>
          <w:p w14:paraId="355F754E">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10、自定义分辨率范围：宽800~2560，高600~2560，宽4对齐，高2对齐，帧率30/60 Hz，配置30 Hz时，宽 × 高(1280 × 720~2048 × 1152)；配置60 Hz时，宽 × 高(800 × 600~2048 × 1152)。</w:t>
            </w:r>
          </w:p>
          <w:p w14:paraId="484513B7">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11、自定义分辨率范围：宽800~2560，高600~2560，宽4对齐，高2对齐，帧率30/60Hz，配置30Hz时宽*高(1280*720~2048*1152)，配置60Hz时宽*高(800*600~2048*1152)。</w:t>
            </w:r>
          </w:p>
          <w:p w14:paraId="68F9964A">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rPr>
              <w:t>12、视频输入分辨率≥1080P 。</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0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台</w:t>
            </w:r>
          </w:p>
        </w:tc>
      </w:tr>
      <w:tr w14:paraId="55A1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2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集中式拼控器-二合一输出板</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6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1、二合一输出板。</w:t>
            </w:r>
          </w:p>
          <w:p w14:paraId="63E45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2、LED输出板卡集成LED发送卡功能，网线输出对接LED屏幕，可自定义分辨率带载输出。</w:t>
            </w:r>
          </w:p>
          <w:p w14:paraId="594E38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3、单板支持配置≥20路千兆网口输出。</w:t>
            </w:r>
          </w:p>
          <w:p w14:paraId="119A07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4、支持视频信号444输出。</w:t>
            </w:r>
          </w:p>
          <w:p w14:paraId="65503E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5、视频输出接口类型：RJ45。</w:t>
            </w:r>
          </w:p>
          <w:p w14:paraId="06FF52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6、视频输出接口数≥20。</w:t>
            </w:r>
          </w:p>
          <w:p w14:paraId="395A88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7、视频输出分辨率：自定义分辨率范围：带载面积小于1040W，宽（64-16384）高（64-8192），宽支持4对齐。</w:t>
            </w:r>
          </w:p>
          <w:p w14:paraId="292A0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8、视频输出最大分辨率≥4K。</w:t>
            </w:r>
          </w:p>
          <w:p w14:paraId="3D557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9、视频输出LED带载能力：单板带载≥1040W，宽度64-16384，高度64-8192 。</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0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9BC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4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9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sz w:val="21"/>
                <w:szCs w:val="21"/>
              </w:rPr>
              <w:t>集中式拼控器-6槽位机箱</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44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1、投标产品采用机架式设计，产品高度≥2U，插拔式模块化设计，槽位数≥6个，可根据需求灵活扩展，业务板卡可热插拔，方便设备维护。</w:t>
            </w:r>
          </w:p>
          <w:p w14:paraId="0D457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单台设备最大支持插入4张输入板卡或4张输出板卡，最大支持16路2K输入，最大支持16路2K输出（提供公安部检测报告证明或提供封面具有CNAS、CMA、ilac-MRA盖章的检测报告证明复印件并加盖厂家公章，否则投标无效）。</w:t>
            </w:r>
          </w:p>
          <w:p w14:paraId="761B02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3、设备具有液晶显示屏，显示屏≥3.3英寸，可通过显示屏查看样机设备状态信息。</w:t>
            </w:r>
          </w:p>
          <w:p w14:paraId="3F3F4A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4、支持DVI、HDMI、HDMI 4K、DP 4K信号输入，支持DVI、HDMI、HDMI 4K视频信号输出。</w:t>
            </w:r>
          </w:p>
          <w:p w14:paraId="3BC3C6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5、支持接入自定义分辨率视频图像，2K输入板卡最大可输入2560x972@60HZ或884x2560@60Hz的视频图像，最小可输入800x600@60Hz的视频图像；4K输入板卡最大可输入8192x1080@60Hz或1080x8192@60Hz的视频图像，最小可输入800x 600@60Hz的视频图像。</w:t>
            </w:r>
          </w:p>
          <w:p w14:paraId="54496E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6、2K输出板卡单口可输出1920x1200@60Hz、600x1200@60Hz、1920x1080@60Hz、1680x1050@60Hz、1280x720@60Hz 1280x1024@60Hz、1024x168@60Hz等分辨率的视频图像；单口支持自定义分辨率输出，宽 (288~3840)、高(288~2160)。</w:t>
            </w:r>
          </w:p>
          <w:p w14:paraId="4024E8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7、4K输出板卡单口可输4096x2160@60Hz、4096x2160@30Hz、3840x2160@60Hz、3840x2160@30Hz、2560x1600@60Hz、2560 x1440@60Hz、1920x1200@60Hz、1920x1080@60Hz等分辨率的视频图像;单口支持自定义分辨率输出，宽(288~8192、高(288~4320)。</w:t>
            </w:r>
          </w:p>
          <w:p w14:paraId="5C71F0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8、采用帧同步技术，保证所有输出口的图像完全同步，画面完整，播放流畅，无卡顿丢帧情况，无撕裂和拼缝现象。</w:t>
            </w:r>
          </w:p>
          <w:p w14:paraId="630A0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9、支持复合音频及单独音频输入和输出；音频输入支持16bit，48K Hz采样，支持双声道。</w:t>
            </w:r>
          </w:p>
          <w:p w14:paraId="1A02D2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10、★支持底图功能，可接入3个电视墙，每个电视墙可设置1张底图，可设置3张分辨率为1920*1080的底图（提供公安部检测报告证明或提供封面具有CNAS、CMA、ilac-MRA盖章的检测报告证明复印件并加盖厂家公章，否则投标无效）。</w:t>
            </w:r>
          </w:p>
          <w:p w14:paraId="599781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11、支持裁剪功能，可对输入视频图像进行截取并开窗调用。</w:t>
            </w:r>
          </w:p>
          <w:p w14:paraId="0455E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12、支持字幕功能，单输出接口至少支持2个字幕，单电视墙至少支持3个字幕，单台设备至少支持9个字幕。</w:t>
            </w:r>
          </w:p>
          <w:p w14:paraId="77AB29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13、支持横向及竖向字幕，支持数字时钟字幕显示，字体背景可设置半透明、全透明、不透明，字体背景颜色、大小、对齐方式可设置，支持字体库上传、删除，字体移动速度、字幕颜色、位置、运动特效可设置，字幕可按任意比例缩放，最大尺寸支持19400x4320。</w:t>
            </w:r>
          </w:p>
          <w:p w14:paraId="328BF3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14、支持热备功能，支持单机输入热备、单机输出热备、单机输入输出热备、双机热备，其中双机热备不需外接同步盒即可完成输出接口画面同步。</w:t>
            </w:r>
          </w:p>
          <w:p w14:paraId="48006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15、支持接入≥1块主控板卡，具有≥1个RS232接口、≥1个RS485接口、≥1个RJ45网络接口、≥2个3.5mm音频输入接口、≥4个3.5mm音频输出接口。</w:t>
            </w:r>
          </w:p>
          <w:p w14:paraId="4C5B6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16、★支持可视化运维，可将样机与电视墙间的所有环节设备进行拓扑结构展示，可通过不同连线区分视频线或网线连接，通过红/绿色展示屏幕在线状态及连接状态，红色表示异常、绿色表示正常；点击设备图标可展示设备IP地址、型号、在线状态、版本号、序列号、设备温度、环境温度、CPU使用率、内存使用率等。（提供公安部检测报告证明或提供封面具有CNAS、CMA、ilac-MRA盖章的检测报告证明复印件并加盖厂家公章，否则投标无效）。</w:t>
            </w:r>
          </w:p>
          <w:p w14:paraId="4D6296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17、★支持显示器信息获取，可通过HDMI线连接显示器，并获取设备类型、设备序列号、工作时长、软件版本、设备温度。（提供公安部检测报告证明或提供封面具有CNAS、CMA、ilac-MRA盖章的检测报告证明复印件并加盖厂家公章，否则投标无效）。</w:t>
            </w:r>
          </w:p>
          <w:p w14:paraId="67DA2F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18、★支持查看电视墙状态及电视墙输出接口类型，可图形化展示样机正面、反面，可查看接入的板卡类型、板卡接口、板卡温度、CPU占有率、内存占用率、网络带宽和机箱温度。（提供公安部检测报告证明或提供封面具有CNAS、CMA、ilac-MRA盖章的检测报告证明复印件并加盖厂家公章，否则投标无效）。</w:t>
            </w:r>
          </w:p>
          <w:p w14:paraId="0F8B2E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19、支持获取并设置LCD显示模式、输出接口和电视墙对应关系、LCD显示器背光参数，可通过LCD显示器对设备进行校时。</w:t>
            </w:r>
          </w:p>
          <w:p w14:paraId="7DA0C4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20、设备支持智能条屏软件，支持文字，图片、天气、时间、值班表、倒计时、可视化Web页面、视频播放等；支持上述元素任意布局编辑，支持单条字幕多种字体颜色，支持重点数据展示。</w:t>
            </w:r>
          </w:p>
          <w:p w14:paraId="1BEE51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21、支持LED屏幕带载无矩形框架限制。</w:t>
            </w:r>
          </w:p>
          <w:p w14:paraId="657512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22、支持三维建模软件实时渲染展示，支持8K分辨率输出，画面流畅无撕裂；支持三维软件中的点位点击，监控画面调用；支持三维软件界面跳转等。</w:t>
            </w:r>
          </w:p>
          <w:p w14:paraId="672F4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23、支持旋转开窗，支持普通开窗和旋转开窗同时存在，可通过场景调用切换开窗模式，实现一键切换。</w:t>
            </w:r>
          </w:p>
          <w:p w14:paraId="011C2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24、可通过LED发送卡进行画面亮度、对比度、饱和度灯参数调整；支持常规、文稿、广告、视讯、影院、安防等显示模式切换；支持动态引擎算法。</w:t>
            </w:r>
          </w:p>
          <w:p w14:paraId="397874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25、支持标准、暖色、冷色等色温模式调节同时可支持自定义色温调节。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4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7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EFA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A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LED屏体内材料</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65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DC电源线成品线/,短网线成品线/级联AC电源线成品线等</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A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1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D8E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F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6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sz w:val="21"/>
                <w:szCs w:val="21"/>
              </w:rPr>
              <w:t>配电柜</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4829">
            <w:pPr>
              <w:keepNext w:val="0"/>
              <w:keepLines w:val="0"/>
              <w:widowControl/>
              <w:suppressLineNumbers w:val="0"/>
              <w:jc w:val="left"/>
              <w:textAlignment w:val="center"/>
              <w:rPr>
                <w:rFonts w:hint="eastAsia"/>
                <w:sz w:val="21"/>
                <w:szCs w:val="21"/>
              </w:rPr>
            </w:pPr>
            <w:r>
              <w:rPr>
                <w:rFonts w:hint="eastAsia"/>
                <w:sz w:val="21"/>
                <w:szCs w:val="21"/>
              </w:rPr>
              <w:t>1、配电柜额定功率≥20KW，具备6个单相回路。</w:t>
            </w:r>
          </w:p>
          <w:p w14:paraId="47F4922A">
            <w:pPr>
              <w:keepNext w:val="0"/>
              <w:keepLines w:val="0"/>
              <w:widowControl/>
              <w:suppressLineNumbers w:val="0"/>
              <w:jc w:val="left"/>
              <w:textAlignment w:val="center"/>
              <w:rPr>
                <w:rFonts w:hint="eastAsia"/>
                <w:sz w:val="21"/>
                <w:szCs w:val="21"/>
              </w:rPr>
            </w:pPr>
            <w:r>
              <w:rPr>
                <w:rFonts w:hint="eastAsia"/>
                <w:sz w:val="21"/>
                <w:szCs w:val="21"/>
              </w:rPr>
              <w:t>2、可通过RS485接口读取配电柜内部温度。</w:t>
            </w:r>
          </w:p>
          <w:p w14:paraId="490E9451">
            <w:pPr>
              <w:keepNext w:val="0"/>
              <w:keepLines w:val="0"/>
              <w:widowControl/>
              <w:suppressLineNumbers w:val="0"/>
              <w:jc w:val="left"/>
              <w:textAlignment w:val="center"/>
              <w:rPr>
                <w:rFonts w:hint="eastAsia"/>
                <w:sz w:val="21"/>
                <w:szCs w:val="21"/>
              </w:rPr>
            </w:pPr>
            <w:r>
              <w:rPr>
                <w:rFonts w:hint="eastAsia"/>
                <w:sz w:val="21"/>
                <w:szCs w:val="21"/>
              </w:rPr>
              <w:t>3、检测到烟雾后可自动断电。</w:t>
            </w:r>
          </w:p>
          <w:p w14:paraId="522DA5C9">
            <w:pPr>
              <w:keepNext w:val="0"/>
              <w:keepLines w:val="0"/>
              <w:widowControl/>
              <w:suppressLineNumbers w:val="0"/>
              <w:jc w:val="left"/>
              <w:textAlignment w:val="center"/>
              <w:rPr>
                <w:rFonts w:hint="eastAsia"/>
                <w:sz w:val="21"/>
                <w:szCs w:val="21"/>
              </w:rPr>
            </w:pPr>
            <w:r>
              <w:rPr>
                <w:rFonts w:hint="eastAsia"/>
                <w:sz w:val="21"/>
                <w:szCs w:val="21"/>
              </w:rPr>
              <w:t>4、超过温度阈值后可自动断电。</w:t>
            </w:r>
          </w:p>
          <w:p w14:paraId="5D13CAC8">
            <w:pPr>
              <w:keepNext w:val="0"/>
              <w:keepLines w:val="0"/>
              <w:widowControl/>
              <w:suppressLineNumbers w:val="0"/>
              <w:jc w:val="left"/>
              <w:textAlignment w:val="center"/>
              <w:rPr>
                <w:rFonts w:hint="eastAsia"/>
                <w:sz w:val="21"/>
                <w:szCs w:val="21"/>
              </w:rPr>
            </w:pPr>
            <w:r>
              <w:rPr>
                <w:rFonts w:hint="eastAsia"/>
                <w:sz w:val="21"/>
                <w:szCs w:val="21"/>
              </w:rPr>
              <w:t>5、输入输出均有断路器保护措施，在发生过流或短路后可以自动断电。</w:t>
            </w:r>
          </w:p>
          <w:p w14:paraId="46FC02B3">
            <w:pPr>
              <w:keepNext w:val="0"/>
              <w:keepLines w:val="0"/>
              <w:widowControl/>
              <w:suppressLineNumbers w:val="0"/>
              <w:jc w:val="left"/>
              <w:textAlignment w:val="center"/>
              <w:rPr>
                <w:rFonts w:hint="eastAsia"/>
                <w:sz w:val="21"/>
                <w:szCs w:val="21"/>
              </w:rPr>
            </w:pPr>
            <w:r>
              <w:rPr>
                <w:rFonts w:hint="eastAsia"/>
                <w:sz w:val="21"/>
                <w:szCs w:val="21"/>
              </w:rPr>
              <w:t>6、支持手动一键启动、停止；支持单路启动停止；支持分时段控制；支持电脑远程控制。</w:t>
            </w:r>
          </w:p>
          <w:p w14:paraId="6BD7B09B">
            <w:pPr>
              <w:keepNext w:val="0"/>
              <w:keepLines w:val="0"/>
              <w:widowControl/>
              <w:suppressLineNumbers w:val="0"/>
              <w:jc w:val="left"/>
              <w:textAlignment w:val="center"/>
              <w:rPr>
                <w:rFonts w:hint="eastAsia"/>
                <w:sz w:val="21"/>
                <w:szCs w:val="21"/>
              </w:rPr>
            </w:pPr>
            <w:r>
              <w:rPr>
                <w:rFonts w:hint="eastAsia"/>
                <w:sz w:val="21"/>
                <w:szCs w:val="21"/>
              </w:rPr>
              <w:t>7、支持记录运行状态、异常报（高温、烟雾）等。</w:t>
            </w:r>
          </w:p>
          <w:p w14:paraId="65F00519">
            <w:pPr>
              <w:keepNext w:val="0"/>
              <w:keepLines w:val="0"/>
              <w:widowControl/>
              <w:suppressLineNumbers w:val="0"/>
              <w:jc w:val="left"/>
              <w:textAlignment w:val="center"/>
              <w:rPr>
                <w:rFonts w:hint="eastAsia"/>
                <w:sz w:val="21"/>
                <w:szCs w:val="21"/>
              </w:rPr>
            </w:pPr>
            <w:r>
              <w:rPr>
                <w:rFonts w:hint="eastAsia"/>
                <w:sz w:val="21"/>
                <w:szCs w:val="21"/>
              </w:rPr>
              <w:t>8、网络接口：支持MODBUS-TCP协议。</w:t>
            </w:r>
          </w:p>
          <w:p w14:paraId="35EA088C">
            <w:pPr>
              <w:keepNext w:val="0"/>
              <w:keepLines w:val="0"/>
              <w:widowControl/>
              <w:suppressLineNumbers w:val="0"/>
              <w:jc w:val="left"/>
              <w:textAlignment w:val="center"/>
              <w:rPr>
                <w:rFonts w:hint="eastAsia"/>
                <w:sz w:val="21"/>
                <w:szCs w:val="21"/>
              </w:rPr>
            </w:pPr>
            <w:r>
              <w:rPr>
                <w:rFonts w:hint="eastAsia"/>
                <w:sz w:val="21"/>
                <w:szCs w:val="21"/>
              </w:rPr>
              <w:t>9、串口通讯端口：支持RS485、MODBUS-RTU协议。</w:t>
            </w:r>
          </w:p>
          <w:p w14:paraId="559F2DCC">
            <w:pPr>
              <w:keepNext w:val="0"/>
              <w:keepLines w:val="0"/>
              <w:widowControl/>
              <w:suppressLineNumbers w:val="0"/>
              <w:jc w:val="left"/>
              <w:textAlignment w:val="center"/>
              <w:rPr>
                <w:rFonts w:hint="eastAsia"/>
                <w:sz w:val="21"/>
                <w:szCs w:val="21"/>
              </w:rPr>
            </w:pPr>
            <w:r>
              <w:rPr>
                <w:rFonts w:hint="eastAsia"/>
                <w:sz w:val="21"/>
                <w:szCs w:val="21"/>
              </w:rPr>
              <w:t>10、支持设备分级上电，避免瞬间电流过大。</w:t>
            </w:r>
          </w:p>
          <w:p w14:paraId="10FE22F5">
            <w:pPr>
              <w:keepNext w:val="0"/>
              <w:keepLines w:val="0"/>
              <w:widowControl/>
              <w:suppressLineNumbers w:val="0"/>
              <w:jc w:val="left"/>
              <w:textAlignment w:val="center"/>
              <w:rPr>
                <w:rFonts w:hint="eastAsia"/>
                <w:sz w:val="21"/>
                <w:szCs w:val="21"/>
              </w:rPr>
            </w:pPr>
            <w:r>
              <w:rPr>
                <w:rFonts w:hint="eastAsia"/>
                <w:sz w:val="21"/>
                <w:szCs w:val="21"/>
              </w:rPr>
              <w:t>11、电源管理系统拥有热成像人体传感检测功能，可检测站姿、坐姿、蹲姿三种人员姿态。热成像检测通道不受光线影响，满足全天 24 小时检测需求。</w:t>
            </w:r>
          </w:p>
          <w:p w14:paraId="452CE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sz w:val="21"/>
                <w:szCs w:val="21"/>
              </w:rPr>
              <w:t>12、可实现检测到人员后1秒内自动上电，检测到人员离开后自动断电功能，从而实现节约能源的效果，并且自动延迟断电的时间可配置，延迟时长由0分钟至99分钟任意配置。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C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246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0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系统集成</w:t>
            </w:r>
          </w:p>
        </w:tc>
        <w:tc>
          <w:tcPr>
            <w:tcW w:w="6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A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设备的安装、配套辅材以及调试</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0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14:paraId="45134939">
      <w:pPr>
        <w:pStyle w:val="4"/>
        <w:spacing w:line="340" w:lineRule="exact"/>
        <w:jc w:val="center"/>
        <w:rPr>
          <w:rFonts w:hint="eastAsia" w:hAnsi="宋体"/>
          <w:b/>
          <w:color w:val="000000"/>
          <w:sz w:val="32"/>
        </w:rPr>
      </w:pPr>
    </w:p>
    <w:p w14:paraId="188C1676">
      <w:pPr>
        <w:rPr>
          <w:rFonts w:hint="eastAsia" w:hAnsi="宋体"/>
          <w:b/>
          <w:color w:val="000000"/>
          <w:sz w:val="32"/>
        </w:rPr>
      </w:pPr>
    </w:p>
    <w:p w14:paraId="39904820">
      <w:pPr>
        <w:rPr>
          <w:rFonts w:hint="eastAsia" w:hAnsi="宋体"/>
          <w:b/>
          <w:color w:val="000000"/>
          <w:sz w:val="32"/>
        </w:rPr>
      </w:pPr>
    </w:p>
    <w:p w14:paraId="1C6169A7">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响应文件要求：</w:t>
      </w:r>
    </w:p>
    <w:p w14:paraId="1D7B0CAE">
      <w:pPr>
        <w:spacing w:line="560" w:lineRule="exact"/>
        <w:rPr>
          <w:rFonts w:hint="eastAsia" w:ascii="宋体" w:hAnsi="宋体" w:eastAsia="宋体" w:cs="宋体"/>
          <w:sz w:val="24"/>
          <w:szCs w:val="24"/>
        </w:rPr>
      </w:pPr>
      <w:r>
        <w:rPr>
          <w:rFonts w:hint="eastAsia" w:ascii="宋体" w:hAnsi="宋体" w:eastAsia="宋体" w:cs="宋体"/>
          <w:sz w:val="24"/>
          <w:szCs w:val="24"/>
        </w:rPr>
        <w:t>1、（1）报价表（格式自拟，至少应包含采购名称、</w:t>
      </w:r>
      <w:r>
        <w:rPr>
          <w:rFonts w:hint="eastAsia" w:ascii="宋体" w:hAnsi="宋体" w:eastAsia="宋体" w:cs="宋体"/>
          <w:sz w:val="24"/>
          <w:szCs w:val="24"/>
          <w:lang w:val="en-US" w:eastAsia="zh-CN"/>
        </w:rPr>
        <w:t>生产厂家、品牌、规格型号、报价响应参数</w:t>
      </w:r>
      <w:r>
        <w:rPr>
          <w:rFonts w:hint="eastAsia" w:ascii="宋体" w:hAnsi="宋体" w:eastAsia="宋体" w:cs="宋体"/>
          <w:sz w:val="24"/>
          <w:szCs w:val="24"/>
        </w:rPr>
        <w:t>、数量、</w:t>
      </w:r>
      <w:r>
        <w:rPr>
          <w:rFonts w:hint="eastAsia" w:ascii="宋体" w:hAnsi="宋体" w:eastAsia="宋体" w:cs="宋体"/>
          <w:sz w:val="24"/>
          <w:szCs w:val="24"/>
          <w:lang w:val="en-US" w:eastAsia="zh-CN"/>
        </w:rPr>
        <w:t>单位、</w:t>
      </w:r>
      <w:r>
        <w:rPr>
          <w:rFonts w:hint="eastAsia" w:ascii="宋体" w:hAnsi="宋体" w:eastAsia="宋体" w:cs="宋体"/>
          <w:sz w:val="24"/>
          <w:szCs w:val="24"/>
        </w:rPr>
        <w:t xml:space="preserve">单价、合计等内容），由法人代表或经其正式授权的代表签字，否则视为无效报价文件。 </w:t>
      </w:r>
    </w:p>
    <w:p w14:paraId="663B82E8">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（2）采购项目需求响应文件</w:t>
      </w:r>
      <w:r>
        <w:rPr>
          <w:rFonts w:hint="eastAsia" w:ascii="宋体" w:hAnsi="宋体" w:eastAsia="宋体" w:cs="宋体"/>
          <w:sz w:val="24"/>
          <w:szCs w:val="24"/>
          <w:lang w:eastAsia="zh-CN"/>
        </w:rPr>
        <w:t>。</w:t>
      </w:r>
    </w:p>
    <w:p w14:paraId="1524A3D4">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2、单位营业执照</w:t>
      </w:r>
      <w:r>
        <w:rPr>
          <w:rFonts w:hint="eastAsia" w:ascii="宋体" w:hAnsi="宋体" w:eastAsia="宋体" w:cs="宋体"/>
          <w:sz w:val="24"/>
          <w:szCs w:val="24"/>
          <w:lang w:eastAsia="zh-CN"/>
        </w:rPr>
        <w:t>。</w:t>
      </w:r>
    </w:p>
    <w:p w14:paraId="6B600B09">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3、法人身份证明</w:t>
      </w:r>
      <w:r>
        <w:rPr>
          <w:rFonts w:hint="eastAsia" w:ascii="宋体" w:hAnsi="宋体" w:eastAsia="宋体" w:cs="宋体"/>
          <w:sz w:val="24"/>
          <w:szCs w:val="24"/>
          <w:lang w:eastAsia="zh-CN"/>
        </w:rPr>
        <w:t>。</w:t>
      </w:r>
    </w:p>
    <w:p w14:paraId="1AFA3203">
      <w:pPr>
        <w:spacing w:line="560" w:lineRule="exact"/>
        <w:rPr>
          <w:rFonts w:hint="eastAsia" w:ascii="宋体" w:hAnsi="宋体" w:eastAsia="宋体" w:cs="宋体"/>
          <w:sz w:val="24"/>
          <w:szCs w:val="24"/>
        </w:rPr>
      </w:pPr>
      <w:r>
        <w:rPr>
          <w:rFonts w:hint="eastAsia" w:ascii="宋体" w:hAnsi="宋体" w:eastAsia="宋体" w:cs="宋体"/>
          <w:sz w:val="24"/>
          <w:szCs w:val="24"/>
        </w:rPr>
        <w:t>4、授权委托书、授权人及被委托人身份证明。</w:t>
      </w:r>
    </w:p>
    <w:p w14:paraId="1737CCAF">
      <w:pPr>
        <w:spacing w:line="560" w:lineRule="exac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val="0"/>
          <w:bCs w:val="0"/>
          <w:i w:val="0"/>
          <w:iCs w:val="0"/>
          <w:color w:val="auto"/>
          <w:kern w:val="0"/>
          <w:sz w:val="24"/>
          <w:szCs w:val="24"/>
          <w:u w:val="none"/>
          <w:lang w:val="en-US" w:eastAsia="zh-CN" w:bidi="ar"/>
        </w:rPr>
        <w:t>售后服务承诺函</w:t>
      </w:r>
      <w:r>
        <w:rPr>
          <w:rFonts w:hint="eastAsia" w:ascii="宋体" w:hAnsi="宋体" w:eastAsia="宋体" w:cs="宋体"/>
          <w:b w:val="0"/>
          <w:bCs w:val="0"/>
          <w:sz w:val="24"/>
          <w:szCs w:val="24"/>
        </w:rPr>
        <w:t>（</w:t>
      </w:r>
      <w:r>
        <w:rPr>
          <w:rFonts w:hint="eastAsia" w:ascii="宋体" w:hAnsi="宋体" w:eastAsia="宋体" w:cs="宋体"/>
          <w:sz w:val="24"/>
          <w:szCs w:val="24"/>
        </w:rPr>
        <w:t>格式自拟）。</w:t>
      </w:r>
    </w:p>
    <w:p w14:paraId="0ED5A4A4">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bCs w:val="0"/>
          <w:i w:val="0"/>
          <w:iCs w:val="0"/>
          <w:color w:val="auto"/>
          <w:kern w:val="0"/>
          <w:sz w:val="24"/>
          <w:szCs w:val="24"/>
          <w:u w:val="none"/>
          <w:lang w:val="en-US" w:eastAsia="zh-CN" w:bidi="ar"/>
        </w:rPr>
        <w:t>投标授权函</w:t>
      </w:r>
      <w:r>
        <w:rPr>
          <w:rFonts w:hint="eastAsia" w:ascii="宋体" w:hAnsi="宋体" w:eastAsia="宋体" w:cs="宋体"/>
          <w:sz w:val="24"/>
          <w:szCs w:val="24"/>
        </w:rPr>
        <w:t>（格式自拟）</w:t>
      </w:r>
      <w:r>
        <w:rPr>
          <w:rFonts w:hint="eastAsia" w:ascii="宋体" w:hAnsi="宋体" w:eastAsia="宋体" w:cs="宋体"/>
          <w:b w:val="0"/>
          <w:bCs w:val="0"/>
          <w:i w:val="0"/>
          <w:iCs w:val="0"/>
          <w:color w:val="auto"/>
          <w:kern w:val="0"/>
          <w:sz w:val="24"/>
          <w:szCs w:val="24"/>
          <w:u w:val="none"/>
          <w:lang w:val="en-US" w:eastAsia="zh-CN" w:bidi="ar"/>
        </w:rPr>
        <w:t>。</w:t>
      </w:r>
    </w:p>
    <w:p w14:paraId="6DD58E6B">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6、其他采购文件中要求的相关文件。</w:t>
      </w:r>
    </w:p>
    <w:p w14:paraId="2FBBE0FB">
      <w:pPr>
        <w:spacing w:line="560" w:lineRule="exact"/>
        <w:rPr>
          <w:rFonts w:hint="eastAsia" w:ascii="宋体" w:hAnsi="宋体" w:eastAsia="宋体" w:cs="宋体"/>
          <w:sz w:val="24"/>
          <w:szCs w:val="24"/>
        </w:rPr>
      </w:pPr>
      <w:r>
        <w:rPr>
          <w:rFonts w:hint="eastAsia" w:ascii="宋体" w:hAnsi="宋体" w:eastAsia="宋体" w:cs="宋体"/>
          <w:sz w:val="24"/>
          <w:szCs w:val="24"/>
        </w:rPr>
        <w:t>备注：请按以上要求提供相关材料并加盖公章、扫描PDF上传，否则竞价无效。</w:t>
      </w:r>
    </w:p>
    <w:p w14:paraId="0DC6FDB4">
      <w:pPr>
        <w:pStyle w:val="4"/>
        <w:spacing w:line="340" w:lineRule="exact"/>
        <w:jc w:val="center"/>
        <w:rPr>
          <w:rFonts w:hint="eastAsia" w:ascii="宋体" w:hAnsi="宋体" w:eastAsia="宋体" w:cs="宋体"/>
          <w:b/>
          <w:color w:val="000000"/>
          <w:sz w:val="24"/>
          <w:szCs w:val="24"/>
        </w:rPr>
      </w:pPr>
    </w:p>
    <w:p w14:paraId="26ED33CA">
      <w:pPr>
        <w:pStyle w:val="4"/>
        <w:spacing w:line="340" w:lineRule="exact"/>
        <w:jc w:val="center"/>
        <w:rPr>
          <w:rFonts w:hint="eastAsia" w:ascii="宋体" w:hAnsi="宋体" w:eastAsia="宋体" w:cs="宋体"/>
          <w:b/>
          <w:color w:val="000000"/>
          <w:sz w:val="24"/>
          <w:szCs w:val="24"/>
        </w:rPr>
      </w:pPr>
    </w:p>
    <w:p w14:paraId="000B19A8">
      <w:pPr>
        <w:pStyle w:val="4"/>
        <w:spacing w:line="340" w:lineRule="exact"/>
        <w:jc w:val="center"/>
        <w:rPr>
          <w:rFonts w:hint="eastAsia" w:ascii="宋体" w:hAnsi="宋体" w:eastAsia="宋体" w:cs="宋体"/>
          <w:b/>
          <w:color w:val="000000"/>
          <w:sz w:val="24"/>
          <w:szCs w:val="24"/>
        </w:rPr>
      </w:pPr>
    </w:p>
    <w:p w14:paraId="1B734331">
      <w:pPr>
        <w:pStyle w:val="4"/>
        <w:spacing w:line="340" w:lineRule="exact"/>
        <w:jc w:val="center"/>
        <w:rPr>
          <w:rFonts w:hint="eastAsia" w:ascii="宋体" w:hAnsi="宋体" w:eastAsia="宋体" w:cs="宋体"/>
          <w:b/>
          <w:color w:val="000000"/>
          <w:sz w:val="24"/>
          <w:szCs w:val="24"/>
        </w:rPr>
      </w:pPr>
    </w:p>
    <w:p w14:paraId="3023E60F">
      <w:pPr>
        <w:pStyle w:val="4"/>
        <w:spacing w:line="340" w:lineRule="exact"/>
        <w:jc w:val="center"/>
        <w:rPr>
          <w:rFonts w:hint="eastAsia" w:ascii="宋体" w:hAnsi="宋体" w:eastAsia="宋体" w:cs="宋体"/>
          <w:b/>
          <w:color w:val="000000"/>
          <w:sz w:val="24"/>
          <w:szCs w:val="24"/>
        </w:rPr>
      </w:pPr>
    </w:p>
    <w:p w14:paraId="2D2E01EC">
      <w:pPr>
        <w:pStyle w:val="4"/>
        <w:spacing w:line="3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询价报价表</w:t>
      </w:r>
    </w:p>
    <w:p w14:paraId="0F02FC14">
      <w:pPr>
        <w:rPr>
          <w:rFonts w:hint="eastAsia"/>
        </w:rPr>
      </w:pPr>
    </w:p>
    <w:tbl>
      <w:tblPr>
        <w:tblStyle w:val="5"/>
        <w:tblW w:w="99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169"/>
        <w:gridCol w:w="1275"/>
        <w:gridCol w:w="1305"/>
        <w:gridCol w:w="1626"/>
        <w:gridCol w:w="426"/>
        <w:gridCol w:w="427"/>
        <w:gridCol w:w="427"/>
        <w:gridCol w:w="1113"/>
        <w:gridCol w:w="730"/>
      </w:tblGrid>
      <w:tr w14:paraId="617C5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7C059034">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项号</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033BA7EF">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标的名称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751B97">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生产厂家</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3BDF16C">
            <w:pPr>
              <w:spacing w:line="2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品牌、规格型号</w:t>
            </w:r>
          </w:p>
        </w:tc>
        <w:tc>
          <w:tcPr>
            <w:tcW w:w="1626" w:type="dxa"/>
            <w:tcBorders>
              <w:top w:val="single" w:color="auto" w:sz="4" w:space="0"/>
              <w:left w:val="single" w:color="auto" w:sz="4" w:space="0"/>
              <w:bottom w:val="single" w:color="auto" w:sz="4" w:space="0"/>
              <w:right w:val="single" w:color="auto" w:sz="4" w:space="0"/>
            </w:tcBorders>
            <w:noWrap w:val="0"/>
            <w:vAlign w:val="center"/>
          </w:tcPr>
          <w:p w14:paraId="29B17BBD">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报价响应参数</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70782E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p w14:paraId="33E9910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①</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3791C80">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26D0E370">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w:t>
            </w:r>
          </w:p>
          <w:p w14:paraId="33C9DDFD">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②</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7F2F854">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单项合计=数量×单价</w:t>
            </w:r>
          </w:p>
          <w:p w14:paraId="429FA8FA">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③＝①×②</w:t>
            </w:r>
          </w:p>
        </w:tc>
        <w:tc>
          <w:tcPr>
            <w:tcW w:w="730" w:type="dxa"/>
            <w:tcBorders>
              <w:bottom w:val="single" w:color="auto" w:sz="4" w:space="0"/>
            </w:tcBorders>
            <w:noWrap w:val="0"/>
            <w:vAlign w:val="center"/>
          </w:tcPr>
          <w:p w14:paraId="0E29AB32">
            <w:pPr>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0058D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14:paraId="58B9C15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2953B7CA">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8E67EE">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D89467F">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DF315CE">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618F34EC">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70FC1504">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47813EF7">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B882F8F">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4F25EC1B">
            <w:pPr>
              <w:spacing w:line="300" w:lineRule="exact"/>
              <w:jc w:val="center"/>
              <w:rPr>
                <w:rFonts w:hint="eastAsia" w:ascii="宋体" w:hAnsi="宋体" w:eastAsia="宋体" w:cs="宋体"/>
                <w:b/>
                <w:bCs/>
                <w:color w:val="000000"/>
                <w:sz w:val="24"/>
                <w:szCs w:val="24"/>
              </w:rPr>
            </w:pPr>
          </w:p>
        </w:tc>
      </w:tr>
      <w:tr w14:paraId="13EBD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768E246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7AF538BA">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10030D">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5D99D06">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14A949CE">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163526E5">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2A420920">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EAEBEAC">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1A3CAE7">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590B88DF">
            <w:pPr>
              <w:spacing w:line="300" w:lineRule="exact"/>
              <w:jc w:val="center"/>
              <w:rPr>
                <w:rFonts w:hint="eastAsia" w:ascii="宋体" w:hAnsi="宋体" w:eastAsia="宋体" w:cs="宋体"/>
                <w:b/>
                <w:bCs/>
                <w:color w:val="000000"/>
                <w:sz w:val="24"/>
                <w:szCs w:val="24"/>
              </w:rPr>
            </w:pPr>
          </w:p>
        </w:tc>
      </w:tr>
      <w:tr w14:paraId="39D3D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2ABBA3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7BB87258">
            <w:pPr>
              <w:spacing w:line="300" w:lineRule="exact"/>
              <w:jc w:val="center"/>
              <w:rPr>
                <w:rFonts w:hint="eastAsia" w:ascii="宋体" w:hAnsi="宋体" w:eastAsia="宋体" w:cs="宋体"/>
                <w:color w:val="000000"/>
                <w:sz w:val="24"/>
                <w:szCs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03B5D8D">
            <w:pPr>
              <w:spacing w:line="300" w:lineRule="exact"/>
              <w:jc w:val="center"/>
              <w:rPr>
                <w:rFonts w:hint="eastAsia" w:ascii="宋体" w:hAnsi="宋体" w:eastAsia="宋体" w:cs="宋体"/>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FAF4357">
            <w:pPr>
              <w:spacing w:line="300" w:lineRule="exact"/>
              <w:jc w:val="center"/>
              <w:rPr>
                <w:rFonts w:hint="eastAsia" w:ascii="宋体" w:hAnsi="宋体" w:eastAsia="宋体" w:cs="宋体"/>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7F05BD5">
            <w:pPr>
              <w:spacing w:line="300" w:lineRule="exact"/>
              <w:jc w:val="center"/>
              <w:rPr>
                <w:rFonts w:hint="eastAsia" w:ascii="宋体" w:hAnsi="宋体" w:eastAsia="宋体" w:cs="宋体"/>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797E4C29">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5F63BB1">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FEE1A1A">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E99EDA4">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4E0942D3">
            <w:pPr>
              <w:spacing w:line="300" w:lineRule="exact"/>
              <w:jc w:val="center"/>
              <w:rPr>
                <w:rFonts w:hint="eastAsia" w:ascii="宋体" w:hAnsi="宋体" w:eastAsia="宋体" w:cs="宋体"/>
                <w:b/>
                <w:bCs/>
                <w:color w:val="000000"/>
                <w:sz w:val="24"/>
                <w:szCs w:val="24"/>
              </w:rPr>
            </w:pPr>
          </w:p>
        </w:tc>
      </w:tr>
      <w:tr w14:paraId="00F23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426" w:type="dxa"/>
            <w:tcBorders>
              <w:top w:val="single" w:color="auto" w:sz="4" w:space="0"/>
              <w:left w:val="single" w:color="auto" w:sz="4" w:space="0"/>
              <w:right w:val="single" w:color="auto" w:sz="4" w:space="0"/>
            </w:tcBorders>
            <w:noWrap w:val="0"/>
            <w:vAlign w:val="center"/>
          </w:tcPr>
          <w:p w14:paraId="5C5A1B1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N</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11261EC2">
            <w:pPr>
              <w:spacing w:line="300" w:lineRule="exact"/>
              <w:jc w:val="center"/>
              <w:rPr>
                <w:rFonts w:hint="eastAsia" w:ascii="宋体" w:hAnsi="宋体" w:eastAsia="宋体" w:cs="宋体"/>
                <w:b/>
                <w:bCs/>
                <w:color w:val="000000"/>
                <w:sz w:val="24"/>
                <w:szCs w:val="24"/>
              </w:rPr>
            </w:pPr>
            <w:r>
              <w:rPr>
                <w:rFonts w:hint="eastAsia" w:ascii="宋体" w:hAnsi="宋体" w:eastAsia="宋体" w:cs="宋体"/>
                <w:color w:val="000000"/>
                <w:sz w:val="24"/>
                <w:szCs w:val="24"/>
              </w:rPr>
              <w:t>…</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D047A6">
            <w:pPr>
              <w:spacing w:line="300" w:lineRule="exact"/>
              <w:jc w:val="center"/>
              <w:rPr>
                <w:rFonts w:hint="eastAsia" w:ascii="宋体" w:hAnsi="宋体" w:eastAsia="宋体" w:cs="宋体"/>
                <w:b/>
                <w:bCs/>
                <w:color w:val="000000"/>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9E763C7">
            <w:pPr>
              <w:spacing w:line="300" w:lineRule="exact"/>
              <w:jc w:val="center"/>
              <w:rPr>
                <w:rFonts w:hint="eastAsia" w:ascii="宋体" w:hAnsi="宋体" w:eastAsia="宋体" w:cs="宋体"/>
                <w:b/>
                <w:bCs/>
                <w:color w:val="000000"/>
                <w:sz w:val="24"/>
                <w:szCs w:val="24"/>
              </w:rPr>
            </w:pPr>
          </w:p>
        </w:tc>
        <w:tc>
          <w:tcPr>
            <w:tcW w:w="1626" w:type="dxa"/>
            <w:tcBorders>
              <w:top w:val="single" w:color="auto" w:sz="4" w:space="0"/>
              <w:left w:val="single" w:color="auto" w:sz="4" w:space="0"/>
              <w:bottom w:val="single" w:color="auto" w:sz="4" w:space="0"/>
              <w:right w:val="single" w:color="auto" w:sz="4" w:space="0"/>
            </w:tcBorders>
            <w:noWrap w:val="0"/>
            <w:vAlign w:val="center"/>
          </w:tcPr>
          <w:p w14:paraId="3D7C734C">
            <w:pPr>
              <w:spacing w:line="300" w:lineRule="exact"/>
              <w:jc w:val="center"/>
              <w:rPr>
                <w:rFonts w:hint="eastAsia" w:ascii="宋体" w:hAnsi="宋体" w:eastAsia="宋体" w:cs="宋体"/>
                <w:b/>
                <w:bCs/>
                <w:color w:val="000000"/>
                <w:sz w:val="24"/>
                <w:szCs w:val="24"/>
              </w:rPr>
            </w:pPr>
          </w:p>
        </w:tc>
        <w:tc>
          <w:tcPr>
            <w:tcW w:w="426" w:type="dxa"/>
            <w:tcBorders>
              <w:top w:val="single" w:color="auto" w:sz="4" w:space="0"/>
              <w:left w:val="single" w:color="auto" w:sz="4" w:space="0"/>
              <w:bottom w:val="single" w:color="auto" w:sz="4" w:space="0"/>
              <w:right w:val="single" w:color="auto" w:sz="4" w:space="0"/>
            </w:tcBorders>
            <w:noWrap w:val="0"/>
            <w:vAlign w:val="center"/>
          </w:tcPr>
          <w:p w14:paraId="07602A3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06D2E465">
            <w:pPr>
              <w:jc w:val="center"/>
              <w:rPr>
                <w:rFonts w:hint="eastAsia" w:ascii="宋体" w:hAnsi="宋体" w:eastAsia="宋体" w:cs="宋体"/>
                <w:color w:val="000000"/>
                <w:sz w:val="24"/>
                <w:szCs w:val="24"/>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9D8CC2E">
            <w:pPr>
              <w:spacing w:line="300" w:lineRule="exact"/>
              <w:jc w:val="center"/>
              <w:rPr>
                <w:rFonts w:hint="eastAsia" w:ascii="宋体" w:hAnsi="宋体" w:eastAsia="宋体" w:cs="宋体"/>
                <w:b/>
                <w:bCs/>
                <w:color w:val="000000"/>
                <w:sz w:val="24"/>
                <w:szCs w:val="24"/>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30F8BA4">
            <w:pPr>
              <w:spacing w:line="300" w:lineRule="exact"/>
              <w:jc w:val="center"/>
              <w:rPr>
                <w:rFonts w:hint="eastAsia" w:ascii="宋体" w:hAnsi="宋体" w:eastAsia="宋体" w:cs="宋体"/>
                <w:b/>
                <w:bCs/>
                <w:color w:val="000000"/>
                <w:sz w:val="24"/>
                <w:szCs w:val="24"/>
              </w:rPr>
            </w:pPr>
          </w:p>
        </w:tc>
        <w:tc>
          <w:tcPr>
            <w:tcW w:w="730" w:type="dxa"/>
            <w:tcBorders>
              <w:top w:val="single" w:color="auto" w:sz="4" w:space="0"/>
              <w:bottom w:val="single" w:color="auto" w:sz="4" w:space="0"/>
            </w:tcBorders>
            <w:noWrap w:val="0"/>
            <w:vAlign w:val="center"/>
          </w:tcPr>
          <w:p w14:paraId="792894EF">
            <w:pPr>
              <w:spacing w:line="300" w:lineRule="exact"/>
              <w:jc w:val="center"/>
              <w:rPr>
                <w:rFonts w:hint="eastAsia" w:ascii="宋体" w:hAnsi="宋体" w:eastAsia="宋体" w:cs="宋体"/>
                <w:b/>
                <w:bCs/>
                <w:color w:val="000000"/>
                <w:sz w:val="24"/>
                <w:szCs w:val="24"/>
              </w:rPr>
            </w:pPr>
          </w:p>
        </w:tc>
      </w:tr>
      <w:tr w14:paraId="657ED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73D1E7C1">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总报价（大写）：                              元人民币（¥                                 ）</w:t>
            </w:r>
          </w:p>
        </w:tc>
      </w:tr>
      <w:tr w14:paraId="06B1E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1BB8F562">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交付使用期:</w:t>
            </w:r>
          </w:p>
        </w:tc>
      </w:tr>
      <w:tr w14:paraId="7CB3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74DC0DBD">
            <w:pPr>
              <w:spacing w:line="300" w:lineRule="exact"/>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免费保修期:</w:t>
            </w:r>
          </w:p>
        </w:tc>
      </w:tr>
      <w:tr w14:paraId="6E38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9924" w:type="dxa"/>
            <w:gridSpan w:val="10"/>
            <w:tcBorders>
              <w:top w:val="single" w:color="auto" w:sz="4" w:space="0"/>
              <w:left w:val="single" w:color="auto" w:sz="4" w:space="0"/>
              <w:bottom w:val="single" w:color="auto" w:sz="4" w:space="0"/>
            </w:tcBorders>
            <w:noWrap w:val="0"/>
            <w:vAlign w:val="center"/>
          </w:tcPr>
          <w:p w14:paraId="2F1BDDF5">
            <w:pPr>
              <w:spacing w:line="3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说明：投标报价指本次招标采购范围内货物价款、货物随配标准附件、包装、运输、装卸、保险、税金、货到位以及安装、安装所需辅材、调试、售后服务、培训、保修及其他所有成本费用的总和；报价人综合考虑在报价中。</w:t>
            </w:r>
          </w:p>
        </w:tc>
      </w:tr>
    </w:tbl>
    <w:p w14:paraId="7A2EF3A2">
      <w:pPr>
        <w:spacing w:line="340" w:lineRule="exact"/>
        <w:rPr>
          <w:rFonts w:hint="eastAsia" w:ascii="宋体" w:hAnsi="宋体" w:eastAsia="宋体" w:cs="宋体"/>
          <w:color w:val="000000"/>
          <w:sz w:val="24"/>
          <w:szCs w:val="24"/>
        </w:rPr>
      </w:pPr>
    </w:p>
    <w:p w14:paraId="35FE9A30">
      <w:pPr>
        <w:spacing w:line="3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供应商（签章，自然人除外）：</w:t>
      </w:r>
      <w:r>
        <w:rPr>
          <w:rFonts w:hint="eastAsia" w:ascii="宋体" w:hAnsi="宋体" w:eastAsia="宋体" w:cs="宋体"/>
          <w:color w:val="000000"/>
          <w:sz w:val="24"/>
          <w:szCs w:val="24"/>
          <w:u w:val="single"/>
        </w:rPr>
        <w:t xml:space="preserve">                                              </w:t>
      </w:r>
    </w:p>
    <w:p w14:paraId="2F5B58EC">
      <w:pPr>
        <w:spacing w:line="3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法定代表人、负责人、自然人或相应的委托代理人签字或个人签章（属自然人的应在签名处加盖食指指印或个人签章）：</w:t>
      </w:r>
      <w:r>
        <w:rPr>
          <w:rFonts w:hint="eastAsia" w:ascii="宋体" w:hAnsi="宋体" w:eastAsia="宋体" w:cs="宋体"/>
          <w:color w:val="000000"/>
          <w:sz w:val="24"/>
          <w:szCs w:val="24"/>
          <w:u w:val="single"/>
        </w:rPr>
        <w:t xml:space="preserve">                                     </w:t>
      </w:r>
    </w:p>
    <w:p w14:paraId="51AEFFEE">
      <w:pPr>
        <w:pStyle w:val="2"/>
        <w:rPr>
          <w:rFonts w:hint="eastAsia" w:ascii="宋体" w:hAnsi="宋体" w:eastAsia="宋体" w:cs="宋体"/>
          <w:b/>
          <w:bCs/>
          <w:color w:val="000000"/>
          <w:sz w:val="24"/>
          <w:szCs w:val="24"/>
        </w:rPr>
      </w:pPr>
    </w:p>
    <w:p w14:paraId="558FE69F">
      <w:pPr>
        <w:tabs>
          <w:tab w:val="left" w:pos="1305"/>
        </w:tabs>
        <w:spacing w:line="400" w:lineRule="exact"/>
        <w:rPr>
          <w:rFonts w:hint="eastAsia" w:ascii="宋体" w:hAnsi="宋体" w:eastAsia="宋体" w:cs="宋体"/>
          <w:b/>
          <w:color w:val="000000"/>
          <w:sz w:val="24"/>
          <w:szCs w:val="24"/>
        </w:rPr>
      </w:pPr>
    </w:p>
    <w:p w14:paraId="3972B732">
      <w:pPr>
        <w:tabs>
          <w:tab w:val="left" w:pos="1305"/>
        </w:tabs>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注</w:t>
      </w:r>
      <w:r>
        <w:rPr>
          <w:rFonts w:hint="eastAsia" w:ascii="宋体" w:hAnsi="宋体" w:eastAsia="宋体" w:cs="宋体"/>
          <w:b/>
          <w:bCs/>
          <w:color w:val="000000"/>
          <w:sz w:val="24"/>
          <w:szCs w:val="24"/>
        </w:rPr>
        <w:t>：</w:t>
      </w:r>
      <w:r>
        <w:rPr>
          <w:rFonts w:hint="eastAsia" w:ascii="宋体" w:hAnsi="宋体" w:eastAsia="宋体" w:cs="宋体"/>
          <w:bCs/>
          <w:color w:val="000000"/>
          <w:sz w:val="24"/>
          <w:szCs w:val="24"/>
        </w:rPr>
        <w:t>1.各</w:t>
      </w:r>
      <w:r>
        <w:rPr>
          <w:rFonts w:hint="eastAsia" w:ascii="宋体" w:hAnsi="宋体" w:eastAsia="宋体" w:cs="宋体"/>
          <w:color w:val="000000"/>
          <w:sz w:val="24"/>
          <w:szCs w:val="24"/>
        </w:rPr>
        <w:t>供应商必须就“采购需求”中所响应的所有内容作完整唯一报价，否则，其报价将被拒绝。响应文件只允许有一个报价。</w:t>
      </w:r>
    </w:p>
    <w:p w14:paraId="74D80E26">
      <w:pPr>
        <w:pStyle w:val="4"/>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2.供应商应根据所投项目如实填写询价报价表</w:t>
      </w:r>
      <w:r>
        <w:rPr>
          <w:rFonts w:hint="eastAsia" w:ascii="宋体" w:hAnsi="宋体" w:eastAsia="宋体" w:cs="宋体"/>
          <w:bCs/>
          <w:color w:val="000000"/>
          <w:sz w:val="24"/>
          <w:szCs w:val="24"/>
        </w:rPr>
        <w:t>的各项内容。</w:t>
      </w:r>
    </w:p>
    <w:p w14:paraId="6A3EB0AF">
      <w:pPr>
        <w:spacing w:line="360" w:lineRule="auto"/>
        <w:ind w:firstLine="480" w:firstLineChars="200"/>
        <w:rPr>
          <w:rFonts w:hint="eastAsia" w:ascii="宋体" w:hAnsi="宋体" w:eastAsia="宋体" w:cs="宋体"/>
          <w:b/>
          <w:bCs/>
          <w:color w:val="000000"/>
          <w:sz w:val="24"/>
          <w:szCs w:val="24"/>
        </w:rPr>
      </w:pPr>
      <w:r>
        <w:rPr>
          <w:rFonts w:hint="eastAsia" w:ascii="宋体" w:hAnsi="宋体" w:eastAsia="宋体" w:cs="宋体"/>
          <w:color w:val="000000"/>
          <w:sz w:val="24"/>
          <w:szCs w:val="24"/>
        </w:rPr>
        <w:t>3.询价报价表须由法定代表人负责人、自然人或相应的委托代理人签字或个人签章（属自然人的应在签名处加盖食指指印或个人签章）并加盖报价人签章（自然人除外）。</w:t>
      </w:r>
      <w:r>
        <w:rPr>
          <w:rFonts w:hint="eastAsia" w:ascii="宋体" w:hAnsi="宋体" w:eastAsia="宋体" w:cs="宋体"/>
          <w:b/>
          <w:color w:val="000000"/>
          <w:sz w:val="24"/>
          <w:szCs w:val="24"/>
        </w:rPr>
        <w:t>当本表由多页构成时，需逐页加盖报价人公章（属自然人的须逐页签字或个人签章）</w:t>
      </w:r>
    </w:p>
    <w:p w14:paraId="07015194"/>
    <w:p w14:paraId="67026C59">
      <w:pPr>
        <w:rPr>
          <w:rFonts w:hint="default" w:eastAsiaTheme="minor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16579"/>
    <w:rsid w:val="0FCD2901"/>
    <w:rsid w:val="122F2B31"/>
    <w:rsid w:val="12D27977"/>
    <w:rsid w:val="1557566D"/>
    <w:rsid w:val="1F9A7607"/>
    <w:rsid w:val="239A359C"/>
    <w:rsid w:val="239A615D"/>
    <w:rsid w:val="285877B0"/>
    <w:rsid w:val="29ED5FFB"/>
    <w:rsid w:val="2A844980"/>
    <w:rsid w:val="2B7663F5"/>
    <w:rsid w:val="340829E0"/>
    <w:rsid w:val="34A21215"/>
    <w:rsid w:val="390D5CBF"/>
    <w:rsid w:val="3B082115"/>
    <w:rsid w:val="3FFD03EE"/>
    <w:rsid w:val="45AC7CC5"/>
    <w:rsid w:val="470126EE"/>
    <w:rsid w:val="4D75266A"/>
    <w:rsid w:val="51373AAA"/>
    <w:rsid w:val="53062D7B"/>
    <w:rsid w:val="5589444F"/>
    <w:rsid w:val="60434BB2"/>
    <w:rsid w:val="619772DE"/>
    <w:rsid w:val="6318012F"/>
    <w:rsid w:val="64933457"/>
    <w:rsid w:val="64F5495F"/>
    <w:rsid w:val="66EB09BD"/>
    <w:rsid w:val="67F90858"/>
    <w:rsid w:val="6865349E"/>
    <w:rsid w:val="68E65C61"/>
    <w:rsid w:val="6AC63504"/>
    <w:rsid w:val="6B7B4D1E"/>
    <w:rsid w:val="6B81562D"/>
    <w:rsid w:val="738F3515"/>
    <w:rsid w:val="7B5C179A"/>
    <w:rsid w:val="7CC77818"/>
    <w:rsid w:val="7DD82361"/>
    <w:rsid w:val="7EE0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lock Text"/>
    <w:basedOn w:val="1"/>
    <w:qFormat/>
    <w:uiPriority w:val="99"/>
    <w:pPr>
      <w:ind w:left="1440" w:leftChars="700" w:right="700" w:rightChars="700"/>
    </w:pPr>
    <w:rPr>
      <w:rFonts w:ascii="Calibri" w:hAnsi="Calibri"/>
    </w:rPr>
  </w:style>
  <w:style w:type="paragraph" w:styleId="4">
    <w:name w:val="Plain Text"/>
    <w:basedOn w:val="1"/>
    <w:next w:val="1"/>
    <w:qFormat/>
    <w:uiPriority w:val="0"/>
    <w:rPr>
      <w:rFonts w:ascii="宋体" w:hAnsi="Courier New"/>
      <w:kern w:val="0"/>
      <w:sz w:val="20"/>
      <w:szCs w:val="21"/>
    </w:rPr>
  </w:style>
  <w:style w:type="character" w:customStyle="1" w:styleId="7">
    <w:name w:val="font21"/>
    <w:basedOn w:val="6"/>
    <w:qFormat/>
    <w:uiPriority w:val="0"/>
    <w:rPr>
      <w:rFonts w:hint="eastAsia" w:ascii="宋体" w:hAnsi="宋体" w:eastAsia="宋体" w:cs="宋体"/>
      <w:color w:val="000000"/>
      <w:sz w:val="21"/>
      <w:szCs w:val="21"/>
      <w:u w:val="none"/>
    </w:rPr>
  </w:style>
  <w:style w:type="character" w:customStyle="1" w:styleId="8">
    <w:name w:val="font41"/>
    <w:basedOn w:val="6"/>
    <w:qFormat/>
    <w:uiPriority w:val="0"/>
    <w:rPr>
      <w:rFonts w:hint="eastAsia" w:ascii="宋体" w:hAnsi="宋体" w:eastAsia="宋体" w:cs="宋体"/>
      <w:color w:val="FF0000"/>
      <w:sz w:val="21"/>
      <w:szCs w:val="21"/>
      <w:u w:val="none"/>
    </w:rPr>
  </w:style>
  <w:style w:type="character" w:customStyle="1" w:styleId="9">
    <w:name w:val="font31"/>
    <w:basedOn w:val="6"/>
    <w:qFormat/>
    <w:uiPriority w:val="0"/>
    <w:rPr>
      <w:rFonts w:hint="eastAsia" w:ascii="宋体" w:hAnsi="宋体" w:eastAsia="宋体" w:cs="宋体"/>
      <w:color w:val="000000"/>
      <w:sz w:val="21"/>
      <w:szCs w:val="21"/>
      <w:u w:val="none"/>
    </w:rPr>
  </w:style>
  <w:style w:type="character" w:customStyle="1" w:styleId="10">
    <w:name w:val="font51"/>
    <w:basedOn w:val="6"/>
    <w:qFormat/>
    <w:uiPriority w:val="0"/>
    <w:rPr>
      <w:rFonts w:ascii="Wingdings 2" w:hAnsi="Wingdings 2" w:eastAsia="Wingdings 2" w:cs="Wingdings 2"/>
      <w:color w:val="000000"/>
      <w:sz w:val="21"/>
      <w:szCs w:val="21"/>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61"/>
    <w:basedOn w:val="6"/>
    <w:qFormat/>
    <w:uiPriority w:val="0"/>
    <w:rPr>
      <w:rFonts w:hint="eastAsia" w:ascii="宋体" w:hAnsi="宋体" w:eastAsia="宋体" w:cs="宋体"/>
      <w:b/>
      <w:bCs/>
      <w:color w:val="000000"/>
      <w:sz w:val="22"/>
      <w:szCs w:val="22"/>
      <w:u w:val="none"/>
    </w:rPr>
  </w:style>
  <w:style w:type="character" w:customStyle="1" w:styleId="13">
    <w:name w:val="font71"/>
    <w:basedOn w:val="6"/>
    <w:qFormat/>
    <w:uiPriority w:val="0"/>
    <w:rPr>
      <w:rFonts w:hint="eastAsia" w:ascii="宋体" w:hAnsi="宋体" w:eastAsia="宋体" w:cs="宋体"/>
      <w:b/>
      <w:bCs/>
      <w:color w:val="000000"/>
      <w:sz w:val="22"/>
      <w:szCs w:val="22"/>
      <w:u w:val="single"/>
    </w:rPr>
  </w:style>
  <w:style w:type="character" w:customStyle="1" w:styleId="14">
    <w:name w:val="font81"/>
    <w:basedOn w:val="6"/>
    <w:qFormat/>
    <w:uiPriority w:val="0"/>
    <w:rPr>
      <w:rFonts w:hint="eastAsia" w:ascii="宋体" w:hAnsi="宋体" w:eastAsia="宋体" w:cs="宋体"/>
      <w:b/>
      <w:bCs/>
      <w:color w:val="FF0000"/>
      <w:sz w:val="22"/>
      <w:szCs w:val="22"/>
      <w:u w:val="none"/>
    </w:rPr>
  </w:style>
  <w:style w:type="character" w:customStyle="1" w:styleId="15">
    <w:name w:val="font91"/>
    <w:basedOn w:val="6"/>
    <w:qFormat/>
    <w:uiPriority w:val="0"/>
    <w:rPr>
      <w:rFonts w:hint="eastAsia" w:ascii="宋体" w:hAnsi="宋体" w:eastAsia="宋体" w:cs="宋体"/>
      <w:b/>
      <w:bCs/>
      <w:color w:val="FF0000"/>
      <w:sz w:val="22"/>
      <w:szCs w:val="2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6064</Words>
  <Characters>7197</Characters>
  <Lines>0</Lines>
  <Paragraphs>0</Paragraphs>
  <TotalTime>12</TotalTime>
  <ScaleCrop>false</ScaleCrop>
  <LinksUpToDate>false</LinksUpToDate>
  <CharactersWithSpaces>7462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2025-07-23T02:58:00Z</dcterms:created>
  <dc:creator>admin</dc:creator>
  <cp:lastModifiedBy>WPS_1689150728</cp:lastModifiedBy>
  <dcterms:modified xsi:type="dcterms:W3CDTF">2025-09-29T01:48:33Z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eyJoZGlkIjoiNzMxMjE5YWFhNWZjYTU2ZTlhYWViM2M1NGU5NWEwNDIiLCJ1c2VySWQiOiIxNTEyOTY0NjE1In0=</vt:lpwstr>
  </property>
  <property fmtid="{D5CDD505-2E9C-101B-9397-08002B2CF9AE}" pid="4" name="ICV">
    <vt:lpwstr>81A23771459A4FBAAD0F5F7131934DBA_12</vt:lpwstr>
  </property>
</Properties>
</file>