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资源县教育局教学一体机采购(第二批)需求表（在线询价）</w:t>
      </w:r>
    </w:p>
    <w:tbl>
      <w:tblPr>
        <w:tblStyle w:val="5"/>
        <w:tblW w:w="10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887"/>
        <w:gridCol w:w="23"/>
        <w:gridCol w:w="5770"/>
        <w:gridCol w:w="585"/>
        <w:gridCol w:w="600"/>
        <w:gridCol w:w="87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名称</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交互智能平板</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一、整机整体设计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（一）整机护眼及屏幕设计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1、整机屏幕采用≥86英寸液晶显示器。整机采用超高清LED液晶显示屏，显示比例16:9，分辨率3840×2160。钢化玻璃表面硬度≥9H。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色域覆盖率（NTSC）≥72%；整机背光系统支持DC调光方式，多级亮度调节，支持白颜色背景下最暗亮度≤120nit，用于提升显示对比度。（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★3、灰度等级≥256级。整机支持色彩空间可选，包含标准模式和sRGB模式，在sRGB模式下可做到高色准△E≤1。（报价时须提供国家认可的第三方检测机构出具的关于该功能的检测报告复印件）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4、整机采用硬件低蓝光背光技术，在源头减少有害蓝光波段能量，蓝光占比（有害蓝光415～455nm能量综合）/（整体蓝光400～500能量综合）＜50%，低蓝光保护显示不偏色、不泛黄。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5、支持标准、多媒体和节能三种图像模式调节。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7、支持自定义图像设置，可对对比度、屏幕色温、图像亮度、亮度范围、色彩空间调节设置。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★8、整机嵌入式芯片内置2TOPS AI算力，可用于AI图像、音频处理。（报价时须提供国家认可的第三方检测机构出具的关于该功能的检测报告复印件）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（二）整机嵌入式系统设计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★1、整机嵌入式系统版本≥Android 14，主频≥1.8GHz，内存≥2GB，存储空间≥8GB。（报价时须提供国家认可的第三方检测机构出具的关于该功能的检测报告复印件）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2、嵌入式Android操作系统下，白板支持对已经书写的笔迹和形状的颜色进行更换，使用白板软件时，整机可根据用户书写操作智能调节屏幕亮度。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3、嵌入式Android操作系统下，互动白板支持不同背景颜色，同时提供学科背景，如：五线谱、信纸、田字格、英文格、篮球和足球场地平面图。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5、在嵌入式操作系统下，能对TV多媒体USB所读取到的文件进行自动归类，可分类查找文档、板书、图片、音视频，检索后可直接在界面中打开。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（三）整机电脑系统设计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1、CPU：搭载Intel酷睿系列≥i5CPU。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2、内存：16GBDDR4内存或以上配置。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3、硬盘：512GB或以上SSD固态硬盘。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二、数字化管理设计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1、设计架构：系统采用模块化的架构设计B/S架构，通过浏览器打开并用微信扫码登录/账号密码登录完成鉴权，即可数字校园产品的各项功能模块。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2、登录认证：基于Web浏览器，提供用户统一登录认证功能，包括：手机号码注册、登录、忘记密码、扫码登录、账号管理功能。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模块化设计：为满足学校教学管理的需求，教学平台采用一体化设计，集教学与管理模块于一体，包括教学教研、学生评价、校园安全、设备管理、应用工具、以及基础信息模块，满足用户一站式教学教研管理体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4、通知中心：支持聚合平台所有通知消息，方便用户统一查看，处理来自各个应用的通知。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★5、待办中心：支持通过代办中心处理用户待处理的工作，待办中心数据来自各个应用，处理完毕的代办事项会消失在待办中心。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三、数字化音频设计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内置2.2声道扬声器，位于设备上边框，顶置朝前发声，前朝向10W高音扬声器2个，上朝向20W中低音扬声器2个，额定总功率60W。（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2、整机可选择高级音效设置，支持在左右声道平衡显示范围中进行更改；中低频段显示调节范围125Hz～1KHz，高频段显示调节范围2KHz～16KHz，分贝显示-12dB～12dB调节范围。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内置非独立外扩展的8阵列麦克风，拾音角度≥180°，可用于对教室环境音频进行采集，拾音距离≥10m。整机内置扬声器采用缝隙发声技术，喇叭采用槽式开口设计，不大于5.8mm。（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4、整机扬声器在100%音量下，可做到1米处声压级≥88db，10米处声压级≥79dB。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★5、整机扬声器采用模块化设计，无需打开背板即可单独拆卸。（报价时须提供国家认可的第三方检测机构出具的关于该功能的检测报告复印件）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四、前置按键设计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2、整机具备至少6个前置按键，可实现开关机、调出中控菜单、音量+/-、护眼、录屏操作。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3、支持经典护眼模式，可通过前置面板物理功能按键一键启用经典护眼模式。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4、设备支持通过前置面板物理按键一键启动录屏功能，可将屏幕中显示的课件、音频内容与人声同时录制。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五、数字化视频设计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1、整机内置摄像头（非外扩），PC通道下支持通过视频展台软件调用摄像头进行二维码扫码识别。具备摄像头工作指示灯，摄像头运行时，有指示灯提示。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上边框内置非独立摄像头，采用一体化集成设计，摄像头数量≥3个。整机内置至少三个摄像头像素值均大于800万。整机上边框内置非独立式广角高清摄像头，在清晰度为2592x1944分辨率下，支持30帧的视频输出。（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上边框内置非独立式摄像头，视场角≥140度且水平视场角≥139度，可拍摄≥1600万像素的照片，支持输出8192×2048分辨率的照片和视频，支持画面畸变矫正功能，支持3D降噪算法和数字宽动态范围成像WDR技术，支持输出MJPG、H、264视频格式。（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支持距离摄像头位置≥10米距离的AI识别人脸，在距离整机1.7米情况下，且拍摄范围可以覆盖摄像头垂直法线左右距离大于等于4米，可以实现人脸识别。整机摄像头支持人脸识别、清点人数、随机抽人；识别所有学生，显示标记，然后随机抽选，同时显示标记不少于55人。（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支持上边框内置非独立摄像头模组，同时输出至少3路视频流，同时支持课堂远程巡课、课堂教学数据采集、本地画面预览（拍照或视频录制）。（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6、整机支持通过人脸识别进行登录账号。整机摄像头支持环境色温判断，根据环境调节合适的显示图像效果。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六、连接拓展设计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2、整机支持蓝牙Bluetooth5.4标准，固件版本号HCI13.0/LMP13.0。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支持发出频率为18kHz-22kHz超声波信号，智能手机通过麦克风接收后，智能手机与整机无需在同一局域网内，可实现配对，一键投屏，用户无需手动输入投屏码或扫码获取投屏码；整机内置传屏接收模块，整机不需要连接任何附加设备，可实现外部电脑、手机设备的音视频信号实时传输到整机上。（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内置双WiFi6无线网卡（不接受外接），在Android和Windows系统下可实现Wi-Fi无线上网连接、AP无线热点发射和BT蓝牙连接功能，Wi-Fi和AP热点工作距离≥10m；在Android下支持无线设备同时连接数量≥30个，在Windows系统下支持无线设备同时连接≥8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七、触摸书写设计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1、支持Windows7、Windows8、Windows10、Windows11、Linux、MacOs、UOS和麒麟系统外置电脑操作系统接入时，无需安装触摸驱动。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2、触摸分辨率32768×32768，整机系统支持书写触控延迟≤30ms，书写功能集成预测算法，在书写速度≥50cm/s，支持笔迹距离笔的距离小于20mm。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3、整机触摸响应时间≤4ms，触摸最小识别物≤3mm，整机屏幕触摸有效识别高度不超过1.5mm，即触摸物体距离玻璃外表面高度不超过1.5mm时，触摸屏识别为点击操作。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4、整机支持提笔书写，在Windows系统下可实现无需点击任意功能入口，当检测到红外笔笔尖接触屏幕时，自动进入书写模式。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5、支持同一支笔，笔头、笔尾书写不同的颜色，且颜色可自定义。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整机触摸支持动态压力感应，支持无任何电子功能的普通书写笔在整机上书写或点压时，整机能感应压力变化，书写或点压过程笔迹呈现不同粗细。（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智能书写功能，书写文字自动识别为标准印刷体，支持图形识别功能，可将多种手绘图形转化为矩形、三角形、圆形等标准图形。（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8、支持智能板擦功能，系统可根据触控物体的形状自动识别出实物板擦，可擦除电子白板中的内容，无需依赖外部电子设备。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9、触摸屏具有防遮挡功能，触摸接收器在单点或多点遮挡后仍能正常书写。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八、教学辅助设计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（一）教学工具栏设计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1、整机全通道侧边栏快捷菜单包含如下小工具：批注、降半屏、截屏、放大镜、倒计时、日历、聚光灯、秒表、冻屏、倒数日、答题、节拍器。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2、支持分屏模式，将桌面式操作系统显示画面上半部分下拉到显示屏的下半部分显示，此时依然可以正常触控操作桌面式操作系统；点击非桌面式操作系统显示画面区域，即可退出该模式，无需其他设置。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3、整机内置硬件自检维护工具，支持对多种模块进行检测和故障问题提示。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4、整机全通道侧边栏快捷菜单中应用软件可以进行切换，无需在已经开启的应用软件全屏模式下退出当前应用再选择更换，支持windows应用固定，可将应用固定后，在侧边栏进行快捷打开。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（二）文件传输功能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★1、整机Windows通道支持文件传输应用，支持通过扫码、wifi直联、超声三种方式与手机进行连接，实现文件传输功能。（报价时须提供国家认可的第三方检测机构出具的关于该功能的检测报告复印件）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文件传输应用支持多人同时将手机文件传输到整机上；当手机端登录账号与整机一致时，接收文件不需要二次确认，当手机端登录账号与整机不一致时，且距离连接成功或上次传输超过3分钟，则接收文件需要二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3、文件传输应用开启后，可自动打开整机热点，并在文件传输应用中显示热点信息，无需手动在设置中查看热点。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4、文件传输应用接收的文件支持单份删除；接收的文件支持手动全部清空，全部清空需要经过二次确认。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（三）备授课一体化教学软件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1、备授课一体化，具有备课模式及授课模式，且内置的操作界面可根据备课和授课使用场景不同而选择。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2、备课模式工具栏具备自动根据老师账号中关联的学科不同而提供相对应的教学工具。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AI智能生成课堂活动：具有课堂活动智能填写功能，支持选词填空、判断对错和趣味选择三大课堂活动。输入文本后可以一键解析，自动将文本内容结构化填充至题干和正确选项，完成课堂活动的制作。（报价时须提供国家认可的第三方检测机构出具的关于该功能的检测报告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6、课堂互动游戏支持云储存功能：编辑完成的活动可一键存储至教师云空间，便于在不同课件中直接调用，无需反复编辑。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智能配对游戏：支持创建配对游戏，教师可随意将知识点进行配对。当开始配对游戏时，拖动知识点进行配对，系统将自动判断是否正确。系统至少提供10种游戏模版，且模版样式支持自定义修改，同时支持设置干扰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10、表格工具：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（1）支持老师插入表格，并提供5种以上表格样式供老师选择。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（2）支持表格自适应，可一键将表格的行、列调整到最合适的大小。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（3）支持表格遮罩功能，可对表格中任意一格添加遮罩，在授课模式下通过点击可消除遮罩，方便老师设置互动活动。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11、课件背景：提供≥12种以上背景模板供用户选择，持自定义背景。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12、AI智能英语工具：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（1）软件内置的AI智能语义分析模块，可对输入的英文文本的拼写、句型、语法进行错误检查，并支持一键纠错。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5种详解页背景模板供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★（3）AI音标助手：支持浏览和插入国际音标表，可直接点击发音，支持已整表和单个音标卡片插入。支持智能将字母、单词、句子转写为音标，并可一键插入到备课课件中形成文本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13、快捷抠图：即可在白板软件中对导入的图片进行快捷抠图、去背景，处理后的图片主体边缘没有明显毛边，可导出保存成PNG格式。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14、数学公式编辑器：支持复杂数学公式输入，提供≥20个数学符号及和≥15种公式模板，输出的公式内容支持不同颜色标记及二次编辑。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16、混合教学功能：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（1）一键开课：教师可在教室一体机一键开课，开课将进入屏幕共享推流模式。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（2）课程分发：支持生成课程海报，学生扫描课程海报微信二维码即可加入直播课堂。支持通过行政班级学生名单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（3）提前预约：在个人电脑提前选择好行政班的学生，到教室后开始直播学生可在手机端远程听课。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连麦互动：在直播课堂中，教师可指定授权学生远程连麦互动，学生视频连麦过程实时同步至班级其他学生，可支持不少于3位学生同时参与远程互动；支持学生端发起举手，教师端在同意后可自动进入连麦互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17、课堂小测：提供≥40000道初中数学试题。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（1）老师可根据所使用教材版本自由选择人教新版、苏科新版、北师大版、北京课改新版等不同版本试题。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（2）试题按照教学进度分类，精确到每一章每一节，方便老师查找。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（3）试题按照使用场景分类，分为课堂小测、课时练习、课后基础、课后提高等，方便老师在不同场景下选择。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（4）题目已根据老师使用需要，组成套题，老师可一键批量选择；同时也支持老师自由组题，形成个性化套。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（4）在授课模式下，支持表格克隆功能，可克隆出多个相同表格，方便老师请多位同学进行答题互动。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（四）教学桌面设计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1、整机设备开机启动后，自动进入教学桌面，支持支持通过账号登录、手机扫码登录，登录后可以自动获取并在桌面显示最近使用的教学课件，点击课件可直接进入授课模式。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4、整机设备教学桌面支持进行通道切换、锁屏、重启、关机操作，且支持进行壁纸编辑，内置10张以上壁纸，支持自定义壁纸。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★5、整机设备自带地震预警功能，支持在地震预警页面中获取位置，可以手动进行位置校准。支持在地震预警页面中选择提醒阈值。支持在地震预警界面中开启和关闭地震预警服务。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（五）教研平台设计：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2、集备研讨：参备人可通过评论区发表观点，可对他人评论的观点进行点赞，评论消息支持实时提醒，支持图片的上传。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3、在线批注：参备人在可在线对教案进行随文式批注，追加批注，回复以及查看实时批注消息。支持对课件进行打点式批注，可通过批注定位研讨内容，完成协同备课。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4、云教案模板：提供教案模板以供老师撰写教案，预置表格式、提纲式、集备式、多课时式等不少于5个教案模板。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5、支持校本教案模板设计，管理员在教研管理后台设置校本模板后，老师可在云教案模板直接调用。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6、云教案与云课件可一对多关联绑定，产生绑定后，在课件页和教案页均支持在同一面板打开关联的云课件或云教案预览，便于老师备课时相互对照。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7、邀请评课：支持在授课模式中发起授课评价，根据课程和评课表生成二维码，可选择是否分享课件，若选择分享课件，评课人通过扫码即可参与评课并获取课件。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九、产品售后保障服务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1、全国24小时400电话保修、二维码扫描保修、区域化驻地技术工程师专线保修。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3、微信问题查询服务：提供八大模块的问题查询及解决方案，现场完成简单故障的快速修复指导。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十、其他要求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打“★”号条款为重要技术参数，报价人必须满足否则中标无效。中标公示期内若有其他投标人质疑情况下，中标单位必须提供与标书技术要求及功能符合的全部样品一套至用户处进行整体性能与响应文件核对，协助质疑答复。如出现所提供样品不符招标要求或无法提供所有样品，均视为虚假应标处理并根据招标法及标书要求追究法律责任。</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21720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564720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平面变轨书写板</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1.结构：主要由两块滑动板、两块固定板、一套外框组成，当滑动板闭合时，可自动向内变轨至与固定板平齐。闭合后，滑动板应与固定板处在同一平面，不应有夹角或分层。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2.尺寸：长度≥4350mm，高度可根据所配电子产品适当调整，确保与电子产品的有效配套。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3.内板：正面左右两侧无边框设计，上下边框正面高度不超15mm，最大限度的增大书写面。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5.背板：采用优质镀锌钢板，机械化流水线一次成型。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6.衬板：选用高强度、吸音、防潮、阻燃聚苯乙烯板,厚度≥14mm。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7.覆板：采用自动化流水线覆板作业，避免人工作业刷胶不均导致粘贴不牢、起鼓等现象，并提供证明文件。甲醛释放量≤0.2mg/L，符合GB28231-2011《书写板安全卫生要求》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并提供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9.置物：液晶屏下侧应设有置物空间，可放置粉笔、教鞭等。置物空间后部及左右两侧应有封堵，避免物品掉落。其前部应有凸起，避免物品从前端滚落。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10.滑轮：采用高精度轴承滑轮，上下均匀安装。为确保产品耐久性，滑轮使用寿命应不低于10万次，并提供检测报告。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11.拉手：拉手位置应可由用户在水平方向调整，确保舒适。</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1950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50700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展台</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一、展台硬件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1.采用≥800万像素摄像头；采用 USB电源直接供电，无需额外配置电源适配器；箱内USB连线采用隐藏式设计，箱内无可见连线且USB口下出。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2.A4大小拍摄幅面，1080P动态视频预览达到30帧/秒。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3.整机采用圆弧式设计，无锐角；托板可承重3kg，同时托板采用磁吸吸附式机构。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4.展示托板正上方具备LED补光灯补光灯开关采用触摸按键设计，同时可通过视频展台软件直接控制开关；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5.摄像头支持自动对焦；摄像头部分进行外壳防护等级试验，防护等级达到IP4X级别。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二、展台软件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1.支持对展台画面进行放大、缩小、旋转、自适应、冻结画面等操作。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3.支持展台画面拍照截图并进行多图预览，可对任一图片进行全屏显示。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4.老师可在一体机或电脑上选择延时拍照功能，支持5秒或10秒延时模式，可调整拍摄内容。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5.具备图像增强功能，可自动裁剪背景并增强文字显示，使文档画面更清晰。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6.可选择图像、文本或动态等多种情景模式，适应不同展示内容。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7.二维码扫码：打开扫一扫功能后，将书本上的二维码放入扫描框内即可自动扫描，并进入系统浏览器获取二维码的链接内容，可获取电子教学资源。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8.支持故障自动检测，在软件无法出现展台拍摄画面时，自动出现检测链接，检测“无画面”的原因，并给出引导性解决方案。可判断硬件连接、显卡驱动、摄像头占用、软件版本等问题。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605.95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15754.7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功放</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音箱</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1.采用功放与有源音箱一体化设计，内置麦克风无线接收模块，帮助教师实现多媒体扩音以及本地扩声功能。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2.输出额定功率≥ 2x15W。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3.音箱灵敏度≥85dB，1W/1M。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4.信噪比≥80dB@额定功率、A计权。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5.全频喇叭单元尺寸≥5英寸。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6.THD+N≤1%。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7.声频响110Hz-16kHz。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8.距离音箱10米处声压级≥75dB。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9.具备≥1路电源开关、1路LINE IN、1路USB 接口。USB接口可外接U盘设备对音箱固件进行升级。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10.支持无线麦克风扩音接收，采用Wi-Fi射频2.4GHz与 5GHz双频段传输，有效避免环境中运营商U段（700MHz）的信号干扰。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11.采用红外对码方式，避免连接到其他教室音箱。可快速完成与教学扩声麦克风对码，无需繁琐操作。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12.配置独立音频数字信号处理芯片，支持啸叫抑制功能。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13.支持蓝牙无线接收，可分享移动设备上的音频。支持密码模式，防止学生连接。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14.支持安卓手机通过蓝牙无线连接音箱，实现控制有源音箱的音量、设置蓝牙名称、设置蓝牙密码等功能，方便教师对音箱的管控。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15.支持交互智能平板显示设备通过蓝牙无线连接音箱，实现控制有源音箱的音量的功能（需要交互智能平板及有源音箱为同一品牌）。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680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17680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无线麦</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after="200" w:afterAutospacing="0" w:line="400" w:lineRule="exact"/>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2.麦克风和功放音箱之间采用数字U段传输技3术，有效避免环境中2.4G信号干扰，例如蓝牙及WIFI设备。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3.支持智能红外对码及UHF对码，可在2s内快速完成与教学扩声音箱对码，无需繁琐操作。可与移动音箱或录播主机对码连接。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4.采用触点磁吸式充电方式，支持快速充电与超低功耗工作模式，课间充电10分钟，实现80分钟续航。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5.麦克风距离音箱最大有效工作距离≥10米，保证全教室覆盖。</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智能笔</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1.采用笔型设计，具有三个遥控按键（上下翻页和功能键），既可用于触摸书写，也可用于远程操控。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2.采用2.4G无线连接技术，无线接收距离最大可达15米。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3.无线接收器采用微型nano设计，并能收纳在笔上，整洁美观。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4.使用单节7号电池驱动，并带自动休眠节电设计。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5.单接收器设计，android、windows双系统同时响应。只需安装一个接收器，双系统都能响应智能笔的操作指令。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6.支持白板课件、PPT、PDF等多种格式的课件进行远程无线翻页。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7.功能按键可通过长按/短按实现两种快捷功能，方便教师操作。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8.支持自定义按键功能，可选功能包括：一键启动任意通道批注、一键启动/退出PPT播放、一键启动PPT批注、一键启动任意通道冻结与放大屏幕内容。</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220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5720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调试</w:t>
            </w:r>
          </w:p>
        </w:tc>
        <w:tc>
          <w:tcPr>
            <w:tcW w:w="5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包含所有设备运输、安装调试及辅材。</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000000"/>
                <w:kern w:val="0"/>
                <w:sz w:val="21"/>
                <w:szCs w:val="21"/>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合计人民币</w:t>
            </w:r>
          </w:p>
        </w:tc>
        <w:tc>
          <w:tcPr>
            <w:tcW w:w="6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大写：陆拾伍万玖仟玖佰伍拾捌元整</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668874.7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1034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4"/>
                <w:szCs w:val="24"/>
                <w:u w:val="none"/>
                <w:lang w:val="en-US" w:eastAsia="zh-CN" w:bidi="ar"/>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0"/>
                <w:sz w:val="21"/>
                <w:szCs w:val="21"/>
              </w:rPr>
              <w:t>★售后服务要求及免费保修期</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color w:val="auto"/>
                <w:sz w:val="21"/>
                <w:szCs w:val="21"/>
                <w:lang w:val="en-US" w:eastAsia="zh-CN"/>
              </w:rPr>
            </w:pPr>
            <w:r>
              <w:rPr>
                <w:rFonts w:hint="eastAsia"/>
                <w:color w:val="auto"/>
                <w:sz w:val="21"/>
                <w:szCs w:val="21"/>
                <w:lang w:val="en-US" w:eastAsia="zh-CN"/>
              </w:rPr>
              <w:t>1、所有报价产品必须是厂家合法渠道的全新正品，符合规定的质量、规格、性能，并按照相关国际、国家及专业标准检验的合格产品，其产品须符合国家有关规定及厂家承诺实行“三包”。</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FF0000"/>
                <w:sz w:val="21"/>
                <w:szCs w:val="21"/>
                <w:highlight w:val="none"/>
                <w:lang w:val="en-US" w:eastAsia="zh-CN"/>
              </w:rPr>
            </w:pPr>
            <w:r>
              <w:rPr>
                <w:rFonts w:hint="eastAsia"/>
                <w:color w:val="auto"/>
                <w:sz w:val="21"/>
                <w:szCs w:val="21"/>
                <w:lang w:val="en-US" w:eastAsia="zh-CN"/>
              </w:rPr>
              <w:t>2、保修年限</w:t>
            </w:r>
            <w:r>
              <w:rPr>
                <w:rFonts w:hint="eastAsia"/>
                <w:color w:val="auto"/>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免费保修期3年（其中无线麦和智能笔</w:t>
            </w:r>
            <w:r>
              <w:rPr>
                <w:rFonts w:hint="eastAsia" w:ascii="宋体" w:hAnsi="宋体" w:eastAsia="宋体" w:cs="宋体"/>
                <w:i w:val="0"/>
                <w:iCs w:val="0"/>
                <w:color w:val="000000"/>
                <w:kern w:val="0"/>
                <w:sz w:val="21"/>
                <w:szCs w:val="21"/>
                <w:highlight w:val="none"/>
                <w:u w:val="none"/>
                <w:lang w:val="en-US" w:eastAsia="zh-CN" w:bidi="ar"/>
              </w:rPr>
              <w:t>免费保修1年</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3、按要求做好运输、安装和调试。</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4、服务响应时间：接到用户故障通知后2小时内给予答复，4小时内给出解决方案，24小时内解决故障。未能在规定时间内排除故障的，必须在48小时内提供同档次的备用机并提交故障解决处理方案。</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5、质保期内所有货物免费上门维修服务、免费更换零部件；质保期过后提供免费电话咨询服务，并应承诺提供产品终身上门维护；其余按厂家承诺进行。</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rPr>
              <w:t>6、在质保期内，如果制造商的产品技术升级，成交人应及时通知采购人，如采购人有相应要求，成交人和制造商应对采购人购买的产品进行升级服务。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0"/>
                <w:sz w:val="21"/>
                <w:szCs w:val="21"/>
              </w:rPr>
              <w:t>★</w:t>
            </w:r>
            <w:r>
              <w:rPr>
                <w:rFonts w:hint="eastAsia" w:ascii="宋体" w:hAnsi="宋体" w:eastAsia="宋体" w:cs="宋体"/>
                <w:color w:val="auto"/>
                <w:sz w:val="21"/>
                <w:szCs w:val="21"/>
                <w:vertAlign w:val="baseline"/>
              </w:rPr>
              <w:t>核心产品</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sz w:val="21"/>
                <w:szCs w:val="21"/>
                <w:highlight w:val="none"/>
                <w:u w:val="none"/>
                <w:lang w:val="en-US" w:eastAsia="zh-CN"/>
              </w:rPr>
              <w:t>第1项“</w:t>
            </w:r>
            <w:r>
              <w:rPr>
                <w:rFonts w:hint="eastAsia" w:hAnsi="宋体"/>
                <w:color w:val="auto"/>
                <w:sz w:val="21"/>
                <w:szCs w:val="21"/>
                <w:highlight w:val="none"/>
              </w:rPr>
              <w:t>交互智能平板</w:t>
            </w:r>
            <w:r>
              <w:rPr>
                <w:rFonts w:hint="eastAsia" w:hAnsi="宋体" w:cs="宋体"/>
                <w:color w:val="auto"/>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0"/>
                <w:sz w:val="21"/>
                <w:szCs w:val="21"/>
              </w:rPr>
              <w:t>★验收方式</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1、采购人将组织相关人员及专家对采购项目进行验收，验收意见作为验收书的参考资料存档备查，验收将严格按照</w:t>
            </w:r>
            <w:r>
              <w:rPr>
                <w:rFonts w:hint="eastAsia" w:ascii="宋体" w:hAnsi="宋体" w:eastAsia="宋体" w:cs="宋体"/>
                <w:b w:val="0"/>
                <w:bCs w:val="0"/>
                <w:kern w:val="0"/>
                <w:sz w:val="21"/>
                <w:szCs w:val="21"/>
                <w:highlight w:val="none"/>
                <w:lang w:val="en-US" w:eastAsia="zh-CN"/>
              </w:rPr>
              <w:t>在线询价文件</w:t>
            </w:r>
            <w:r>
              <w:rPr>
                <w:rFonts w:hint="eastAsia" w:ascii="Times New Roman" w:hAnsi="Times New Roman" w:eastAsia="宋体" w:cs="Times New Roman"/>
                <w:color w:val="auto"/>
                <w:sz w:val="21"/>
                <w:szCs w:val="21"/>
                <w:highlight w:val="none"/>
                <w:lang w:val="en-US" w:eastAsia="zh-CN"/>
              </w:rPr>
              <w:t>的规定和响应文件的响应及承诺执行，验收不合格的将根据合同有关条款进行处理。</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2、验收依据：按照</w:t>
            </w:r>
            <w:r>
              <w:rPr>
                <w:rFonts w:hint="eastAsia" w:ascii="宋体" w:hAnsi="宋体" w:eastAsia="宋体" w:cs="宋体"/>
                <w:b w:val="0"/>
                <w:bCs w:val="0"/>
                <w:kern w:val="0"/>
                <w:sz w:val="21"/>
                <w:szCs w:val="21"/>
                <w:highlight w:val="none"/>
                <w:lang w:val="en-US" w:eastAsia="zh-CN"/>
              </w:rPr>
              <w:t>在线询价</w:t>
            </w:r>
            <w:r>
              <w:rPr>
                <w:rFonts w:hint="eastAsia" w:ascii="Times New Roman" w:hAnsi="Times New Roman" w:eastAsia="宋体" w:cs="Times New Roman"/>
                <w:color w:val="auto"/>
                <w:sz w:val="21"/>
                <w:szCs w:val="21"/>
                <w:lang w:val="en-US" w:eastAsia="zh-CN"/>
              </w:rPr>
              <w:t>文件要求及成交人的响应文件。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rPr>
              <w:t>3、成交供应商必须提供原装正品的、全新的、符合有关质量标准的产品和按要求提供资料。交货时，采购人现场根据采购文件要求及响应文件承诺逐条对应进行核验，若发现产品不符合采购文件和响应文件承诺要求的，采购人不予验收，同时报相关监督管理部门处理，由此造成采购人经济损失的由成交供应商负责承担全部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0"/>
                <w:sz w:val="21"/>
                <w:szCs w:val="21"/>
              </w:rPr>
              <w:t>★交付使用时间及地点</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r>
              <w:rPr>
                <w:rFonts w:hint="eastAsia" w:ascii="宋体" w:hAnsi="宋体" w:eastAsia="宋体" w:cs="宋体"/>
                <w:b w:val="0"/>
                <w:bCs w:val="0"/>
                <w:i w:val="0"/>
                <w:iCs w:val="0"/>
                <w:color w:val="000000"/>
                <w:kern w:val="0"/>
                <w:sz w:val="21"/>
                <w:szCs w:val="21"/>
                <w:highlight w:val="none"/>
                <w:u w:val="none"/>
                <w:lang w:val="en-US" w:eastAsia="zh-CN" w:bidi="ar"/>
              </w:rPr>
              <w:t>合同签订：</w:t>
            </w:r>
            <w:r>
              <w:rPr>
                <w:rFonts w:hint="eastAsia" w:ascii="宋体" w:hAnsi="宋体" w:eastAsia="宋体" w:cs="宋体"/>
                <w:b w:val="0"/>
                <w:bCs w:val="0"/>
                <w:kern w:val="0"/>
                <w:sz w:val="21"/>
                <w:szCs w:val="21"/>
                <w:highlight w:val="none"/>
                <w:lang w:val="en-US" w:eastAsia="zh-CN"/>
              </w:rPr>
              <w:t>自</w:t>
            </w:r>
            <w:r>
              <w:rPr>
                <w:rFonts w:hint="eastAsia" w:ascii="宋体" w:hAnsi="宋体" w:eastAsia="宋体" w:cs="宋体"/>
                <w:b w:val="0"/>
                <w:bCs w:val="0"/>
                <w:kern w:val="0"/>
                <w:sz w:val="21"/>
                <w:szCs w:val="21"/>
                <w:highlight w:val="none"/>
              </w:rPr>
              <w:t>成交公告</w:t>
            </w:r>
            <w:r>
              <w:rPr>
                <w:rFonts w:hint="eastAsia" w:ascii="宋体" w:hAnsi="宋体" w:eastAsia="宋体" w:cs="宋体"/>
                <w:b w:val="0"/>
                <w:bCs w:val="0"/>
                <w:kern w:val="0"/>
                <w:sz w:val="21"/>
                <w:szCs w:val="21"/>
                <w:highlight w:val="none"/>
                <w:lang w:val="en-US" w:eastAsia="zh-CN"/>
              </w:rPr>
              <w:t>发出之日起</w:t>
            </w:r>
            <w:r>
              <w:rPr>
                <w:rFonts w:hint="eastAsia" w:ascii="宋体" w:hAnsi="宋体" w:eastAsia="宋体" w:cs="宋体"/>
                <w:b w:val="0"/>
                <w:bCs w:val="0"/>
                <w:kern w:val="0"/>
                <w:sz w:val="21"/>
                <w:szCs w:val="21"/>
                <w:highlight w:val="none"/>
              </w:rPr>
              <w:t>3日内签订合同</w:t>
            </w:r>
            <w:r>
              <w:rPr>
                <w:rFonts w:hint="eastAsia" w:ascii="宋体" w:hAnsi="宋体" w:eastAsia="宋体" w:cs="宋体"/>
                <w:b w:val="0"/>
                <w:bCs w:val="0"/>
                <w:kern w:val="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2.交付使用期：自签订合同之日起</w:t>
            </w:r>
            <w:r>
              <w:rPr>
                <w:rFonts w:hint="eastAsia" w:ascii="Times New Roman" w:hAnsi="Times New Roman" w:eastAsia="宋体" w:cs="Times New Roman"/>
                <w:color w:val="FF0000"/>
                <w:sz w:val="21"/>
                <w:szCs w:val="21"/>
                <w:highlight w:val="none"/>
                <w:lang w:val="en-US" w:eastAsia="zh-CN"/>
              </w:rPr>
              <w:t>20日历日内</w:t>
            </w:r>
            <w:r>
              <w:rPr>
                <w:rFonts w:hint="eastAsia" w:ascii="Times New Roman" w:hAnsi="Times New Roman" w:eastAsia="宋体" w:cs="Times New Roman"/>
                <w:color w:val="auto"/>
                <w:sz w:val="21"/>
                <w:szCs w:val="21"/>
                <w:lang w:val="en-US" w:eastAsia="zh-CN"/>
              </w:rPr>
              <w:t>全部安装调试合格完毕并交付使用。</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kern w:val="0"/>
                <w:sz w:val="21"/>
                <w:szCs w:val="21"/>
                <w:u w:val="none"/>
                <w:lang w:val="en-US" w:eastAsia="zh-CN" w:bidi="ar"/>
              </w:rPr>
            </w:pPr>
            <w:r>
              <w:rPr>
                <w:rFonts w:hint="eastAsia" w:ascii="Times New Roman" w:hAnsi="Times New Roman" w:eastAsia="宋体" w:cs="Times New Roman"/>
                <w:color w:val="auto"/>
                <w:sz w:val="21"/>
                <w:szCs w:val="21"/>
                <w:lang w:val="en-US" w:eastAsia="zh-CN"/>
              </w:rPr>
              <w:t>3.交货地点：</w:t>
            </w:r>
            <w:r>
              <w:rPr>
                <w:rFonts w:hint="eastAsia" w:ascii="宋体" w:hAnsi="宋体" w:eastAsia="宋体" w:cs="宋体"/>
                <w:b w:val="0"/>
                <w:bCs w:val="0"/>
                <w:kern w:val="0"/>
                <w:sz w:val="21"/>
                <w:szCs w:val="21"/>
                <w:highlight w:val="none"/>
                <w:lang w:val="en-US" w:eastAsia="zh-CN"/>
              </w:rPr>
              <w:t>资源县内</w:t>
            </w:r>
            <w:r>
              <w:rPr>
                <w:rFonts w:hint="eastAsia" w:ascii="Times New Roman" w:hAnsi="Times New Roman" w:eastAsia="宋体" w:cs="Times New Roman"/>
                <w:color w:val="auto"/>
                <w:sz w:val="21"/>
                <w:szCs w:val="21"/>
                <w:lang w:val="en-US" w:eastAsia="zh-CN"/>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b w:val="0"/>
                <w:bCs w:val="0"/>
                <w:kern w:val="0"/>
                <w:sz w:val="21"/>
                <w:szCs w:val="21"/>
                <w:highlight w:val="none"/>
                <w:lang w:val="en-US" w:eastAsia="zh-CN"/>
              </w:rPr>
              <w:t>付款方式</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both"/>
              <w:textAlignment w:val="center"/>
              <w:rPr>
                <w:rFonts w:hint="default" w:ascii="Times New Roman" w:hAnsi="Times New Roman" w:eastAsia="宋体" w:cs="Times New Roman"/>
                <w:color w:val="auto"/>
                <w:sz w:val="21"/>
                <w:szCs w:val="21"/>
                <w:lang w:val="en-US" w:eastAsia="zh-CN"/>
              </w:rPr>
            </w:pPr>
            <w:r>
              <w:rPr>
                <w:rFonts w:hint="eastAsia" w:ascii="宋体" w:hAnsi="宋体" w:eastAsia="宋体" w:cs="宋体"/>
                <w:b w:val="0"/>
                <w:bCs w:val="0"/>
                <w:kern w:val="0"/>
                <w:sz w:val="21"/>
                <w:szCs w:val="21"/>
                <w:highlight w:val="none"/>
                <w:lang w:val="en-US" w:eastAsia="zh-CN"/>
              </w:rPr>
              <w:t>货物验收完成后90个工作日内付清全部货款。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54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0"/>
                <w:sz w:val="21"/>
                <w:szCs w:val="21"/>
              </w:rPr>
              <w:t>★其他要求</w:t>
            </w:r>
          </w:p>
        </w:tc>
        <w:tc>
          <w:tcPr>
            <w:tcW w:w="88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1、确定成交人后，成交后的各型号单价不随时间、市场价格等因素的变动而改变，直至采购人完成采购任务为止，否则按成交人违约处理并取消中标资格。</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2、《采购需求》中商务要求及带“★”号项条款的要求均为实质性要求，报价产品必须满足或优于此要求，否则报价无效。</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3、为确保货物质量，成交供应商必须在</w:t>
            </w:r>
            <w:r>
              <w:rPr>
                <w:rFonts w:hint="eastAsia" w:ascii="Times New Roman" w:hAnsi="Times New Roman" w:eastAsia="宋体" w:cs="Times New Roman"/>
                <w:color w:val="FF0000"/>
                <w:sz w:val="21"/>
                <w:szCs w:val="21"/>
                <w:highlight w:val="none"/>
                <w:lang w:val="en-US" w:eastAsia="zh-CN"/>
              </w:rPr>
              <w:t>签订合同时</w:t>
            </w:r>
            <w:r>
              <w:rPr>
                <w:rFonts w:hint="eastAsia" w:ascii="Times New Roman" w:hAnsi="Times New Roman" w:eastAsia="宋体" w:cs="Times New Roman"/>
                <w:color w:val="auto"/>
                <w:sz w:val="21"/>
                <w:szCs w:val="21"/>
                <w:lang w:val="en-US" w:eastAsia="zh-CN"/>
              </w:rPr>
              <w:t>提供生产厂家针对此项目的售后服务保证函原件、供货证明原件并加盖生产厂家公章，如不能提供，视为“虚假竞标”，将上报财政监管部门按有关规定处理。。</w:t>
            </w:r>
          </w:p>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供应商响应时，必须满足采购需求的全部功能，供应商须对附件中的参数要求及商务要求进行全部响应，并提供所报产品的3C、节能认证证书复印件和以国家权威部门或第三方检测机构出具认可的检测报告复印件等证明材料。(报价时报价人必须上传扫描件，否则采购人有权利取消预成交供应商的中标资格；报价结束后24小时内对预成交供应商核查原件，核查无误后方能确定成交供应商) </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5、供应商应充分考虑供货成本，如供应商低价恶意竞价、未按参数要求提供并上传相应证明文件、且中标后无法按要求提供货物或者所供货物及资质要求无法满足参数要求的，采购人将按虚假竞标处理，并保留因耽误采购人使用时间造成的损失进行赔偿的权利，并通过报备政采云平台及财政厅监管部分后，移送司法机关诉诸法律手段，追究</w:t>
            </w:r>
            <w:r>
              <w:rPr>
                <w:rFonts w:hint="eastAsia" w:ascii="Times New Roman" w:hAnsi="Times New Roman" w:eastAsia="宋体" w:cs="Times New Roman"/>
                <w:color w:val="auto"/>
                <w:sz w:val="21"/>
                <w:szCs w:val="21"/>
                <w:lang w:val="en-US" w:eastAsia="zh-CN"/>
              </w:rPr>
              <w:t>报价</w:t>
            </w:r>
            <w:r>
              <w:rPr>
                <w:rFonts w:hint="default" w:ascii="Times New Roman" w:hAnsi="Times New Roman" w:eastAsia="宋体" w:cs="Times New Roman"/>
                <w:color w:val="auto"/>
                <w:sz w:val="21"/>
                <w:szCs w:val="21"/>
                <w:lang w:val="en-US" w:eastAsia="zh-CN"/>
              </w:rPr>
              <w:t>人的法律责任，由此引发的一切后果由</w:t>
            </w:r>
            <w:r>
              <w:rPr>
                <w:rFonts w:hint="eastAsia" w:ascii="Times New Roman" w:hAnsi="Times New Roman" w:eastAsia="宋体" w:cs="Times New Roman"/>
                <w:color w:val="auto"/>
                <w:sz w:val="21"/>
                <w:szCs w:val="21"/>
                <w:lang w:val="en-US" w:eastAsia="zh-CN"/>
              </w:rPr>
              <w:t>报价</w:t>
            </w:r>
            <w:r>
              <w:rPr>
                <w:rFonts w:hint="default" w:ascii="Times New Roman" w:hAnsi="Times New Roman" w:eastAsia="宋体" w:cs="Times New Roman"/>
                <w:color w:val="auto"/>
                <w:sz w:val="21"/>
                <w:szCs w:val="21"/>
                <w:lang w:val="en-US" w:eastAsia="zh-CN"/>
              </w:rPr>
              <w:t>人承担。</w:t>
            </w:r>
          </w:p>
        </w:tc>
      </w:tr>
    </w:tbl>
    <w:p>
      <w:pPr>
        <w:pStyle w:val="2"/>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9CFDB"/>
    <w:rsid w:val="0153724B"/>
    <w:rsid w:val="019D47B9"/>
    <w:rsid w:val="02A66735"/>
    <w:rsid w:val="062265A3"/>
    <w:rsid w:val="062A26A5"/>
    <w:rsid w:val="0A140428"/>
    <w:rsid w:val="158226E9"/>
    <w:rsid w:val="18414996"/>
    <w:rsid w:val="18D21FF5"/>
    <w:rsid w:val="270C3EE3"/>
    <w:rsid w:val="270C4509"/>
    <w:rsid w:val="283E5715"/>
    <w:rsid w:val="321100C7"/>
    <w:rsid w:val="33C649BA"/>
    <w:rsid w:val="363D46DF"/>
    <w:rsid w:val="3A66415E"/>
    <w:rsid w:val="3F5D6B04"/>
    <w:rsid w:val="41210759"/>
    <w:rsid w:val="423E0FAF"/>
    <w:rsid w:val="42497F67"/>
    <w:rsid w:val="42C7234B"/>
    <w:rsid w:val="4FFD5143"/>
    <w:rsid w:val="512C2F2E"/>
    <w:rsid w:val="53795458"/>
    <w:rsid w:val="57EC177F"/>
    <w:rsid w:val="58416076"/>
    <w:rsid w:val="5CAC3BFE"/>
    <w:rsid w:val="5F2C6A97"/>
    <w:rsid w:val="5FB011CE"/>
    <w:rsid w:val="67B9CFDB"/>
    <w:rsid w:val="68210EBB"/>
    <w:rsid w:val="6C0B610A"/>
    <w:rsid w:val="6F061E20"/>
    <w:rsid w:val="70AE736D"/>
    <w:rsid w:val="71330ADA"/>
    <w:rsid w:val="78A12872"/>
    <w:rsid w:val="7FFF9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11744</Words>
  <Characters>12498</Characters>
  <Lines>0</Lines>
  <Paragraphs>0</Paragraphs>
  <TotalTime>53</TotalTime>
  <ScaleCrop>false</ScaleCrop>
  <LinksUpToDate>false</LinksUpToDate>
  <CharactersWithSpaces>12507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2025-08-23T08:19:00Z</dcterms:created>
  <dc:creator>Ns</dc:creator>
  <cp:lastModifiedBy>Administrator</cp:lastModifiedBy>
  <dcterms:modified xsi:type="dcterms:W3CDTF">2025-10-20T02:32:39Z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9C6D872F09054447AA522E9A9DEA1218</vt:lpwstr>
  </property>
  <property fmtid="{D5CDD505-2E9C-101B-9397-08002B2CF9AE}" pid="4" name="KSOTemplateDocerSaveRecord">
    <vt:lpwstr>eyJoZGlkIjoiZjJhMmIxMWNhZGFiNWY2ZWNiODI1MzdiOGI5MDE5MWEiLCJ1c2VySWQiOiIyODc1MTM4ODIifQ==</vt:lpwstr>
  </property>
</Properties>
</file>