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AFD45">
      <w:pPr>
        <w:spacing w:line="570" w:lineRule="exact"/>
        <w:jc w:val="center"/>
        <w:rPr>
          <w:rFonts w:hint="default" w:ascii="FangSong_GB2312" w:hAnsi="宋体" w:eastAsia="FangSong_GB2312" w:cs="Arial"/>
          <w:b/>
          <w:color w:val="auto"/>
          <w:sz w:val="32"/>
          <w:szCs w:val="32"/>
          <w:highlight w:val="none"/>
          <w:lang w:val="en-US"/>
        </w:rPr>
      </w:pPr>
      <w:r>
        <w:rPr>
          <w:rFonts w:hint="eastAsia"/>
          <w:sz w:val="32"/>
          <w:szCs w:val="32"/>
          <w:lang w:val="en-US" w:eastAsia="zh-CN"/>
        </w:rPr>
        <w:t>自治区青苗人才计划支持项目-设备采购</w:t>
      </w:r>
    </w:p>
    <w:tbl>
      <w:tblPr>
        <w:tblStyle w:val="5"/>
        <w:tblW w:w="10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8"/>
        <w:gridCol w:w="548"/>
        <w:gridCol w:w="1241"/>
        <w:gridCol w:w="633"/>
        <w:gridCol w:w="528"/>
        <w:gridCol w:w="3817"/>
        <w:gridCol w:w="1054"/>
        <w:gridCol w:w="1811"/>
      </w:tblGrid>
      <w:tr w14:paraId="6454E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180" w:type="dxa"/>
            <w:gridSpan w:val="8"/>
            <w:tcBorders>
              <w:top w:val="single" w:color="auto" w:sz="4" w:space="0"/>
              <w:left w:val="single" w:color="auto" w:sz="4" w:space="0"/>
              <w:right w:val="single" w:color="auto" w:sz="4" w:space="0"/>
            </w:tcBorders>
            <w:noWrap w:val="0"/>
            <w:vAlign w:val="center"/>
          </w:tcPr>
          <w:p w14:paraId="5B5C7E7E">
            <w:pPr>
              <w:spacing w:line="570" w:lineRule="exact"/>
              <w:jc w:val="center"/>
              <w:rPr>
                <w:rFonts w:hint="eastAsia" w:ascii="宋体" w:hAnsi="宋体" w:cs="宋体"/>
                <w:b/>
                <w:color w:val="auto"/>
                <w:sz w:val="24"/>
                <w:highlight w:val="none"/>
              </w:rPr>
            </w:pPr>
            <w:r>
              <w:rPr>
                <w:rFonts w:hint="eastAsia" w:ascii="FangSong_GB2312" w:hAnsi="宋体" w:eastAsia="FangSong_GB2312" w:cs="Arial"/>
                <w:b/>
                <w:color w:val="auto"/>
                <w:sz w:val="32"/>
                <w:szCs w:val="32"/>
                <w:highlight w:val="none"/>
              </w:rPr>
              <w:t>货物需求一览表</w:t>
            </w:r>
          </w:p>
        </w:tc>
      </w:tr>
      <w:tr w14:paraId="0A593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2" w:hRule="atLeast"/>
          <w:jc w:val="center"/>
        </w:trPr>
        <w:tc>
          <w:tcPr>
            <w:tcW w:w="548" w:type="dxa"/>
            <w:vMerge w:val="restart"/>
            <w:tcBorders>
              <w:top w:val="single" w:color="auto" w:sz="4" w:space="0"/>
              <w:left w:val="single" w:color="auto" w:sz="4" w:space="0"/>
              <w:right w:val="single" w:color="auto" w:sz="4" w:space="0"/>
            </w:tcBorders>
            <w:noWrap w:val="0"/>
            <w:vAlign w:val="top"/>
          </w:tcPr>
          <w:p w14:paraId="69BC9CA5">
            <w:pPr>
              <w:spacing w:line="570" w:lineRule="exact"/>
              <w:jc w:val="center"/>
              <w:rPr>
                <w:rFonts w:hint="eastAsia" w:ascii="宋体" w:hAnsi="宋体" w:cs="宋体"/>
                <w:color w:val="auto"/>
                <w:sz w:val="24"/>
                <w:highlight w:val="none"/>
              </w:rPr>
            </w:pPr>
            <w:r>
              <w:rPr>
                <w:rFonts w:hint="eastAsia" w:ascii="宋体" w:hAnsi="宋体" w:cs="宋体"/>
                <w:color w:val="auto"/>
                <w:highlight w:val="none"/>
              </w:rPr>
              <w:t>采购清单及货物参数</w:t>
            </w:r>
          </w:p>
        </w:tc>
        <w:tc>
          <w:tcPr>
            <w:tcW w:w="54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801C1B4">
            <w:pPr>
              <w:spacing w:line="57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68E8C6C">
            <w:pPr>
              <w:spacing w:line="570" w:lineRule="exact"/>
              <w:jc w:val="center"/>
              <w:rPr>
                <w:rFonts w:hint="eastAsia" w:ascii="宋体" w:hAnsi="宋体" w:cs="宋体"/>
                <w:color w:val="auto"/>
                <w:sz w:val="24"/>
                <w:highlight w:val="none"/>
              </w:rPr>
            </w:pPr>
            <w:r>
              <w:rPr>
                <w:rFonts w:hint="eastAsia" w:ascii="宋体" w:hAnsi="宋体" w:cs="宋体"/>
                <w:color w:val="auto"/>
                <w:sz w:val="24"/>
                <w:highlight w:val="none"/>
              </w:rPr>
              <w:t>采购货物名称</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35E96DFB">
            <w:pPr>
              <w:spacing w:line="570" w:lineRule="exact"/>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528" w:type="dxa"/>
            <w:tcBorders>
              <w:top w:val="single" w:color="auto" w:sz="4" w:space="0"/>
              <w:left w:val="single" w:color="auto" w:sz="4" w:space="0"/>
              <w:bottom w:val="single" w:color="auto" w:sz="4" w:space="0"/>
              <w:right w:val="single" w:color="auto" w:sz="4" w:space="0"/>
            </w:tcBorders>
            <w:noWrap w:val="0"/>
            <w:vAlign w:val="center"/>
          </w:tcPr>
          <w:p w14:paraId="06F5917C">
            <w:pPr>
              <w:spacing w:line="570" w:lineRule="exact"/>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3817" w:type="dxa"/>
            <w:tcBorders>
              <w:top w:val="single" w:color="auto" w:sz="4" w:space="0"/>
              <w:left w:val="single" w:color="auto" w:sz="4" w:space="0"/>
              <w:bottom w:val="single" w:color="auto" w:sz="4" w:space="0"/>
              <w:right w:val="single" w:color="auto" w:sz="4" w:space="0"/>
            </w:tcBorders>
            <w:noWrap w:val="0"/>
            <w:vAlign w:val="center"/>
          </w:tcPr>
          <w:p w14:paraId="34E09777">
            <w:pPr>
              <w:spacing w:line="570" w:lineRule="exact"/>
              <w:jc w:val="center"/>
              <w:rPr>
                <w:rFonts w:hint="eastAsia" w:ascii="宋体" w:hAnsi="宋体" w:cs="宋体"/>
                <w:color w:val="auto"/>
                <w:sz w:val="24"/>
                <w:highlight w:val="none"/>
              </w:rPr>
            </w:pPr>
            <w:r>
              <w:rPr>
                <w:rFonts w:hint="eastAsia" w:ascii="宋体" w:hAnsi="宋体" w:cs="宋体"/>
                <w:color w:val="auto"/>
                <w:sz w:val="24"/>
                <w:highlight w:val="none"/>
              </w:rPr>
              <w:t>货物参数</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8A66BE6">
            <w:pPr>
              <w:spacing w:line="570" w:lineRule="exact"/>
              <w:jc w:val="center"/>
              <w:rPr>
                <w:rFonts w:hint="eastAsia" w:ascii="宋体" w:hAnsi="宋体" w:cs="宋体"/>
                <w:color w:val="auto"/>
                <w:sz w:val="24"/>
                <w:highlight w:val="none"/>
              </w:rPr>
            </w:pPr>
            <w:r>
              <w:rPr>
                <w:rFonts w:hint="eastAsia" w:ascii="宋体" w:hAnsi="宋体" w:cs="宋体"/>
                <w:color w:val="auto"/>
                <w:sz w:val="24"/>
                <w:highlight w:val="none"/>
              </w:rPr>
              <w:t>分项预算合计（元）</w:t>
            </w:r>
          </w:p>
        </w:tc>
        <w:tc>
          <w:tcPr>
            <w:tcW w:w="1811" w:type="dxa"/>
            <w:tcBorders>
              <w:top w:val="single" w:color="auto" w:sz="4" w:space="0"/>
              <w:left w:val="single" w:color="auto" w:sz="4" w:space="0"/>
              <w:bottom w:val="single" w:color="auto" w:sz="4" w:space="0"/>
              <w:right w:val="single" w:color="auto" w:sz="4" w:space="0"/>
            </w:tcBorders>
            <w:noWrap w:val="0"/>
            <w:vAlign w:val="center"/>
          </w:tcPr>
          <w:p w14:paraId="204D93A9">
            <w:pPr>
              <w:spacing w:line="570" w:lineRule="exact"/>
              <w:jc w:val="center"/>
              <w:rPr>
                <w:rFonts w:hint="eastAsia" w:ascii="宋体" w:hAnsi="宋体" w:cs="宋体"/>
                <w:color w:val="auto"/>
                <w:sz w:val="24"/>
                <w:highlight w:val="none"/>
              </w:rPr>
            </w:pPr>
            <w:r>
              <w:rPr>
                <w:rFonts w:hint="eastAsia"/>
                <w:color w:val="auto"/>
                <w:highlight w:val="none"/>
              </w:rPr>
              <w:t>中小企业划分标准所属行业名称（行业名称及划分见本章附件2）</w:t>
            </w:r>
          </w:p>
        </w:tc>
      </w:tr>
      <w:tr w14:paraId="71517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3" w:hRule="atLeast"/>
          <w:jc w:val="center"/>
        </w:trPr>
        <w:tc>
          <w:tcPr>
            <w:tcW w:w="548" w:type="dxa"/>
            <w:vMerge w:val="continue"/>
            <w:tcBorders>
              <w:left w:val="single" w:color="auto" w:sz="4" w:space="0"/>
              <w:right w:val="single" w:color="auto" w:sz="4" w:space="0"/>
            </w:tcBorders>
            <w:noWrap w:val="0"/>
            <w:vAlign w:val="top"/>
          </w:tcPr>
          <w:p w14:paraId="788B71A5">
            <w:pPr>
              <w:spacing w:line="570" w:lineRule="exact"/>
              <w:jc w:val="center"/>
              <w:rPr>
                <w:rFonts w:hint="eastAsia" w:ascii="宋体" w:hAnsi="宋体"/>
                <w:color w:val="auto"/>
                <w:szCs w:val="21"/>
                <w:highlight w:val="none"/>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5EE71BD0">
            <w:pPr>
              <w:spacing w:line="57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1714D6C">
            <w:pPr>
              <w:jc w:val="center"/>
              <w:rPr>
                <w:rFonts w:hint="eastAsia" w:ascii="宋体" w:hAnsi="宋体"/>
                <w:color w:val="auto"/>
                <w:szCs w:val="21"/>
                <w:highlight w:val="none"/>
              </w:rPr>
            </w:pPr>
            <w:r>
              <w:rPr>
                <w:rFonts w:hint="eastAsia" w:ascii="宋体" w:hAnsi="宋体" w:cs="宋体"/>
                <w:color w:val="auto"/>
                <w:szCs w:val="21"/>
                <w:highlight w:val="none"/>
                <w:lang w:val="en-US" w:eastAsia="zh-CN"/>
              </w:rPr>
              <w:t>高性能计算</w:t>
            </w:r>
            <w:r>
              <w:rPr>
                <w:rFonts w:hint="eastAsia" w:ascii="宋体" w:hAnsi="宋体" w:cs="宋体"/>
                <w:color w:val="auto"/>
                <w:szCs w:val="21"/>
                <w:highlight w:val="none"/>
              </w:rPr>
              <w:t>用便携式计算机</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7360229D">
            <w:pPr>
              <w:spacing w:line="570" w:lineRule="exact"/>
              <w:jc w:val="center"/>
              <w:rPr>
                <w:rFonts w:hint="eastAsia" w:ascii="宋体" w:hAnsi="宋体"/>
                <w:color w:val="auto"/>
                <w:szCs w:val="21"/>
                <w:highlight w:val="none"/>
              </w:rPr>
            </w:pPr>
            <w:r>
              <w:rPr>
                <w:rFonts w:hint="eastAsia" w:ascii="宋体" w:hAnsi="宋体" w:cs="宋体"/>
                <w:color w:val="auto"/>
                <w:szCs w:val="21"/>
                <w:highlight w:val="none"/>
              </w:rPr>
              <w:t>台</w:t>
            </w:r>
          </w:p>
        </w:tc>
        <w:tc>
          <w:tcPr>
            <w:tcW w:w="528" w:type="dxa"/>
            <w:tcBorders>
              <w:top w:val="single" w:color="auto" w:sz="4" w:space="0"/>
              <w:left w:val="single" w:color="auto" w:sz="4" w:space="0"/>
              <w:bottom w:val="single" w:color="auto" w:sz="4" w:space="0"/>
              <w:right w:val="single" w:color="auto" w:sz="4" w:space="0"/>
            </w:tcBorders>
            <w:noWrap w:val="0"/>
            <w:vAlign w:val="center"/>
          </w:tcPr>
          <w:p w14:paraId="35880DC8">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3817" w:type="dxa"/>
            <w:tcBorders>
              <w:top w:val="single" w:color="auto" w:sz="4" w:space="0"/>
              <w:left w:val="single" w:color="auto" w:sz="4" w:space="0"/>
              <w:bottom w:val="single" w:color="auto" w:sz="4" w:space="0"/>
              <w:right w:val="single" w:color="auto" w:sz="4" w:space="0"/>
            </w:tcBorders>
            <w:noWrap w:val="0"/>
            <w:vAlign w:val="top"/>
          </w:tcPr>
          <w:p w14:paraId="1498C8B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rPr>
              <w:t>1、</w:t>
            </w:r>
            <w:r>
              <w:rPr>
                <w:color w:val="auto"/>
                <w:sz w:val="18"/>
                <w:szCs w:val="18"/>
                <w:highlight w:val="none"/>
              </w:rPr>
              <w:t>▲</w:t>
            </w:r>
            <w:r>
              <w:rPr>
                <w:rFonts w:hint="eastAsia" w:ascii="宋体" w:hAnsi="宋体"/>
                <w:color w:val="auto"/>
                <w:sz w:val="18"/>
                <w:szCs w:val="18"/>
                <w:highlight w:val="none"/>
              </w:rPr>
              <w:t>处理</w:t>
            </w:r>
            <w:r>
              <w:rPr>
                <w:rFonts w:hint="eastAsia" w:ascii="宋体" w:hAnsi="宋体"/>
                <w:color w:val="auto"/>
                <w:sz w:val="18"/>
                <w:szCs w:val="18"/>
                <w:highlight w:val="none"/>
                <w:lang w:val="en-US" w:eastAsia="zh-CN"/>
              </w:rPr>
              <w:t>器24核（8性能核+16能效核），24线程，性能核最高睿频不低于5.4GHz，基本频率不低于2.7GHz；能效核最高睿频不低于4.6GHz，基本频率不低于2.1GHz。</w:t>
            </w:r>
          </w:p>
          <w:p w14:paraId="1F7186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18"/>
                <w:szCs w:val="18"/>
                <w:highlight w:val="none"/>
              </w:rPr>
            </w:pPr>
            <w:r>
              <w:rPr>
                <w:rFonts w:hint="eastAsia" w:ascii="宋体" w:hAnsi="宋体"/>
                <w:color w:val="auto"/>
                <w:sz w:val="18"/>
                <w:szCs w:val="18"/>
                <w:highlight w:val="none"/>
              </w:rPr>
              <w:t>2、</w:t>
            </w:r>
            <w:r>
              <w:rPr>
                <w:color w:val="auto"/>
                <w:sz w:val="18"/>
                <w:szCs w:val="18"/>
                <w:highlight w:val="none"/>
              </w:rPr>
              <w:t>▲</w:t>
            </w:r>
            <w:r>
              <w:rPr>
                <w:rFonts w:hint="eastAsia" w:ascii="宋体" w:hAnsi="宋体"/>
                <w:color w:val="auto"/>
                <w:sz w:val="18"/>
                <w:szCs w:val="18"/>
                <w:highlight w:val="none"/>
              </w:rPr>
              <w:t>DD</w:t>
            </w:r>
            <w:r>
              <w:rPr>
                <w:rFonts w:hint="eastAsia" w:ascii="宋体" w:hAnsi="宋体"/>
                <w:color w:val="auto"/>
                <w:sz w:val="18"/>
                <w:szCs w:val="18"/>
                <w:highlight w:val="none"/>
                <w:lang w:val="en-US" w:eastAsia="zh-CN"/>
              </w:rPr>
              <w:t>R5</w:t>
            </w:r>
            <w:r>
              <w:rPr>
                <w:rFonts w:hint="eastAsia" w:ascii="宋体" w:hAnsi="宋体"/>
                <w:color w:val="auto"/>
                <w:sz w:val="18"/>
                <w:szCs w:val="18"/>
                <w:highlight w:val="none"/>
              </w:rPr>
              <w:t>内存</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容量</w:t>
            </w:r>
            <w:r>
              <w:rPr>
                <w:rFonts w:hint="eastAsia" w:ascii="宋体" w:hAnsi="宋体"/>
                <w:color w:val="auto"/>
                <w:sz w:val="18"/>
                <w:szCs w:val="18"/>
                <w:highlight w:val="none"/>
              </w:rPr>
              <w:t>不小于</w:t>
            </w:r>
            <w:r>
              <w:rPr>
                <w:rFonts w:hint="eastAsia" w:ascii="宋体" w:hAnsi="宋体"/>
                <w:color w:val="auto"/>
                <w:sz w:val="18"/>
                <w:szCs w:val="18"/>
                <w:highlight w:val="none"/>
                <w:lang w:val="en-US" w:eastAsia="zh-CN"/>
              </w:rPr>
              <w:t>64</w:t>
            </w:r>
            <w:r>
              <w:rPr>
                <w:rFonts w:hint="eastAsia" w:ascii="宋体" w:hAnsi="宋体"/>
                <w:color w:val="auto"/>
                <w:sz w:val="18"/>
                <w:szCs w:val="18"/>
                <w:highlight w:val="none"/>
              </w:rPr>
              <w:t>GB</w:t>
            </w:r>
          </w:p>
          <w:p w14:paraId="64E89E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8"/>
                <w:szCs w:val="18"/>
                <w:highlight w:val="none"/>
                <w:lang w:eastAsia="zh-CN"/>
              </w:rPr>
            </w:pPr>
            <w:r>
              <w:rPr>
                <w:rFonts w:hint="eastAsia" w:ascii="宋体" w:hAnsi="宋体"/>
                <w:color w:val="auto"/>
                <w:sz w:val="18"/>
                <w:szCs w:val="18"/>
                <w:highlight w:val="none"/>
              </w:rPr>
              <w:t>3、</w:t>
            </w:r>
            <w:r>
              <w:rPr>
                <w:color w:val="auto"/>
                <w:sz w:val="18"/>
                <w:szCs w:val="18"/>
                <w:highlight w:val="none"/>
              </w:rPr>
              <w:t>▲</w:t>
            </w:r>
            <w:r>
              <w:rPr>
                <w:rFonts w:hint="eastAsia" w:ascii="宋体" w:hAnsi="宋体"/>
                <w:color w:val="auto"/>
                <w:sz w:val="18"/>
                <w:szCs w:val="18"/>
                <w:highlight w:val="none"/>
                <w:lang w:val="en-US" w:eastAsia="zh-CN"/>
              </w:rPr>
              <w:t>SSD</w:t>
            </w:r>
            <w:r>
              <w:rPr>
                <w:rFonts w:hint="eastAsia" w:ascii="宋体" w:hAnsi="宋体"/>
                <w:color w:val="auto"/>
                <w:sz w:val="18"/>
                <w:szCs w:val="18"/>
                <w:highlight w:val="none"/>
              </w:rPr>
              <w:t>硬盘</w:t>
            </w:r>
            <w:r>
              <w:rPr>
                <w:rFonts w:hint="eastAsia" w:ascii="宋体" w:hAnsi="宋体"/>
                <w:color w:val="auto"/>
                <w:sz w:val="18"/>
                <w:szCs w:val="18"/>
                <w:highlight w:val="none"/>
                <w:lang w:eastAsia="zh-CN"/>
              </w:rPr>
              <w:t>，</w:t>
            </w:r>
            <w:r>
              <w:rPr>
                <w:rFonts w:hint="eastAsia" w:ascii="宋体" w:hAnsi="宋体"/>
                <w:color w:val="auto"/>
                <w:sz w:val="18"/>
                <w:szCs w:val="18"/>
                <w:highlight w:val="none"/>
              </w:rPr>
              <w:t>容量不小于2T</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双2280插槽，USB-C接口不低于2个，雷电/USB4接口不低于2个。</w:t>
            </w:r>
          </w:p>
          <w:p w14:paraId="2BE5E92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olor w:val="auto"/>
                <w:sz w:val="18"/>
                <w:szCs w:val="18"/>
                <w:highlight w:val="none"/>
                <w:lang w:val="en-US"/>
              </w:rPr>
            </w:pPr>
            <w:r>
              <w:rPr>
                <w:rFonts w:hint="eastAsia" w:ascii="宋体" w:hAnsi="宋体"/>
                <w:color w:val="auto"/>
                <w:sz w:val="18"/>
                <w:szCs w:val="18"/>
                <w:highlight w:val="none"/>
              </w:rPr>
              <w:t>4、</w:t>
            </w:r>
            <w:r>
              <w:rPr>
                <w:color w:val="auto"/>
                <w:sz w:val="18"/>
                <w:szCs w:val="18"/>
                <w:highlight w:val="none"/>
              </w:rPr>
              <w:t>▲</w:t>
            </w:r>
            <w:r>
              <w:rPr>
                <w:rFonts w:hint="eastAsia"/>
                <w:color w:val="auto"/>
                <w:sz w:val="18"/>
                <w:szCs w:val="18"/>
                <w:highlight w:val="none"/>
                <w:lang w:val="en-US" w:eastAsia="zh-CN"/>
              </w:rPr>
              <w:t>独立显卡，显存不低于GDDR7 12GB, 位宽不低于192位，AI算力不低于798TOPS。</w:t>
            </w:r>
          </w:p>
          <w:p w14:paraId="14448C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 xml:space="preserve">、内置无线网卡，双天线Wi-Fi </w:t>
            </w:r>
            <w:r>
              <w:rPr>
                <w:rFonts w:hint="eastAsia" w:ascii="宋体" w:hAnsi="宋体"/>
                <w:color w:val="auto"/>
                <w:sz w:val="18"/>
                <w:szCs w:val="18"/>
                <w:highlight w:val="none"/>
                <w:lang w:val="en-US" w:eastAsia="zh-CN"/>
              </w:rPr>
              <w:t>7</w:t>
            </w:r>
          </w:p>
          <w:p w14:paraId="4D89AEC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Cs w:val="21"/>
                <w:highlight w:val="none"/>
                <w:lang w:val="en-US" w:eastAsia="zh-CN"/>
              </w:rPr>
            </w:pPr>
            <w:r>
              <w:rPr>
                <w:rFonts w:hint="eastAsia" w:ascii="宋体" w:hAnsi="宋体"/>
                <w:color w:val="auto"/>
                <w:sz w:val="18"/>
                <w:szCs w:val="18"/>
                <w:highlight w:val="none"/>
                <w:lang w:val="en-US" w:eastAsia="zh-CN"/>
              </w:rPr>
              <w:t>6、16</w:t>
            </w:r>
            <w:r>
              <w:rPr>
                <w:rFonts w:hint="eastAsia" w:ascii="宋体" w:hAnsi="宋体"/>
                <w:color w:val="auto"/>
                <w:sz w:val="18"/>
                <w:szCs w:val="18"/>
                <w:highlight w:val="none"/>
              </w:rPr>
              <w:t>英寸</w:t>
            </w:r>
            <w:r>
              <w:rPr>
                <w:rFonts w:hint="eastAsia" w:ascii="宋体" w:hAnsi="宋体"/>
                <w:color w:val="auto"/>
                <w:sz w:val="18"/>
                <w:szCs w:val="18"/>
                <w:highlight w:val="none"/>
                <w:lang w:val="en-US" w:eastAsia="zh-CN"/>
              </w:rPr>
              <w:t>屏幕，分辨率不小于3200x2000</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42C63DB">
            <w:pPr>
              <w:keepNext w:val="0"/>
              <w:keepLines w:val="0"/>
              <w:widowControl/>
              <w:suppressLineNumbers w:val="0"/>
              <w:jc w:val="left"/>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18000</w:t>
            </w:r>
          </w:p>
        </w:tc>
        <w:tc>
          <w:tcPr>
            <w:tcW w:w="1811" w:type="dxa"/>
            <w:tcBorders>
              <w:top w:val="single" w:color="auto" w:sz="4" w:space="0"/>
              <w:left w:val="single" w:color="auto" w:sz="4" w:space="0"/>
              <w:bottom w:val="single" w:color="auto" w:sz="4" w:space="0"/>
              <w:right w:val="single" w:color="auto" w:sz="4" w:space="0"/>
            </w:tcBorders>
            <w:noWrap w:val="0"/>
            <w:vAlign w:val="top"/>
          </w:tcPr>
          <w:p w14:paraId="784B92DC">
            <w:pPr>
              <w:spacing w:line="570" w:lineRule="exact"/>
              <w:rPr>
                <w:rFonts w:ascii="宋体" w:hAnsi="宋体"/>
                <w:color w:val="auto"/>
                <w:szCs w:val="21"/>
                <w:highlight w:val="none"/>
              </w:rPr>
            </w:pPr>
          </w:p>
          <w:p w14:paraId="2CC831F9">
            <w:pPr>
              <w:spacing w:line="570" w:lineRule="exact"/>
              <w:rPr>
                <w:rFonts w:hint="eastAsia" w:ascii="宋体" w:hAnsi="宋体"/>
                <w:color w:val="auto"/>
                <w:szCs w:val="21"/>
                <w:highlight w:val="none"/>
              </w:rPr>
            </w:pPr>
          </w:p>
        </w:tc>
      </w:tr>
      <w:tr w14:paraId="6DCD9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3" w:hRule="atLeast"/>
          <w:jc w:val="center"/>
        </w:trPr>
        <w:tc>
          <w:tcPr>
            <w:tcW w:w="548" w:type="dxa"/>
            <w:vMerge w:val="continue"/>
            <w:tcBorders>
              <w:left w:val="single" w:color="auto" w:sz="4" w:space="0"/>
              <w:right w:val="single" w:color="auto" w:sz="4" w:space="0"/>
            </w:tcBorders>
            <w:noWrap w:val="0"/>
            <w:vAlign w:val="top"/>
          </w:tcPr>
          <w:p w14:paraId="569997AD">
            <w:pPr>
              <w:spacing w:line="570" w:lineRule="exact"/>
              <w:jc w:val="center"/>
              <w:rPr>
                <w:rFonts w:hint="eastAsia" w:ascii="宋体" w:hAnsi="宋体"/>
                <w:color w:val="auto"/>
                <w:szCs w:val="21"/>
                <w:highlight w:val="none"/>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58EC8EC4">
            <w:pPr>
              <w:spacing w:line="57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4C7DB41">
            <w:pPr>
              <w:jc w:val="center"/>
              <w:rPr>
                <w:rFonts w:hint="eastAsia" w:ascii="宋体" w:hAnsi="宋体"/>
                <w:color w:val="auto"/>
                <w:szCs w:val="21"/>
                <w:highlight w:val="none"/>
              </w:rPr>
            </w:pPr>
            <w:r>
              <w:rPr>
                <w:rFonts w:hint="eastAsia" w:ascii="宋体" w:hAnsi="宋体" w:cs="宋体"/>
                <w:color w:val="auto"/>
                <w:szCs w:val="21"/>
                <w:highlight w:val="none"/>
                <w:lang w:val="en-US" w:eastAsia="zh-CN"/>
              </w:rPr>
              <w:t>高性能计算</w:t>
            </w:r>
            <w:r>
              <w:rPr>
                <w:rFonts w:hint="eastAsia" w:ascii="宋体" w:hAnsi="宋体" w:cs="宋体"/>
                <w:color w:val="auto"/>
                <w:szCs w:val="21"/>
                <w:highlight w:val="none"/>
              </w:rPr>
              <w:t>用便携式计算机</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13F9CF7E">
            <w:pPr>
              <w:spacing w:line="570" w:lineRule="exact"/>
              <w:jc w:val="center"/>
              <w:rPr>
                <w:rFonts w:hint="eastAsia" w:ascii="宋体" w:hAnsi="宋体"/>
                <w:color w:val="auto"/>
                <w:szCs w:val="21"/>
                <w:highlight w:val="none"/>
              </w:rPr>
            </w:pPr>
            <w:r>
              <w:rPr>
                <w:rFonts w:hint="eastAsia" w:ascii="宋体" w:hAnsi="宋体" w:cs="宋体"/>
                <w:color w:val="auto"/>
                <w:szCs w:val="21"/>
                <w:highlight w:val="none"/>
              </w:rPr>
              <w:t>台</w:t>
            </w:r>
          </w:p>
        </w:tc>
        <w:tc>
          <w:tcPr>
            <w:tcW w:w="528" w:type="dxa"/>
            <w:tcBorders>
              <w:top w:val="single" w:color="auto" w:sz="4" w:space="0"/>
              <w:left w:val="single" w:color="auto" w:sz="4" w:space="0"/>
              <w:bottom w:val="single" w:color="auto" w:sz="4" w:space="0"/>
              <w:right w:val="single" w:color="auto" w:sz="4" w:space="0"/>
            </w:tcBorders>
            <w:noWrap w:val="0"/>
            <w:vAlign w:val="center"/>
          </w:tcPr>
          <w:p w14:paraId="0C545DD7">
            <w:pPr>
              <w:jc w:val="center"/>
              <w:rPr>
                <w:rFonts w:hint="eastAsia" w:ascii="宋体" w:hAnsi="宋体"/>
                <w:color w:val="auto"/>
                <w:szCs w:val="21"/>
                <w:highlight w:val="none"/>
              </w:rPr>
            </w:pPr>
            <w:r>
              <w:rPr>
                <w:rFonts w:hint="eastAsia" w:ascii="宋体" w:hAnsi="宋体" w:cs="宋体"/>
                <w:color w:val="auto"/>
                <w:szCs w:val="21"/>
                <w:highlight w:val="none"/>
              </w:rPr>
              <w:t>1</w:t>
            </w:r>
          </w:p>
        </w:tc>
        <w:tc>
          <w:tcPr>
            <w:tcW w:w="3817" w:type="dxa"/>
            <w:tcBorders>
              <w:top w:val="single" w:color="auto" w:sz="4" w:space="0"/>
              <w:left w:val="single" w:color="auto" w:sz="4" w:space="0"/>
              <w:bottom w:val="single" w:color="auto" w:sz="4" w:space="0"/>
              <w:right w:val="single" w:color="auto" w:sz="4" w:space="0"/>
            </w:tcBorders>
            <w:noWrap w:val="0"/>
            <w:vAlign w:val="top"/>
          </w:tcPr>
          <w:p w14:paraId="12B92F0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olor w:val="auto"/>
                <w:sz w:val="18"/>
                <w:szCs w:val="18"/>
                <w:highlight w:val="none"/>
                <w:lang w:val="en-US"/>
              </w:rPr>
            </w:pPr>
            <w:r>
              <w:rPr>
                <w:rFonts w:hint="eastAsia" w:ascii="宋体" w:hAnsi="宋体"/>
                <w:color w:val="auto"/>
                <w:sz w:val="18"/>
                <w:szCs w:val="18"/>
                <w:highlight w:val="none"/>
              </w:rPr>
              <w:t>1、</w:t>
            </w:r>
            <w:r>
              <w:rPr>
                <w:color w:val="auto"/>
                <w:sz w:val="18"/>
                <w:szCs w:val="18"/>
                <w:highlight w:val="none"/>
              </w:rPr>
              <w:t>▲</w:t>
            </w:r>
            <w:r>
              <w:rPr>
                <w:rFonts w:hint="eastAsia" w:ascii="宋体" w:hAnsi="宋体"/>
                <w:color w:val="auto"/>
                <w:sz w:val="18"/>
                <w:szCs w:val="18"/>
                <w:highlight w:val="none"/>
              </w:rPr>
              <w:t>处理</w:t>
            </w:r>
            <w:r>
              <w:rPr>
                <w:rFonts w:hint="eastAsia" w:ascii="宋体" w:hAnsi="宋体"/>
                <w:color w:val="auto"/>
                <w:sz w:val="18"/>
                <w:szCs w:val="18"/>
                <w:highlight w:val="none"/>
                <w:lang w:val="en-US" w:eastAsia="zh-CN"/>
              </w:rPr>
              <w:t>器16核，32线程，最高频率不低于5.4GHz，基本频率不低于2.5GHz。</w:t>
            </w:r>
          </w:p>
          <w:p w14:paraId="16AEC0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18"/>
                <w:szCs w:val="18"/>
                <w:highlight w:val="none"/>
              </w:rPr>
            </w:pPr>
            <w:r>
              <w:rPr>
                <w:rFonts w:hint="eastAsia" w:ascii="宋体" w:hAnsi="宋体"/>
                <w:color w:val="auto"/>
                <w:sz w:val="18"/>
                <w:szCs w:val="18"/>
                <w:highlight w:val="none"/>
              </w:rPr>
              <w:t>2、</w:t>
            </w:r>
            <w:r>
              <w:rPr>
                <w:color w:val="auto"/>
                <w:sz w:val="18"/>
                <w:szCs w:val="18"/>
                <w:highlight w:val="none"/>
              </w:rPr>
              <w:t>▲</w:t>
            </w:r>
            <w:r>
              <w:rPr>
                <w:rFonts w:hint="eastAsia" w:ascii="宋体" w:hAnsi="宋体"/>
                <w:color w:val="auto"/>
                <w:sz w:val="18"/>
                <w:szCs w:val="18"/>
                <w:highlight w:val="none"/>
              </w:rPr>
              <w:t>DD</w:t>
            </w:r>
            <w:r>
              <w:rPr>
                <w:rFonts w:hint="eastAsia" w:ascii="宋体" w:hAnsi="宋体"/>
                <w:color w:val="auto"/>
                <w:sz w:val="18"/>
                <w:szCs w:val="18"/>
                <w:highlight w:val="none"/>
                <w:lang w:val="en-US" w:eastAsia="zh-CN"/>
              </w:rPr>
              <w:t>R5</w:t>
            </w:r>
            <w:r>
              <w:rPr>
                <w:rFonts w:hint="eastAsia" w:ascii="宋体" w:hAnsi="宋体"/>
                <w:color w:val="auto"/>
                <w:sz w:val="18"/>
                <w:szCs w:val="18"/>
                <w:highlight w:val="none"/>
              </w:rPr>
              <w:t>内存</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容量</w:t>
            </w:r>
            <w:r>
              <w:rPr>
                <w:rFonts w:hint="eastAsia" w:ascii="宋体" w:hAnsi="宋体"/>
                <w:color w:val="auto"/>
                <w:sz w:val="18"/>
                <w:szCs w:val="18"/>
                <w:highlight w:val="none"/>
              </w:rPr>
              <w:t>不小于</w:t>
            </w:r>
            <w:r>
              <w:rPr>
                <w:rFonts w:hint="eastAsia" w:ascii="宋体" w:hAnsi="宋体"/>
                <w:color w:val="auto"/>
                <w:sz w:val="18"/>
                <w:szCs w:val="18"/>
                <w:highlight w:val="none"/>
                <w:lang w:val="en-US" w:eastAsia="zh-CN"/>
              </w:rPr>
              <w:t>32</w:t>
            </w:r>
            <w:r>
              <w:rPr>
                <w:rFonts w:hint="eastAsia" w:ascii="宋体" w:hAnsi="宋体"/>
                <w:color w:val="auto"/>
                <w:sz w:val="18"/>
                <w:szCs w:val="18"/>
                <w:highlight w:val="none"/>
              </w:rPr>
              <w:t>GB</w:t>
            </w:r>
          </w:p>
          <w:p w14:paraId="10848C7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rPr>
              <w:t>3、</w:t>
            </w:r>
            <w:r>
              <w:rPr>
                <w:color w:val="auto"/>
                <w:sz w:val="18"/>
                <w:szCs w:val="18"/>
                <w:highlight w:val="none"/>
              </w:rPr>
              <w:t>▲</w:t>
            </w:r>
            <w:r>
              <w:rPr>
                <w:rFonts w:hint="eastAsia" w:ascii="宋体" w:hAnsi="宋体"/>
                <w:color w:val="auto"/>
                <w:sz w:val="18"/>
                <w:szCs w:val="18"/>
                <w:highlight w:val="none"/>
                <w:lang w:val="en-US" w:eastAsia="zh-CN"/>
              </w:rPr>
              <w:t>SSD</w:t>
            </w:r>
            <w:r>
              <w:rPr>
                <w:rFonts w:hint="eastAsia" w:ascii="宋体" w:hAnsi="宋体"/>
                <w:color w:val="auto"/>
                <w:sz w:val="18"/>
                <w:szCs w:val="18"/>
                <w:highlight w:val="none"/>
              </w:rPr>
              <w:t>硬盘</w:t>
            </w:r>
            <w:r>
              <w:rPr>
                <w:rFonts w:hint="eastAsia" w:ascii="宋体" w:hAnsi="宋体"/>
                <w:color w:val="auto"/>
                <w:sz w:val="18"/>
                <w:szCs w:val="18"/>
                <w:highlight w:val="none"/>
                <w:lang w:eastAsia="zh-CN"/>
              </w:rPr>
              <w:t>，</w:t>
            </w:r>
            <w:r>
              <w:rPr>
                <w:rFonts w:hint="eastAsia" w:ascii="宋体" w:hAnsi="宋体"/>
                <w:color w:val="auto"/>
                <w:sz w:val="18"/>
                <w:szCs w:val="18"/>
                <w:highlight w:val="none"/>
              </w:rPr>
              <w:t>容量不小于</w:t>
            </w: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T</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双2280插槽，USB-C接口不低于2个，USB-A接口不低于3个。</w:t>
            </w:r>
          </w:p>
          <w:p w14:paraId="071C909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18"/>
                <w:szCs w:val="18"/>
                <w:highlight w:val="none"/>
                <w:lang w:val="en-US" w:eastAsia="zh-CN"/>
              </w:rPr>
            </w:pPr>
            <w:r>
              <w:rPr>
                <w:rFonts w:hint="eastAsia" w:ascii="宋体" w:hAnsi="宋体"/>
                <w:color w:val="auto"/>
                <w:sz w:val="18"/>
                <w:szCs w:val="18"/>
                <w:highlight w:val="none"/>
              </w:rPr>
              <w:t>4、</w:t>
            </w:r>
            <w:r>
              <w:rPr>
                <w:color w:val="auto"/>
                <w:sz w:val="18"/>
                <w:szCs w:val="18"/>
                <w:highlight w:val="none"/>
              </w:rPr>
              <w:t>▲</w:t>
            </w:r>
            <w:r>
              <w:rPr>
                <w:rFonts w:hint="eastAsia"/>
                <w:color w:val="auto"/>
                <w:sz w:val="18"/>
                <w:szCs w:val="18"/>
                <w:highlight w:val="none"/>
                <w:lang w:val="en-US" w:eastAsia="zh-CN"/>
              </w:rPr>
              <w:t>独立显卡，显存不低于GDDR7 8GB, 位宽不低于128位，AI算力不低572TOPS。</w:t>
            </w:r>
          </w:p>
          <w:p w14:paraId="051B9C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 xml:space="preserve">、内置无线网卡，双天线Wi-Fi </w:t>
            </w:r>
            <w:r>
              <w:rPr>
                <w:rFonts w:hint="eastAsia" w:ascii="宋体" w:hAnsi="宋体"/>
                <w:color w:val="auto"/>
                <w:sz w:val="18"/>
                <w:szCs w:val="18"/>
                <w:highlight w:val="none"/>
                <w:lang w:val="en-US" w:eastAsia="zh-CN"/>
              </w:rPr>
              <w:t>7</w:t>
            </w:r>
            <w:bookmarkStart w:id="0" w:name="_GoBack"/>
            <w:bookmarkEnd w:id="0"/>
          </w:p>
          <w:p w14:paraId="39FA168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olor w:val="auto"/>
                <w:szCs w:val="21"/>
                <w:highlight w:val="none"/>
                <w:lang w:val="en-US"/>
              </w:rPr>
            </w:pPr>
            <w:r>
              <w:rPr>
                <w:rFonts w:hint="eastAsia" w:ascii="宋体" w:hAnsi="宋体"/>
                <w:color w:val="auto"/>
                <w:sz w:val="18"/>
                <w:szCs w:val="18"/>
                <w:highlight w:val="none"/>
                <w:lang w:val="en-US" w:eastAsia="zh-CN"/>
              </w:rPr>
              <w:t>6、16</w:t>
            </w:r>
            <w:r>
              <w:rPr>
                <w:rFonts w:hint="eastAsia" w:ascii="宋体" w:hAnsi="宋体"/>
                <w:color w:val="auto"/>
                <w:sz w:val="18"/>
                <w:szCs w:val="18"/>
                <w:highlight w:val="none"/>
              </w:rPr>
              <w:t>英寸</w:t>
            </w:r>
            <w:r>
              <w:rPr>
                <w:rFonts w:hint="eastAsia" w:ascii="宋体" w:hAnsi="宋体"/>
                <w:color w:val="auto"/>
                <w:sz w:val="18"/>
                <w:szCs w:val="18"/>
                <w:highlight w:val="none"/>
                <w:lang w:val="en-US" w:eastAsia="zh-CN"/>
              </w:rPr>
              <w:t>屏幕，分辨率不小于2560x1600</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3CB80EC">
            <w:pPr>
              <w:keepNext w:val="0"/>
              <w:keepLines w:val="0"/>
              <w:widowControl/>
              <w:suppressLineNumbers w:val="0"/>
              <w:jc w:val="left"/>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12000</w:t>
            </w:r>
          </w:p>
        </w:tc>
        <w:tc>
          <w:tcPr>
            <w:tcW w:w="1811" w:type="dxa"/>
            <w:tcBorders>
              <w:top w:val="single" w:color="auto" w:sz="4" w:space="0"/>
              <w:left w:val="single" w:color="auto" w:sz="4" w:space="0"/>
              <w:bottom w:val="single" w:color="auto" w:sz="4" w:space="0"/>
              <w:right w:val="single" w:color="auto" w:sz="4" w:space="0"/>
            </w:tcBorders>
            <w:noWrap w:val="0"/>
            <w:vAlign w:val="top"/>
          </w:tcPr>
          <w:p w14:paraId="6107A6B0">
            <w:pPr>
              <w:spacing w:line="570" w:lineRule="exact"/>
              <w:rPr>
                <w:rFonts w:hint="eastAsia" w:ascii="宋体" w:hAnsi="宋体"/>
                <w:color w:val="auto"/>
                <w:szCs w:val="21"/>
                <w:highlight w:val="none"/>
              </w:rPr>
            </w:pPr>
          </w:p>
        </w:tc>
      </w:tr>
      <w:tr w14:paraId="2F419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48" w:type="dxa"/>
            <w:tcBorders>
              <w:left w:val="single" w:color="auto" w:sz="4" w:space="0"/>
              <w:right w:val="single" w:color="auto" w:sz="4" w:space="0"/>
            </w:tcBorders>
            <w:noWrap w:val="0"/>
            <w:vAlign w:val="top"/>
          </w:tcPr>
          <w:p w14:paraId="33EC1630">
            <w:pPr>
              <w:spacing w:line="570" w:lineRule="exact"/>
              <w:jc w:val="center"/>
              <w:rPr>
                <w:rFonts w:hint="eastAsia" w:ascii="宋体" w:hAnsi="宋体"/>
                <w:color w:val="auto"/>
                <w:szCs w:val="21"/>
                <w:highlight w:val="none"/>
              </w:rPr>
            </w:pPr>
          </w:p>
        </w:tc>
        <w:tc>
          <w:tcPr>
            <w:tcW w:w="548" w:type="dxa"/>
            <w:tcBorders>
              <w:top w:val="single" w:color="auto" w:sz="4" w:space="0"/>
              <w:left w:val="single" w:color="auto" w:sz="4" w:space="0"/>
              <w:bottom w:val="single" w:color="auto" w:sz="4" w:space="0"/>
              <w:right w:val="single" w:color="auto" w:sz="4" w:space="0"/>
            </w:tcBorders>
            <w:noWrap w:val="0"/>
            <w:vAlign w:val="center"/>
          </w:tcPr>
          <w:p w14:paraId="46C92302">
            <w:pPr>
              <w:spacing w:line="570" w:lineRule="exact"/>
              <w:jc w:val="center"/>
              <w:rPr>
                <w:rFonts w:hint="eastAsia" w:ascii="宋体" w:hAnsi="宋体"/>
                <w:color w:val="auto"/>
                <w:szCs w:val="21"/>
                <w:highlight w:val="none"/>
                <w:lang w:val="en-US" w:eastAsia="zh-CN"/>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68EF1CB">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6872848F">
            <w:pPr>
              <w:spacing w:line="570" w:lineRule="exact"/>
              <w:jc w:val="center"/>
              <w:rPr>
                <w:rFonts w:hint="eastAsia" w:ascii="宋体" w:hAnsi="宋体"/>
                <w:color w:val="auto"/>
                <w:szCs w:val="21"/>
                <w:highlight w:val="none"/>
                <w:lang w:val="en-US" w:eastAsia="zh-CN"/>
              </w:rPr>
            </w:pPr>
          </w:p>
        </w:tc>
        <w:tc>
          <w:tcPr>
            <w:tcW w:w="528" w:type="dxa"/>
            <w:tcBorders>
              <w:top w:val="single" w:color="auto" w:sz="4" w:space="0"/>
              <w:left w:val="single" w:color="auto" w:sz="4" w:space="0"/>
              <w:bottom w:val="single" w:color="auto" w:sz="4" w:space="0"/>
              <w:right w:val="single" w:color="auto" w:sz="4" w:space="0"/>
            </w:tcBorders>
            <w:noWrap w:val="0"/>
            <w:vAlign w:val="center"/>
          </w:tcPr>
          <w:p w14:paraId="0F162ACA">
            <w:pPr>
              <w:jc w:val="center"/>
              <w:rPr>
                <w:rFonts w:hint="eastAsia" w:ascii="宋体" w:hAnsi="宋体" w:cs="宋体"/>
                <w:color w:val="auto"/>
                <w:szCs w:val="21"/>
                <w:highlight w:val="none"/>
              </w:rPr>
            </w:pPr>
          </w:p>
        </w:tc>
        <w:tc>
          <w:tcPr>
            <w:tcW w:w="3817" w:type="dxa"/>
            <w:tcBorders>
              <w:top w:val="single" w:color="auto" w:sz="4" w:space="0"/>
              <w:left w:val="single" w:color="auto" w:sz="4" w:space="0"/>
              <w:bottom w:val="single" w:color="auto" w:sz="4" w:space="0"/>
              <w:right w:val="single" w:color="auto" w:sz="4" w:space="0"/>
            </w:tcBorders>
            <w:noWrap w:val="0"/>
            <w:vAlign w:val="center"/>
          </w:tcPr>
          <w:p w14:paraId="109E60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olor w:val="auto"/>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6A97341">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30000</w:t>
            </w:r>
          </w:p>
        </w:tc>
        <w:tc>
          <w:tcPr>
            <w:tcW w:w="1811" w:type="dxa"/>
            <w:tcBorders>
              <w:top w:val="single" w:color="auto" w:sz="4" w:space="0"/>
              <w:left w:val="single" w:color="auto" w:sz="4" w:space="0"/>
              <w:bottom w:val="single" w:color="auto" w:sz="4" w:space="0"/>
              <w:right w:val="single" w:color="auto" w:sz="4" w:space="0"/>
            </w:tcBorders>
            <w:noWrap w:val="0"/>
            <w:vAlign w:val="top"/>
          </w:tcPr>
          <w:p w14:paraId="06BDC34B">
            <w:pPr>
              <w:spacing w:line="570" w:lineRule="exact"/>
              <w:rPr>
                <w:rFonts w:hint="eastAsia" w:ascii="宋体" w:hAnsi="宋体"/>
                <w:color w:val="auto"/>
                <w:szCs w:val="21"/>
                <w:highlight w:val="none"/>
              </w:rPr>
            </w:pPr>
          </w:p>
        </w:tc>
      </w:tr>
      <w:tr w14:paraId="7E3F7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8"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top"/>
          </w:tcPr>
          <w:p w14:paraId="0E8A4643">
            <w:pPr>
              <w:spacing w:line="570" w:lineRule="exact"/>
              <w:jc w:val="center"/>
              <w:rPr>
                <w:rFonts w:hint="eastAsia" w:ascii="宋体" w:hAnsi="宋体"/>
                <w:color w:val="auto"/>
                <w:highlight w:val="none"/>
              </w:rPr>
            </w:pPr>
          </w:p>
          <w:p w14:paraId="1659C3B2">
            <w:pPr>
              <w:spacing w:line="570" w:lineRule="exact"/>
              <w:jc w:val="center"/>
              <w:rPr>
                <w:rFonts w:hint="eastAsia" w:ascii="宋体" w:hAnsi="宋体"/>
                <w:color w:val="auto"/>
                <w:highlight w:val="none"/>
              </w:rPr>
            </w:pPr>
          </w:p>
          <w:p w14:paraId="66E21704">
            <w:pPr>
              <w:spacing w:line="570" w:lineRule="exact"/>
              <w:jc w:val="center"/>
              <w:rPr>
                <w:rFonts w:hint="eastAsia" w:ascii="宋体" w:hAnsi="宋体"/>
                <w:color w:val="auto"/>
                <w:highlight w:val="none"/>
              </w:rPr>
            </w:pPr>
            <w:r>
              <w:rPr>
                <w:rFonts w:hint="eastAsia" w:ascii="宋体" w:hAnsi="宋体"/>
                <w:color w:val="auto"/>
                <w:highlight w:val="none"/>
              </w:rPr>
              <w:t>商务条款</w:t>
            </w:r>
          </w:p>
        </w:tc>
        <w:tc>
          <w:tcPr>
            <w:tcW w:w="9632" w:type="dxa"/>
            <w:gridSpan w:val="7"/>
            <w:tcBorders>
              <w:top w:val="single" w:color="auto" w:sz="4" w:space="0"/>
              <w:left w:val="single" w:color="auto" w:sz="4" w:space="0"/>
              <w:bottom w:val="single" w:color="auto" w:sz="4" w:space="0"/>
              <w:right w:val="single" w:color="auto" w:sz="4" w:space="0"/>
            </w:tcBorders>
            <w:noWrap w:val="0"/>
            <w:vAlign w:val="top"/>
          </w:tcPr>
          <w:p w14:paraId="07920EB5">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一、合同签订期：自中标通知书发出之日起</w:t>
            </w:r>
            <w:r>
              <w:rPr>
                <w:rFonts w:hint="eastAsia" w:ascii="宋体" w:hAnsi="宋体" w:cs="宋体"/>
                <w:color w:val="auto"/>
                <w:szCs w:val="21"/>
                <w:highlight w:val="none"/>
                <w:lang w:val="en-US" w:eastAsia="zh-CN"/>
              </w:rPr>
              <w:t>15个工作</w:t>
            </w:r>
            <w:r>
              <w:rPr>
                <w:rFonts w:hint="eastAsia" w:ascii="宋体" w:hAnsi="宋体" w:cs="宋体"/>
                <w:color w:val="auto"/>
                <w:szCs w:val="21"/>
                <w:highlight w:val="none"/>
              </w:rPr>
              <w:t>日内。</w:t>
            </w:r>
          </w:p>
          <w:p w14:paraId="61A948DC">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▲二、交货期：自合同签订之日起</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工作日</w:t>
            </w:r>
            <w:r>
              <w:rPr>
                <w:rFonts w:hint="eastAsia" w:ascii="宋体" w:hAnsi="宋体" w:cs="宋体"/>
                <w:color w:val="auto"/>
                <w:szCs w:val="21"/>
                <w:highlight w:val="none"/>
              </w:rPr>
              <w:t>内。</w:t>
            </w:r>
          </w:p>
          <w:p w14:paraId="3F192292">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三、交货地点：南宁职业技术大学。</w:t>
            </w:r>
          </w:p>
          <w:p w14:paraId="68B4FA12">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四、交货方式：现场交货。</w:t>
            </w:r>
          </w:p>
          <w:p w14:paraId="5D8F82C7">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五、售后服务要求</w:t>
            </w:r>
          </w:p>
          <w:p w14:paraId="56BBA1CC">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▲1.质量保证期 3 年（自交货并验收合格之日起计）</w:t>
            </w:r>
          </w:p>
          <w:p w14:paraId="5485D79C">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2. 故障响应时间：中标供应商接到故障通知后在8小时内到达采购人指定现场；</w:t>
            </w:r>
          </w:p>
          <w:p w14:paraId="363F7016">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六、其他要求：</w:t>
            </w:r>
          </w:p>
          <w:p w14:paraId="25A36A7F">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▲1. 投标报价为采购人指定地点的现场交货价，包括：</w:t>
            </w:r>
          </w:p>
          <w:p w14:paraId="3B3C6C91">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1）货物及标准附件、备品备件、专用工具的价格；</w:t>
            </w:r>
          </w:p>
          <w:p w14:paraId="599F1B72">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2）运输、装卸、调试、培训、技术支持、售后服务等费用；</w:t>
            </w:r>
          </w:p>
          <w:p w14:paraId="368FFF08">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3）必要的保险费用和各项税费。</w:t>
            </w:r>
          </w:p>
          <w:p w14:paraId="4A867C1D">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▲2．付款条件：本项目无预付款，供应商交货完毕并验收合格后，一次性支付合同款。</w:t>
            </w:r>
          </w:p>
          <w:p w14:paraId="27F23606">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3．备品备件及耗材等要求：有稳定的备件供应渠道，并从设备厂商的中国公司及其分销商购置整机和备件补充，可以满足客户的设备在升级、扩充和保修服务配件及消耗品等多方面的需求。</w:t>
            </w:r>
          </w:p>
          <w:p w14:paraId="6532367F">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4．验收条件及标准：采购人对中标供应商所交货物必须依照招标文件上的技术规格实质要求和国家有关标准验收，进行现场测试比对，达到要求的方可验收。如因中标供应商虚假应标而造成采购人损失的，中标供应商应承担相应法律责任，并赔偿因此而造成的采购人的损失。</w:t>
            </w:r>
          </w:p>
          <w:p w14:paraId="55C67128">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5．验收方法及方案：</w:t>
            </w:r>
          </w:p>
          <w:p w14:paraId="0C8DAE42">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1）符合中华人民共和国国家安全质量标准、环保标准或行业标准。</w:t>
            </w:r>
          </w:p>
          <w:p w14:paraId="797BB688">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2）符合招标文件和投标文件承诺中采购人认可的合理最佳配置、参数及各项要求。</w:t>
            </w:r>
          </w:p>
          <w:p w14:paraId="463051D6">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3）货物符合国家官方合格标准。</w:t>
            </w:r>
          </w:p>
          <w:p w14:paraId="102E8893">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▲4）中标供应商须确保货物为原制造商制造的全新产品，无污染，无侵权行为、表面无划损、无任何缺陷隐患，在中国境内可依常规安全合法使用。</w:t>
            </w:r>
          </w:p>
          <w:p w14:paraId="31030F7E">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5）采购人组成验收小组按国家有关规定、规范进行验收，必要时邀请相关的专业人员或机构参与验收。因货物质量问题发生争议时，由本地质量技术监督部门鉴定。</w:t>
            </w:r>
          </w:p>
          <w:p w14:paraId="7424AC5C">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6）中标供应商必须依照招标文件的要求和投标文件的承诺，将设备、系统调试至正常运行的最佳状态。</w:t>
            </w:r>
          </w:p>
          <w:p w14:paraId="661546C8">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6.本项目采购标的需执行的国家相关标准、行业标准、地方标准或其他强制性标准、规范等要求：无。</w:t>
            </w:r>
          </w:p>
        </w:tc>
      </w:tr>
      <w:tr w14:paraId="0C281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14:paraId="5DDC3C15">
            <w:pPr>
              <w:spacing w:line="240" w:lineRule="auto"/>
              <w:jc w:val="center"/>
              <w:rPr>
                <w:rFonts w:hint="eastAsia" w:ascii="宋体" w:hAnsi="宋体"/>
                <w:color w:val="auto"/>
                <w:highlight w:val="none"/>
              </w:rPr>
            </w:pPr>
            <w:r>
              <w:rPr>
                <w:rFonts w:hint="eastAsia" w:ascii="宋体" w:hAnsi="宋体"/>
                <w:color w:val="auto"/>
                <w:highlight w:val="none"/>
              </w:rPr>
              <w:t>其他说明</w:t>
            </w:r>
          </w:p>
        </w:tc>
        <w:tc>
          <w:tcPr>
            <w:tcW w:w="9632" w:type="dxa"/>
            <w:gridSpan w:val="7"/>
            <w:tcBorders>
              <w:top w:val="single" w:color="auto" w:sz="4" w:space="0"/>
              <w:left w:val="single" w:color="auto" w:sz="4" w:space="0"/>
              <w:bottom w:val="single" w:color="auto" w:sz="4" w:space="0"/>
              <w:right w:val="single" w:color="auto" w:sz="4" w:space="0"/>
            </w:tcBorders>
            <w:noWrap w:val="0"/>
            <w:vAlign w:val="top"/>
          </w:tcPr>
          <w:p w14:paraId="3548B2FE">
            <w:pPr>
              <w:widowControl/>
              <w:shd w:val="clear" w:color="auto" w:fill="FFFFFF"/>
              <w:spacing w:line="570" w:lineRule="exact"/>
              <w:rPr>
                <w:rFonts w:hint="eastAsia" w:ascii="宋体" w:hAnsi="宋体" w:eastAsia="宋体"/>
                <w:color w:val="auto"/>
                <w:highlight w:val="none"/>
                <w:lang w:val="en-US" w:eastAsia="zh-CN"/>
              </w:rPr>
            </w:pPr>
            <w:r>
              <w:rPr>
                <w:rFonts w:hint="eastAsia" w:ascii="宋体" w:hAnsi="宋体"/>
                <w:color w:val="auto"/>
                <w:highlight w:val="none"/>
              </w:rPr>
              <w:t>商务要求评审中允许负偏离的条款数为1项；技术要求评审中允许负偏离的条款数为1项</w:t>
            </w:r>
            <w:r>
              <w:rPr>
                <w:rFonts w:hint="eastAsia" w:ascii="宋体" w:hAnsi="宋体"/>
                <w:color w:val="auto"/>
                <w:highlight w:val="none"/>
                <w:lang w:eastAsia="zh-CN"/>
              </w:rPr>
              <w:t>。</w:t>
            </w:r>
          </w:p>
        </w:tc>
      </w:tr>
    </w:tbl>
    <w:p w14:paraId="3D622B9B">
      <w:pPr>
        <w:tabs>
          <w:tab w:val="left" w:pos="1440"/>
        </w:tabs>
        <w:spacing w:line="570" w:lineRule="exact"/>
        <w:ind w:firstLine="5760" w:firstLineChars="2400"/>
        <w:jc w:val="both"/>
        <w:rPr>
          <w:rFonts w:ascii="Arial" w:hAnsi="Arial" w:cs="Arial"/>
          <w:bCs/>
          <w:color w:val="000000"/>
          <w:kern w:val="0"/>
          <w:sz w:val="24"/>
        </w:rPr>
      </w:pPr>
      <w:r>
        <w:rPr>
          <w:rFonts w:hint="eastAsia" w:ascii="Arial" w:hAnsi="Arial" w:cs="Arial"/>
          <w:bCs/>
          <w:color w:val="000000"/>
          <w:kern w:val="0"/>
          <w:sz w:val="24"/>
        </w:rPr>
        <w:t>采购</w:t>
      </w:r>
      <w:r>
        <w:rPr>
          <w:rFonts w:hint="eastAsia" w:ascii="Arial" w:hAnsi="Arial" w:cs="Arial"/>
          <w:bCs/>
          <w:color w:val="000000"/>
          <w:kern w:val="0"/>
          <w:sz w:val="24"/>
          <w:lang w:eastAsia="zh-CN"/>
        </w:rPr>
        <w:t>部门</w:t>
      </w:r>
      <w:r>
        <w:rPr>
          <w:rFonts w:hint="eastAsia" w:ascii="Arial" w:hAnsi="Arial" w:cs="Arial"/>
          <w:bCs/>
          <w:color w:val="000000"/>
          <w:kern w:val="0"/>
          <w:sz w:val="24"/>
        </w:rPr>
        <w:t>：</w:t>
      </w:r>
      <w:r>
        <w:rPr>
          <w:rFonts w:ascii="Arial" w:hAnsi="Arial" w:cs="Arial"/>
          <w:bCs/>
          <w:color w:val="000000"/>
          <w:kern w:val="0"/>
          <w:sz w:val="24"/>
          <w:u w:val="single"/>
        </w:rPr>
        <w:t>                     </w:t>
      </w:r>
    </w:p>
    <w:p w14:paraId="25C03261">
      <w:pPr>
        <w:tabs>
          <w:tab w:val="left" w:pos="1440"/>
        </w:tabs>
        <w:spacing w:line="570" w:lineRule="exact"/>
        <w:jc w:val="right"/>
      </w:pPr>
      <w:r>
        <w:rPr>
          <w:rFonts w:ascii="Arial" w:hAnsi="Arial" w:cs="Arial"/>
          <w:bCs/>
          <w:color w:val="000000"/>
          <w:kern w:val="0"/>
          <w:sz w:val="24"/>
        </w:rPr>
        <w:t>                                                            </w:t>
      </w:r>
      <w:r>
        <w:rPr>
          <w:rFonts w:hint="eastAsia" w:ascii="Arial" w:hAnsi="Arial" w:cs="Arial"/>
          <w:bCs/>
          <w:color w:val="000000"/>
          <w:kern w:val="0"/>
          <w:sz w:val="24"/>
        </w:rPr>
        <w:t>年</w:t>
      </w:r>
      <w:r>
        <w:rPr>
          <w:rFonts w:ascii="Arial" w:hAnsi="Arial" w:cs="Arial"/>
          <w:bCs/>
          <w:color w:val="000000"/>
          <w:kern w:val="0"/>
          <w:sz w:val="24"/>
        </w:rPr>
        <w:t>   </w:t>
      </w:r>
      <w:r>
        <w:rPr>
          <w:rFonts w:hint="eastAsia" w:ascii="Arial" w:hAnsi="Arial" w:cs="Arial"/>
          <w:bCs/>
          <w:color w:val="000000"/>
          <w:kern w:val="0"/>
          <w:sz w:val="24"/>
        </w:rPr>
        <w:t>月</w:t>
      </w:r>
      <w:r>
        <w:rPr>
          <w:rFonts w:ascii="Arial" w:hAnsi="Arial" w:cs="Arial"/>
          <w:bCs/>
          <w:color w:val="000000"/>
          <w:kern w:val="0"/>
          <w:sz w:val="24"/>
        </w:rPr>
        <w:t>   </w:t>
      </w:r>
      <w:r>
        <w:rPr>
          <w:rFonts w:hint="eastAsia" w:ascii="Arial" w:hAnsi="Arial" w:cs="Arial"/>
          <w:bCs/>
          <w:color w:val="00000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OTA4NGFkMTNhOGQxNTBhYTAxODUyZjZiOTAwMWQifQ=="/>
  </w:docVars>
  <w:rsids>
    <w:rsidRoot w:val="75B84A4B"/>
    <w:rsid w:val="02F00F67"/>
    <w:rsid w:val="0C0624B6"/>
    <w:rsid w:val="1D29584A"/>
    <w:rsid w:val="1E505902"/>
    <w:rsid w:val="2BF9515B"/>
    <w:rsid w:val="30307112"/>
    <w:rsid w:val="3C034A5A"/>
    <w:rsid w:val="3D7E1AC0"/>
    <w:rsid w:val="442A1940"/>
    <w:rsid w:val="4A2117CA"/>
    <w:rsid w:val="4BF73584"/>
    <w:rsid w:val="4C200397"/>
    <w:rsid w:val="51CE0999"/>
    <w:rsid w:val="54045450"/>
    <w:rsid w:val="540B5727"/>
    <w:rsid w:val="55075D83"/>
    <w:rsid w:val="56916C92"/>
    <w:rsid w:val="585B1C2E"/>
    <w:rsid w:val="5DFF2056"/>
    <w:rsid w:val="6E2629A8"/>
    <w:rsid w:val="6F801F89"/>
    <w:rsid w:val="70AE175A"/>
    <w:rsid w:val="75B84A4B"/>
    <w:rsid w:val="76EC483F"/>
    <w:rsid w:val="78A2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kern w:val="0"/>
      <w:sz w:val="20"/>
      <w:szCs w:val="20"/>
    </w:rPr>
  </w:style>
  <w:style w:type="paragraph" w:styleId="4">
    <w:name w:val="Title"/>
    <w:basedOn w:val="1"/>
    <w:next w:val="1"/>
    <w:qFormat/>
    <w:uiPriority w:val="0"/>
    <w:pPr>
      <w:spacing w:before="240" w:after="60"/>
      <w:jc w:val="center"/>
      <w:outlineLvl w:val="0"/>
    </w:pPr>
    <w:rPr>
      <w:rFonts w:ascii="Cambria" w:hAnsi="Cambria" w:cs="Times New Roman"/>
      <w:b/>
      <w:bCs/>
      <w:sz w:val="32"/>
      <w:szCs w:val="32"/>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1334</Words>
  <Characters>1503</Characters>
  <Lines>0</Lines>
  <Paragraphs>0</Paragraphs>
  <TotalTime>25</TotalTime>
  <ScaleCrop>false</ScaleCrop>
  <LinksUpToDate>false</LinksUpToDate>
  <CharactersWithSpaces>1600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2024-09-23T09:35:00Z</dcterms:created>
  <dc:creator>南宁职业技术大学:南宁职业技术大学</dc:creator>
  <cp:lastModifiedBy>WPS_1220190548</cp:lastModifiedBy>
  <cp:lastPrinted>2024-09-26T07:24:00Z</cp:lastPrinted>
  <dcterms:modified xsi:type="dcterms:W3CDTF">2025-10-20T10:07:14Z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AD7ED07CE2584C3FA2667CA290E1331E_13</vt:lpwstr>
  </property>
  <property fmtid="{D5CDD505-2E9C-101B-9397-08002B2CF9AE}" pid="4" name="KSOTemplateDocerSaveRecord">
    <vt:lpwstr>eyJoZGlkIjoiNDliMjU0NDVmNzQ3ODRjODMzOWQ1MzFlNGVkMmE0ZDUiLCJ1c2VySWQiOiIxMjIwMTkwNTQ4In0=</vt:lpwstr>
  </property>
</Properties>
</file>