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DC034">
      <w:pPr>
        <w:jc w:val="center"/>
        <w:rPr>
          <w:rFonts w:hint="eastAsia"/>
          <w:b/>
          <w:bCs/>
          <w:color w:val="auto"/>
          <w:sz w:val="36"/>
          <w:szCs w:val="32"/>
          <w:highlight w:val="none"/>
        </w:rPr>
      </w:pPr>
      <w:r>
        <w:rPr>
          <w:rFonts w:hint="eastAsia"/>
          <w:b/>
          <w:bCs/>
          <w:color w:val="auto"/>
          <w:sz w:val="36"/>
          <w:szCs w:val="32"/>
          <w:highlight w:val="none"/>
          <w:lang w:val="en-US" w:eastAsia="zh-CN"/>
        </w:rPr>
        <w:t>南宁市培智学校</w:t>
      </w:r>
      <w:r>
        <w:rPr>
          <w:rFonts w:hint="eastAsia"/>
          <w:b/>
          <w:bCs/>
          <w:color w:val="auto"/>
          <w:sz w:val="36"/>
          <w:szCs w:val="32"/>
          <w:highlight w:val="none"/>
        </w:rPr>
        <w:t>课桌椅采购需求文件</w:t>
      </w:r>
    </w:p>
    <w:p w14:paraId="17C389BF">
      <w:pPr>
        <w:rPr>
          <w:rFonts w:hint="eastAsia"/>
          <w:b/>
          <w:bCs/>
          <w:color w:val="auto"/>
          <w:sz w:val="28"/>
          <w:szCs w:val="32"/>
          <w:highlight w:val="none"/>
        </w:rPr>
      </w:pPr>
    </w:p>
    <w:p w14:paraId="43882BCB">
      <w:pPr>
        <w:spacing w:line="500" w:lineRule="exact"/>
        <w:rPr>
          <w:rFonts w:hint="eastAsia"/>
          <w:bCs/>
          <w:color w:val="auto"/>
          <w:sz w:val="28"/>
          <w:szCs w:val="32"/>
          <w:highlight w:val="none"/>
        </w:rPr>
      </w:pPr>
      <w:r>
        <w:rPr>
          <w:rFonts w:hint="eastAsia"/>
          <w:b/>
          <w:bCs/>
          <w:color w:val="auto"/>
          <w:sz w:val="28"/>
          <w:szCs w:val="32"/>
          <w:highlight w:val="none"/>
        </w:rPr>
        <w:t>采购单位</w:t>
      </w:r>
      <w:r>
        <w:rPr>
          <w:rFonts w:hint="eastAsia"/>
          <w:bCs/>
          <w:color w:val="auto"/>
          <w:sz w:val="28"/>
          <w:szCs w:val="32"/>
          <w:highlight w:val="none"/>
        </w:rPr>
        <w:t>：南宁儿童康复中心</w:t>
      </w:r>
    </w:p>
    <w:p w14:paraId="5A04E88E">
      <w:pPr>
        <w:spacing w:line="500" w:lineRule="exact"/>
        <w:rPr>
          <w:rFonts w:hint="eastAsia"/>
          <w:b/>
          <w:color w:val="auto"/>
          <w:sz w:val="32"/>
          <w:szCs w:val="32"/>
          <w:highlight w:val="none"/>
        </w:rPr>
      </w:pPr>
      <w:r>
        <w:rPr>
          <w:rFonts w:hint="eastAsia"/>
          <w:b/>
          <w:bCs/>
          <w:color w:val="auto"/>
          <w:sz w:val="28"/>
          <w:szCs w:val="32"/>
          <w:highlight w:val="none"/>
        </w:rPr>
        <w:t>名称：</w:t>
      </w:r>
      <w:r>
        <w:rPr>
          <w:rFonts w:hint="eastAsia"/>
          <w:b/>
          <w:color w:val="auto"/>
          <w:sz w:val="32"/>
          <w:szCs w:val="32"/>
          <w:highlight w:val="none"/>
        </w:rPr>
        <w:t>南宁市培智学校课桌椅采购</w:t>
      </w:r>
    </w:p>
    <w:p w14:paraId="095A7950">
      <w:pPr>
        <w:spacing w:line="500" w:lineRule="exact"/>
        <w:rPr>
          <w:rFonts w:hint="eastAsia"/>
          <w:b/>
          <w:bCs/>
          <w:color w:val="auto"/>
          <w:sz w:val="28"/>
          <w:szCs w:val="32"/>
          <w:highlight w:val="none"/>
        </w:rPr>
      </w:pPr>
      <w:r>
        <w:rPr>
          <w:rFonts w:hint="eastAsia"/>
          <w:b/>
          <w:bCs/>
          <w:color w:val="auto"/>
          <w:sz w:val="28"/>
          <w:szCs w:val="32"/>
          <w:highlight w:val="none"/>
        </w:rPr>
        <w:t>预算：</w:t>
      </w:r>
      <w:r>
        <w:rPr>
          <w:rFonts w:hint="eastAsia"/>
          <w:b/>
          <w:bCs/>
          <w:color w:val="auto"/>
          <w:sz w:val="28"/>
          <w:szCs w:val="32"/>
          <w:highlight w:val="none"/>
          <w:lang w:val="en-US" w:eastAsia="zh-CN"/>
        </w:rPr>
        <w:t>31104</w:t>
      </w:r>
      <w:r>
        <w:rPr>
          <w:rFonts w:hint="eastAsia" w:ascii="仿宋_GB2312" w:eastAsia="仿宋_GB2312"/>
          <w:b/>
          <w:bCs/>
          <w:color w:val="auto"/>
          <w:sz w:val="32"/>
          <w:szCs w:val="32"/>
          <w:highlight w:val="none"/>
        </w:rPr>
        <w:t>元</w:t>
      </w:r>
    </w:p>
    <w:p w14:paraId="6EECB0DA">
      <w:pPr>
        <w:wordWrap w:val="0"/>
        <w:spacing w:line="500" w:lineRule="exact"/>
        <w:rPr>
          <w:rFonts w:hint="eastAsia"/>
          <w:bCs/>
          <w:color w:val="auto"/>
          <w:sz w:val="28"/>
          <w:szCs w:val="32"/>
          <w:highlight w:val="none"/>
        </w:rPr>
      </w:pPr>
      <w:r>
        <w:rPr>
          <w:rFonts w:hint="eastAsia"/>
          <w:b/>
          <w:bCs/>
          <w:color w:val="auto"/>
          <w:sz w:val="28"/>
          <w:szCs w:val="32"/>
          <w:highlight w:val="none"/>
        </w:rPr>
        <w:t>采购方式：</w:t>
      </w:r>
      <w:r>
        <w:rPr>
          <w:rFonts w:hint="eastAsia"/>
          <w:bCs/>
          <w:color w:val="auto"/>
          <w:sz w:val="28"/>
          <w:szCs w:val="32"/>
          <w:highlight w:val="none"/>
        </w:rPr>
        <w:t>反向竞价采购</w:t>
      </w:r>
    </w:p>
    <w:p w14:paraId="09497D48">
      <w:pPr>
        <w:wordWrap w:val="0"/>
        <w:spacing w:line="500" w:lineRule="exact"/>
        <w:rPr>
          <w:rFonts w:hint="eastAsia"/>
          <w:bCs/>
          <w:color w:val="auto"/>
          <w:sz w:val="28"/>
          <w:szCs w:val="32"/>
          <w:highlight w:val="none"/>
        </w:rPr>
      </w:pPr>
      <w:r>
        <w:rPr>
          <w:rFonts w:hint="eastAsia"/>
          <w:b/>
          <w:bCs/>
          <w:color w:val="auto"/>
          <w:sz w:val="28"/>
          <w:szCs w:val="32"/>
          <w:highlight w:val="none"/>
        </w:rPr>
        <w:t>买家留言：</w:t>
      </w:r>
      <w:r>
        <w:rPr>
          <w:rFonts w:hint="eastAsia"/>
          <w:bCs/>
          <w:color w:val="auto"/>
          <w:sz w:val="28"/>
          <w:szCs w:val="32"/>
          <w:highlight w:val="none"/>
        </w:rPr>
        <w:t>各供应商，特别提醒：请大家参与竞价前务必认真阅读商务条款，确认是否可按照指定品牌及型号供货并保证有货可供、是否能按交货时间供货，若中标后</w:t>
      </w:r>
      <w:bookmarkStart w:id="0" w:name="_GoBack"/>
      <w:bookmarkEnd w:id="0"/>
      <w:r>
        <w:rPr>
          <w:rFonts w:hint="eastAsia"/>
          <w:bCs/>
          <w:color w:val="auto"/>
          <w:sz w:val="28"/>
          <w:szCs w:val="32"/>
          <w:highlight w:val="none"/>
        </w:rPr>
        <w:t>不能按要求的时间供货，影响我方采购进度，我方将向市政府采购监督管理办公室投诉，并建议将虚假应标的供应商列入黑名单。</w:t>
      </w:r>
    </w:p>
    <w:p w14:paraId="6357DDCA">
      <w:pPr>
        <w:rPr>
          <w:rFonts w:hint="eastAsia"/>
          <w:b/>
          <w:bCs/>
          <w:color w:val="auto"/>
          <w:sz w:val="28"/>
          <w:szCs w:val="32"/>
          <w:highlight w:val="none"/>
        </w:rPr>
      </w:pPr>
      <w:r>
        <w:rPr>
          <w:rFonts w:hint="eastAsia"/>
          <w:b/>
          <w:bCs/>
          <w:color w:val="auto"/>
          <w:sz w:val="28"/>
          <w:szCs w:val="32"/>
          <w:highlight w:val="none"/>
        </w:rPr>
        <w:t>采购说明：</w:t>
      </w:r>
    </w:p>
    <w:p w14:paraId="3CE475C9">
      <w:pPr>
        <w:rPr>
          <w:rFonts w:hint="eastAsia"/>
          <w:bCs/>
          <w:color w:val="auto"/>
          <w:sz w:val="28"/>
          <w:szCs w:val="32"/>
          <w:highlight w:val="none"/>
        </w:rPr>
      </w:pPr>
      <w:r>
        <w:rPr>
          <w:rFonts w:hint="eastAsia"/>
          <w:bCs/>
          <w:color w:val="auto"/>
          <w:sz w:val="28"/>
          <w:szCs w:val="32"/>
          <w:highlight w:val="none"/>
        </w:rPr>
        <w:t>▲1.</w:t>
      </w:r>
      <w:r>
        <w:rPr>
          <w:rFonts w:hint="eastAsia"/>
          <w:color w:val="auto"/>
          <w:highlight w:val="none"/>
        </w:rPr>
        <w:t xml:space="preserve"> </w:t>
      </w:r>
      <w:r>
        <w:rPr>
          <w:rFonts w:hint="eastAsia"/>
          <w:bCs/>
          <w:color w:val="auto"/>
          <w:sz w:val="28"/>
          <w:szCs w:val="32"/>
          <w:highlight w:val="none"/>
        </w:rPr>
        <w:t>本报价仅限推荐品牌及型号，不接受推荐品牌及型号以外的产品，成交人不得以任何理由更改设备的品牌、型号及配置，配置必须是原厂出厂标准配置，否则中标结果无效。所有设备除满足采购文件要求的技术参数和配置外，其余均按国家标准及生产厂家出厂标准配置，若产品在运输过程中损坏须无偿调换同样产品。</w:t>
      </w:r>
    </w:p>
    <w:p w14:paraId="23876CF9">
      <w:pPr>
        <w:rPr>
          <w:rFonts w:hint="eastAsia"/>
          <w:bCs/>
          <w:color w:val="auto"/>
          <w:sz w:val="28"/>
          <w:szCs w:val="32"/>
          <w:highlight w:val="none"/>
        </w:rPr>
      </w:pPr>
      <w:r>
        <w:rPr>
          <w:rFonts w:hint="eastAsia"/>
          <w:bCs/>
          <w:color w:val="auto"/>
          <w:sz w:val="28"/>
          <w:szCs w:val="32"/>
          <w:highlight w:val="none"/>
        </w:rPr>
        <w:t>▲2.带</w:t>
      </w:r>
      <w:r>
        <w:rPr>
          <w:rFonts w:hint="eastAsia"/>
          <w:bCs/>
          <w:color w:val="auto"/>
          <w:highlight w:val="none"/>
        </w:rPr>
        <w:t>▲</w:t>
      </w:r>
      <w:r>
        <w:rPr>
          <w:rFonts w:hint="eastAsia"/>
          <w:bCs/>
          <w:color w:val="auto"/>
          <w:sz w:val="28"/>
          <w:szCs w:val="32"/>
          <w:highlight w:val="none"/>
        </w:rPr>
        <w:t>号条款为实质性内容要求，必须满足，否则采购方有权利追究的相关责任。采购单位在对成交人提供的产品进行验收时，有权要求先行提供本次产品，根据功能要求进行逐一测试验收，以确认竞标产品是否满足采购文件的要求，并且不承担额外费用。验收中发现任何虚假应标的行为，采购方有权单方面取消合同，并向市政府采购监督管理办公室进行举报，由此造成的所有损失由该成交人自行承担。</w:t>
      </w:r>
    </w:p>
    <w:p w14:paraId="1D6C54D7">
      <w:pPr>
        <w:rPr>
          <w:rFonts w:hint="eastAsia"/>
          <w:bCs/>
          <w:color w:val="auto"/>
          <w:sz w:val="32"/>
          <w:szCs w:val="32"/>
          <w:highlight w:val="none"/>
        </w:rPr>
      </w:pPr>
      <w:r>
        <w:rPr>
          <w:rFonts w:hint="eastAsia"/>
          <w:bCs/>
          <w:color w:val="auto"/>
          <w:sz w:val="32"/>
          <w:szCs w:val="32"/>
          <w:highlight w:val="none"/>
        </w:rPr>
        <w:t>▲3.必须响应全部的商务要求。</w:t>
      </w:r>
    </w:p>
    <w:p w14:paraId="5FFF816A">
      <w:pPr>
        <w:jc w:val="center"/>
        <w:rPr>
          <w:rFonts w:hint="eastAsia"/>
          <w:b/>
          <w:bCs/>
          <w:color w:val="auto"/>
          <w:sz w:val="32"/>
          <w:szCs w:val="32"/>
          <w:highlight w:val="none"/>
        </w:rPr>
      </w:pPr>
    </w:p>
    <w:p w14:paraId="68149A05">
      <w:pPr>
        <w:jc w:val="center"/>
        <w:rPr>
          <w:rFonts w:hint="eastAsia"/>
          <w:color w:val="auto"/>
          <w:highlight w:val="none"/>
        </w:rPr>
      </w:pPr>
      <w:r>
        <w:rPr>
          <w:rFonts w:hint="eastAsia"/>
          <w:b/>
          <w:bCs/>
          <w:color w:val="auto"/>
          <w:sz w:val="32"/>
          <w:szCs w:val="32"/>
          <w:highlight w:val="none"/>
        </w:rPr>
        <w:t>一、采购需求一览表</w:t>
      </w:r>
    </w:p>
    <w:tbl>
      <w:tblPr>
        <w:tblStyle w:val="15"/>
        <w:tblpPr w:leftFromText="180" w:rightFromText="180" w:vertAnchor="text" w:horzAnchor="margin" w:tblpX="-459" w:tblpY="255"/>
        <w:tblW w:w="10584" w:type="dxa"/>
        <w:tblInd w:w="0" w:type="dxa"/>
        <w:tblLayout w:type="fixed"/>
        <w:tblCellMar>
          <w:top w:w="0" w:type="dxa"/>
          <w:left w:w="108" w:type="dxa"/>
          <w:bottom w:w="0" w:type="dxa"/>
          <w:right w:w="108" w:type="dxa"/>
        </w:tblCellMar>
      </w:tblPr>
      <w:tblGrid>
        <w:gridCol w:w="463"/>
        <w:gridCol w:w="955"/>
        <w:gridCol w:w="990"/>
        <w:gridCol w:w="6810"/>
        <w:gridCol w:w="650"/>
        <w:gridCol w:w="716"/>
      </w:tblGrid>
      <w:tr w14:paraId="4A1861C5">
        <w:tblPrEx>
          <w:tblCellMar>
            <w:top w:w="0" w:type="dxa"/>
            <w:left w:w="108" w:type="dxa"/>
            <w:bottom w:w="0" w:type="dxa"/>
            <w:right w:w="108" w:type="dxa"/>
          </w:tblCellMar>
        </w:tblPrEx>
        <w:trPr>
          <w:trHeight w:val="355" w:hRule="atLeast"/>
        </w:trPr>
        <w:tc>
          <w:tcPr>
            <w:tcW w:w="10584" w:type="dxa"/>
            <w:gridSpan w:val="6"/>
            <w:tcBorders>
              <w:top w:val="single" w:color="auto" w:sz="4" w:space="0"/>
              <w:left w:val="single" w:color="auto" w:sz="4" w:space="0"/>
              <w:bottom w:val="single" w:color="auto" w:sz="4" w:space="0"/>
              <w:right w:val="single" w:color="auto" w:sz="4" w:space="0"/>
            </w:tcBorders>
            <w:vAlign w:val="center"/>
          </w:tcPr>
          <w:p w14:paraId="79659BD6">
            <w:pPr>
              <w:rPr>
                <w:rFonts w:hint="eastAsia"/>
                <w:bCs/>
                <w:color w:val="auto"/>
                <w:sz w:val="15"/>
                <w:szCs w:val="15"/>
                <w:highlight w:val="none"/>
              </w:rPr>
            </w:pPr>
          </w:p>
        </w:tc>
      </w:tr>
      <w:tr w14:paraId="5EB0BDB8">
        <w:tblPrEx>
          <w:tblCellMar>
            <w:top w:w="0" w:type="dxa"/>
            <w:left w:w="108" w:type="dxa"/>
            <w:bottom w:w="0" w:type="dxa"/>
            <w:right w:w="108" w:type="dxa"/>
          </w:tblCellMar>
        </w:tblPrEx>
        <w:trPr>
          <w:trHeight w:val="550" w:hRule="atLeast"/>
        </w:trPr>
        <w:tc>
          <w:tcPr>
            <w:tcW w:w="463" w:type="dxa"/>
            <w:tcBorders>
              <w:top w:val="single" w:color="auto" w:sz="4" w:space="0"/>
              <w:left w:val="single" w:color="auto" w:sz="4" w:space="0"/>
              <w:bottom w:val="single" w:color="auto" w:sz="4" w:space="0"/>
              <w:right w:val="single" w:color="auto" w:sz="4" w:space="0"/>
            </w:tcBorders>
            <w:vAlign w:val="center"/>
          </w:tcPr>
          <w:p w14:paraId="246B9451">
            <w:pPr>
              <w:rPr>
                <w:rFonts w:hint="eastAsia"/>
                <w:bCs/>
                <w:color w:val="auto"/>
                <w:sz w:val="18"/>
                <w:szCs w:val="18"/>
                <w:highlight w:val="none"/>
              </w:rPr>
            </w:pPr>
            <w:r>
              <w:rPr>
                <w:rFonts w:hint="eastAsia"/>
                <w:bCs/>
                <w:color w:val="auto"/>
                <w:sz w:val="18"/>
                <w:szCs w:val="18"/>
                <w:highlight w:val="none"/>
              </w:rPr>
              <w:t>序号</w:t>
            </w:r>
          </w:p>
        </w:tc>
        <w:tc>
          <w:tcPr>
            <w:tcW w:w="955" w:type="dxa"/>
            <w:tcBorders>
              <w:top w:val="single" w:color="auto" w:sz="4" w:space="0"/>
              <w:left w:val="nil"/>
              <w:bottom w:val="single" w:color="auto" w:sz="4" w:space="0"/>
              <w:right w:val="single" w:color="auto" w:sz="4" w:space="0"/>
            </w:tcBorders>
            <w:vAlign w:val="center"/>
          </w:tcPr>
          <w:p w14:paraId="4E25A16B">
            <w:pPr>
              <w:jc w:val="center"/>
              <w:rPr>
                <w:rFonts w:hint="eastAsia"/>
                <w:bCs/>
                <w:color w:val="auto"/>
                <w:sz w:val="18"/>
                <w:szCs w:val="18"/>
                <w:highlight w:val="none"/>
              </w:rPr>
            </w:pPr>
            <w:r>
              <w:rPr>
                <w:rFonts w:hint="eastAsia"/>
                <w:bCs/>
                <w:color w:val="auto"/>
                <w:sz w:val="18"/>
                <w:szCs w:val="18"/>
                <w:highlight w:val="none"/>
              </w:rPr>
              <w:t>货物名称</w:t>
            </w:r>
          </w:p>
        </w:tc>
        <w:tc>
          <w:tcPr>
            <w:tcW w:w="990" w:type="dxa"/>
            <w:tcBorders>
              <w:top w:val="single" w:color="auto" w:sz="4" w:space="0"/>
              <w:left w:val="nil"/>
              <w:bottom w:val="single" w:color="auto" w:sz="4" w:space="0"/>
              <w:right w:val="single" w:color="auto" w:sz="4" w:space="0"/>
            </w:tcBorders>
            <w:vAlign w:val="center"/>
          </w:tcPr>
          <w:p w14:paraId="14AE7657">
            <w:pPr>
              <w:jc w:val="center"/>
              <w:rPr>
                <w:rFonts w:hint="eastAsia"/>
                <w:bCs/>
                <w:color w:val="auto"/>
                <w:sz w:val="18"/>
                <w:szCs w:val="18"/>
                <w:highlight w:val="none"/>
              </w:rPr>
            </w:pPr>
            <w:r>
              <w:rPr>
                <w:rFonts w:hint="eastAsia"/>
                <w:bCs/>
                <w:color w:val="auto"/>
                <w:sz w:val="18"/>
                <w:szCs w:val="18"/>
                <w:highlight w:val="none"/>
              </w:rPr>
              <w:t>品牌型号</w:t>
            </w:r>
          </w:p>
        </w:tc>
        <w:tc>
          <w:tcPr>
            <w:tcW w:w="6810" w:type="dxa"/>
            <w:tcBorders>
              <w:top w:val="single" w:color="auto" w:sz="4" w:space="0"/>
              <w:left w:val="nil"/>
              <w:bottom w:val="single" w:color="auto" w:sz="4" w:space="0"/>
              <w:right w:val="single" w:color="auto" w:sz="4" w:space="0"/>
            </w:tcBorders>
            <w:vAlign w:val="center"/>
          </w:tcPr>
          <w:p w14:paraId="03FEB3BD">
            <w:pPr>
              <w:jc w:val="center"/>
              <w:rPr>
                <w:rFonts w:hint="eastAsia"/>
                <w:bCs/>
                <w:color w:val="auto"/>
                <w:sz w:val="18"/>
                <w:szCs w:val="18"/>
                <w:highlight w:val="none"/>
              </w:rPr>
            </w:pPr>
            <w:r>
              <w:rPr>
                <w:rFonts w:hint="eastAsia"/>
                <w:bCs/>
                <w:color w:val="auto"/>
                <w:sz w:val="18"/>
                <w:szCs w:val="18"/>
                <w:highlight w:val="none"/>
              </w:rPr>
              <w:t>技术参数</w:t>
            </w:r>
          </w:p>
        </w:tc>
        <w:tc>
          <w:tcPr>
            <w:tcW w:w="650" w:type="dxa"/>
            <w:tcBorders>
              <w:top w:val="single" w:color="auto" w:sz="4" w:space="0"/>
              <w:left w:val="nil"/>
              <w:bottom w:val="single" w:color="auto" w:sz="4" w:space="0"/>
              <w:right w:val="single" w:color="auto" w:sz="4" w:space="0"/>
            </w:tcBorders>
            <w:vAlign w:val="center"/>
          </w:tcPr>
          <w:p w14:paraId="5D41FBC0">
            <w:pPr>
              <w:jc w:val="center"/>
              <w:rPr>
                <w:rFonts w:hint="eastAsia"/>
                <w:bCs/>
                <w:color w:val="auto"/>
                <w:sz w:val="18"/>
                <w:szCs w:val="18"/>
                <w:highlight w:val="none"/>
              </w:rPr>
            </w:pPr>
            <w:r>
              <w:rPr>
                <w:rFonts w:hint="eastAsia"/>
                <w:bCs/>
                <w:color w:val="auto"/>
                <w:sz w:val="18"/>
                <w:szCs w:val="18"/>
                <w:highlight w:val="none"/>
              </w:rPr>
              <w:t>数量</w:t>
            </w:r>
          </w:p>
        </w:tc>
        <w:tc>
          <w:tcPr>
            <w:tcW w:w="716" w:type="dxa"/>
            <w:tcBorders>
              <w:top w:val="single" w:color="auto" w:sz="4" w:space="0"/>
              <w:left w:val="nil"/>
              <w:bottom w:val="single" w:color="auto" w:sz="4" w:space="0"/>
              <w:right w:val="single" w:color="auto" w:sz="4" w:space="0"/>
            </w:tcBorders>
            <w:vAlign w:val="center"/>
          </w:tcPr>
          <w:p w14:paraId="4763E764">
            <w:pPr>
              <w:jc w:val="center"/>
              <w:rPr>
                <w:rFonts w:hint="eastAsia"/>
                <w:bCs/>
                <w:color w:val="auto"/>
                <w:sz w:val="18"/>
                <w:szCs w:val="18"/>
                <w:highlight w:val="none"/>
              </w:rPr>
            </w:pPr>
            <w:r>
              <w:rPr>
                <w:rFonts w:hint="eastAsia"/>
                <w:bCs/>
                <w:color w:val="auto"/>
                <w:sz w:val="18"/>
                <w:szCs w:val="18"/>
                <w:highlight w:val="none"/>
              </w:rPr>
              <w:t>单位</w:t>
            </w:r>
          </w:p>
        </w:tc>
      </w:tr>
      <w:tr w14:paraId="4082794A">
        <w:tblPrEx>
          <w:tblCellMar>
            <w:top w:w="0" w:type="dxa"/>
            <w:left w:w="108" w:type="dxa"/>
            <w:bottom w:w="0" w:type="dxa"/>
            <w:right w:w="108" w:type="dxa"/>
          </w:tblCellMar>
        </w:tblPrEx>
        <w:trPr>
          <w:trHeight w:val="11025" w:hRule="atLeast"/>
        </w:trPr>
        <w:tc>
          <w:tcPr>
            <w:tcW w:w="463" w:type="dxa"/>
            <w:tcBorders>
              <w:top w:val="single" w:color="auto" w:sz="4" w:space="0"/>
              <w:left w:val="single" w:color="auto" w:sz="4" w:space="0"/>
              <w:right w:val="single" w:color="auto" w:sz="4" w:space="0"/>
            </w:tcBorders>
            <w:vAlign w:val="center"/>
          </w:tcPr>
          <w:p w14:paraId="3D6B263E">
            <w:pPr>
              <w:jc w:val="center"/>
              <w:rPr>
                <w:rFonts w:hint="eastAsia"/>
                <w:color w:val="auto"/>
                <w:sz w:val="18"/>
                <w:szCs w:val="18"/>
                <w:highlight w:val="none"/>
              </w:rPr>
            </w:pPr>
            <w:r>
              <w:rPr>
                <w:rFonts w:hint="eastAsia"/>
                <w:color w:val="auto"/>
                <w:sz w:val="18"/>
                <w:szCs w:val="18"/>
                <w:highlight w:val="none"/>
              </w:rPr>
              <w:t>1</w:t>
            </w:r>
          </w:p>
        </w:tc>
        <w:tc>
          <w:tcPr>
            <w:tcW w:w="955" w:type="dxa"/>
            <w:tcBorders>
              <w:top w:val="single" w:color="auto" w:sz="4" w:space="0"/>
              <w:left w:val="nil"/>
              <w:right w:val="single" w:color="auto" w:sz="4" w:space="0"/>
            </w:tcBorders>
            <w:vAlign w:val="center"/>
          </w:tcPr>
          <w:p w14:paraId="52A6EFAA">
            <w:pPr>
              <w:spacing w:line="240" w:lineRule="exact"/>
              <w:jc w:val="center"/>
              <w:rPr>
                <w:rFonts w:hint="eastAsia"/>
                <w:color w:val="auto"/>
                <w:sz w:val="18"/>
                <w:szCs w:val="18"/>
                <w:highlight w:val="none"/>
              </w:rPr>
            </w:pPr>
            <w:r>
              <w:rPr>
                <w:rFonts w:hint="eastAsia"/>
                <w:color w:val="auto"/>
                <w:sz w:val="18"/>
                <w:szCs w:val="18"/>
                <w:highlight w:val="none"/>
              </w:rPr>
              <w:t>课桌椅</w:t>
            </w:r>
          </w:p>
        </w:tc>
        <w:tc>
          <w:tcPr>
            <w:tcW w:w="990" w:type="dxa"/>
            <w:tcBorders>
              <w:top w:val="single" w:color="auto" w:sz="4" w:space="0"/>
              <w:left w:val="nil"/>
              <w:right w:val="single" w:color="auto" w:sz="4" w:space="0"/>
            </w:tcBorders>
            <w:vAlign w:val="center"/>
          </w:tcPr>
          <w:p w14:paraId="6945301C">
            <w:pPr>
              <w:spacing w:line="240" w:lineRule="exact"/>
              <w:jc w:val="center"/>
              <w:rPr>
                <w:rFonts w:hint="eastAsia"/>
                <w:color w:val="auto"/>
                <w:sz w:val="18"/>
                <w:szCs w:val="18"/>
                <w:highlight w:val="none"/>
              </w:rPr>
            </w:pPr>
            <w:r>
              <w:rPr>
                <w:rFonts w:hint="eastAsia"/>
                <w:color w:val="auto"/>
                <w:sz w:val="18"/>
                <w:szCs w:val="18"/>
                <w:highlight w:val="none"/>
              </w:rPr>
              <w:t>巨力HG-5121</w:t>
            </w:r>
          </w:p>
        </w:tc>
        <w:tc>
          <w:tcPr>
            <w:tcW w:w="6810" w:type="dxa"/>
            <w:tcBorders>
              <w:top w:val="single" w:color="auto" w:sz="4" w:space="0"/>
              <w:left w:val="nil"/>
              <w:bottom w:val="single" w:color="auto" w:sz="4" w:space="0"/>
              <w:right w:val="single" w:color="auto" w:sz="4" w:space="0"/>
            </w:tcBorders>
          </w:tcPr>
          <w:p w14:paraId="1E539CD5">
            <w:pPr>
              <w:spacing w:line="240" w:lineRule="exact"/>
              <w:jc w:val="both"/>
              <w:rPr>
                <w:rFonts w:hint="eastAsia" w:eastAsia="宋体"/>
                <w:color w:val="auto"/>
                <w:sz w:val="18"/>
                <w:szCs w:val="18"/>
                <w:highlight w:val="none"/>
                <w:lang w:eastAsia="zh-CN"/>
              </w:rPr>
            </w:pPr>
            <w:r>
              <w:rPr>
                <w:rFonts w:hint="eastAsia"/>
                <w:color w:val="auto"/>
                <w:sz w:val="18"/>
                <w:szCs w:val="18"/>
                <w:highlight w:val="none"/>
              </w:rPr>
              <w:t>1.课桌椅尺寸</w:t>
            </w:r>
            <w:r>
              <w:rPr>
                <w:rFonts w:hint="eastAsia"/>
                <w:color w:val="auto"/>
                <w:sz w:val="18"/>
                <w:szCs w:val="18"/>
                <w:highlight w:val="none"/>
                <w:lang w:eastAsia="zh-CN"/>
              </w:rPr>
              <w:t>、颜色</w:t>
            </w:r>
          </w:p>
          <w:p w14:paraId="08B4581F">
            <w:pPr>
              <w:spacing w:line="240" w:lineRule="exact"/>
              <w:jc w:val="both"/>
              <w:rPr>
                <w:rFonts w:hint="eastAsia"/>
                <w:color w:val="auto"/>
                <w:sz w:val="18"/>
                <w:szCs w:val="18"/>
                <w:highlight w:val="none"/>
              </w:rPr>
            </w:pPr>
            <w:r>
              <w:rPr>
                <w:rFonts w:hint="eastAsia"/>
                <w:color w:val="auto"/>
                <w:sz w:val="18"/>
                <w:szCs w:val="18"/>
                <w:highlight w:val="none"/>
              </w:rPr>
              <w:t>桌面尺寸：650*450mm 桌高：700-820mm 椅高：400-480mm，</w:t>
            </w:r>
            <w:r>
              <w:rPr>
                <w:rFonts w:hint="eastAsia"/>
                <w:color w:val="auto"/>
                <w:sz w:val="18"/>
                <w:szCs w:val="18"/>
                <w:highlight w:val="none"/>
                <w:lang w:eastAsia="zh-CN"/>
              </w:rPr>
              <w:t>颜色：</w:t>
            </w:r>
            <w:r>
              <w:rPr>
                <w:rFonts w:hint="eastAsia"/>
                <w:color w:val="auto"/>
                <w:sz w:val="18"/>
                <w:szCs w:val="18"/>
                <w:highlight w:val="none"/>
                <w:lang w:val="en-US" w:eastAsia="zh-CN"/>
              </w:rPr>
              <w:t>北京</w:t>
            </w:r>
            <w:r>
              <w:rPr>
                <w:rFonts w:hint="eastAsia"/>
                <w:color w:val="auto"/>
                <w:sz w:val="18"/>
                <w:szCs w:val="18"/>
                <w:highlight w:val="none"/>
                <w:lang w:eastAsia="zh-CN"/>
              </w:rPr>
              <w:t>蓝，</w:t>
            </w:r>
            <w:r>
              <w:rPr>
                <w:rFonts w:hint="eastAsia"/>
                <w:color w:val="auto"/>
                <w:sz w:val="18"/>
                <w:szCs w:val="18"/>
                <w:highlight w:val="none"/>
              </w:rPr>
              <w:t>桌椅能够全水洗，书箱，坐垫靠背皆有排水透气孔。</w:t>
            </w:r>
            <w:r>
              <w:rPr>
                <w:rFonts w:hint="eastAsia"/>
                <w:color w:val="auto"/>
                <w:sz w:val="18"/>
                <w:szCs w:val="18"/>
                <w:highlight w:val="none"/>
                <w:lang w:eastAsia="zh-TW"/>
              </w:rPr>
              <w:t>边缘倒圆角（≥2mm），无锐角、毛刺，避免学生磕碰受伤。孔洞及间隙符合安全标准（≤5mm或≥25mm），防止夹手风险。</w:t>
            </w:r>
            <w:r>
              <w:rPr>
                <w:color w:val="auto"/>
                <w:sz w:val="18"/>
                <w:szCs w:val="18"/>
                <w:highlight w:val="none"/>
                <w:lang w:eastAsia="zh-TW"/>
              </w:rPr>
              <w:t>桌椅可调整高度且调高低的方式须简便</w:t>
            </w:r>
            <w:r>
              <w:rPr>
                <w:rFonts w:hint="eastAsia"/>
                <w:color w:val="auto"/>
                <w:sz w:val="18"/>
                <w:szCs w:val="18"/>
                <w:highlight w:val="none"/>
              </w:rPr>
              <w:t>。即通过手摇柄顺时针/逆时针转动摇柄，即可调整桌子/椅子的高度。</w:t>
            </w:r>
          </w:p>
          <w:p w14:paraId="25BB3879">
            <w:pPr>
              <w:spacing w:line="240" w:lineRule="exact"/>
              <w:jc w:val="both"/>
              <w:rPr>
                <w:rFonts w:hint="eastAsia"/>
                <w:color w:val="auto"/>
                <w:sz w:val="18"/>
                <w:szCs w:val="18"/>
                <w:highlight w:val="none"/>
                <w:lang w:eastAsia="zh-TW"/>
              </w:rPr>
            </w:pPr>
            <w:r>
              <w:rPr>
                <w:rFonts w:hint="eastAsia"/>
                <w:color w:val="auto"/>
                <w:sz w:val="18"/>
                <w:szCs w:val="18"/>
                <w:highlight w:val="none"/>
                <w:lang w:eastAsia="zh-TW"/>
              </w:rPr>
              <w:t>2.材质</w:t>
            </w:r>
          </w:p>
          <w:p w14:paraId="1A723DC5">
            <w:pPr>
              <w:spacing w:line="240" w:lineRule="exact"/>
              <w:jc w:val="both"/>
              <w:rPr>
                <w:rFonts w:hint="eastAsia"/>
                <w:color w:val="auto"/>
                <w:sz w:val="18"/>
                <w:szCs w:val="18"/>
                <w:highlight w:val="none"/>
                <w:lang w:eastAsia="zh-CN"/>
              </w:rPr>
            </w:pPr>
            <w:r>
              <w:rPr>
                <w:rFonts w:hint="eastAsia"/>
                <w:color w:val="auto"/>
                <w:sz w:val="18"/>
                <w:szCs w:val="18"/>
                <w:highlight w:val="none"/>
                <w:lang w:eastAsia="zh-TW"/>
              </w:rPr>
              <w:t>（1）环保材料：采用PP高品质塑料、金属，无毒无害无塑化剂，符合学生用品安全标准提供PP塑料原料主成分定性检验报告，检测依据GB/T 6040-2019《红外光谱分析方法通则》，检验项目包含：主成分定性，检验结果为聚丙烯（PP）。</w:t>
            </w:r>
            <w:r>
              <w:rPr>
                <w:rFonts w:hint="eastAsia"/>
                <w:color w:val="auto"/>
                <w:sz w:val="18"/>
                <w:szCs w:val="18"/>
                <w:highlight w:val="none"/>
                <w:lang w:eastAsia="zh-CN"/>
              </w:rPr>
              <w:t>（</w:t>
            </w:r>
            <w:r>
              <w:rPr>
                <w:rFonts w:hint="eastAsia"/>
                <w:color w:val="auto"/>
                <w:sz w:val="18"/>
                <w:szCs w:val="18"/>
                <w:highlight w:val="none"/>
                <w:lang w:val="en-US" w:eastAsia="zh-CN"/>
              </w:rPr>
              <w:t>收到成交通知书后须</w:t>
            </w:r>
            <w:r>
              <w:rPr>
                <w:rFonts w:hint="eastAsia"/>
                <w:color w:val="auto"/>
                <w:sz w:val="18"/>
                <w:szCs w:val="18"/>
                <w:highlight w:val="none"/>
                <w:lang w:eastAsia="zh-CN"/>
              </w:rPr>
              <w:t>提供2022年01月01</w:t>
            </w:r>
            <w:r>
              <w:rPr>
                <w:rFonts w:hint="eastAsia"/>
                <w:color w:val="auto"/>
                <w:sz w:val="18"/>
                <w:szCs w:val="18"/>
                <w:highlight w:val="none"/>
                <w:lang w:val="en-US" w:eastAsia="zh-CN"/>
              </w:rPr>
              <w:t>日起由第三方检测机构出具的含CMA、CNAS标识的检测报告为保证产品质量</w:t>
            </w:r>
            <w:r>
              <w:rPr>
                <w:rFonts w:hint="eastAsia"/>
                <w:color w:val="auto"/>
                <w:sz w:val="18"/>
                <w:szCs w:val="18"/>
                <w:highlight w:val="none"/>
                <w:lang w:eastAsia="zh-CN"/>
              </w:rPr>
              <w:t>）</w:t>
            </w:r>
          </w:p>
          <w:p w14:paraId="29780340">
            <w:pPr>
              <w:spacing w:line="240" w:lineRule="exact"/>
              <w:jc w:val="both"/>
              <w:rPr>
                <w:rFonts w:hint="eastAsia"/>
                <w:color w:val="auto"/>
                <w:sz w:val="18"/>
                <w:szCs w:val="18"/>
                <w:highlight w:val="none"/>
                <w:lang w:eastAsia="zh-TW"/>
              </w:rPr>
            </w:pPr>
          </w:p>
          <w:p w14:paraId="269857BF">
            <w:pPr>
              <w:spacing w:line="240" w:lineRule="exact"/>
              <w:jc w:val="both"/>
              <w:rPr>
                <w:rFonts w:hint="eastAsia"/>
                <w:color w:val="auto"/>
                <w:sz w:val="18"/>
                <w:szCs w:val="18"/>
                <w:highlight w:val="none"/>
                <w:lang w:eastAsia="zh-TW"/>
              </w:rPr>
            </w:pPr>
            <w:r>
              <w:rPr>
                <w:rFonts w:hint="eastAsia"/>
                <w:color w:val="auto"/>
                <w:sz w:val="18"/>
                <w:szCs w:val="18"/>
                <w:highlight w:val="none"/>
                <w:lang w:val="en-US" w:eastAsia="zh-CN"/>
              </w:rPr>
              <w:t>（2）提供带喷塑涂层钢部件有害物质检验报告，检测依据HJ 2547-2016《环境标志产品技术要求 家具》，检验项目包含：采用电感耦合等离子体发射光谱仪设备检测可迁移元素（铅(Pb≤90、镉(Cd)≤75、铬(Cr)≤60、汞(Hg)≤60、砷(As)≤25、锑(Sb)≤60、钡(Ba)≤1000、硒(Se)≤500），检验结果未检出或符合要求。</w:t>
            </w:r>
            <w:r>
              <w:rPr>
                <w:rFonts w:hint="eastAsia"/>
                <w:color w:val="auto"/>
                <w:sz w:val="18"/>
                <w:szCs w:val="18"/>
                <w:highlight w:val="none"/>
                <w:lang w:eastAsia="zh-CN"/>
              </w:rPr>
              <w:t>（</w:t>
            </w:r>
            <w:r>
              <w:rPr>
                <w:rFonts w:hint="eastAsia"/>
                <w:color w:val="auto"/>
                <w:sz w:val="18"/>
                <w:szCs w:val="18"/>
                <w:highlight w:val="none"/>
                <w:lang w:val="en-US" w:eastAsia="zh-CN"/>
              </w:rPr>
              <w:t>收到成交通知书后须</w:t>
            </w:r>
            <w:r>
              <w:rPr>
                <w:rFonts w:hint="eastAsia"/>
                <w:color w:val="auto"/>
                <w:sz w:val="18"/>
                <w:szCs w:val="18"/>
                <w:highlight w:val="none"/>
                <w:lang w:eastAsia="zh-CN"/>
              </w:rPr>
              <w:t>提供2022年01月01</w:t>
            </w:r>
            <w:r>
              <w:rPr>
                <w:rFonts w:hint="eastAsia"/>
                <w:color w:val="auto"/>
                <w:sz w:val="18"/>
                <w:szCs w:val="18"/>
                <w:highlight w:val="none"/>
                <w:lang w:val="en-US" w:eastAsia="zh-CN"/>
              </w:rPr>
              <w:t>日起由第三方检测机构出具的含CMA、CNAS标识的检测报告为保证产品质量</w:t>
            </w:r>
            <w:r>
              <w:rPr>
                <w:rFonts w:hint="eastAsia"/>
                <w:color w:val="auto"/>
                <w:sz w:val="18"/>
                <w:szCs w:val="18"/>
                <w:highlight w:val="none"/>
                <w:lang w:eastAsia="zh-CN"/>
              </w:rPr>
              <w:t>）</w:t>
            </w:r>
          </w:p>
          <w:p w14:paraId="1A2A75C3">
            <w:pPr>
              <w:spacing w:line="240" w:lineRule="exact"/>
              <w:jc w:val="both"/>
              <w:rPr>
                <w:rFonts w:hint="eastAsia"/>
                <w:color w:val="auto"/>
                <w:highlight w:val="none"/>
              </w:rPr>
            </w:pPr>
            <w:r>
              <w:rPr>
                <w:rFonts w:hint="eastAsia"/>
                <w:color w:val="auto"/>
                <w:sz w:val="18"/>
                <w:szCs w:val="18"/>
                <w:highlight w:val="none"/>
                <w:lang w:val="en-US" w:eastAsia="zh-CN"/>
              </w:rPr>
              <w:t>（3）</w:t>
            </w:r>
            <w:r>
              <w:rPr>
                <w:rFonts w:hint="eastAsia"/>
                <w:color w:val="auto"/>
                <w:sz w:val="18"/>
                <w:szCs w:val="18"/>
                <w:highlight w:val="none"/>
                <w:lang w:eastAsia="zh-TW"/>
              </w:rPr>
              <w:t>高强度力学性能</w:t>
            </w:r>
          </w:p>
          <w:tbl>
            <w:tblPr>
              <w:tblStyle w:val="38"/>
              <w:tblW w:w="66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8"/>
              <w:gridCol w:w="418"/>
              <w:gridCol w:w="1833"/>
              <w:gridCol w:w="3949"/>
            </w:tblGrid>
            <w:tr w14:paraId="4B3A1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18" w:type="dxa"/>
                  <w:vMerge w:val="restart"/>
                  <w:textDirection w:val="tbRlV"/>
                  <w:vAlign w:val="center"/>
                </w:tcPr>
                <w:p w14:paraId="69F4825E">
                  <w:pPr>
                    <w:pStyle w:val="37"/>
                    <w:spacing w:before="67" w:line="199" w:lineRule="auto"/>
                    <w:jc w:val="center"/>
                    <w:rPr>
                      <w:rFonts w:hint="eastAsia"/>
                      <w:color w:val="auto"/>
                      <w:sz w:val="18"/>
                      <w:szCs w:val="18"/>
                      <w:highlight w:val="none"/>
                    </w:rPr>
                  </w:pPr>
                  <w:r>
                    <w:rPr>
                      <w:color w:val="auto"/>
                      <w:sz w:val="18"/>
                      <w:szCs w:val="18"/>
                      <w:highlight w:val="none"/>
                    </w:rPr>
                    <w:t>力学性能</w:t>
                  </w:r>
                </w:p>
              </w:tc>
              <w:tc>
                <w:tcPr>
                  <w:tcW w:w="418" w:type="dxa"/>
                  <w:vMerge w:val="restart"/>
                  <w:tcBorders>
                    <w:bottom w:val="nil"/>
                  </w:tcBorders>
                  <w:vAlign w:val="center"/>
                </w:tcPr>
                <w:p w14:paraId="643A49C1">
                  <w:pPr>
                    <w:pStyle w:val="37"/>
                    <w:spacing w:before="61" w:line="203" w:lineRule="auto"/>
                    <w:jc w:val="center"/>
                    <w:rPr>
                      <w:rFonts w:hint="eastAsia"/>
                      <w:color w:val="auto"/>
                      <w:sz w:val="18"/>
                      <w:szCs w:val="18"/>
                      <w:highlight w:val="none"/>
                    </w:rPr>
                  </w:pPr>
                  <w:r>
                    <w:rPr>
                      <w:color w:val="auto"/>
                      <w:sz w:val="18"/>
                      <w:szCs w:val="18"/>
                      <w:highlight w:val="none"/>
                    </w:rPr>
                    <w:t>课</w:t>
                  </w:r>
                </w:p>
                <w:p w14:paraId="2B2C69C0">
                  <w:pPr>
                    <w:pStyle w:val="37"/>
                    <w:spacing w:line="219" w:lineRule="auto"/>
                    <w:jc w:val="center"/>
                    <w:rPr>
                      <w:rFonts w:hint="eastAsia"/>
                      <w:color w:val="auto"/>
                      <w:sz w:val="18"/>
                      <w:szCs w:val="18"/>
                      <w:highlight w:val="none"/>
                    </w:rPr>
                  </w:pPr>
                  <w:r>
                    <w:rPr>
                      <w:color w:val="auto"/>
                      <w:sz w:val="18"/>
                      <w:szCs w:val="18"/>
                      <w:highlight w:val="none"/>
                    </w:rPr>
                    <w:t>桌</w:t>
                  </w:r>
                </w:p>
              </w:tc>
              <w:tc>
                <w:tcPr>
                  <w:tcW w:w="1833" w:type="dxa"/>
                  <w:vAlign w:val="center"/>
                </w:tcPr>
                <w:p w14:paraId="61E1AF28">
                  <w:pPr>
                    <w:pStyle w:val="37"/>
                    <w:spacing w:before="67" w:line="120" w:lineRule="atLeast"/>
                    <w:ind w:left="29"/>
                    <w:jc w:val="both"/>
                    <w:rPr>
                      <w:rFonts w:hint="eastAsia"/>
                      <w:color w:val="auto"/>
                      <w:sz w:val="18"/>
                      <w:szCs w:val="18"/>
                      <w:highlight w:val="none"/>
                    </w:rPr>
                  </w:pPr>
                  <w:r>
                    <w:rPr>
                      <w:color w:val="auto"/>
                      <w:spacing w:val="-2"/>
                      <w:sz w:val="18"/>
                      <w:szCs w:val="18"/>
                      <w:highlight w:val="none"/>
                    </w:rPr>
                    <w:t>桌面垂直静载</w:t>
                  </w:r>
                  <w:r>
                    <w:rPr>
                      <w:color w:val="auto"/>
                      <w:sz w:val="18"/>
                      <w:szCs w:val="18"/>
                      <w:highlight w:val="none"/>
                    </w:rPr>
                    <w:t>荷</w:t>
                  </w:r>
                </w:p>
              </w:tc>
              <w:tc>
                <w:tcPr>
                  <w:tcW w:w="3949" w:type="dxa"/>
                  <w:vAlign w:val="center"/>
                </w:tcPr>
                <w:p w14:paraId="2A098B84">
                  <w:pPr>
                    <w:pStyle w:val="37"/>
                    <w:spacing w:before="156" w:line="180" w:lineRule="exact"/>
                    <w:jc w:val="both"/>
                    <w:rPr>
                      <w:rFonts w:hint="eastAsia"/>
                      <w:color w:val="auto"/>
                      <w:sz w:val="18"/>
                      <w:szCs w:val="18"/>
                      <w:highlight w:val="none"/>
                    </w:rPr>
                  </w:pPr>
                  <w:r>
                    <w:rPr>
                      <w:color w:val="auto"/>
                      <w:spacing w:val="-1"/>
                      <w:sz w:val="18"/>
                      <w:szCs w:val="18"/>
                      <w:highlight w:val="none"/>
                    </w:rPr>
                    <w:t>加力1000N,10次</w:t>
                  </w:r>
                </w:p>
              </w:tc>
            </w:tr>
            <w:tr w14:paraId="2C1CB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18" w:type="dxa"/>
                  <w:vMerge w:val="continue"/>
                  <w:textDirection w:val="tbRlV"/>
                  <w:vAlign w:val="center"/>
                </w:tcPr>
                <w:p w14:paraId="0E5F7090">
                  <w:pPr>
                    <w:jc w:val="center"/>
                    <w:rPr>
                      <w:rFonts w:hint="eastAsia" w:ascii="Arial"/>
                      <w:color w:val="auto"/>
                      <w:sz w:val="18"/>
                      <w:szCs w:val="18"/>
                      <w:highlight w:val="none"/>
                    </w:rPr>
                  </w:pPr>
                </w:p>
              </w:tc>
              <w:tc>
                <w:tcPr>
                  <w:tcW w:w="418" w:type="dxa"/>
                  <w:vMerge w:val="continue"/>
                  <w:tcBorders>
                    <w:top w:val="nil"/>
                    <w:bottom w:val="nil"/>
                  </w:tcBorders>
                  <w:vAlign w:val="center"/>
                </w:tcPr>
                <w:p w14:paraId="7E6DF370">
                  <w:pPr>
                    <w:jc w:val="center"/>
                    <w:rPr>
                      <w:rFonts w:hint="eastAsia" w:ascii="Arial"/>
                      <w:color w:val="auto"/>
                      <w:sz w:val="18"/>
                      <w:szCs w:val="18"/>
                      <w:highlight w:val="none"/>
                    </w:rPr>
                  </w:pPr>
                </w:p>
              </w:tc>
              <w:tc>
                <w:tcPr>
                  <w:tcW w:w="1833" w:type="dxa"/>
                  <w:vAlign w:val="center"/>
                </w:tcPr>
                <w:p w14:paraId="5B21198E">
                  <w:pPr>
                    <w:pStyle w:val="37"/>
                    <w:spacing w:before="198" w:line="120" w:lineRule="atLeast"/>
                    <w:jc w:val="both"/>
                    <w:rPr>
                      <w:rFonts w:hint="eastAsia"/>
                      <w:color w:val="auto"/>
                      <w:sz w:val="18"/>
                      <w:szCs w:val="18"/>
                      <w:highlight w:val="none"/>
                    </w:rPr>
                  </w:pPr>
                  <w:r>
                    <w:rPr>
                      <w:color w:val="auto"/>
                      <w:spacing w:val="1"/>
                      <w:sz w:val="18"/>
                      <w:szCs w:val="18"/>
                      <w:highlight w:val="none"/>
                    </w:rPr>
                    <w:t>桌面垂直耐久</w:t>
                  </w:r>
                  <w:r>
                    <w:rPr>
                      <w:color w:val="auto"/>
                      <w:sz w:val="18"/>
                      <w:szCs w:val="18"/>
                      <w:highlight w:val="none"/>
                    </w:rPr>
                    <w:t>性</w:t>
                  </w:r>
                </w:p>
              </w:tc>
              <w:tc>
                <w:tcPr>
                  <w:tcW w:w="3949" w:type="dxa"/>
                  <w:vAlign w:val="center"/>
                </w:tcPr>
                <w:p w14:paraId="1FDE3ED2">
                  <w:pPr>
                    <w:pStyle w:val="37"/>
                    <w:spacing w:before="76" w:line="180" w:lineRule="exact"/>
                    <w:jc w:val="both"/>
                    <w:rPr>
                      <w:rFonts w:hint="eastAsia"/>
                      <w:color w:val="auto"/>
                      <w:sz w:val="18"/>
                      <w:szCs w:val="18"/>
                      <w:highlight w:val="none"/>
                      <w:lang w:eastAsia="zh-CN"/>
                    </w:rPr>
                  </w:pPr>
                  <w:r>
                    <w:rPr>
                      <w:color w:val="auto"/>
                      <w:spacing w:val="-4"/>
                      <w:sz w:val="18"/>
                      <w:szCs w:val="18"/>
                      <w:highlight w:val="none"/>
                      <w:lang w:eastAsia="zh-CN"/>
                    </w:rPr>
                    <w:t>小学用400N,中学、大学和</w:t>
                  </w:r>
                  <w:r>
                    <w:rPr>
                      <w:color w:val="auto"/>
                      <w:spacing w:val="4"/>
                      <w:sz w:val="18"/>
                      <w:szCs w:val="18"/>
                      <w:highlight w:val="none"/>
                      <w:lang w:eastAsia="zh-CN"/>
                    </w:rPr>
                    <w:t xml:space="preserve">其他成人机构用600N, </w:t>
                  </w:r>
                  <w:r>
                    <w:rPr>
                      <w:color w:val="auto"/>
                      <w:sz w:val="18"/>
                      <w:szCs w:val="18"/>
                      <w:highlight w:val="none"/>
                      <w:lang w:eastAsia="zh-CN"/>
                    </w:rPr>
                    <w:t>10000次</w:t>
                  </w:r>
                </w:p>
              </w:tc>
            </w:tr>
            <w:tr w14:paraId="5076D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18" w:type="dxa"/>
                  <w:vMerge w:val="continue"/>
                  <w:textDirection w:val="tbRlV"/>
                  <w:vAlign w:val="center"/>
                </w:tcPr>
                <w:p w14:paraId="649D1535">
                  <w:pPr>
                    <w:jc w:val="center"/>
                    <w:rPr>
                      <w:rFonts w:hint="eastAsia" w:ascii="Arial"/>
                      <w:color w:val="auto"/>
                      <w:sz w:val="18"/>
                      <w:szCs w:val="18"/>
                      <w:highlight w:val="none"/>
                    </w:rPr>
                  </w:pPr>
                </w:p>
              </w:tc>
              <w:tc>
                <w:tcPr>
                  <w:tcW w:w="418" w:type="dxa"/>
                  <w:vMerge w:val="continue"/>
                  <w:tcBorders>
                    <w:top w:val="nil"/>
                    <w:bottom w:val="nil"/>
                  </w:tcBorders>
                  <w:vAlign w:val="center"/>
                </w:tcPr>
                <w:p w14:paraId="79438A70">
                  <w:pPr>
                    <w:jc w:val="center"/>
                    <w:rPr>
                      <w:rFonts w:hint="eastAsia" w:ascii="Arial"/>
                      <w:color w:val="auto"/>
                      <w:sz w:val="18"/>
                      <w:szCs w:val="18"/>
                      <w:highlight w:val="none"/>
                    </w:rPr>
                  </w:pPr>
                </w:p>
              </w:tc>
              <w:tc>
                <w:tcPr>
                  <w:tcW w:w="1833" w:type="dxa"/>
                  <w:vAlign w:val="center"/>
                </w:tcPr>
                <w:p w14:paraId="2F22D204">
                  <w:pPr>
                    <w:pStyle w:val="37"/>
                    <w:spacing w:before="150" w:line="120" w:lineRule="atLeast"/>
                    <w:jc w:val="both"/>
                    <w:rPr>
                      <w:rFonts w:hint="eastAsia"/>
                      <w:color w:val="auto"/>
                      <w:sz w:val="18"/>
                      <w:szCs w:val="18"/>
                      <w:highlight w:val="none"/>
                    </w:rPr>
                  </w:pPr>
                  <w:r>
                    <w:rPr>
                      <w:color w:val="auto"/>
                      <w:spacing w:val="-2"/>
                      <w:sz w:val="18"/>
                      <w:szCs w:val="18"/>
                      <w:highlight w:val="none"/>
                    </w:rPr>
                    <w:t>桌面垂直冲击</w:t>
                  </w:r>
                </w:p>
              </w:tc>
              <w:tc>
                <w:tcPr>
                  <w:tcW w:w="3949" w:type="dxa"/>
                  <w:vAlign w:val="center"/>
                </w:tcPr>
                <w:p w14:paraId="65DFA982">
                  <w:pPr>
                    <w:pStyle w:val="37"/>
                    <w:spacing w:before="147" w:line="180" w:lineRule="exact"/>
                    <w:jc w:val="both"/>
                    <w:rPr>
                      <w:rFonts w:hint="eastAsia"/>
                      <w:color w:val="auto"/>
                      <w:sz w:val="18"/>
                      <w:szCs w:val="18"/>
                      <w:highlight w:val="none"/>
                    </w:rPr>
                  </w:pPr>
                  <w:r>
                    <w:rPr>
                      <w:color w:val="auto"/>
                      <w:spacing w:val="-1"/>
                      <w:sz w:val="18"/>
                      <w:szCs w:val="18"/>
                      <w:highlight w:val="none"/>
                    </w:rPr>
                    <w:t>冲击高度180mm,2次</w:t>
                  </w:r>
                </w:p>
              </w:tc>
            </w:tr>
            <w:tr w14:paraId="170A4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418" w:type="dxa"/>
                  <w:vMerge w:val="continue"/>
                  <w:textDirection w:val="tbRlV"/>
                  <w:vAlign w:val="center"/>
                </w:tcPr>
                <w:p w14:paraId="7A98589F">
                  <w:pPr>
                    <w:jc w:val="center"/>
                    <w:rPr>
                      <w:rFonts w:hint="eastAsia" w:ascii="Arial"/>
                      <w:color w:val="auto"/>
                      <w:sz w:val="18"/>
                      <w:szCs w:val="18"/>
                      <w:highlight w:val="none"/>
                    </w:rPr>
                  </w:pPr>
                </w:p>
              </w:tc>
              <w:tc>
                <w:tcPr>
                  <w:tcW w:w="418" w:type="dxa"/>
                  <w:vMerge w:val="continue"/>
                  <w:tcBorders>
                    <w:top w:val="nil"/>
                    <w:bottom w:val="nil"/>
                  </w:tcBorders>
                  <w:vAlign w:val="center"/>
                </w:tcPr>
                <w:p w14:paraId="418CD089">
                  <w:pPr>
                    <w:jc w:val="center"/>
                    <w:rPr>
                      <w:rFonts w:hint="eastAsia" w:ascii="Arial"/>
                      <w:color w:val="auto"/>
                      <w:sz w:val="18"/>
                      <w:szCs w:val="18"/>
                      <w:highlight w:val="none"/>
                    </w:rPr>
                  </w:pPr>
                </w:p>
              </w:tc>
              <w:tc>
                <w:tcPr>
                  <w:tcW w:w="1833" w:type="dxa"/>
                  <w:vAlign w:val="center"/>
                </w:tcPr>
                <w:p w14:paraId="5228EC83">
                  <w:pPr>
                    <w:pStyle w:val="37"/>
                    <w:spacing w:before="149" w:line="120" w:lineRule="atLeast"/>
                    <w:jc w:val="both"/>
                    <w:rPr>
                      <w:rFonts w:hint="eastAsia"/>
                      <w:color w:val="auto"/>
                      <w:sz w:val="18"/>
                      <w:szCs w:val="18"/>
                      <w:highlight w:val="none"/>
                    </w:rPr>
                  </w:pPr>
                  <w:r>
                    <w:rPr>
                      <w:color w:val="auto"/>
                      <w:spacing w:val="-2"/>
                      <w:sz w:val="18"/>
                      <w:szCs w:val="18"/>
                      <w:highlight w:val="none"/>
                    </w:rPr>
                    <w:t>桌腿跌落</w:t>
                  </w:r>
                </w:p>
              </w:tc>
              <w:tc>
                <w:tcPr>
                  <w:tcW w:w="3949" w:type="dxa"/>
                  <w:vAlign w:val="center"/>
                </w:tcPr>
                <w:p w14:paraId="07064824">
                  <w:pPr>
                    <w:pStyle w:val="37"/>
                    <w:spacing w:before="147" w:line="180" w:lineRule="exact"/>
                    <w:ind w:left="11"/>
                    <w:jc w:val="both"/>
                    <w:rPr>
                      <w:rFonts w:hint="eastAsia"/>
                      <w:color w:val="auto"/>
                      <w:sz w:val="18"/>
                      <w:szCs w:val="18"/>
                      <w:highlight w:val="none"/>
                    </w:rPr>
                  </w:pPr>
                  <w:r>
                    <w:rPr>
                      <w:color w:val="auto"/>
                      <w:spacing w:val="-1"/>
                      <w:sz w:val="18"/>
                      <w:szCs w:val="18"/>
                      <w:highlight w:val="none"/>
                    </w:rPr>
                    <w:t>冲击高度300mm,10次</w:t>
                  </w:r>
                </w:p>
              </w:tc>
            </w:tr>
            <w:tr w14:paraId="156A7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18" w:type="dxa"/>
                  <w:vMerge w:val="continue"/>
                  <w:textDirection w:val="tbRlV"/>
                  <w:vAlign w:val="center"/>
                </w:tcPr>
                <w:p w14:paraId="010A85DD">
                  <w:pPr>
                    <w:jc w:val="center"/>
                    <w:rPr>
                      <w:rFonts w:hint="eastAsia" w:ascii="Arial"/>
                      <w:color w:val="auto"/>
                      <w:sz w:val="18"/>
                      <w:szCs w:val="18"/>
                      <w:highlight w:val="none"/>
                    </w:rPr>
                  </w:pPr>
                </w:p>
              </w:tc>
              <w:tc>
                <w:tcPr>
                  <w:tcW w:w="418" w:type="dxa"/>
                  <w:vMerge w:val="continue"/>
                  <w:tcBorders>
                    <w:top w:val="nil"/>
                  </w:tcBorders>
                  <w:vAlign w:val="center"/>
                </w:tcPr>
                <w:p w14:paraId="0BBE1DF8">
                  <w:pPr>
                    <w:jc w:val="center"/>
                    <w:rPr>
                      <w:rFonts w:hint="eastAsia" w:ascii="Arial"/>
                      <w:color w:val="auto"/>
                      <w:sz w:val="18"/>
                      <w:szCs w:val="18"/>
                      <w:highlight w:val="none"/>
                    </w:rPr>
                  </w:pPr>
                </w:p>
              </w:tc>
              <w:tc>
                <w:tcPr>
                  <w:tcW w:w="1833" w:type="dxa"/>
                  <w:vAlign w:val="center"/>
                </w:tcPr>
                <w:p w14:paraId="17906CCB">
                  <w:pPr>
                    <w:pStyle w:val="37"/>
                    <w:spacing w:before="39" w:line="120" w:lineRule="atLeast"/>
                    <w:ind w:left="29"/>
                    <w:jc w:val="both"/>
                    <w:rPr>
                      <w:rFonts w:hint="eastAsia"/>
                      <w:color w:val="auto"/>
                      <w:sz w:val="18"/>
                      <w:szCs w:val="18"/>
                      <w:highlight w:val="none"/>
                    </w:rPr>
                  </w:pPr>
                  <w:r>
                    <w:rPr>
                      <w:color w:val="auto"/>
                      <w:spacing w:val="-2"/>
                      <w:sz w:val="18"/>
                      <w:szCs w:val="18"/>
                      <w:highlight w:val="none"/>
                    </w:rPr>
                    <w:t>桌面水平静载</w:t>
                  </w:r>
                  <w:r>
                    <w:rPr>
                      <w:color w:val="auto"/>
                      <w:sz w:val="18"/>
                      <w:szCs w:val="18"/>
                      <w:highlight w:val="none"/>
                    </w:rPr>
                    <w:t>荷</w:t>
                  </w:r>
                </w:p>
              </w:tc>
              <w:tc>
                <w:tcPr>
                  <w:tcW w:w="3949" w:type="dxa"/>
                  <w:vAlign w:val="center"/>
                </w:tcPr>
                <w:p w14:paraId="1AAA617B">
                  <w:pPr>
                    <w:pStyle w:val="37"/>
                    <w:spacing w:before="58" w:line="180" w:lineRule="exact"/>
                    <w:ind w:left="11" w:firstLine="9"/>
                    <w:jc w:val="both"/>
                    <w:rPr>
                      <w:rFonts w:hint="eastAsia"/>
                      <w:color w:val="auto"/>
                      <w:sz w:val="18"/>
                      <w:szCs w:val="18"/>
                      <w:highlight w:val="none"/>
                      <w:lang w:eastAsia="zh-CN"/>
                    </w:rPr>
                  </w:pPr>
                  <w:r>
                    <w:rPr>
                      <w:color w:val="auto"/>
                      <w:spacing w:val="-4"/>
                      <w:sz w:val="18"/>
                      <w:szCs w:val="18"/>
                      <w:highlight w:val="none"/>
                      <w:lang w:eastAsia="zh-CN"/>
                    </w:rPr>
                    <w:t>小学用300N,中学和大学用</w:t>
                  </w:r>
                  <w:r>
                    <w:rPr>
                      <w:color w:val="auto"/>
                      <w:spacing w:val="5"/>
                      <w:sz w:val="18"/>
                      <w:szCs w:val="18"/>
                      <w:highlight w:val="none"/>
                      <w:lang w:eastAsia="zh-CN"/>
                    </w:rPr>
                    <w:t xml:space="preserve"> </w:t>
                  </w:r>
                  <w:r>
                    <w:rPr>
                      <w:color w:val="auto"/>
                      <w:spacing w:val="-3"/>
                      <w:sz w:val="18"/>
                      <w:szCs w:val="18"/>
                      <w:highlight w:val="none"/>
                      <w:lang w:eastAsia="zh-CN"/>
                    </w:rPr>
                    <w:t>400N,10次</w:t>
                  </w:r>
                </w:p>
              </w:tc>
            </w:tr>
            <w:tr w14:paraId="2675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418" w:type="dxa"/>
                  <w:vMerge w:val="continue"/>
                  <w:textDirection w:val="tbRlV"/>
                  <w:vAlign w:val="center"/>
                </w:tcPr>
                <w:p w14:paraId="2F6DCB80">
                  <w:pPr>
                    <w:jc w:val="center"/>
                    <w:rPr>
                      <w:rFonts w:hint="eastAsia" w:ascii="Arial"/>
                      <w:color w:val="auto"/>
                      <w:sz w:val="18"/>
                      <w:szCs w:val="18"/>
                      <w:highlight w:val="none"/>
                    </w:rPr>
                  </w:pPr>
                </w:p>
              </w:tc>
              <w:tc>
                <w:tcPr>
                  <w:tcW w:w="418" w:type="dxa"/>
                  <w:vMerge w:val="restart"/>
                  <w:vAlign w:val="center"/>
                </w:tcPr>
                <w:p w14:paraId="2224B4A6">
                  <w:pPr>
                    <w:pStyle w:val="37"/>
                    <w:spacing w:before="62" w:line="212" w:lineRule="auto"/>
                    <w:ind w:right="16"/>
                    <w:jc w:val="center"/>
                    <w:rPr>
                      <w:rFonts w:hint="eastAsia"/>
                      <w:color w:val="auto"/>
                      <w:sz w:val="18"/>
                      <w:szCs w:val="18"/>
                      <w:highlight w:val="none"/>
                    </w:rPr>
                  </w:pPr>
                  <w:r>
                    <w:rPr>
                      <w:color w:val="auto"/>
                      <w:spacing w:val="-7"/>
                      <w:sz w:val="18"/>
                      <w:szCs w:val="18"/>
                      <w:highlight w:val="none"/>
                    </w:rPr>
                    <w:t>课</w:t>
                  </w:r>
                  <w:r>
                    <w:rPr>
                      <w:color w:val="auto"/>
                      <w:sz w:val="18"/>
                      <w:szCs w:val="18"/>
                      <w:highlight w:val="none"/>
                    </w:rPr>
                    <w:t xml:space="preserve"> 椅</w:t>
                  </w:r>
                </w:p>
              </w:tc>
              <w:tc>
                <w:tcPr>
                  <w:tcW w:w="1833" w:type="dxa"/>
                  <w:vAlign w:val="center"/>
                </w:tcPr>
                <w:p w14:paraId="7532F68B">
                  <w:pPr>
                    <w:pStyle w:val="37"/>
                    <w:spacing w:before="102" w:line="120" w:lineRule="atLeast"/>
                    <w:ind w:left="29"/>
                    <w:jc w:val="both"/>
                    <w:rPr>
                      <w:rFonts w:hint="eastAsia"/>
                      <w:color w:val="auto"/>
                      <w:sz w:val="18"/>
                      <w:szCs w:val="18"/>
                      <w:highlight w:val="none"/>
                      <w:lang w:eastAsia="zh-CN"/>
                    </w:rPr>
                  </w:pPr>
                  <w:r>
                    <w:rPr>
                      <w:color w:val="auto"/>
                      <w:spacing w:val="-2"/>
                      <w:sz w:val="18"/>
                      <w:szCs w:val="18"/>
                      <w:highlight w:val="none"/>
                      <w:lang w:eastAsia="zh-CN"/>
                    </w:rPr>
                    <w:t>座面、椅背联合静载荷</w:t>
                  </w:r>
                </w:p>
              </w:tc>
              <w:tc>
                <w:tcPr>
                  <w:tcW w:w="3949" w:type="dxa"/>
                  <w:vAlign w:val="center"/>
                </w:tcPr>
                <w:p w14:paraId="3F291776">
                  <w:pPr>
                    <w:pStyle w:val="37"/>
                    <w:spacing w:before="109" w:line="180" w:lineRule="exact"/>
                    <w:ind w:left="11" w:right="38"/>
                    <w:jc w:val="both"/>
                    <w:rPr>
                      <w:rFonts w:hint="eastAsia"/>
                      <w:color w:val="auto"/>
                      <w:sz w:val="18"/>
                      <w:szCs w:val="18"/>
                      <w:highlight w:val="none"/>
                    </w:rPr>
                  </w:pPr>
                  <w:r>
                    <w:rPr>
                      <w:color w:val="auto"/>
                      <w:spacing w:val="1"/>
                      <w:sz w:val="18"/>
                      <w:szCs w:val="18"/>
                      <w:highlight w:val="none"/>
                    </w:rPr>
                    <w:t xml:space="preserve">座面加力1600N,椅背加力 </w:t>
                  </w:r>
                  <w:r>
                    <w:rPr>
                      <w:color w:val="auto"/>
                      <w:spacing w:val="-2"/>
                      <w:sz w:val="18"/>
                      <w:szCs w:val="18"/>
                      <w:highlight w:val="none"/>
                    </w:rPr>
                    <w:t>760N,10次</w:t>
                  </w:r>
                </w:p>
              </w:tc>
            </w:tr>
            <w:tr w14:paraId="2C3EE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418" w:type="dxa"/>
                  <w:vMerge w:val="continue"/>
                  <w:textDirection w:val="tbRlV"/>
                </w:tcPr>
                <w:p w14:paraId="152E9719">
                  <w:pPr>
                    <w:rPr>
                      <w:rFonts w:hint="eastAsia" w:ascii="Arial"/>
                      <w:color w:val="auto"/>
                      <w:sz w:val="18"/>
                      <w:szCs w:val="18"/>
                      <w:highlight w:val="none"/>
                    </w:rPr>
                  </w:pPr>
                </w:p>
              </w:tc>
              <w:tc>
                <w:tcPr>
                  <w:tcW w:w="418" w:type="dxa"/>
                  <w:vMerge w:val="continue"/>
                </w:tcPr>
                <w:p w14:paraId="37676456">
                  <w:pPr>
                    <w:rPr>
                      <w:rFonts w:hint="eastAsia" w:ascii="Arial"/>
                      <w:color w:val="auto"/>
                      <w:sz w:val="18"/>
                      <w:szCs w:val="18"/>
                      <w:highlight w:val="none"/>
                    </w:rPr>
                  </w:pPr>
                </w:p>
              </w:tc>
              <w:tc>
                <w:tcPr>
                  <w:tcW w:w="1833" w:type="dxa"/>
                  <w:vAlign w:val="center"/>
                </w:tcPr>
                <w:p w14:paraId="1481114F">
                  <w:pPr>
                    <w:spacing w:line="120" w:lineRule="atLeast"/>
                    <w:jc w:val="both"/>
                    <w:rPr>
                      <w:rFonts w:hint="eastAsia" w:ascii="Arial"/>
                      <w:color w:val="auto"/>
                      <w:sz w:val="18"/>
                      <w:szCs w:val="18"/>
                      <w:highlight w:val="none"/>
                    </w:rPr>
                  </w:pPr>
                </w:p>
                <w:p w14:paraId="3681C3EA">
                  <w:pPr>
                    <w:pStyle w:val="37"/>
                    <w:spacing w:before="62" w:line="120" w:lineRule="atLeast"/>
                    <w:ind w:left="29"/>
                    <w:jc w:val="both"/>
                    <w:rPr>
                      <w:rFonts w:hint="eastAsia"/>
                      <w:color w:val="auto"/>
                      <w:sz w:val="18"/>
                      <w:szCs w:val="18"/>
                      <w:highlight w:val="none"/>
                    </w:rPr>
                  </w:pPr>
                  <w:r>
                    <w:rPr>
                      <w:color w:val="auto"/>
                      <w:spacing w:val="-2"/>
                      <w:sz w:val="18"/>
                      <w:szCs w:val="18"/>
                      <w:highlight w:val="none"/>
                    </w:rPr>
                    <w:t>座面侧向静载</w:t>
                  </w:r>
                  <w:r>
                    <w:rPr>
                      <w:color w:val="auto"/>
                      <w:sz w:val="18"/>
                      <w:szCs w:val="18"/>
                      <w:highlight w:val="none"/>
                    </w:rPr>
                    <w:t>荷</w:t>
                  </w:r>
                </w:p>
              </w:tc>
              <w:tc>
                <w:tcPr>
                  <w:tcW w:w="3949" w:type="dxa"/>
                  <w:vAlign w:val="center"/>
                </w:tcPr>
                <w:p w14:paraId="2B45B509">
                  <w:pPr>
                    <w:pStyle w:val="37"/>
                    <w:spacing w:before="68" w:line="180" w:lineRule="exact"/>
                    <w:ind w:left="11"/>
                    <w:jc w:val="both"/>
                    <w:rPr>
                      <w:rFonts w:hint="eastAsia"/>
                      <w:color w:val="auto"/>
                      <w:sz w:val="18"/>
                      <w:szCs w:val="18"/>
                      <w:highlight w:val="none"/>
                      <w:lang w:eastAsia="zh-CN"/>
                    </w:rPr>
                  </w:pPr>
                  <w:r>
                    <w:rPr>
                      <w:color w:val="auto"/>
                      <w:sz w:val="18"/>
                      <w:szCs w:val="18"/>
                      <w:highlight w:val="none"/>
                      <w:lang w:eastAsia="zh-CN"/>
                    </w:rPr>
                    <w:t>座面加力小学用1300N,中</w:t>
                  </w:r>
                  <w:r>
                    <w:rPr>
                      <w:color w:val="auto"/>
                      <w:spacing w:val="3"/>
                      <w:sz w:val="18"/>
                      <w:szCs w:val="18"/>
                      <w:highlight w:val="none"/>
                      <w:lang w:eastAsia="zh-CN"/>
                    </w:rPr>
                    <w:t xml:space="preserve"> </w:t>
                  </w:r>
                  <w:r>
                    <w:rPr>
                      <w:color w:val="auto"/>
                      <w:spacing w:val="-12"/>
                      <w:sz w:val="18"/>
                      <w:szCs w:val="18"/>
                      <w:highlight w:val="none"/>
                      <w:lang w:eastAsia="zh-CN"/>
                    </w:rPr>
                    <w:t>学、大学及其他成人机构用</w:t>
                  </w:r>
                  <w:r>
                    <w:rPr>
                      <w:color w:val="auto"/>
                      <w:spacing w:val="8"/>
                      <w:sz w:val="18"/>
                      <w:szCs w:val="18"/>
                      <w:highlight w:val="none"/>
                      <w:lang w:eastAsia="zh-CN"/>
                    </w:rPr>
                    <w:t xml:space="preserve"> </w:t>
                  </w:r>
                  <w:r>
                    <w:rPr>
                      <w:color w:val="auto"/>
                      <w:sz w:val="18"/>
                      <w:szCs w:val="18"/>
                      <w:highlight w:val="none"/>
                      <w:lang w:eastAsia="zh-CN"/>
                    </w:rPr>
                    <w:t>1600N,水平加力小学用</w:t>
                  </w:r>
                  <w:r>
                    <w:rPr>
                      <w:color w:val="auto"/>
                      <w:spacing w:val="-3"/>
                      <w:sz w:val="18"/>
                      <w:szCs w:val="18"/>
                      <w:highlight w:val="none"/>
                      <w:lang w:eastAsia="zh-CN"/>
                    </w:rPr>
                    <w:t>400N,中学、大学及其他成</w:t>
                  </w:r>
                  <w:r>
                    <w:rPr>
                      <w:color w:val="auto"/>
                      <w:spacing w:val="-1"/>
                      <w:sz w:val="18"/>
                      <w:szCs w:val="18"/>
                      <w:highlight w:val="none"/>
                      <w:lang w:eastAsia="zh-CN"/>
                    </w:rPr>
                    <w:t>人机构用600N,10次</w:t>
                  </w:r>
                </w:p>
              </w:tc>
            </w:tr>
            <w:tr w14:paraId="7E03E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418" w:type="dxa"/>
                  <w:vMerge w:val="continue"/>
                  <w:textDirection w:val="tbRlV"/>
                </w:tcPr>
                <w:p w14:paraId="049539F4">
                  <w:pPr>
                    <w:rPr>
                      <w:rFonts w:hint="eastAsia" w:ascii="Arial"/>
                      <w:color w:val="auto"/>
                      <w:sz w:val="18"/>
                      <w:szCs w:val="18"/>
                      <w:highlight w:val="none"/>
                    </w:rPr>
                  </w:pPr>
                </w:p>
              </w:tc>
              <w:tc>
                <w:tcPr>
                  <w:tcW w:w="418" w:type="dxa"/>
                  <w:vMerge w:val="continue"/>
                </w:tcPr>
                <w:p w14:paraId="6BDCFA2A">
                  <w:pPr>
                    <w:rPr>
                      <w:rFonts w:hint="eastAsia" w:ascii="Arial"/>
                      <w:color w:val="auto"/>
                      <w:sz w:val="18"/>
                      <w:szCs w:val="18"/>
                      <w:highlight w:val="none"/>
                    </w:rPr>
                  </w:pPr>
                </w:p>
              </w:tc>
              <w:tc>
                <w:tcPr>
                  <w:tcW w:w="1833" w:type="dxa"/>
                  <w:vAlign w:val="center"/>
                </w:tcPr>
                <w:p w14:paraId="177603C3">
                  <w:pPr>
                    <w:pStyle w:val="37"/>
                    <w:spacing w:before="93" w:line="120" w:lineRule="atLeast"/>
                    <w:ind w:left="29"/>
                    <w:jc w:val="both"/>
                    <w:rPr>
                      <w:rFonts w:hint="eastAsia"/>
                      <w:color w:val="auto"/>
                      <w:sz w:val="18"/>
                      <w:szCs w:val="18"/>
                      <w:highlight w:val="none"/>
                    </w:rPr>
                  </w:pPr>
                  <w:r>
                    <w:rPr>
                      <w:color w:val="auto"/>
                      <w:spacing w:val="-2"/>
                      <w:sz w:val="18"/>
                      <w:szCs w:val="18"/>
                      <w:highlight w:val="none"/>
                    </w:rPr>
                    <w:t>椅腿向前静载</w:t>
                  </w:r>
                  <w:r>
                    <w:rPr>
                      <w:color w:val="auto"/>
                      <w:sz w:val="18"/>
                      <w:szCs w:val="18"/>
                      <w:highlight w:val="none"/>
                    </w:rPr>
                    <w:t>荷</w:t>
                  </w:r>
                </w:p>
              </w:tc>
              <w:tc>
                <w:tcPr>
                  <w:tcW w:w="3949" w:type="dxa"/>
                  <w:vAlign w:val="center"/>
                </w:tcPr>
                <w:p w14:paraId="257B15E6">
                  <w:pPr>
                    <w:pStyle w:val="37"/>
                    <w:spacing w:before="111" w:line="180" w:lineRule="exact"/>
                    <w:ind w:left="11" w:right="38"/>
                    <w:jc w:val="both"/>
                    <w:rPr>
                      <w:rFonts w:hint="eastAsia"/>
                      <w:color w:val="auto"/>
                      <w:sz w:val="18"/>
                      <w:szCs w:val="18"/>
                      <w:highlight w:val="none"/>
                    </w:rPr>
                  </w:pPr>
                  <w:r>
                    <w:rPr>
                      <w:color w:val="auto"/>
                      <w:spacing w:val="1"/>
                      <w:sz w:val="18"/>
                      <w:szCs w:val="18"/>
                      <w:highlight w:val="none"/>
                    </w:rPr>
                    <w:t xml:space="preserve">座面加力1250N,椅腿加力 </w:t>
                  </w:r>
                  <w:r>
                    <w:rPr>
                      <w:color w:val="auto"/>
                      <w:spacing w:val="-1"/>
                      <w:sz w:val="18"/>
                      <w:szCs w:val="18"/>
                      <w:highlight w:val="none"/>
                    </w:rPr>
                    <w:t>620N,10次</w:t>
                  </w:r>
                </w:p>
              </w:tc>
            </w:tr>
            <w:tr w14:paraId="3A4A0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418" w:type="dxa"/>
                  <w:vMerge w:val="continue"/>
                  <w:textDirection w:val="tbRlV"/>
                </w:tcPr>
                <w:p w14:paraId="7782895A">
                  <w:pPr>
                    <w:rPr>
                      <w:rFonts w:hint="eastAsia" w:ascii="Arial"/>
                      <w:color w:val="auto"/>
                      <w:sz w:val="18"/>
                      <w:szCs w:val="18"/>
                      <w:highlight w:val="none"/>
                    </w:rPr>
                  </w:pPr>
                </w:p>
              </w:tc>
              <w:tc>
                <w:tcPr>
                  <w:tcW w:w="418" w:type="dxa"/>
                  <w:vMerge w:val="continue"/>
                </w:tcPr>
                <w:p w14:paraId="65DC468B">
                  <w:pPr>
                    <w:rPr>
                      <w:rFonts w:hint="eastAsia" w:ascii="Arial"/>
                      <w:color w:val="auto"/>
                      <w:sz w:val="18"/>
                      <w:szCs w:val="18"/>
                      <w:highlight w:val="none"/>
                    </w:rPr>
                  </w:pPr>
                </w:p>
              </w:tc>
              <w:tc>
                <w:tcPr>
                  <w:tcW w:w="1833" w:type="dxa"/>
                  <w:vAlign w:val="center"/>
                </w:tcPr>
                <w:p w14:paraId="4E8B1E48">
                  <w:pPr>
                    <w:pStyle w:val="37"/>
                    <w:spacing w:before="93" w:line="120" w:lineRule="atLeast"/>
                    <w:ind w:left="29"/>
                    <w:jc w:val="both"/>
                    <w:rPr>
                      <w:rFonts w:hint="eastAsia"/>
                      <w:color w:val="auto"/>
                      <w:sz w:val="18"/>
                      <w:szCs w:val="18"/>
                      <w:highlight w:val="none"/>
                    </w:rPr>
                  </w:pPr>
                  <w:r>
                    <w:rPr>
                      <w:color w:val="auto"/>
                      <w:spacing w:val="-2"/>
                      <w:sz w:val="18"/>
                      <w:szCs w:val="18"/>
                      <w:highlight w:val="none"/>
                    </w:rPr>
                    <w:t>椅腿侧向静载</w:t>
                  </w:r>
                  <w:r>
                    <w:rPr>
                      <w:color w:val="auto"/>
                      <w:sz w:val="18"/>
                      <w:szCs w:val="18"/>
                      <w:highlight w:val="none"/>
                    </w:rPr>
                    <w:t>荷</w:t>
                  </w:r>
                </w:p>
              </w:tc>
              <w:tc>
                <w:tcPr>
                  <w:tcW w:w="3949" w:type="dxa"/>
                  <w:vAlign w:val="center"/>
                </w:tcPr>
                <w:p w14:paraId="4A159D8D">
                  <w:pPr>
                    <w:pStyle w:val="37"/>
                    <w:spacing w:before="101" w:line="180" w:lineRule="exact"/>
                    <w:ind w:left="11" w:right="38"/>
                    <w:jc w:val="both"/>
                    <w:rPr>
                      <w:rFonts w:hint="eastAsia"/>
                      <w:color w:val="auto"/>
                      <w:sz w:val="18"/>
                      <w:szCs w:val="18"/>
                      <w:highlight w:val="none"/>
                    </w:rPr>
                  </w:pPr>
                  <w:r>
                    <w:rPr>
                      <w:color w:val="auto"/>
                      <w:spacing w:val="1"/>
                      <w:sz w:val="18"/>
                      <w:szCs w:val="18"/>
                      <w:highlight w:val="none"/>
                    </w:rPr>
                    <w:t xml:space="preserve">座面加力1250N,椅腿加力 </w:t>
                  </w:r>
                  <w:r>
                    <w:rPr>
                      <w:color w:val="auto"/>
                      <w:spacing w:val="-1"/>
                      <w:sz w:val="18"/>
                      <w:szCs w:val="18"/>
                      <w:highlight w:val="none"/>
                    </w:rPr>
                    <w:t>490N,10次</w:t>
                  </w:r>
                </w:p>
              </w:tc>
            </w:tr>
            <w:tr w14:paraId="49AF9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418" w:type="dxa"/>
                  <w:vMerge w:val="continue"/>
                  <w:textDirection w:val="tbRlV"/>
                </w:tcPr>
                <w:p w14:paraId="45AA1E8D">
                  <w:pPr>
                    <w:rPr>
                      <w:rFonts w:hint="eastAsia" w:ascii="Arial"/>
                      <w:color w:val="auto"/>
                      <w:sz w:val="18"/>
                      <w:szCs w:val="18"/>
                      <w:highlight w:val="none"/>
                    </w:rPr>
                  </w:pPr>
                </w:p>
              </w:tc>
              <w:tc>
                <w:tcPr>
                  <w:tcW w:w="418" w:type="dxa"/>
                  <w:vMerge w:val="continue"/>
                </w:tcPr>
                <w:p w14:paraId="2A62EA81">
                  <w:pPr>
                    <w:rPr>
                      <w:rFonts w:hint="eastAsia" w:ascii="Arial"/>
                      <w:color w:val="auto"/>
                      <w:sz w:val="18"/>
                      <w:szCs w:val="18"/>
                      <w:highlight w:val="none"/>
                    </w:rPr>
                  </w:pPr>
                </w:p>
              </w:tc>
              <w:tc>
                <w:tcPr>
                  <w:tcW w:w="1833" w:type="dxa"/>
                  <w:vAlign w:val="center"/>
                </w:tcPr>
                <w:p w14:paraId="2FCB2431">
                  <w:pPr>
                    <w:pStyle w:val="37"/>
                    <w:spacing w:before="62" w:line="120" w:lineRule="atLeast"/>
                    <w:jc w:val="both"/>
                    <w:rPr>
                      <w:rFonts w:hint="eastAsia"/>
                      <w:color w:val="auto"/>
                      <w:sz w:val="18"/>
                      <w:szCs w:val="18"/>
                      <w:highlight w:val="none"/>
                    </w:rPr>
                  </w:pPr>
                  <w:r>
                    <w:rPr>
                      <w:color w:val="auto"/>
                      <w:spacing w:val="-2"/>
                      <w:sz w:val="18"/>
                      <w:szCs w:val="18"/>
                      <w:highlight w:val="none"/>
                    </w:rPr>
                    <w:t>座面冲击</w:t>
                  </w:r>
                </w:p>
              </w:tc>
              <w:tc>
                <w:tcPr>
                  <w:tcW w:w="3949" w:type="dxa"/>
                  <w:vAlign w:val="center"/>
                </w:tcPr>
                <w:p w14:paraId="1F3830AA">
                  <w:pPr>
                    <w:pStyle w:val="37"/>
                    <w:spacing w:before="29" w:line="180" w:lineRule="exact"/>
                    <w:ind w:left="11"/>
                    <w:jc w:val="both"/>
                    <w:rPr>
                      <w:rFonts w:hint="eastAsia"/>
                      <w:color w:val="auto"/>
                      <w:sz w:val="18"/>
                      <w:szCs w:val="18"/>
                      <w:highlight w:val="none"/>
                      <w:lang w:eastAsia="zh-CN"/>
                    </w:rPr>
                  </w:pPr>
                  <w:r>
                    <w:rPr>
                      <w:color w:val="auto"/>
                      <w:spacing w:val="-3"/>
                      <w:sz w:val="18"/>
                      <w:szCs w:val="18"/>
                      <w:highlight w:val="none"/>
                      <w:lang w:eastAsia="zh-CN"/>
                    </w:rPr>
                    <w:t>冲击重量25kg,冲击高度小</w:t>
                  </w:r>
                  <w:r>
                    <w:rPr>
                      <w:color w:val="auto"/>
                      <w:spacing w:val="1"/>
                      <w:sz w:val="18"/>
                      <w:szCs w:val="18"/>
                      <w:highlight w:val="none"/>
                      <w:lang w:eastAsia="zh-CN"/>
                    </w:rPr>
                    <w:t xml:space="preserve"> </w:t>
                  </w:r>
                  <w:r>
                    <w:rPr>
                      <w:color w:val="auto"/>
                      <w:sz w:val="18"/>
                      <w:szCs w:val="18"/>
                      <w:highlight w:val="none"/>
                      <w:lang w:eastAsia="zh-CN"/>
                    </w:rPr>
                    <w:t xml:space="preserve">学用240mm,中学、大学及 </w:t>
                  </w:r>
                  <w:r>
                    <w:rPr>
                      <w:color w:val="auto"/>
                      <w:spacing w:val="-2"/>
                      <w:sz w:val="18"/>
                      <w:szCs w:val="18"/>
                      <w:highlight w:val="none"/>
                      <w:lang w:eastAsia="zh-CN"/>
                    </w:rPr>
                    <w:t>其他成人机构用300mm,10</w:t>
                  </w:r>
                  <w:r>
                    <w:rPr>
                      <w:color w:val="auto"/>
                      <w:spacing w:val="10"/>
                      <w:sz w:val="18"/>
                      <w:szCs w:val="18"/>
                      <w:highlight w:val="none"/>
                      <w:lang w:eastAsia="zh-CN"/>
                    </w:rPr>
                    <w:t xml:space="preserve"> </w:t>
                  </w:r>
                  <w:r>
                    <w:rPr>
                      <w:color w:val="auto"/>
                      <w:sz w:val="18"/>
                      <w:szCs w:val="18"/>
                      <w:highlight w:val="none"/>
                      <w:lang w:eastAsia="zh-CN"/>
                    </w:rPr>
                    <w:t>次</w:t>
                  </w:r>
                </w:p>
              </w:tc>
            </w:tr>
            <w:tr w14:paraId="3068E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18" w:type="dxa"/>
                  <w:vMerge w:val="continue"/>
                  <w:textDirection w:val="tbRlV"/>
                </w:tcPr>
                <w:p w14:paraId="70C57D40">
                  <w:pPr>
                    <w:rPr>
                      <w:rFonts w:hint="eastAsia" w:ascii="Arial"/>
                      <w:color w:val="auto"/>
                      <w:sz w:val="18"/>
                      <w:szCs w:val="18"/>
                      <w:highlight w:val="none"/>
                    </w:rPr>
                  </w:pPr>
                </w:p>
              </w:tc>
              <w:tc>
                <w:tcPr>
                  <w:tcW w:w="418" w:type="dxa"/>
                  <w:vMerge w:val="continue"/>
                </w:tcPr>
                <w:p w14:paraId="6362FF07">
                  <w:pPr>
                    <w:rPr>
                      <w:rFonts w:hint="eastAsia" w:ascii="Arial"/>
                      <w:color w:val="auto"/>
                      <w:sz w:val="18"/>
                      <w:szCs w:val="18"/>
                      <w:highlight w:val="none"/>
                    </w:rPr>
                  </w:pPr>
                </w:p>
              </w:tc>
              <w:tc>
                <w:tcPr>
                  <w:tcW w:w="1833" w:type="dxa"/>
                  <w:vAlign w:val="center"/>
                </w:tcPr>
                <w:p w14:paraId="67DE9644">
                  <w:pPr>
                    <w:pStyle w:val="37"/>
                    <w:spacing w:before="296" w:line="120" w:lineRule="atLeast"/>
                    <w:jc w:val="both"/>
                    <w:rPr>
                      <w:rFonts w:hint="eastAsia"/>
                      <w:color w:val="auto"/>
                      <w:sz w:val="18"/>
                      <w:szCs w:val="18"/>
                      <w:highlight w:val="none"/>
                    </w:rPr>
                  </w:pPr>
                  <w:r>
                    <w:rPr>
                      <w:color w:val="auto"/>
                      <w:spacing w:val="-2"/>
                      <w:sz w:val="18"/>
                      <w:szCs w:val="18"/>
                      <w:highlight w:val="none"/>
                    </w:rPr>
                    <w:t>椅背冲击</w:t>
                  </w:r>
                </w:p>
              </w:tc>
              <w:tc>
                <w:tcPr>
                  <w:tcW w:w="3949" w:type="dxa"/>
                  <w:vAlign w:val="center"/>
                </w:tcPr>
                <w:p w14:paraId="6137B007">
                  <w:pPr>
                    <w:pStyle w:val="37"/>
                    <w:spacing w:before="92" w:line="180" w:lineRule="exact"/>
                    <w:jc w:val="both"/>
                    <w:rPr>
                      <w:rFonts w:hint="eastAsia"/>
                      <w:color w:val="auto"/>
                      <w:sz w:val="18"/>
                      <w:szCs w:val="18"/>
                      <w:highlight w:val="none"/>
                      <w:lang w:eastAsia="zh-CN"/>
                    </w:rPr>
                  </w:pPr>
                  <w:r>
                    <w:rPr>
                      <w:color w:val="auto"/>
                      <w:spacing w:val="-9"/>
                      <w:sz w:val="18"/>
                      <w:szCs w:val="18"/>
                      <w:highlight w:val="none"/>
                      <w:lang w:eastAsia="zh-CN"/>
                    </w:rPr>
                    <w:t>冲击高度小学用330mm,中学</w:t>
                  </w:r>
                  <w:r>
                    <w:rPr>
                      <w:color w:val="auto"/>
                      <w:sz w:val="18"/>
                      <w:szCs w:val="18"/>
                      <w:highlight w:val="none"/>
                      <w:lang w:eastAsia="zh-CN"/>
                    </w:rPr>
                    <w:t xml:space="preserve"> </w:t>
                  </w:r>
                  <w:r>
                    <w:rPr>
                      <w:color w:val="auto"/>
                      <w:spacing w:val="-1"/>
                      <w:sz w:val="18"/>
                      <w:szCs w:val="18"/>
                      <w:highlight w:val="none"/>
                      <w:lang w:eastAsia="zh-CN"/>
                    </w:rPr>
                    <w:t>、大学及其他成人机构用</w:t>
                  </w:r>
                  <w:r>
                    <w:rPr>
                      <w:color w:val="auto"/>
                      <w:spacing w:val="5"/>
                      <w:sz w:val="18"/>
                      <w:szCs w:val="18"/>
                      <w:highlight w:val="none"/>
                      <w:lang w:eastAsia="zh-CN"/>
                    </w:rPr>
                    <w:t xml:space="preserve"> </w:t>
                  </w:r>
                  <w:r>
                    <w:rPr>
                      <w:color w:val="auto"/>
                      <w:spacing w:val="-1"/>
                      <w:sz w:val="18"/>
                      <w:szCs w:val="18"/>
                      <w:highlight w:val="none"/>
                      <w:lang w:eastAsia="zh-CN"/>
                    </w:rPr>
                    <w:t>620mm,10次</w:t>
                  </w:r>
                </w:p>
              </w:tc>
            </w:tr>
            <w:tr w14:paraId="5D249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418" w:type="dxa"/>
                  <w:vMerge w:val="continue"/>
                  <w:textDirection w:val="tbRlV"/>
                </w:tcPr>
                <w:p w14:paraId="43E65D64">
                  <w:pPr>
                    <w:rPr>
                      <w:rFonts w:hint="eastAsia" w:ascii="Arial"/>
                      <w:color w:val="auto"/>
                      <w:sz w:val="18"/>
                      <w:szCs w:val="18"/>
                      <w:highlight w:val="none"/>
                    </w:rPr>
                  </w:pPr>
                </w:p>
              </w:tc>
              <w:tc>
                <w:tcPr>
                  <w:tcW w:w="418" w:type="dxa"/>
                  <w:vMerge w:val="continue"/>
                </w:tcPr>
                <w:p w14:paraId="7799992B">
                  <w:pPr>
                    <w:rPr>
                      <w:rFonts w:hint="eastAsia" w:ascii="Arial"/>
                      <w:color w:val="auto"/>
                      <w:sz w:val="18"/>
                      <w:szCs w:val="18"/>
                      <w:highlight w:val="none"/>
                    </w:rPr>
                  </w:pPr>
                </w:p>
              </w:tc>
              <w:tc>
                <w:tcPr>
                  <w:tcW w:w="1833" w:type="dxa"/>
                  <w:vAlign w:val="center"/>
                </w:tcPr>
                <w:p w14:paraId="5A9610A3">
                  <w:pPr>
                    <w:pStyle w:val="37"/>
                    <w:spacing w:before="58" w:line="120" w:lineRule="atLeast"/>
                    <w:jc w:val="both"/>
                    <w:rPr>
                      <w:rFonts w:hint="eastAsia"/>
                      <w:color w:val="auto"/>
                      <w:sz w:val="18"/>
                      <w:szCs w:val="18"/>
                      <w:highlight w:val="none"/>
                    </w:rPr>
                  </w:pPr>
                  <w:r>
                    <w:rPr>
                      <w:color w:val="auto"/>
                      <w:spacing w:val="-2"/>
                      <w:sz w:val="18"/>
                      <w:szCs w:val="18"/>
                      <w:highlight w:val="none"/>
                    </w:rPr>
                    <w:t>椅腿跌落</w:t>
                  </w:r>
                </w:p>
              </w:tc>
              <w:tc>
                <w:tcPr>
                  <w:tcW w:w="3949" w:type="dxa"/>
                  <w:vAlign w:val="center"/>
                </w:tcPr>
                <w:p w14:paraId="4A092D88">
                  <w:pPr>
                    <w:pStyle w:val="37"/>
                    <w:spacing w:before="54" w:line="180" w:lineRule="exact"/>
                    <w:ind w:left="11"/>
                    <w:jc w:val="both"/>
                    <w:rPr>
                      <w:rFonts w:hint="eastAsia"/>
                      <w:color w:val="auto"/>
                      <w:sz w:val="18"/>
                      <w:szCs w:val="18"/>
                      <w:highlight w:val="none"/>
                    </w:rPr>
                  </w:pPr>
                  <w:r>
                    <w:rPr>
                      <w:color w:val="auto"/>
                      <w:spacing w:val="-1"/>
                      <w:sz w:val="18"/>
                      <w:szCs w:val="18"/>
                      <w:highlight w:val="none"/>
                    </w:rPr>
                    <w:t>跌落高度600mm,10次</w:t>
                  </w:r>
                </w:p>
              </w:tc>
            </w:tr>
            <w:tr w14:paraId="2808D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418" w:type="dxa"/>
                  <w:vMerge w:val="continue"/>
                  <w:textDirection w:val="tbRlV"/>
                </w:tcPr>
                <w:p w14:paraId="60F31410">
                  <w:pPr>
                    <w:rPr>
                      <w:rFonts w:hint="eastAsia" w:ascii="Arial"/>
                      <w:color w:val="auto"/>
                      <w:sz w:val="18"/>
                      <w:szCs w:val="18"/>
                      <w:highlight w:val="none"/>
                    </w:rPr>
                  </w:pPr>
                </w:p>
              </w:tc>
              <w:tc>
                <w:tcPr>
                  <w:tcW w:w="418" w:type="dxa"/>
                  <w:vMerge w:val="continue"/>
                </w:tcPr>
                <w:p w14:paraId="68559BB4">
                  <w:pPr>
                    <w:rPr>
                      <w:rFonts w:hint="eastAsia" w:ascii="Arial"/>
                      <w:color w:val="auto"/>
                      <w:sz w:val="18"/>
                      <w:szCs w:val="18"/>
                      <w:highlight w:val="none"/>
                    </w:rPr>
                  </w:pPr>
                </w:p>
              </w:tc>
              <w:tc>
                <w:tcPr>
                  <w:tcW w:w="1833" w:type="dxa"/>
                  <w:vAlign w:val="center"/>
                </w:tcPr>
                <w:p w14:paraId="374325D4">
                  <w:pPr>
                    <w:rPr>
                      <w:rFonts w:hint="eastAsia"/>
                      <w:color w:val="auto"/>
                      <w:spacing w:val="-9"/>
                      <w:sz w:val="18"/>
                      <w:szCs w:val="18"/>
                      <w:highlight w:val="none"/>
                      <w:lang w:eastAsia="en-US"/>
                    </w:rPr>
                  </w:pPr>
                  <w:r>
                    <w:rPr>
                      <w:color w:val="auto"/>
                      <w:spacing w:val="-9"/>
                      <w:sz w:val="18"/>
                      <w:szCs w:val="18"/>
                      <w:highlight w:val="none"/>
                    </w:rPr>
                    <w:t>椅子向前倾翻</w:t>
                  </w:r>
                </w:p>
              </w:tc>
              <w:tc>
                <w:tcPr>
                  <w:tcW w:w="3949" w:type="dxa"/>
                  <w:vAlign w:val="center"/>
                </w:tcPr>
                <w:p w14:paraId="260EFCE6">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color w:val="auto"/>
                      <w:spacing w:val="-9"/>
                      <w:sz w:val="18"/>
                      <w:szCs w:val="18"/>
                      <w:highlight w:val="none"/>
                    </w:rPr>
                  </w:pPr>
                  <w:r>
                    <w:rPr>
                      <w:color w:val="auto"/>
                      <w:spacing w:val="-9"/>
                      <w:sz w:val="18"/>
                      <w:szCs w:val="18"/>
                      <w:highlight w:val="none"/>
                    </w:rPr>
                    <w:t>座面加力小学用350N,中学、大学及其他成人机构用</w:t>
                  </w:r>
                  <w:r>
                    <w:rPr>
                      <w:rFonts w:hint="eastAsia"/>
                      <w:color w:val="auto"/>
                      <w:spacing w:val="-9"/>
                      <w:sz w:val="18"/>
                      <w:szCs w:val="18"/>
                      <w:highlight w:val="none"/>
                    </w:rPr>
                    <w:t>6</w:t>
                  </w:r>
                  <w:r>
                    <w:rPr>
                      <w:color w:val="auto"/>
                      <w:spacing w:val="-9"/>
                      <w:sz w:val="18"/>
                      <w:szCs w:val="18"/>
                      <w:highlight w:val="none"/>
                    </w:rPr>
                    <w:t>00N,水平加力20N</w:t>
                  </w:r>
                </w:p>
              </w:tc>
            </w:tr>
            <w:tr w14:paraId="2BBBE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18" w:type="dxa"/>
                  <w:vMerge w:val="continue"/>
                  <w:textDirection w:val="tbRlV"/>
                </w:tcPr>
                <w:p w14:paraId="762B087B">
                  <w:pPr>
                    <w:rPr>
                      <w:rFonts w:hint="eastAsia" w:ascii="Arial"/>
                      <w:color w:val="auto"/>
                      <w:sz w:val="18"/>
                      <w:szCs w:val="18"/>
                      <w:highlight w:val="none"/>
                    </w:rPr>
                  </w:pPr>
                </w:p>
              </w:tc>
              <w:tc>
                <w:tcPr>
                  <w:tcW w:w="418" w:type="dxa"/>
                  <w:vMerge w:val="continue"/>
                </w:tcPr>
                <w:p w14:paraId="6BF15F93">
                  <w:pPr>
                    <w:rPr>
                      <w:rFonts w:hint="eastAsia" w:ascii="Arial"/>
                      <w:color w:val="auto"/>
                      <w:sz w:val="18"/>
                      <w:szCs w:val="18"/>
                      <w:highlight w:val="none"/>
                    </w:rPr>
                  </w:pPr>
                </w:p>
              </w:tc>
              <w:tc>
                <w:tcPr>
                  <w:tcW w:w="1833" w:type="dxa"/>
                  <w:vAlign w:val="center"/>
                </w:tcPr>
                <w:p w14:paraId="25EC8536">
                  <w:pPr>
                    <w:pStyle w:val="37"/>
                    <w:spacing w:before="58" w:line="120" w:lineRule="atLeast"/>
                    <w:jc w:val="both"/>
                    <w:rPr>
                      <w:rFonts w:hint="eastAsia"/>
                      <w:color w:val="auto"/>
                      <w:sz w:val="18"/>
                      <w:szCs w:val="18"/>
                      <w:highlight w:val="none"/>
                    </w:rPr>
                  </w:pPr>
                  <w:r>
                    <w:rPr>
                      <w:color w:val="auto"/>
                      <w:sz w:val="18"/>
                      <w:szCs w:val="18"/>
                      <w:highlight w:val="none"/>
                      <w:lang w:eastAsia="zh-CN"/>
                    </w:rPr>
                    <w:t>无扶手椅侧向倾翻</w:t>
                  </w:r>
                </w:p>
              </w:tc>
              <w:tc>
                <w:tcPr>
                  <w:tcW w:w="3949" w:type="dxa"/>
                  <w:vAlign w:val="center"/>
                </w:tcPr>
                <w:p w14:paraId="7DBF375D">
                  <w:pPr>
                    <w:pStyle w:val="37"/>
                    <w:spacing w:before="54" w:line="180" w:lineRule="exact"/>
                    <w:ind w:left="11"/>
                    <w:jc w:val="both"/>
                    <w:rPr>
                      <w:rFonts w:hint="eastAsia"/>
                      <w:color w:val="auto"/>
                      <w:sz w:val="18"/>
                      <w:szCs w:val="18"/>
                      <w:highlight w:val="none"/>
                      <w:lang w:eastAsia="zh-CN"/>
                    </w:rPr>
                  </w:pPr>
                  <w:r>
                    <w:rPr>
                      <w:color w:val="auto"/>
                      <w:sz w:val="18"/>
                      <w:szCs w:val="18"/>
                      <w:highlight w:val="none"/>
                      <w:lang w:eastAsia="zh-CN"/>
                    </w:rPr>
                    <w:t>座面加力小学用350N,中学、大学及其他成人机构</w:t>
                  </w:r>
                  <w:r>
                    <w:rPr>
                      <w:rFonts w:hint="eastAsia"/>
                      <w:color w:val="auto"/>
                      <w:sz w:val="18"/>
                      <w:szCs w:val="18"/>
                      <w:highlight w:val="none"/>
                      <w:lang w:eastAsia="zh-CN"/>
                    </w:rPr>
                    <w:t>6</w:t>
                  </w:r>
                  <w:r>
                    <w:rPr>
                      <w:color w:val="auto"/>
                      <w:sz w:val="18"/>
                      <w:szCs w:val="18"/>
                      <w:highlight w:val="none"/>
                      <w:lang w:eastAsia="zh-CN"/>
                    </w:rPr>
                    <w:t>00N,水平加力20N</w:t>
                  </w:r>
                </w:p>
              </w:tc>
            </w:tr>
            <w:tr w14:paraId="018B2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18" w:type="dxa"/>
                  <w:vMerge w:val="continue"/>
                  <w:textDirection w:val="tbRlV"/>
                </w:tcPr>
                <w:p w14:paraId="62A5E411">
                  <w:pPr>
                    <w:rPr>
                      <w:rFonts w:hint="eastAsia" w:ascii="Arial"/>
                      <w:color w:val="auto"/>
                      <w:sz w:val="18"/>
                      <w:szCs w:val="18"/>
                      <w:highlight w:val="none"/>
                    </w:rPr>
                  </w:pPr>
                </w:p>
              </w:tc>
              <w:tc>
                <w:tcPr>
                  <w:tcW w:w="418" w:type="dxa"/>
                  <w:vMerge w:val="continue"/>
                </w:tcPr>
                <w:p w14:paraId="112B519F">
                  <w:pPr>
                    <w:rPr>
                      <w:rFonts w:hint="eastAsia" w:ascii="Arial"/>
                      <w:color w:val="auto"/>
                      <w:sz w:val="18"/>
                      <w:szCs w:val="18"/>
                      <w:highlight w:val="none"/>
                    </w:rPr>
                  </w:pPr>
                </w:p>
              </w:tc>
              <w:tc>
                <w:tcPr>
                  <w:tcW w:w="1833" w:type="dxa"/>
                  <w:vAlign w:val="center"/>
                </w:tcPr>
                <w:p w14:paraId="45E6F463">
                  <w:pPr>
                    <w:pStyle w:val="37"/>
                    <w:spacing w:before="58" w:line="120" w:lineRule="atLeast"/>
                    <w:jc w:val="both"/>
                    <w:rPr>
                      <w:rFonts w:hint="eastAsia"/>
                      <w:color w:val="auto"/>
                      <w:sz w:val="18"/>
                      <w:szCs w:val="18"/>
                      <w:highlight w:val="none"/>
                      <w:lang w:eastAsia="zh-CN"/>
                    </w:rPr>
                  </w:pPr>
                  <w:r>
                    <w:rPr>
                      <w:color w:val="auto"/>
                      <w:sz w:val="18"/>
                      <w:szCs w:val="18"/>
                      <w:highlight w:val="none"/>
                      <w:lang w:eastAsia="zh-CN"/>
                    </w:rPr>
                    <w:t>椅子向后倾翻</w:t>
                  </w:r>
                </w:p>
              </w:tc>
              <w:tc>
                <w:tcPr>
                  <w:tcW w:w="3949" w:type="dxa"/>
                  <w:vAlign w:val="center"/>
                </w:tcPr>
                <w:p w14:paraId="483A5993">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color w:val="auto"/>
                      <w:sz w:val="18"/>
                      <w:szCs w:val="18"/>
                      <w:highlight w:val="none"/>
                    </w:rPr>
                  </w:pPr>
                  <w:r>
                    <w:rPr>
                      <w:rFonts w:hint="eastAsia"/>
                      <w:color w:val="auto"/>
                      <w:sz w:val="18"/>
                      <w:szCs w:val="18"/>
                      <w:highlight w:val="none"/>
                    </w:rPr>
                    <w:t>座面加力小学用350N，中学</w:t>
                  </w:r>
                  <w:r>
                    <w:rPr>
                      <w:color w:val="auto"/>
                      <w:sz w:val="18"/>
                      <w:szCs w:val="18"/>
                      <w:highlight w:val="none"/>
                    </w:rPr>
                    <w:t>、大学及其他成人机构用</w:t>
                  </w:r>
                  <w:r>
                    <w:rPr>
                      <w:rFonts w:hint="eastAsia"/>
                      <w:color w:val="auto"/>
                      <w:sz w:val="18"/>
                      <w:szCs w:val="18"/>
                      <w:highlight w:val="none"/>
                    </w:rPr>
                    <w:t>600N，背部加力小学用100N，中学、大学及其他成人机构用180N（若椅背高度低于300mm，则把力施加在椅背顶端边沿并保持5s）</w:t>
                  </w:r>
                </w:p>
              </w:tc>
            </w:tr>
          </w:tbl>
          <w:p w14:paraId="55E7D292">
            <w:pPr>
              <w:spacing w:line="240" w:lineRule="exact"/>
              <w:jc w:val="both"/>
              <w:rPr>
                <w:rFonts w:hint="eastAsia"/>
                <w:color w:val="auto"/>
                <w:sz w:val="18"/>
                <w:szCs w:val="18"/>
                <w:highlight w:val="none"/>
                <w:lang w:val="en-US" w:eastAsia="zh-TW"/>
              </w:rPr>
            </w:pPr>
            <w:r>
              <w:rPr>
                <w:rFonts w:hint="eastAsia"/>
                <w:color w:val="auto"/>
                <w:sz w:val="18"/>
                <w:szCs w:val="18"/>
                <w:highlight w:val="none"/>
                <w:lang w:val="en-US" w:eastAsia="zh-CN"/>
              </w:rPr>
              <w:t>（收到成交通知书后须提供2022年01月01日起由第三方检测机构出具的含CMA、CNAS标识的检测报告为保证产品质量）</w:t>
            </w:r>
          </w:p>
          <w:p w14:paraId="7C8B02D1">
            <w:pPr>
              <w:spacing w:line="240" w:lineRule="exact"/>
              <w:jc w:val="both"/>
              <w:rPr>
                <w:rFonts w:hint="eastAsia"/>
                <w:color w:val="auto"/>
                <w:sz w:val="18"/>
                <w:szCs w:val="18"/>
                <w:highlight w:val="none"/>
                <w:lang w:val="en-US" w:eastAsia="zh-TW"/>
              </w:rPr>
            </w:pPr>
            <w:r>
              <w:rPr>
                <w:rFonts w:hint="eastAsia"/>
                <w:color w:val="auto"/>
                <w:sz w:val="18"/>
                <w:szCs w:val="18"/>
                <w:highlight w:val="none"/>
                <w:lang w:val="en-US" w:eastAsia="zh-CN"/>
              </w:rPr>
              <w:t>（4）提供课桌理化性能检验报告，检测依据QB/T 4071-2021《课桌椅》，检验项目包含：金属件（抗盐雾24h无锈蚀；抗冲击3.92J无剥落、裂纹、皱纹；附着力≥1级）、塑料理化性能（耐污染墨水、印泥、涂改液24H无明显痕迹；耐老化500h外观颜色变色评级≥4级）、耐液性（10%碳酸钠溶液，24h；10%乙酸溶液，24h），检测结果为1级、底脚平稳性＜0.5 mm、翘曲度＜0.5mm、平整度＜0.05mm、安全性、力学性能（桌面垂直静载荷、桌面垂直耐久性、桌面垂直冲击、桌面水平静载荷、桌腿跌落）等，检验结果合格或满足要求。</w:t>
            </w:r>
          </w:p>
          <w:p w14:paraId="6201C904">
            <w:pPr>
              <w:spacing w:line="240" w:lineRule="exact"/>
              <w:jc w:val="both"/>
              <w:rPr>
                <w:rFonts w:hint="eastAsia"/>
                <w:color w:val="auto"/>
                <w:sz w:val="18"/>
                <w:szCs w:val="18"/>
                <w:highlight w:val="none"/>
                <w:lang w:val="en-US" w:eastAsia="zh-CN"/>
              </w:rPr>
            </w:pPr>
            <w:r>
              <w:rPr>
                <w:rFonts w:hint="eastAsia"/>
                <w:color w:val="auto"/>
                <w:sz w:val="18"/>
                <w:szCs w:val="18"/>
                <w:highlight w:val="none"/>
                <w:lang w:val="en-US" w:eastAsia="zh-CN"/>
              </w:rPr>
              <w:t>（收到成交通知书后须提供2022年01月01日起由第三方检测机构出具的含CMA、CNAS标识的检测报告为保证产品质量，要求课桌椅相关检测报告送检品牌需与投标产品品牌一致）</w:t>
            </w:r>
          </w:p>
          <w:p w14:paraId="76F64E54">
            <w:pPr>
              <w:spacing w:line="240" w:lineRule="exact"/>
              <w:jc w:val="both"/>
              <w:rPr>
                <w:rFonts w:hint="eastAsia"/>
                <w:color w:val="auto"/>
                <w:sz w:val="18"/>
                <w:szCs w:val="18"/>
                <w:highlight w:val="none"/>
                <w:lang w:val="en-US" w:eastAsia="zh-CN"/>
              </w:rPr>
            </w:pPr>
          </w:p>
          <w:p w14:paraId="05116F44">
            <w:pPr>
              <w:spacing w:line="240" w:lineRule="exact"/>
              <w:jc w:val="both"/>
              <w:rPr>
                <w:rFonts w:hint="eastAsia"/>
                <w:color w:val="auto"/>
                <w:sz w:val="18"/>
                <w:szCs w:val="18"/>
                <w:highlight w:val="none"/>
                <w:lang w:val="en-US" w:eastAsia="zh-CN"/>
              </w:rPr>
            </w:pPr>
            <w:r>
              <w:rPr>
                <w:rFonts w:hint="eastAsia"/>
                <w:color w:val="auto"/>
                <w:sz w:val="18"/>
                <w:szCs w:val="18"/>
                <w:highlight w:val="none"/>
                <w:lang w:val="en-US" w:eastAsia="zh-CN"/>
              </w:rPr>
              <w:t>（5）提供课椅物理性能检验报告，检测依据QB/T 4071-2021《课桌椅》，检验项目包含：金属件（抗盐雾24h无锈蚀；抗冲击3.92J无剥落、裂纹、皱纹；附着力≥1级）、塑料理化性能（耐污染墨水、印泥、涂改液24H无明显痕迹；耐老化500h外观颜色变色评级≥4级）、底脚平稳性＜0.5mm、安全性、稳定性（椅子向前、侧向、向后无倾翻），力学性能（座面椅背联合静载荷、座面椅背耐久性、座面侧向静载荷、椅腿侧向静载荷、踏脚静载荷、椅背冲击、座面冲击、椅腿跌落）等，检验结果合格或满足要求。（收到成交通知书后须提供2022年01月01日起由第三方检测机构出具的含CMA、CNAS标识的检测报告为保证产品质量，要求课桌椅相关检测报告送检品牌需与投标产品品牌一致）</w:t>
            </w:r>
          </w:p>
          <w:p w14:paraId="71243E84">
            <w:pPr>
              <w:spacing w:line="240" w:lineRule="exact"/>
              <w:jc w:val="both"/>
              <w:rPr>
                <w:rFonts w:hint="eastAsia"/>
                <w:color w:val="auto"/>
                <w:sz w:val="18"/>
                <w:szCs w:val="18"/>
                <w:highlight w:val="none"/>
                <w:lang w:val="en-US" w:eastAsia="zh-CN"/>
              </w:rPr>
            </w:pPr>
          </w:p>
          <w:p w14:paraId="42D2BA19">
            <w:pPr>
              <w:spacing w:line="240" w:lineRule="exact"/>
              <w:jc w:val="both"/>
              <w:rPr>
                <w:rFonts w:hint="eastAsia"/>
                <w:color w:val="auto"/>
                <w:sz w:val="18"/>
                <w:szCs w:val="18"/>
                <w:highlight w:val="none"/>
                <w:lang w:val="en-US" w:eastAsia="zh-CN"/>
              </w:rPr>
            </w:pPr>
            <w:r>
              <w:rPr>
                <w:rFonts w:hint="eastAsia"/>
                <w:color w:val="auto"/>
                <w:sz w:val="18"/>
                <w:szCs w:val="18"/>
                <w:highlight w:val="none"/>
                <w:lang w:val="en-US" w:eastAsia="zh-CN"/>
              </w:rPr>
              <w:t>（6）耐老化提供课桌椅耐老化检验报告，检测报告依据 GB/T 32487-2016《塑料家具通用技术条件》，检验项目包含：塑料件外观（无裂纹、无飞边、无白印、无毛刺、无明显色差）、冲击强度≥10、耐冷热循环（无裂纹、鼓泡、变色、起皱）、硬度≥HD63、对课桌椅进行1000小时的耐老化测试，冲击强度保持率≥60%，变色评级不小于3级，检验结果合格或满足要求。（收到成交通知书后须提供2022年01月01日起由第三方检测机构出具的含CMA、CNAS标识的检测报告为保证产品质量，要求课桌椅相关检测报告送检品牌需与投标产品品牌一致）</w:t>
            </w:r>
          </w:p>
          <w:p w14:paraId="1D64BEBA">
            <w:pPr>
              <w:spacing w:line="240" w:lineRule="exact"/>
              <w:jc w:val="both"/>
              <w:rPr>
                <w:rFonts w:hint="eastAsia"/>
                <w:color w:val="auto"/>
                <w:sz w:val="18"/>
                <w:szCs w:val="18"/>
                <w:highlight w:val="none"/>
                <w:lang w:val="en-US" w:eastAsia="zh-CN"/>
              </w:rPr>
            </w:pPr>
          </w:p>
          <w:p w14:paraId="75C9D555">
            <w:pPr>
              <w:spacing w:line="240" w:lineRule="exact"/>
              <w:jc w:val="both"/>
              <w:rPr>
                <w:rFonts w:hint="eastAsia"/>
                <w:color w:val="auto"/>
                <w:sz w:val="18"/>
                <w:szCs w:val="18"/>
                <w:highlight w:val="none"/>
                <w:lang w:val="en-US" w:eastAsia="zh-CN"/>
              </w:rPr>
            </w:pPr>
            <w:r>
              <w:rPr>
                <w:rFonts w:hint="eastAsia"/>
                <w:color w:val="auto"/>
                <w:sz w:val="18"/>
                <w:szCs w:val="18"/>
                <w:highlight w:val="none"/>
                <w:lang w:val="en-US" w:eastAsia="zh-CN"/>
              </w:rPr>
              <w:t>（7）提供课桌椅零件冲击强度检验报告，检测依据为 GB/T 1043.1-2008《塑料 简支梁冲击性能的测定 第1部分 非仪器化冲击试验》，检验内容为：冲击强度(老化前)及冲击强度(老化后），冲击能量达到5J，检测结果为不破坏。（收到成交通知书后须提供2022年01月01日起由第三方检测机构出具的含CMA、CNAS标识的检测报告为保证产品质量，要求课桌椅相关检测报告送检品牌需与投标产品品牌一致）</w:t>
            </w:r>
          </w:p>
          <w:p w14:paraId="3BB47588">
            <w:pPr>
              <w:spacing w:line="240" w:lineRule="exact"/>
              <w:jc w:val="both"/>
              <w:rPr>
                <w:rFonts w:hint="eastAsia"/>
                <w:color w:val="auto"/>
                <w:sz w:val="18"/>
                <w:szCs w:val="18"/>
                <w:highlight w:val="none"/>
                <w:lang w:val="en-US" w:eastAsia="zh-CN"/>
              </w:rPr>
            </w:pPr>
          </w:p>
          <w:p w14:paraId="701F1EDE">
            <w:pPr>
              <w:spacing w:line="240" w:lineRule="exact"/>
              <w:jc w:val="both"/>
              <w:rPr>
                <w:rFonts w:hint="eastAsia"/>
                <w:color w:val="auto"/>
                <w:sz w:val="18"/>
                <w:szCs w:val="18"/>
                <w:highlight w:val="none"/>
                <w:lang w:val="en-US" w:eastAsia="zh-CN"/>
              </w:rPr>
            </w:pPr>
            <w:r>
              <w:rPr>
                <w:rFonts w:hint="eastAsia"/>
                <w:color w:val="auto"/>
                <w:sz w:val="18"/>
                <w:szCs w:val="18"/>
                <w:highlight w:val="none"/>
                <w:lang w:val="en-US" w:eastAsia="zh-CN"/>
              </w:rPr>
              <w:t>3.质保服务：提供1年质保，出现质量问题可快速响应维修或更换。提供安装服务、提供保养建议，延长产品使用寿命。</w:t>
            </w:r>
          </w:p>
          <w:p w14:paraId="74F00D8D">
            <w:pPr>
              <w:spacing w:line="240" w:lineRule="exact"/>
              <w:jc w:val="both"/>
              <w:rPr>
                <w:rFonts w:hint="eastAsia"/>
                <w:color w:val="auto"/>
                <w:sz w:val="18"/>
                <w:szCs w:val="18"/>
                <w:highlight w:val="none"/>
              </w:rPr>
            </w:pPr>
            <w:r>
              <w:rPr>
                <w:rFonts w:hint="eastAsia"/>
                <w:color w:val="auto"/>
                <w:sz w:val="18"/>
                <w:szCs w:val="18"/>
                <w:highlight w:val="none"/>
              </w:rPr>
              <w:t>4.</w:t>
            </w:r>
            <w:r>
              <w:rPr>
                <w:rFonts w:hint="eastAsia"/>
                <w:color w:val="auto"/>
                <w:sz w:val="18"/>
                <w:szCs w:val="18"/>
                <w:highlight w:val="none"/>
                <w:lang w:eastAsia="zh-CN"/>
              </w:rPr>
              <w:t>参考</w:t>
            </w:r>
            <w:r>
              <w:rPr>
                <w:rFonts w:hint="eastAsia"/>
                <w:color w:val="auto"/>
                <w:sz w:val="18"/>
                <w:szCs w:val="18"/>
                <w:highlight w:val="none"/>
              </w:rPr>
              <w:t>桌椅图片</w:t>
            </w:r>
          </w:p>
          <w:p w14:paraId="020B26AF">
            <w:pPr>
              <w:spacing w:line="240" w:lineRule="exact"/>
              <w:jc w:val="both"/>
              <w:rPr>
                <w:rFonts w:hint="eastAsia"/>
                <w:color w:val="auto"/>
                <w:sz w:val="18"/>
                <w:szCs w:val="18"/>
                <w:highlight w:val="none"/>
              </w:rPr>
            </w:pPr>
          </w:p>
          <w:p w14:paraId="3844D16F">
            <w:pPr>
              <w:spacing w:line="240" w:lineRule="exact"/>
              <w:jc w:val="both"/>
              <w:rPr>
                <w:rFonts w:hint="eastAsia"/>
                <w:color w:val="auto"/>
                <w:sz w:val="18"/>
                <w:szCs w:val="18"/>
                <w:highlight w:val="none"/>
              </w:rPr>
            </w:pPr>
            <w:r>
              <w:rPr>
                <w:rFonts w:ascii="Times New Roman" w:hAnsi="Times New Roman" w:eastAsia="DFKai-SB" w:cs="Times New Roman"/>
                <w:color w:val="auto"/>
                <w:highlight w:val="none"/>
              </w:rPr>
              <w:drawing>
                <wp:anchor distT="0" distB="0" distL="114300" distR="114300" simplePos="0" relativeHeight="251660288" behindDoc="0" locked="0" layoutInCell="1" allowOverlap="1">
                  <wp:simplePos x="0" y="0"/>
                  <wp:positionH relativeFrom="column">
                    <wp:posOffset>1083310</wp:posOffset>
                  </wp:positionH>
                  <wp:positionV relativeFrom="page">
                    <wp:posOffset>7204710</wp:posOffset>
                  </wp:positionV>
                  <wp:extent cx="1725295" cy="1161415"/>
                  <wp:effectExtent l="0" t="0" r="8255" b="63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725295" cy="1161415"/>
                          </a:xfrm>
                          <a:prstGeom prst="rect">
                            <a:avLst/>
                          </a:prstGeom>
                          <a:noFill/>
                          <a:ln>
                            <a:noFill/>
                          </a:ln>
                        </pic:spPr>
                      </pic:pic>
                    </a:graphicData>
                  </a:graphic>
                </wp:anchor>
              </w:drawing>
            </w:r>
          </w:p>
        </w:tc>
        <w:tc>
          <w:tcPr>
            <w:tcW w:w="650" w:type="dxa"/>
            <w:tcBorders>
              <w:top w:val="single" w:color="auto" w:sz="4" w:space="0"/>
              <w:left w:val="nil"/>
              <w:bottom w:val="single" w:color="auto" w:sz="4" w:space="0"/>
              <w:right w:val="single" w:color="auto" w:sz="4" w:space="0"/>
            </w:tcBorders>
            <w:vAlign w:val="center"/>
          </w:tcPr>
          <w:p w14:paraId="432368DD">
            <w:pP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54</w:t>
            </w:r>
          </w:p>
        </w:tc>
        <w:tc>
          <w:tcPr>
            <w:tcW w:w="716" w:type="dxa"/>
            <w:tcBorders>
              <w:top w:val="single" w:color="auto" w:sz="4" w:space="0"/>
              <w:left w:val="nil"/>
              <w:bottom w:val="single" w:color="auto" w:sz="4" w:space="0"/>
              <w:right w:val="single" w:color="auto" w:sz="4" w:space="0"/>
            </w:tcBorders>
            <w:vAlign w:val="center"/>
          </w:tcPr>
          <w:p w14:paraId="407AC272">
            <w:pPr>
              <w:jc w:val="center"/>
              <w:rPr>
                <w:rFonts w:hint="eastAsia"/>
                <w:color w:val="auto"/>
                <w:sz w:val="18"/>
                <w:szCs w:val="18"/>
                <w:highlight w:val="none"/>
              </w:rPr>
            </w:pPr>
            <w:r>
              <w:rPr>
                <w:rFonts w:hint="eastAsia"/>
                <w:color w:val="auto"/>
                <w:sz w:val="18"/>
                <w:szCs w:val="18"/>
                <w:highlight w:val="none"/>
              </w:rPr>
              <w:t>套</w:t>
            </w:r>
          </w:p>
        </w:tc>
      </w:tr>
    </w:tbl>
    <w:p w14:paraId="09521D44">
      <w:pPr>
        <w:rPr>
          <w:rFonts w:hint="eastAsia"/>
          <w:color w:val="auto"/>
          <w:highlight w:val="none"/>
        </w:rPr>
      </w:pPr>
    </w:p>
    <w:p w14:paraId="2E396CBB">
      <w:pPr>
        <w:jc w:val="center"/>
        <w:rPr>
          <w:rFonts w:hint="eastAsia"/>
          <w:b/>
          <w:bCs/>
          <w:color w:val="auto"/>
          <w:sz w:val="32"/>
          <w:szCs w:val="32"/>
          <w:highlight w:val="none"/>
        </w:rPr>
      </w:pPr>
    </w:p>
    <w:p w14:paraId="73D8A90A">
      <w:pPr>
        <w:jc w:val="center"/>
        <w:rPr>
          <w:rFonts w:hint="eastAsia"/>
          <w:b/>
          <w:bCs/>
          <w:color w:val="auto"/>
          <w:sz w:val="32"/>
          <w:szCs w:val="32"/>
          <w:highlight w:val="none"/>
        </w:rPr>
      </w:pPr>
      <w:r>
        <w:rPr>
          <w:rFonts w:hint="eastAsia"/>
          <w:b/>
          <w:bCs/>
          <w:color w:val="auto"/>
          <w:sz w:val="32"/>
          <w:szCs w:val="32"/>
          <w:highlight w:val="none"/>
        </w:rPr>
        <w:t>二、商务要求</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13"/>
        <w:gridCol w:w="1560"/>
        <w:gridCol w:w="7256"/>
      </w:tblGrid>
      <w:tr w14:paraId="4E63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7" w:hRule="atLeast"/>
        </w:trPr>
        <w:tc>
          <w:tcPr>
            <w:tcW w:w="325" w:type="pct"/>
            <w:shd w:val="clear" w:color="auto" w:fill="FFFFFF"/>
            <w:vAlign w:val="center"/>
          </w:tcPr>
          <w:p w14:paraId="59D9E103">
            <w:pPr>
              <w:jc w:val="center"/>
              <w:rPr>
                <w:rFonts w:hint="eastAsia"/>
                <w:color w:val="auto"/>
                <w:sz w:val="21"/>
                <w:szCs w:val="21"/>
                <w:highlight w:val="none"/>
              </w:rPr>
            </w:pPr>
            <w:r>
              <w:rPr>
                <w:rFonts w:hint="eastAsia"/>
                <w:color w:val="auto"/>
                <w:sz w:val="21"/>
                <w:szCs w:val="21"/>
                <w:highlight w:val="none"/>
              </w:rPr>
              <w:t>序号</w:t>
            </w:r>
          </w:p>
        </w:tc>
        <w:tc>
          <w:tcPr>
            <w:tcW w:w="827" w:type="pct"/>
            <w:shd w:val="clear" w:color="auto" w:fill="FFFFFF"/>
            <w:vAlign w:val="center"/>
          </w:tcPr>
          <w:p w14:paraId="169A1E03">
            <w:pPr>
              <w:jc w:val="center"/>
              <w:rPr>
                <w:rFonts w:hint="eastAsia"/>
                <w:color w:val="auto"/>
                <w:sz w:val="21"/>
                <w:szCs w:val="21"/>
                <w:highlight w:val="none"/>
              </w:rPr>
            </w:pPr>
            <w:r>
              <w:rPr>
                <w:rFonts w:hint="eastAsia"/>
                <w:color w:val="auto"/>
                <w:sz w:val="21"/>
                <w:szCs w:val="21"/>
                <w:highlight w:val="none"/>
              </w:rPr>
              <w:t>条款</w:t>
            </w:r>
          </w:p>
        </w:tc>
        <w:tc>
          <w:tcPr>
            <w:tcW w:w="3847" w:type="pct"/>
            <w:shd w:val="clear" w:color="auto" w:fill="FFFFFF"/>
            <w:vAlign w:val="center"/>
          </w:tcPr>
          <w:p w14:paraId="317E1E7A">
            <w:pPr>
              <w:spacing w:line="300" w:lineRule="exact"/>
              <w:jc w:val="center"/>
              <w:rPr>
                <w:rFonts w:hint="eastAsia"/>
                <w:color w:val="auto"/>
                <w:sz w:val="21"/>
                <w:szCs w:val="21"/>
                <w:highlight w:val="none"/>
              </w:rPr>
            </w:pPr>
            <w:r>
              <w:rPr>
                <w:rFonts w:hint="eastAsia"/>
                <w:color w:val="auto"/>
                <w:sz w:val="21"/>
                <w:szCs w:val="21"/>
                <w:highlight w:val="none"/>
              </w:rPr>
              <w:t>要求</w:t>
            </w:r>
          </w:p>
        </w:tc>
      </w:tr>
      <w:tr w14:paraId="6192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0" w:hRule="atLeast"/>
        </w:trPr>
        <w:tc>
          <w:tcPr>
            <w:tcW w:w="613" w:type="dxa"/>
            <w:shd w:val="clear" w:color="auto" w:fill="FFFFFF" w:themeFill="background1"/>
            <w:vAlign w:val="center"/>
          </w:tcPr>
          <w:p w14:paraId="69FF5396">
            <w:pPr>
              <w:jc w:val="center"/>
              <w:rPr>
                <w:rFonts w:hint="eastAsia"/>
                <w:color w:val="auto"/>
                <w:sz w:val="21"/>
                <w:szCs w:val="21"/>
                <w:highlight w:val="none"/>
              </w:rPr>
            </w:pPr>
            <w:r>
              <w:rPr>
                <w:rFonts w:hint="eastAsia"/>
                <w:color w:val="auto"/>
                <w:sz w:val="21"/>
                <w:szCs w:val="21"/>
                <w:highlight w:val="none"/>
              </w:rPr>
              <w:t>1</w:t>
            </w:r>
          </w:p>
        </w:tc>
        <w:tc>
          <w:tcPr>
            <w:tcW w:w="1560" w:type="dxa"/>
            <w:shd w:val="clear" w:color="auto" w:fill="FFFFFF" w:themeFill="background1"/>
            <w:vAlign w:val="center"/>
          </w:tcPr>
          <w:p w14:paraId="0336A2E6">
            <w:pPr>
              <w:spacing w:line="360" w:lineRule="exact"/>
              <w:jc w:val="center"/>
              <w:rPr>
                <w:rFonts w:hint="eastAsia"/>
                <w:color w:val="auto"/>
                <w:sz w:val="21"/>
                <w:szCs w:val="21"/>
                <w:highlight w:val="none"/>
              </w:rPr>
            </w:pPr>
            <w:r>
              <w:rPr>
                <w:rFonts w:hint="eastAsia"/>
                <w:bCs/>
                <w:color w:val="auto"/>
                <w:sz w:val="21"/>
                <w:szCs w:val="21"/>
                <w:highlight w:val="none"/>
              </w:rPr>
              <w:t>▲</w:t>
            </w:r>
            <w:r>
              <w:rPr>
                <w:rFonts w:hint="eastAsia"/>
                <w:color w:val="auto"/>
                <w:sz w:val="21"/>
                <w:szCs w:val="21"/>
                <w:highlight w:val="none"/>
              </w:rPr>
              <w:t>报价要求</w:t>
            </w:r>
          </w:p>
        </w:tc>
        <w:tc>
          <w:tcPr>
            <w:tcW w:w="7256" w:type="dxa"/>
            <w:shd w:val="clear" w:color="auto" w:fill="FFFFFF" w:themeFill="background1"/>
            <w:vAlign w:val="center"/>
          </w:tcPr>
          <w:p w14:paraId="73502D1D">
            <w:pPr>
              <w:spacing w:line="360" w:lineRule="exact"/>
              <w:rPr>
                <w:bCs/>
                <w:color w:val="auto"/>
                <w:sz w:val="21"/>
                <w:szCs w:val="21"/>
                <w:highlight w:val="none"/>
                <w:shd w:val="clear" w:color="auto" w:fill="auto"/>
              </w:rPr>
            </w:pPr>
            <w:r>
              <w:rPr>
                <w:rFonts w:hint="eastAsia"/>
                <w:bCs/>
                <w:color w:val="auto"/>
                <w:sz w:val="21"/>
                <w:szCs w:val="21"/>
                <w:highlight w:val="none"/>
                <w:shd w:val="clear" w:color="auto" w:fill="auto"/>
              </w:rPr>
              <w:t>本次报价须为人民币报价，报价金额实行总承包报价，报价金额包含设备单价、安装费用、培训、质保期内的软件、硬件维修保养及相关配套服务要求所需的一切费用总和，除另有约定外，合同价不因任何因素而调整，甲方不再就本项目另行支付任何费用，乙方不得以任何理由主张额外费用。包括但不限于：</w:t>
            </w:r>
          </w:p>
          <w:p w14:paraId="22781330">
            <w:pPr>
              <w:spacing w:line="360" w:lineRule="exact"/>
              <w:rPr>
                <w:bCs/>
                <w:color w:val="auto"/>
                <w:sz w:val="21"/>
                <w:szCs w:val="21"/>
                <w:highlight w:val="none"/>
                <w:shd w:val="clear" w:color="auto" w:fill="auto"/>
              </w:rPr>
            </w:pPr>
            <w:r>
              <w:rPr>
                <w:rFonts w:hint="eastAsia"/>
                <w:bCs/>
                <w:color w:val="auto"/>
                <w:sz w:val="21"/>
                <w:szCs w:val="21"/>
                <w:highlight w:val="none"/>
                <w:shd w:val="clear" w:color="auto" w:fill="auto"/>
              </w:rPr>
              <w:t>1.货物采购包括货款、标准附件、备品备件、专用工具、包装、运输、装卸、保险、税金、货到就位以及安装、调试、培训、保修等一切税金和费用；</w:t>
            </w:r>
          </w:p>
          <w:p w14:paraId="6FA4674C">
            <w:pPr>
              <w:spacing w:line="360" w:lineRule="exact"/>
              <w:rPr>
                <w:bCs/>
                <w:color w:val="auto"/>
                <w:sz w:val="21"/>
                <w:szCs w:val="21"/>
                <w:highlight w:val="none"/>
                <w:shd w:val="clear" w:color="auto" w:fill="auto"/>
              </w:rPr>
            </w:pPr>
            <w:r>
              <w:rPr>
                <w:rFonts w:hint="eastAsia"/>
                <w:bCs/>
                <w:color w:val="auto"/>
                <w:sz w:val="21"/>
                <w:szCs w:val="21"/>
                <w:highlight w:val="none"/>
                <w:shd w:val="clear" w:color="auto" w:fill="auto"/>
              </w:rPr>
              <w:t>2.服务采购包括整体服务价格以及安装调试、培训、维护等一切税金和费用；</w:t>
            </w:r>
          </w:p>
          <w:p w14:paraId="76F07298">
            <w:pPr>
              <w:spacing w:line="360" w:lineRule="exact"/>
              <w:rPr>
                <w:bCs/>
                <w:color w:val="auto"/>
                <w:sz w:val="21"/>
                <w:szCs w:val="21"/>
                <w:highlight w:val="none"/>
                <w:shd w:val="clear" w:color="auto" w:fill="auto"/>
              </w:rPr>
            </w:pPr>
            <w:r>
              <w:rPr>
                <w:rFonts w:hint="eastAsia"/>
                <w:bCs/>
                <w:color w:val="auto"/>
                <w:sz w:val="21"/>
                <w:szCs w:val="21"/>
                <w:highlight w:val="none"/>
                <w:shd w:val="clear" w:color="auto" w:fill="auto"/>
              </w:rPr>
              <w:t>3.验收、人员服务等费用；</w:t>
            </w:r>
          </w:p>
          <w:p w14:paraId="7602AB10">
            <w:pPr>
              <w:spacing w:line="360" w:lineRule="exact"/>
              <w:rPr>
                <w:bCs/>
                <w:color w:val="auto"/>
                <w:sz w:val="21"/>
                <w:szCs w:val="21"/>
                <w:highlight w:val="none"/>
                <w:shd w:val="clear" w:color="auto" w:fill="auto"/>
              </w:rPr>
            </w:pPr>
            <w:r>
              <w:rPr>
                <w:rFonts w:hint="eastAsia"/>
                <w:bCs/>
                <w:color w:val="auto"/>
                <w:sz w:val="21"/>
                <w:szCs w:val="21"/>
                <w:highlight w:val="none"/>
                <w:shd w:val="clear" w:color="auto" w:fill="auto"/>
              </w:rPr>
              <w:t>4.根据合同规定，履行合同可能产生的其他费用；</w:t>
            </w:r>
          </w:p>
          <w:p w14:paraId="72910BC2">
            <w:pPr>
              <w:spacing w:line="360" w:lineRule="exact"/>
              <w:rPr>
                <w:bCs/>
                <w:color w:val="auto"/>
                <w:sz w:val="21"/>
                <w:szCs w:val="21"/>
                <w:highlight w:val="none"/>
                <w:shd w:val="clear" w:color="auto" w:fill="auto"/>
              </w:rPr>
            </w:pPr>
            <w:r>
              <w:rPr>
                <w:rFonts w:hint="eastAsia"/>
                <w:bCs/>
                <w:color w:val="auto"/>
                <w:sz w:val="21"/>
                <w:szCs w:val="21"/>
                <w:highlight w:val="none"/>
                <w:shd w:val="clear" w:color="auto" w:fill="auto"/>
              </w:rPr>
              <w:t>5.包含但不限于安装后可正常使用的相应设施、设备、软件、调试等，采购人不再另行支付费用。</w:t>
            </w:r>
          </w:p>
          <w:p w14:paraId="59353315">
            <w:pPr>
              <w:spacing w:line="360" w:lineRule="exact"/>
              <w:rPr>
                <w:bCs/>
                <w:color w:val="auto"/>
                <w:sz w:val="21"/>
                <w:szCs w:val="21"/>
                <w:highlight w:val="none"/>
                <w:shd w:val="clear" w:color="auto" w:fill="auto"/>
              </w:rPr>
            </w:pPr>
            <w:r>
              <w:rPr>
                <w:rFonts w:hint="eastAsia"/>
                <w:bCs/>
                <w:color w:val="auto"/>
                <w:sz w:val="21"/>
                <w:szCs w:val="21"/>
                <w:highlight w:val="none"/>
                <w:shd w:val="clear" w:color="auto" w:fill="auto"/>
              </w:rPr>
              <w:t>6.如质量上发生争议，可由第三方检测机构进行检测，费用由成交人承担。</w:t>
            </w:r>
          </w:p>
          <w:p w14:paraId="054FB95B">
            <w:pPr>
              <w:spacing w:line="360" w:lineRule="exact"/>
              <w:rPr>
                <w:rFonts w:hint="eastAsia"/>
                <w:color w:val="auto"/>
                <w:sz w:val="21"/>
                <w:szCs w:val="21"/>
                <w:highlight w:val="none"/>
              </w:rPr>
            </w:pPr>
            <w:r>
              <w:rPr>
                <w:rFonts w:hint="eastAsia"/>
                <w:bCs/>
                <w:color w:val="auto"/>
                <w:sz w:val="21"/>
                <w:szCs w:val="21"/>
                <w:highlight w:val="none"/>
                <w:shd w:val="clear" w:color="auto" w:fill="auto"/>
              </w:rPr>
              <w:t>7.对于本文件中未列明，而</w:t>
            </w:r>
            <w:r>
              <w:rPr>
                <w:rFonts w:hint="eastAsia"/>
                <w:bCs/>
                <w:color w:val="auto"/>
                <w:sz w:val="21"/>
                <w:szCs w:val="21"/>
                <w:highlight w:val="none"/>
                <w:shd w:val="clear" w:color="auto" w:fill="auto"/>
                <w:lang w:val="en-US" w:eastAsia="zh-CN"/>
              </w:rPr>
              <w:t>成交人</w:t>
            </w:r>
            <w:r>
              <w:rPr>
                <w:rFonts w:hint="eastAsia"/>
                <w:bCs/>
                <w:color w:val="auto"/>
                <w:sz w:val="21"/>
                <w:szCs w:val="21"/>
                <w:highlight w:val="none"/>
                <w:shd w:val="clear" w:color="auto" w:fill="auto"/>
              </w:rPr>
              <w:t>认为必需的费用也需列入总报价。在合同实施时，采购人将不予支付成交</w:t>
            </w:r>
            <w:r>
              <w:rPr>
                <w:rFonts w:hint="eastAsia"/>
                <w:bCs/>
                <w:color w:val="auto"/>
                <w:sz w:val="21"/>
                <w:szCs w:val="21"/>
                <w:highlight w:val="none"/>
                <w:shd w:val="clear" w:color="auto" w:fill="auto"/>
                <w:lang w:val="en-US" w:eastAsia="zh-CN"/>
              </w:rPr>
              <w:t>人</w:t>
            </w:r>
            <w:r>
              <w:rPr>
                <w:rFonts w:hint="eastAsia"/>
                <w:bCs/>
                <w:color w:val="auto"/>
                <w:sz w:val="21"/>
                <w:szCs w:val="21"/>
                <w:highlight w:val="none"/>
                <w:shd w:val="clear" w:color="auto" w:fill="auto"/>
              </w:rPr>
              <w:t>没有列入的费用，并认为此的费用已包括在响应总报价中。</w:t>
            </w:r>
          </w:p>
        </w:tc>
      </w:tr>
      <w:tr w14:paraId="053D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8" w:hRule="atLeast"/>
        </w:trPr>
        <w:tc>
          <w:tcPr>
            <w:tcW w:w="613" w:type="dxa"/>
            <w:shd w:val="clear" w:color="auto" w:fill="FFFFFF"/>
            <w:vAlign w:val="center"/>
          </w:tcPr>
          <w:p w14:paraId="403F4214">
            <w:pPr>
              <w:jc w:val="center"/>
              <w:rPr>
                <w:rFonts w:hint="eastAsia"/>
                <w:color w:val="auto"/>
                <w:sz w:val="21"/>
                <w:szCs w:val="21"/>
                <w:highlight w:val="none"/>
              </w:rPr>
            </w:pPr>
            <w:r>
              <w:rPr>
                <w:rFonts w:hint="eastAsia"/>
                <w:color w:val="auto"/>
                <w:sz w:val="21"/>
                <w:szCs w:val="21"/>
                <w:highlight w:val="none"/>
              </w:rPr>
              <w:t>2</w:t>
            </w:r>
          </w:p>
        </w:tc>
        <w:tc>
          <w:tcPr>
            <w:tcW w:w="1560" w:type="dxa"/>
            <w:shd w:val="clear" w:color="auto" w:fill="FFFFFF"/>
            <w:vAlign w:val="center"/>
          </w:tcPr>
          <w:p w14:paraId="55D6C4DE">
            <w:pPr>
              <w:jc w:val="center"/>
              <w:rPr>
                <w:rFonts w:hint="eastAsia"/>
                <w:bCs/>
                <w:color w:val="auto"/>
                <w:sz w:val="21"/>
                <w:szCs w:val="21"/>
                <w:highlight w:val="none"/>
              </w:rPr>
            </w:pPr>
            <w:r>
              <w:rPr>
                <w:rFonts w:hint="eastAsia"/>
                <w:bCs/>
                <w:color w:val="auto"/>
                <w:sz w:val="21"/>
                <w:szCs w:val="21"/>
                <w:highlight w:val="none"/>
              </w:rPr>
              <w:t>▲</w:t>
            </w:r>
            <w:r>
              <w:rPr>
                <w:rFonts w:hint="eastAsia"/>
                <w:color w:val="auto"/>
                <w:sz w:val="21"/>
                <w:szCs w:val="21"/>
                <w:highlight w:val="none"/>
              </w:rPr>
              <w:t>知识产权</w:t>
            </w:r>
          </w:p>
        </w:tc>
        <w:tc>
          <w:tcPr>
            <w:tcW w:w="7256" w:type="dxa"/>
            <w:shd w:val="clear" w:color="auto" w:fill="FFFFFF"/>
            <w:vAlign w:val="center"/>
          </w:tcPr>
          <w:p w14:paraId="2B4B5D0E">
            <w:pPr>
              <w:spacing w:line="360" w:lineRule="exact"/>
              <w:rPr>
                <w:rFonts w:hint="eastAsia"/>
                <w:color w:val="auto"/>
                <w:sz w:val="21"/>
                <w:szCs w:val="21"/>
                <w:highlight w:val="none"/>
              </w:rPr>
            </w:pPr>
            <w:r>
              <w:rPr>
                <w:rFonts w:hint="eastAsia"/>
                <w:color w:val="auto"/>
                <w:sz w:val="21"/>
                <w:szCs w:val="21"/>
                <w:highlight w:val="none"/>
              </w:rPr>
              <w:t>采购人在中国境内使用成交人提供的产品及服务时免受第三方提出的侵犯其专利权或其它知识产权的起诉。如果第三方提出侵权指控，成交人应承担由此而引起的一切法律责任和费用。</w:t>
            </w:r>
          </w:p>
        </w:tc>
      </w:tr>
      <w:tr w14:paraId="70F3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4" w:hRule="atLeast"/>
        </w:trPr>
        <w:tc>
          <w:tcPr>
            <w:tcW w:w="613" w:type="dxa"/>
            <w:shd w:val="clear" w:color="auto" w:fill="FFFFFF"/>
            <w:vAlign w:val="center"/>
          </w:tcPr>
          <w:p w14:paraId="28E9EC9B">
            <w:pPr>
              <w:jc w:val="center"/>
              <w:rPr>
                <w:rFonts w:hint="eastAsia"/>
                <w:color w:val="auto"/>
                <w:sz w:val="21"/>
                <w:szCs w:val="21"/>
                <w:highlight w:val="none"/>
              </w:rPr>
            </w:pPr>
            <w:r>
              <w:rPr>
                <w:rFonts w:hint="eastAsia"/>
                <w:color w:val="auto"/>
                <w:sz w:val="21"/>
                <w:szCs w:val="21"/>
                <w:highlight w:val="none"/>
              </w:rPr>
              <w:t>3</w:t>
            </w:r>
          </w:p>
        </w:tc>
        <w:tc>
          <w:tcPr>
            <w:tcW w:w="1560" w:type="dxa"/>
            <w:shd w:val="clear" w:color="auto" w:fill="FFFFFF"/>
            <w:vAlign w:val="center"/>
          </w:tcPr>
          <w:p w14:paraId="3126ACA2">
            <w:pPr>
              <w:jc w:val="center"/>
              <w:rPr>
                <w:rFonts w:hint="eastAsia"/>
                <w:color w:val="auto"/>
                <w:sz w:val="21"/>
                <w:szCs w:val="21"/>
                <w:highlight w:val="none"/>
              </w:rPr>
            </w:pPr>
            <w:r>
              <w:rPr>
                <w:rFonts w:hint="eastAsia"/>
                <w:bCs/>
                <w:color w:val="auto"/>
                <w:sz w:val="21"/>
                <w:szCs w:val="21"/>
                <w:highlight w:val="none"/>
              </w:rPr>
              <w:t>▲</w:t>
            </w:r>
            <w:r>
              <w:rPr>
                <w:rFonts w:hint="eastAsia"/>
                <w:color w:val="auto"/>
                <w:sz w:val="21"/>
                <w:szCs w:val="21"/>
                <w:highlight w:val="none"/>
              </w:rPr>
              <w:t>提交相关证件</w:t>
            </w:r>
          </w:p>
        </w:tc>
        <w:tc>
          <w:tcPr>
            <w:tcW w:w="7256" w:type="dxa"/>
            <w:shd w:val="clear" w:color="auto" w:fill="FFFFFF"/>
            <w:vAlign w:val="center"/>
          </w:tcPr>
          <w:p w14:paraId="33B990C7">
            <w:pPr>
              <w:spacing w:line="360" w:lineRule="exact"/>
              <w:rPr>
                <w:rFonts w:hint="eastAsia"/>
                <w:color w:val="auto"/>
                <w:sz w:val="21"/>
                <w:szCs w:val="21"/>
                <w:highlight w:val="none"/>
              </w:rPr>
            </w:pPr>
            <w:r>
              <w:rPr>
                <w:rFonts w:hint="eastAsia"/>
                <w:color w:val="auto"/>
                <w:sz w:val="21"/>
                <w:szCs w:val="21"/>
                <w:highlight w:val="none"/>
                <w:lang w:val="en-US" w:eastAsia="zh-CN"/>
              </w:rPr>
              <w:t>竞价结束之日起两个工作日内，成交人需提供企业营业执照或法人登记证等</w:t>
            </w:r>
          </w:p>
        </w:tc>
      </w:tr>
      <w:tr w14:paraId="0215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trPr>
        <w:tc>
          <w:tcPr>
            <w:tcW w:w="613" w:type="dxa"/>
            <w:tcBorders>
              <w:bottom w:val="single" w:color="auto" w:sz="4" w:space="0"/>
            </w:tcBorders>
            <w:shd w:val="clear" w:color="auto" w:fill="FFFFFF"/>
            <w:vAlign w:val="center"/>
          </w:tcPr>
          <w:p w14:paraId="5A927C3B">
            <w:pPr>
              <w:jc w:val="center"/>
              <w:rPr>
                <w:rFonts w:hint="eastAsia"/>
                <w:color w:val="auto"/>
                <w:sz w:val="21"/>
                <w:szCs w:val="21"/>
                <w:highlight w:val="none"/>
              </w:rPr>
            </w:pPr>
            <w:r>
              <w:rPr>
                <w:rFonts w:hint="eastAsia"/>
                <w:color w:val="auto"/>
                <w:sz w:val="21"/>
                <w:szCs w:val="21"/>
                <w:highlight w:val="none"/>
              </w:rPr>
              <w:t>4</w:t>
            </w:r>
          </w:p>
        </w:tc>
        <w:tc>
          <w:tcPr>
            <w:tcW w:w="1560" w:type="dxa"/>
            <w:tcBorders>
              <w:bottom w:val="single" w:color="auto" w:sz="4" w:space="0"/>
            </w:tcBorders>
            <w:shd w:val="clear" w:color="auto" w:fill="FFFFFF"/>
            <w:vAlign w:val="center"/>
          </w:tcPr>
          <w:p w14:paraId="40B4C2F8">
            <w:pPr>
              <w:jc w:val="center"/>
              <w:rPr>
                <w:rFonts w:hint="eastAsia"/>
                <w:color w:val="auto"/>
                <w:sz w:val="21"/>
                <w:szCs w:val="21"/>
                <w:highlight w:val="none"/>
              </w:rPr>
            </w:pPr>
            <w:r>
              <w:rPr>
                <w:rFonts w:hint="eastAsia"/>
                <w:bCs/>
                <w:color w:val="auto"/>
                <w:sz w:val="21"/>
                <w:szCs w:val="21"/>
                <w:highlight w:val="none"/>
              </w:rPr>
              <w:t>▲</w:t>
            </w:r>
            <w:r>
              <w:rPr>
                <w:rFonts w:hint="eastAsia"/>
                <w:color w:val="auto"/>
                <w:sz w:val="21"/>
                <w:szCs w:val="21"/>
                <w:highlight w:val="none"/>
              </w:rPr>
              <w:t>供货要求</w:t>
            </w:r>
          </w:p>
        </w:tc>
        <w:tc>
          <w:tcPr>
            <w:tcW w:w="7256" w:type="dxa"/>
            <w:tcBorders>
              <w:bottom w:val="single" w:color="auto" w:sz="4" w:space="0"/>
            </w:tcBorders>
            <w:shd w:val="clear" w:color="auto" w:fill="FFFFFF"/>
            <w:vAlign w:val="center"/>
          </w:tcPr>
          <w:p w14:paraId="71A86E45">
            <w:pPr>
              <w:numPr>
                <w:ilvl w:val="0"/>
                <w:numId w:val="1"/>
              </w:numPr>
              <w:spacing w:line="360" w:lineRule="exact"/>
              <w:rPr>
                <w:rFonts w:hint="eastAsia"/>
                <w:color w:val="auto"/>
                <w:sz w:val="21"/>
                <w:szCs w:val="21"/>
                <w:highlight w:val="none"/>
              </w:rPr>
            </w:pPr>
            <w:r>
              <w:rPr>
                <w:rFonts w:hint="eastAsia"/>
                <w:color w:val="auto"/>
                <w:sz w:val="21"/>
                <w:szCs w:val="21"/>
                <w:highlight w:val="none"/>
              </w:rPr>
              <w:t>签订合同后10</w:t>
            </w:r>
            <w:r>
              <w:rPr>
                <w:color w:val="auto"/>
                <w:sz w:val="21"/>
                <w:szCs w:val="21"/>
                <w:highlight w:val="none"/>
              </w:rPr>
              <w:t>个工作日内必须全部供</w:t>
            </w:r>
            <w:r>
              <w:rPr>
                <w:rFonts w:hint="eastAsia"/>
                <w:color w:val="auto"/>
                <w:sz w:val="21"/>
                <w:szCs w:val="21"/>
                <w:highlight w:val="none"/>
              </w:rPr>
              <w:t>完货物并安装完毕，成交人必须按时供应。</w:t>
            </w:r>
          </w:p>
          <w:p w14:paraId="659B4686">
            <w:pPr>
              <w:widowControl w:val="0"/>
              <w:jc w:val="both"/>
              <w:rPr>
                <w:rFonts w:hint="eastAsia"/>
                <w:color w:val="auto"/>
                <w:sz w:val="21"/>
                <w:szCs w:val="21"/>
                <w:highlight w:val="none"/>
              </w:rPr>
            </w:pPr>
            <w:r>
              <w:rPr>
                <w:rFonts w:hint="eastAsia"/>
                <w:color w:val="auto"/>
                <w:sz w:val="21"/>
                <w:szCs w:val="21"/>
                <w:highlight w:val="none"/>
              </w:rPr>
              <w:t>2.本次采购的货物，须是原厂参数配置，原装未拆封，不接受二次加装改配。3.所提供的货物品牌、型号、规格、性能、技术标准、质量标准等质量不合格的，应及时更换并由成交人承担所发生的费用，更换不及时的按逾期交货处理。因包装、运输引起的货物损坏，按质量不合格处理。</w:t>
            </w:r>
          </w:p>
          <w:p w14:paraId="10ED6D75">
            <w:pPr>
              <w:spacing w:line="360" w:lineRule="exact"/>
              <w:rPr>
                <w:rFonts w:hint="eastAsia"/>
                <w:color w:val="auto"/>
                <w:sz w:val="21"/>
                <w:szCs w:val="21"/>
                <w:highlight w:val="none"/>
              </w:rPr>
            </w:pPr>
            <w:r>
              <w:rPr>
                <w:rFonts w:hint="eastAsia"/>
                <w:color w:val="auto"/>
                <w:sz w:val="21"/>
                <w:szCs w:val="21"/>
                <w:highlight w:val="none"/>
              </w:rPr>
              <w:t>4.成交人提供的货物质保期内，因设计、工艺或材料的缺陷和其他质量原因造成的问题，由成交人负责处理至达到本采购人要求，费用由成交人承担。</w:t>
            </w:r>
          </w:p>
          <w:p w14:paraId="7F8CCEC2">
            <w:pPr>
              <w:spacing w:line="360" w:lineRule="exact"/>
              <w:rPr>
                <w:rFonts w:hint="eastAsia"/>
                <w:color w:val="auto"/>
                <w:sz w:val="21"/>
                <w:szCs w:val="21"/>
                <w:highlight w:val="none"/>
              </w:rPr>
            </w:pPr>
            <w:r>
              <w:rPr>
                <w:rFonts w:hint="eastAsia"/>
                <w:color w:val="auto"/>
                <w:sz w:val="21"/>
                <w:szCs w:val="21"/>
                <w:highlight w:val="none"/>
              </w:rPr>
              <w:t>5.成交人应当保证其所提供的产品为符合国家知识产权法律法规要求的正规产品，杜绝恶意窜货、翻新等行为，若所提供的产品为不符合国家知识产权法律法规要求的非正规产品或属于假冒伪劣商品的，其合同无效。</w:t>
            </w:r>
          </w:p>
          <w:p w14:paraId="57E4DD97">
            <w:pPr>
              <w:spacing w:line="360" w:lineRule="exact"/>
              <w:rPr>
                <w:rFonts w:hint="eastAsia"/>
                <w:color w:val="auto"/>
                <w:sz w:val="21"/>
                <w:szCs w:val="21"/>
                <w:highlight w:val="none"/>
              </w:rPr>
            </w:pPr>
            <w:r>
              <w:rPr>
                <w:rFonts w:hint="eastAsia"/>
                <w:color w:val="auto"/>
                <w:sz w:val="21"/>
                <w:szCs w:val="21"/>
                <w:highlight w:val="none"/>
              </w:rPr>
              <w:t>6.成交人须免费送货上门、免费拆卸、安装。</w:t>
            </w:r>
          </w:p>
        </w:tc>
      </w:tr>
      <w:tr w14:paraId="6877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atLeast"/>
        </w:trPr>
        <w:tc>
          <w:tcPr>
            <w:tcW w:w="325" w:type="pct"/>
            <w:shd w:val="clear" w:color="auto" w:fill="FFFFFF" w:themeFill="background1"/>
            <w:vAlign w:val="center"/>
          </w:tcPr>
          <w:p w14:paraId="17775B8C">
            <w:pPr>
              <w:jc w:val="center"/>
              <w:rPr>
                <w:rFonts w:hint="eastAsia"/>
                <w:color w:val="auto"/>
                <w:sz w:val="21"/>
                <w:szCs w:val="21"/>
                <w:highlight w:val="none"/>
              </w:rPr>
            </w:pPr>
            <w:r>
              <w:rPr>
                <w:rFonts w:hint="eastAsia"/>
                <w:color w:val="auto"/>
                <w:sz w:val="21"/>
                <w:szCs w:val="21"/>
                <w:highlight w:val="none"/>
              </w:rPr>
              <w:t>5</w:t>
            </w:r>
          </w:p>
        </w:tc>
        <w:tc>
          <w:tcPr>
            <w:tcW w:w="827" w:type="pct"/>
            <w:shd w:val="clear" w:color="auto" w:fill="FFFFFF" w:themeFill="background1"/>
            <w:vAlign w:val="center"/>
          </w:tcPr>
          <w:p w14:paraId="58FFC2E2">
            <w:pPr>
              <w:jc w:val="center"/>
              <w:rPr>
                <w:rFonts w:hint="eastAsia"/>
                <w:color w:val="auto"/>
                <w:sz w:val="21"/>
                <w:szCs w:val="21"/>
                <w:highlight w:val="none"/>
              </w:rPr>
            </w:pPr>
            <w:r>
              <w:rPr>
                <w:rFonts w:hint="eastAsia"/>
                <w:bCs/>
                <w:color w:val="auto"/>
                <w:sz w:val="21"/>
                <w:szCs w:val="21"/>
                <w:highlight w:val="none"/>
              </w:rPr>
              <w:t>▲</w:t>
            </w:r>
            <w:r>
              <w:rPr>
                <w:rFonts w:hint="eastAsia"/>
                <w:color w:val="auto"/>
                <w:sz w:val="21"/>
                <w:szCs w:val="21"/>
                <w:highlight w:val="none"/>
              </w:rPr>
              <w:t>售后服务要求</w:t>
            </w:r>
          </w:p>
        </w:tc>
        <w:tc>
          <w:tcPr>
            <w:tcW w:w="3847" w:type="pct"/>
            <w:shd w:val="clear" w:color="auto" w:fill="FFFFFF" w:themeFill="background1"/>
            <w:vAlign w:val="center"/>
          </w:tcPr>
          <w:p w14:paraId="66E42B58">
            <w:pPr>
              <w:spacing w:line="360" w:lineRule="exact"/>
              <w:rPr>
                <w:rFonts w:hint="eastAsia"/>
                <w:color w:val="auto"/>
                <w:sz w:val="21"/>
                <w:szCs w:val="21"/>
                <w:highlight w:val="none"/>
              </w:rPr>
            </w:pPr>
            <w:r>
              <w:rPr>
                <w:rFonts w:hint="eastAsia"/>
                <w:color w:val="auto"/>
                <w:sz w:val="21"/>
                <w:szCs w:val="21"/>
                <w:highlight w:val="none"/>
              </w:rPr>
              <w:t>1.免费送货上门，免费安装调试和培训。</w:t>
            </w:r>
          </w:p>
          <w:p w14:paraId="5A5FC79A">
            <w:pPr>
              <w:spacing w:line="360" w:lineRule="exact"/>
              <w:rPr>
                <w:rFonts w:hint="eastAsia"/>
                <w:color w:val="auto"/>
                <w:sz w:val="21"/>
                <w:szCs w:val="21"/>
                <w:highlight w:val="none"/>
              </w:rPr>
            </w:pPr>
            <w:r>
              <w:rPr>
                <w:rFonts w:hint="eastAsia"/>
                <w:color w:val="auto"/>
                <w:sz w:val="21"/>
                <w:szCs w:val="21"/>
                <w:highlight w:val="none"/>
              </w:rPr>
              <w:t>2.按厂家承诺实行“三包”承诺，质保期1年，免费上门服务（自交货安装完毕，验收合格之日起计）。</w:t>
            </w:r>
          </w:p>
          <w:p w14:paraId="277949B8">
            <w:pPr>
              <w:spacing w:line="360" w:lineRule="exact"/>
              <w:rPr>
                <w:rFonts w:hint="eastAsia"/>
                <w:color w:val="auto"/>
                <w:sz w:val="21"/>
                <w:szCs w:val="21"/>
                <w:highlight w:val="none"/>
              </w:rPr>
            </w:pPr>
            <w:r>
              <w:rPr>
                <w:rFonts w:hint="eastAsia"/>
                <w:color w:val="auto"/>
                <w:sz w:val="21"/>
                <w:szCs w:val="21"/>
                <w:highlight w:val="none"/>
              </w:rPr>
              <w:t>3.其他售后服务要求：</w:t>
            </w:r>
          </w:p>
          <w:p w14:paraId="730DEB76">
            <w:pPr>
              <w:spacing w:line="360" w:lineRule="exact"/>
              <w:rPr>
                <w:rFonts w:hint="eastAsia"/>
                <w:color w:val="auto"/>
                <w:sz w:val="21"/>
                <w:szCs w:val="21"/>
                <w:highlight w:val="none"/>
              </w:rPr>
            </w:pPr>
            <w:r>
              <w:rPr>
                <w:rFonts w:hint="eastAsia"/>
                <w:color w:val="auto"/>
                <w:sz w:val="21"/>
                <w:szCs w:val="21"/>
                <w:highlight w:val="none"/>
              </w:rPr>
              <w:t>提供1年技术及运维服务，质量保证期内免费维修、免费更换零部件，服务内容如下：</w:t>
            </w:r>
          </w:p>
          <w:p w14:paraId="780F02FA">
            <w:pPr>
              <w:spacing w:line="360" w:lineRule="exact"/>
              <w:rPr>
                <w:rFonts w:hint="eastAsia"/>
                <w:color w:val="auto"/>
                <w:sz w:val="21"/>
                <w:szCs w:val="21"/>
                <w:highlight w:val="none"/>
              </w:rPr>
            </w:pPr>
            <w:r>
              <w:rPr>
                <w:rFonts w:hint="eastAsia"/>
                <w:color w:val="auto"/>
                <w:sz w:val="21"/>
                <w:szCs w:val="21"/>
                <w:highlight w:val="none"/>
              </w:rPr>
              <w:t>质保期内，成交人应当提供7×24小时电话支持服务。成交人接到采购人保修通知后2个小时内响应，24个小时内排除故障。如不能及时解决故障，成交人应提供备用机确保采购方正常使用。对于质保期内不能修复的产品／部件，成交人应在48个小时内免费更换备品备件，维修使用的备品备件及易损件应为原厂配件，未经采购方同意不得使用非原厂配件。</w:t>
            </w:r>
          </w:p>
          <w:p w14:paraId="72F22D6C">
            <w:pPr>
              <w:spacing w:line="360" w:lineRule="exact"/>
              <w:rPr>
                <w:rFonts w:hint="eastAsia"/>
                <w:color w:val="auto"/>
                <w:sz w:val="21"/>
                <w:szCs w:val="21"/>
                <w:highlight w:val="none"/>
              </w:rPr>
            </w:pPr>
            <w:r>
              <w:rPr>
                <w:rFonts w:hint="eastAsia"/>
                <w:color w:val="auto"/>
                <w:sz w:val="21"/>
                <w:szCs w:val="21"/>
                <w:highlight w:val="none"/>
              </w:rPr>
              <w:t>4.维保：自货物通过最终验收合格之日起免费维保一年。</w:t>
            </w:r>
          </w:p>
          <w:p w14:paraId="4FC58B22">
            <w:pPr>
              <w:spacing w:line="360" w:lineRule="exact"/>
              <w:rPr>
                <w:rFonts w:hint="eastAsia"/>
                <w:color w:val="auto"/>
                <w:sz w:val="21"/>
                <w:szCs w:val="21"/>
                <w:highlight w:val="none"/>
              </w:rPr>
            </w:pPr>
            <w:r>
              <w:rPr>
                <w:rFonts w:hint="eastAsia"/>
                <w:color w:val="auto"/>
                <w:sz w:val="21"/>
                <w:szCs w:val="21"/>
                <w:highlight w:val="none"/>
              </w:rPr>
              <w:t>5.提供设备必须是全新、未使用的原装产品，且在正常安装、使用和保养条件下，其使用寿命期内各项指标均达到质量要求。</w:t>
            </w:r>
          </w:p>
        </w:tc>
      </w:tr>
      <w:tr w14:paraId="69BA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trPr>
        <w:tc>
          <w:tcPr>
            <w:tcW w:w="325" w:type="pct"/>
            <w:shd w:val="clear" w:color="auto" w:fill="FFFFFF"/>
            <w:vAlign w:val="center"/>
          </w:tcPr>
          <w:p w14:paraId="4B2120BF">
            <w:pPr>
              <w:jc w:val="center"/>
              <w:rPr>
                <w:rFonts w:hint="eastAsia"/>
                <w:color w:val="auto"/>
                <w:sz w:val="21"/>
                <w:szCs w:val="21"/>
                <w:highlight w:val="none"/>
              </w:rPr>
            </w:pPr>
            <w:r>
              <w:rPr>
                <w:rFonts w:hint="eastAsia"/>
                <w:color w:val="auto"/>
                <w:sz w:val="21"/>
                <w:szCs w:val="21"/>
                <w:highlight w:val="none"/>
              </w:rPr>
              <w:t>6</w:t>
            </w:r>
          </w:p>
        </w:tc>
        <w:tc>
          <w:tcPr>
            <w:tcW w:w="827" w:type="pct"/>
            <w:shd w:val="clear" w:color="auto" w:fill="FFFFFF"/>
            <w:vAlign w:val="center"/>
          </w:tcPr>
          <w:p w14:paraId="50F216FA">
            <w:pPr>
              <w:jc w:val="center"/>
              <w:rPr>
                <w:rFonts w:hint="eastAsia"/>
                <w:color w:val="auto"/>
                <w:sz w:val="21"/>
                <w:szCs w:val="21"/>
                <w:highlight w:val="none"/>
              </w:rPr>
            </w:pPr>
            <w:r>
              <w:rPr>
                <w:rFonts w:hint="eastAsia"/>
                <w:bCs/>
                <w:color w:val="auto"/>
                <w:sz w:val="21"/>
                <w:szCs w:val="21"/>
                <w:highlight w:val="none"/>
              </w:rPr>
              <w:t>▲</w:t>
            </w:r>
            <w:r>
              <w:rPr>
                <w:rFonts w:hint="eastAsia"/>
                <w:color w:val="auto"/>
                <w:sz w:val="21"/>
                <w:szCs w:val="21"/>
                <w:highlight w:val="none"/>
              </w:rPr>
              <w:t>验收方式</w:t>
            </w:r>
          </w:p>
        </w:tc>
        <w:tc>
          <w:tcPr>
            <w:tcW w:w="3847" w:type="pct"/>
            <w:shd w:val="clear" w:color="auto" w:fill="FFFFFF"/>
            <w:vAlign w:val="center"/>
          </w:tcPr>
          <w:p w14:paraId="72685B9F">
            <w:pPr>
              <w:spacing w:line="460" w:lineRule="exact"/>
              <w:rPr>
                <w:rFonts w:hint="eastAsia"/>
                <w:color w:val="auto"/>
                <w:sz w:val="21"/>
                <w:szCs w:val="21"/>
                <w:highlight w:val="none"/>
              </w:rPr>
            </w:pPr>
            <w:r>
              <w:rPr>
                <w:rFonts w:hint="eastAsia"/>
                <w:color w:val="auto"/>
                <w:sz w:val="21"/>
                <w:szCs w:val="21"/>
                <w:highlight w:val="none"/>
              </w:rPr>
              <w:t>1</w:t>
            </w:r>
            <w:r>
              <w:rPr>
                <w:color w:val="auto"/>
                <w:sz w:val="21"/>
                <w:szCs w:val="21"/>
                <w:highlight w:val="none"/>
              </w:rPr>
              <w:t>.</w:t>
            </w:r>
            <w:r>
              <w:rPr>
                <w:rFonts w:hint="eastAsia"/>
                <w:color w:val="auto"/>
                <w:sz w:val="21"/>
                <w:szCs w:val="21"/>
                <w:highlight w:val="none"/>
              </w:rPr>
              <w:t>出厂检验：交货时，成交人应随同货物提供主要产品的出厂检验报告，产品合格证、</w:t>
            </w:r>
            <w:r>
              <w:rPr>
                <w:color w:val="auto"/>
                <w:sz w:val="21"/>
                <w:szCs w:val="21"/>
                <w:highlight w:val="none"/>
              </w:rPr>
              <w:t>售后服务承诺函原件</w:t>
            </w:r>
            <w:r>
              <w:rPr>
                <w:rFonts w:hint="eastAsia"/>
                <w:color w:val="auto"/>
                <w:sz w:val="21"/>
                <w:szCs w:val="21"/>
                <w:highlight w:val="none"/>
              </w:rPr>
              <w:t>（加盖公章）。</w:t>
            </w:r>
          </w:p>
          <w:p w14:paraId="288FC4B2">
            <w:pPr>
              <w:spacing w:line="460" w:lineRule="exact"/>
              <w:rPr>
                <w:rFonts w:hint="eastAsia"/>
                <w:color w:val="auto"/>
                <w:sz w:val="21"/>
                <w:szCs w:val="21"/>
                <w:highlight w:val="none"/>
              </w:rPr>
            </w:pPr>
            <w:r>
              <w:rPr>
                <w:rFonts w:hint="eastAsia"/>
                <w:color w:val="auto"/>
                <w:sz w:val="21"/>
                <w:szCs w:val="21"/>
                <w:highlight w:val="none"/>
              </w:rPr>
              <w:t>2.安装调试检验：货物到达后，由采购人进行基本质量和数量的清点，清点不作为最终合格的保证人安装调试（包括整机性能测试）过程），成交人应作详细清点记录。安装调试检验结果应符合制造厂产品标准和采购文件规定的技术要求。</w:t>
            </w:r>
          </w:p>
          <w:p w14:paraId="2E79A3BA">
            <w:pPr>
              <w:spacing w:line="460" w:lineRule="exact"/>
              <w:rPr>
                <w:rFonts w:hint="eastAsia"/>
                <w:color w:val="auto"/>
                <w:sz w:val="21"/>
                <w:szCs w:val="21"/>
                <w:highlight w:val="none"/>
              </w:rPr>
            </w:pPr>
            <w:r>
              <w:rPr>
                <w:rFonts w:hint="eastAsia"/>
                <w:color w:val="auto"/>
                <w:sz w:val="21"/>
                <w:szCs w:val="21"/>
                <w:highlight w:val="none"/>
              </w:rPr>
              <w:t>3.验收：安装调试结束后，由成交人组织相关人员按采购文件规定的技术要求进行验收。收到成交通知书后，采购方将严格按照采购文件要求现场验收。验收不合格的，按虚假应标处理，成交人需承担被采购方终止合同的一切风险和费用。</w:t>
            </w:r>
          </w:p>
          <w:p w14:paraId="0B8ADFDB">
            <w:pPr>
              <w:spacing w:line="460" w:lineRule="exact"/>
              <w:rPr>
                <w:rFonts w:hint="eastAsia"/>
                <w:color w:val="auto"/>
                <w:sz w:val="21"/>
                <w:szCs w:val="21"/>
                <w:highlight w:val="none"/>
              </w:rPr>
            </w:pPr>
            <w:r>
              <w:rPr>
                <w:rFonts w:hint="eastAsia"/>
                <w:color w:val="auto"/>
                <w:sz w:val="21"/>
                <w:szCs w:val="21"/>
                <w:highlight w:val="none"/>
              </w:rPr>
              <w:t>4.本要求提供的</w:t>
            </w:r>
            <w:r>
              <w:rPr>
                <w:color w:val="auto"/>
                <w:sz w:val="21"/>
                <w:szCs w:val="21"/>
                <w:highlight w:val="none"/>
              </w:rPr>
              <w:t>材料为实质性要求，如不能提供以上材料或提供以上材料与要求不符，或以上材料不齐全，则视为虚假应标，虚假应标的</w:t>
            </w:r>
            <w:r>
              <w:rPr>
                <w:rFonts w:hint="eastAsia"/>
                <w:color w:val="auto"/>
                <w:sz w:val="21"/>
                <w:szCs w:val="21"/>
                <w:highlight w:val="none"/>
              </w:rPr>
              <w:t>验收</w:t>
            </w:r>
            <w:r>
              <w:rPr>
                <w:color w:val="auto"/>
                <w:sz w:val="21"/>
                <w:szCs w:val="21"/>
                <w:highlight w:val="none"/>
              </w:rPr>
              <w:t>人</w:t>
            </w:r>
            <w:r>
              <w:rPr>
                <w:rFonts w:hint="eastAsia"/>
                <w:color w:val="auto"/>
                <w:sz w:val="21"/>
                <w:szCs w:val="21"/>
                <w:highlight w:val="none"/>
              </w:rPr>
              <w:t>验收</w:t>
            </w:r>
            <w:r>
              <w:rPr>
                <w:color w:val="auto"/>
                <w:sz w:val="21"/>
                <w:szCs w:val="21"/>
                <w:highlight w:val="none"/>
              </w:rPr>
              <w:t>无效，如该</w:t>
            </w:r>
            <w:r>
              <w:rPr>
                <w:rFonts w:hint="eastAsia"/>
                <w:color w:val="auto"/>
                <w:sz w:val="21"/>
                <w:szCs w:val="21"/>
                <w:highlight w:val="none"/>
              </w:rPr>
              <w:t>验收</w:t>
            </w:r>
            <w:r>
              <w:rPr>
                <w:color w:val="auto"/>
                <w:sz w:val="21"/>
                <w:szCs w:val="21"/>
                <w:highlight w:val="none"/>
              </w:rPr>
              <w:t>人中标的，中标结果无效，采购人将取消采购结果并追究责任；如明知不满足竞价文件对于品牌、型号、资质等要求而进行恶意竞争的，或因竞标人虚假竞标导致竞标无效造成的工期延误及损失，将根据《政采云平台电子卖场权益维护及纠纷处理规则》的规定报</w:t>
            </w:r>
            <w:r>
              <w:rPr>
                <w:rFonts w:hint="eastAsia"/>
                <w:bCs/>
                <w:color w:val="auto"/>
                <w:sz w:val="21"/>
                <w:szCs w:val="21"/>
                <w:highlight w:val="none"/>
              </w:rPr>
              <w:t>市政府采购监督管理办公室</w:t>
            </w:r>
            <w:r>
              <w:rPr>
                <w:color w:val="auto"/>
                <w:sz w:val="21"/>
                <w:szCs w:val="21"/>
                <w:highlight w:val="none"/>
              </w:rPr>
              <w:t>处理，给采购人造成损失的应予以赔偿。</w:t>
            </w:r>
          </w:p>
        </w:tc>
      </w:tr>
      <w:tr w14:paraId="015C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8" w:hRule="atLeast"/>
        </w:trPr>
        <w:tc>
          <w:tcPr>
            <w:tcW w:w="325" w:type="pct"/>
            <w:shd w:val="clear" w:color="auto" w:fill="FFFDFA"/>
            <w:vAlign w:val="center"/>
          </w:tcPr>
          <w:p w14:paraId="31F66A7B">
            <w:pPr>
              <w:jc w:val="center"/>
              <w:rPr>
                <w:rFonts w:hint="eastAsia"/>
                <w:color w:val="auto"/>
                <w:sz w:val="21"/>
                <w:szCs w:val="21"/>
                <w:highlight w:val="none"/>
              </w:rPr>
            </w:pPr>
            <w:r>
              <w:rPr>
                <w:rFonts w:hint="eastAsia"/>
                <w:color w:val="auto"/>
                <w:sz w:val="21"/>
                <w:szCs w:val="21"/>
                <w:highlight w:val="none"/>
              </w:rPr>
              <w:t>7</w:t>
            </w:r>
          </w:p>
        </w:tc>
        <w:tc>
          <w:tcPr>
            <w:tcW w:w="827" w:type="pct"/>
            <w:shd w:val="clear" w:color="auto" w:fill="FFFDFA"/>
            <w:vAlign w:val="center"/>
          </w:tcPr>
          <w:p w14:paraId="555FB8D7">
            <w:pPr>
              <w:jc w:val="center"/>
              <w:rPr>
                <w:rFonts w:hint="eastAsia"/>
                <w:color w:val="auto"/>
                <w:sz w:val="21"/>
                <w:szCs w:val="21"/>
                <w:highlight w:val="none"/>
              </w:rPr>
            </w:pPr>
            <w:r>
              <w:rPr>
                <w:rFonts w:hint="eastAsia"/>
                <w:bCs/>
                <w:color w:val="auto"/>
                <w:sz w:val="21"/>
                <w:szCs w:val="21"/>
                <w:highlight w:val="none"/>
              </w:rPr>
              <w:t>▲</w:t>
            </w:r>
            <w:r>
              <w:rPr>
                <w:rFonts w:hint="eastAsia"/>
                <w:color w:val="auto"/>
                <w:sz w:val="21"/>
                <w:szCs w:val="21"/>
                <w:highlight w:val="none"/>
              </w:rPr>
              <w:t>交货时间及地点</w:t>
            </w:r>
          </w:p>
        </w:tc>
        <w:tc>
          <w:tcPr>
            <w:tcW w:w="3847" w:type="pct"/>
            <w:shd w:val="clear" w:color="auto" w:fill="FFFDFA"/>
            <w:vAlign w:val="center"/>
          </w:tcPr>
          <w:p w14:paraId="5442E6DF">
            <w:pPr>
              <w:spacing w:line="360" w:lineRule="exact"/>
              <w:rPr>
                <w:rFonts w:hint="eastAsia"/>
                <w:color w:val="auto"/>
                <w:sz w:val="21"/>
                <w:szCs w:val="21"/>
                <w:highlight w:val="none"/>
              </w:rPr>
            </w:pPr>
            <w:r>
              <w:rPr>
                <w:rFonts w:hint="eastAsia"/>
                <w:color w:val="auto"/>
                <w:sz w:val="21"/>
                <w:szCs w:val="21"/>
                <w:highlight w:val="none"/>
              </w:rPr>
              <w:t>1.交货地点：南宁儿童康复中心。</w:t>
            </w:r>
          </w:p>
          <w:p w14:paraId="259FDFE4">
            <w:pPr>
              <w:spacing w:line="360" w:lineRule="exact"/>
              <w:rPr>
                <w:rFonts w:hint="eastAsia"/>
                <w:color w:val="auto"/>
                <w:sz w:val="21"/>
                <w:szCs w:val="21"/>
                <w:highlight w:val="none"/>
              </w:rPr>
            </w:pPr>
            <w:r>
              <w:rPr>
                <w:rFonts w:hint="eastAsia"/>
                <w:color w:val="auto"/>
                <w:sz w:val="21"/>
                <w:szCs w:val="21"/>
                <w:highlight w:val="none"/>
              </w:rPr>
              <w:t>2.现场交货及安装。</w:t>
            </w:r>
          </w:p>
        </w:tc>
      </w:tr>
      <w:tr w14:paraId="728F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trPr>
        <w:tc>
          <w:tcPr>
            <w:tcW w:w="325" w:type="pct"/>
            <w:shd w:val="clear" w:color="auto" w:fill="FFFFFF"/>
            <w:vAlign w:val="center"/>
          </w:tcPr>
          <w:p w14:paraId="657E0503">
            <w:pPr>
              <w:jc w:val="center"/>
              <w:rPr>
                <w:rFonts w:hint="eastAsia"/>
                <w:color w:val="auto"/>
                <w:sz w:val="21"/>
                <w:szCs w:val="21"/>
                <w:highlight w:val="none"/>
              </w:rPr>
            </w:pPr>
            <w:r>
              <w:rPr>
                <w:rFonts w:hint="eastAsia"/>
                <w:color w:val="auto"/>
                <w:sz w:val="21"/>
                <w:szCs w:val="21"/>
                <w:highlight w:val="none"/>
              </w:rPr>
              <w:t>8</w:t>
            </w:r>
          </w:p>
        </w:tc>
        <w:tc>
          <w:tcPr>
            <w:tcW w:w="827" w:type="pct"/>
            <w:shd w:val="clear" w:color="auto" w:fill="FFFFFF"/>
            <w:vAlign w:val="center"/>
          </w:tcPr>
          <w:p w14:paraId="2E932D24">
            <w:pPr>
              <w:jc w:val="center"/>
              <w:rPr>
                <w:rFonts w:hint="eastAsia"/>
                <w:color w:val="auto"/>
                <w:sz w:val="21"/>
                <w:szCs w:val="21"/>
                <w:highlight w:val="none"/>
              </w:rPr>
            </w:pPr>
            <w:r>
              <w:rPr>
                <w:rFonts w:hint="eastAsia"/>
                <w:bCs/>
                <w:color w:val="auto"/>
                <w:sz w:val="21"/>
                <w:szCs w:val="21"/>
                <w:highlight w:val="none"/>
              </w:rPr>
              <w:t>▲</w:t>
            </w:r>
            <w:r>
              <w:rPr>
                <w:rFonts w:hint="eastAsia"/>
                <w:color w:val="auto"/>
                <w:sz w:val="21"/>
                <w:szCs w:val="21"/>
                <w:highlight w:val="none"/>
              </w:rPr>
              <w:t>付款条件</w:t>
            </w:r>
          </w:p>
        </w:tc>
        <w:tc>
          <w:tcPr>
            <w:tcW w:w="3847" w:type="pct"/>
            <w:shd w:val="clear" w:color="auto" w:fill="FFFFFF"/>
            <w:vAlign w:val="center"/>
          </w:tcPr>
          <w:p w14:paraId="5F379658">
            <w:pPr>
              <w:spacing w:line="360" w:lineRule="exact"/>
              <w:rPr>
                <w:rFonts w:hint="eastAsia"/>
                <w:color w:val="auto"/>
                <w:sz w:val="21"/>
                <w:szCs w:val="21"/>
                <w:highlight w:val="none"/>
              </w:rPr>
            </w:pPr>
            <w:r>
              <w:rPr>
                <w:rFonts w:hint="eastAsia"/>
                <w:color w:val="auto"/>
                <w:sz w:val="21"/>
                <w:szCs w:val="21"/>
                <w:highlight w:val="none"/>
              </w:rPr>
              <w:t>本次无预付款，设备安装调试并通过采购人验收合格后，成交人开具全额发票给采购人，</w:t>
            </w:r>
            <w:r>
              <w:rPr>
                <w:rFonts w:hint="eastAsia"/>
                <w:color w:val="0000FF"/>
                <w:sz w:val="21"/>
                <w:szCs w:val="21"/>
                <w:highlight w:val="none"/>
              </w:rPr>
              <w:t>采购人按照国库集中支付程序办理款项支付</w:t>
            </w:r>
            <w:r>
              <w:rPr>
                <w:rFonts w:hint="eastAsia"/>
                <w:color w:val="0000FF"/>
                <w:sz w:val="21"/>
                <w:szCs w:val="21"/>
                <w:highlight w:val="none"/>
                <w:lang w:val="en-US" w:eastAsia="zh-CN"/>
              </w:rPr>
              <w:t>手续。</w:t>
            </w:r>
          </w:p>
        </w:tc>
      </w:tr>
    </w:tbl>
    <w:p w14:paraId="0731A3AF">
      <w:pPr>
        <w:rPr>
          <w:rFonts w:hint="eastAsia"/>
          <w:color w:val="auto"/>
          <w:highlight w:val="none"/>
        </w:rPr>
      </w:pPr>
    </w:p>
    <w:sectPr>
      <w:footerReference r:id="rId3" w:type="default"/>
      <w:pgSz w:w="11906" w:h="16838"/>
      <w:pgMar w:top="1134" w:right="1230" w:bottom="1134" w:left="136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DFKai-SB">
    <w:altName w:val="Microsoft JhengHei Light"/>
    <w:panose1 w:val="03000509000000000000"/>
    <w:charset w:val="88"/>
    <w:family w:val="auto"/>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9C30">
    <w:pPr>
      <w:pStyle w:val="1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3"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6350">
                        <a:noFill/>
                      </a:ln>
                      <a:effectLst/>
                    </wps:spPr>
                    <wps:txbx>
                      <w:txbxContent>
                        <w:p w14:paraId="7395E424">
                          <w:pPr>
                            <w:pStyle w:val="11"/>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MEe0QAAAAIBAAAPAAAAAAAAAAEAIAAAACIAAABkcnMvZG93bnJldi54bWxQ&#10;SwECFAAUAAAACACHTuJA2pPpiTcCAABgBAAADgAAAAAAAAABACAAAAAgAQAAZHJzL2Uyb0RvYy54&#10;bWxQSwUGAAAAAAYABgBZAQAAyQUAAAAA&#10;">
              <v:fill on="f" focussize="0,0"/>
              <v:stroke on="f" weight="0.5pt"/>
              <v:imagedata o:title=""/>
              <o:lock v:ext="edit" aspectratio="f"/>
              <v:textbox inset="0mm,0mm,0mm,0mm" style="mso-fit-shape-to-text:t;">
                <w:txbxContent>
                  <w:p w14:paraId="7395E424">
                    <w:pPr>
                      <w:pStyle w:val="11"/>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D7D048"/>
    <w:multiLevelType w:val="singleLevel"/>
    <w:tmpl w:val="41D7D04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5ZGVjYWQ5YjA0OWIzYzE1NDkwODRkNDIxZjgxYTAifQ=="/>
  </w:docVars>
  <w:rsids>
    <w:rsidRoot w:val="001F1011"/>
    <w:rsid w:val="0000553E"/>
    <w:rsid w:val="00007689"/>
    <w:rsid w:val="00021A30"/>
    <w:rsid w:val="000334BD"/>
    <w:rsid w:val="00033BC3"/>
    <w:rsid w:val="0003518D"/>
    <w:rsid w:val="00043EBD"/>
    <w:rsid w:val="00044924"/>
    <w:rsid w:val="00044B80"/>
    <w:rsid w:val="000513D4"/>
    <w:rsid w:val="00055232"/>
    <w:rsid w:val="0005753A"/>
    <w:rsid w:val="000746F1"/>
    <w:rsid w:val="00074704"/>
    <w:rsid w:val="00077A1C"/>
    <w:rsid w:val="00084A7D"/>
    <w:rsid w:val="00086188"/>
    <w:rsid w:val="00090C0A"/>
    <w:rsid w:val="000B6E3A"/>
    <w:rsid w:val="000B78C3"/>
    <w:rsid w:val="000C315D"/>
    <w:rsid w:val="000D1B55"/>
    <w:rsid w:val="000D6D6C"/>
    <w:rsid w:val="000F3C53"/>
    <w:rsid w:val="000F581C"/>
    <w:rsid w:val="000F5BE1"/>
    <w:rsid w:val="00122122"/>
    <w:rsid w:val="00122276"/>
    <w:rsid w:val="001305DD"/>
    <w:rsid w:val="0015244B"/>
    <w:rsid w:val="001544A3"/>
    <w:rsid w:val="0017330E"/>
    <w:rsid w:val="0019637F"/>
    <w:rsid w:val="001A4250"/>
    <w:rsid w:val="001C3534"/>
    <w:rsid w:val="001C581B"/>
    <w:rsid w:val="001D2665"/>
    <w:rsid w:val="001D69BF"/>
    <w:rsid w:val="001F1011"/>
    <w:rsid w:val="001F3663"/>
    <w:rsid w:val="00202FA0"/>
    <w:rsid w:val="00242636"/>
    <w:rsid w:val="002612FD"/>
    <w:rsid w:val="002614EB"/>
    <w:rsid w:val="0026452C"/>
    <w:rsid w:val="00277526"/>
    <w:rsid w:val="00280AA5"/>
    <w:rsid w:val="002957AF"/>
    <w:rsid w:val="002B183B"/>
    <w:rsid w:val="002B2A73"/>
    <w:rsid w:val="002B2D72"/>
    <w:rsid w:val="002B3A69"/>
    <w:rsid w:val="002C386A"/>
    <w:rsid w:val="002D22EE"/>
    <w:rsid w:val="002D64AD"/>
    <w:rsid w:val="002E2FF8"/>
    <w:rsid w:val="002F5071"/>
    <w:rsid w:val="00315DEB"/>
    <w:rsid w:val="003207B4"/>
    <w:rsid w:val="0032508E"/>
    <w:rsid w:val="00342306"/>
    <w:rsid w:val="0035385F"/>
    <w:rsid w:val="003562CA"/>
    <w:rsid w:val="003564A4"/>
    <w:rsid w:val="00375180"/>
    <w:rsid w:val="00385046"/>
    <w:rsid w:val="00386635"/>
    <w:rsid w:val="00394616"/>
    <w:rsid w:val="003A1EC0"/>
    <w:rsid w:val="003A3DE7"/>
    <w:rsid w:val="003B62BE"/>
    <w:rsid w:val="003C5996"/>
    <w:rsid w:val="0041233E"/>
    <w:rsid w:val="00413D01"/>
    <w:rsid w:val="00420F43"/>
    <w:rsid w:val="00426E9E"/>
    <w:rsid w:val="00441B14"/>
    <w:rsid w:val="00447B07"/>
    <w:rsid w:val="00450B08"/>
    <w:rsid w:val="00464C27"/>
    <w:rsid w:val="00465B83"/>
    <w:rsid w:val="004730DD"/>
    <w:rsid w:val="004807B9"/>
    <w:rsid w:val="0048388A"/>
    <w:rsid w:val="004920DA"/>
    <w:rsid w:val="004A108C"/>
    <w:rsid w:val="004A66EA"/>
    <w:rsid w:val="004B2C9B"/>
    <w:rsid w:val="004B4F99"/>
    <w:rsid w:val="004C0D8A"/>
    <w:rsid w:val="004D3346"/>
    <w:rsid w:val="004F4834"/>
    <w:rsid w:val="005011B5"/>
    <w:rsid w:val="00553106"/>
    <w:rsid w:val="00574310"/>
    <w:rsid w:val="00575DB2"/>
    <w:rsid w:val="00577DB5"/>
    <w:rsid w:val="00592382"/>
    <w:rsid w:val="005979A4"/>
    <w:rsid w:val="005A51EE"/>
    <w:rsid w:val="005B2E03"/>
    <w:rsid w:val="005B4D05"/>
    <w:rsid w:val="005B4FF7"/>
    <w:rsid w:val="005C04CE"/>
    <w:rsid w:val="005C5618"/>
    <w:rsid w:val="005D4320"/>
    <w:rsid w:val="005F0DD2"/>
    <w:rsid w:val="00614A4B"/>
    <w:rsid w:val="00616234"/>
    <w:rsid w:val="006167B7"/>
    <w:rsid w:val="0063772B"/>
    <w:rsid w:val="006561FC"/>
    <w:rsid w:val="006811AE"/>
    <w:rsid w:val="00681AD0"/>
    <w:rsid w:val="00686D2A"/>
    <w:rsid w:val="0069142B"/>
    <w:rsid w:val="00697BF3"/>
    <w:rsid w:val="006B65F4"/>
    <w:rsid w:val="006C6BE3"/>
    <w:rsid w:val="006E3BE5"/>
    <w:rsid w:val="006E5560"/>
    <w:rsid w:val="006F7CB6"/>
    <w:rsid w:val="0070364B"/>
    <w:rsid w:val="007252FE"/>
    <w:rsid w:val="007314D8"/>
    <w:rsid w:val="00744A30"/>
    <w:rsid w:val="00753425"/>
    <w:rsid w:val="007538B6"/>
    <w:rsid w:val="0076204C"/>
    <w:rsid w:val="00782FCF"/>
    <w:rsid w:val="00787857"/>
    <w:rsid w:val="007A1658"/>
    <w:rsid w:val="007C1A89"/>
    <w:rsid w:val="007D2EB9"/>
    <w:rsid w:val="007D4E1B"/>
    <w:rsid w:val="007E281A"/>
    <w:rsid w:val="007E57F1"/>
    <w:rsid w:val="0082474E"/>
    <w:rsid w:val="0082630B"/>
    <w:rsid w:val="00837847"/>
    <w:rsid w:val="00870AFB"/>
    <w:rsid w:val="00873694"/>
    <w:rsid w:val="008751AD"/>
    <w:rsid w:val="00875616"/>
    <w:rsid w:val="008B2EA4"/>
    <w:rsid w:val="008B5738"/>
    <w:rsid w:val="008D7426"/>
    <w:rsid w:val="009126FB"/>
    <w:rsid w:val="00936686"/>
    <w:rsid w:val="00965F64"/>
    <w:rsid w:val="00976F5E"/>
    <w:rsid w:val="009A6977"/>
    <w:rsid w:val="009B405B"/>
    <w:rsid w:val="009D615C"/>
    <w:rsid w:val="009F08F8"/>
    <w:rsid w:val="00A0444F"/>
    <w:rsid w:val="00A125F0"/>
    <w:rsid w:val="00A2187F"/>
    <w:rsid w:val="00A4595D"/>
    <w:rsid w:val="00A461AC"/>
    <w:rsid w:val="00A57527"/>
    <w:rsid w:val="00A6006F"/>
    <w:rsid w:val="00A612A5"/>
    <w:rsid w:val="00A808C0"/>
    <w:rsid w:val="00A936A4"/>
    <w:rsid w:val="00AB5F8B"/>
    <w:rsid w:val="00AB7275"/>
    <w:rsid w:val="00AC4219"/>
    <w:rsid w:val="00AD08EB"/>
    <w:rsid w:val="00AD20C1"/>
    <w:rsid w:val="00AD6A8B"/>
    <w:rsid w:val="00AF76B9"/>
    <w:rsid w:val="00B01B77"/>
    <w:rsid w:val="00B10928"/>
    <w:rsid w:val="00B115EC"/>
    <w:rsid w:val="00B25602"/>
    <w:rsid w:val="00B40801"/>
    <w:rsid w:val="00B504B2"/>
    <w:rsid w:val="00B61C31"/>
    <w:rsid w:val="00B6516E"/>
    <w:rsid w:val="00B71358"/>
    <w:rsid w:val="00B72347"/>
    <w:rsid w:val="00B76450"/>
    <w:rsid w:val="00B8043B"/>
    <w:rsid w:val="00B80B1B"/>
    <w:rsid w:val="00B85859"/>
    <w:rsid w:val="00B96570"/>
    <w:rsid w:val="00BC101F"/>
    <w:rsid w:val="00C03BCB"/>
    <w:rsid w:val="00C34293"/>
    <w:rsid w:val="00C36364"/>
    <w:rsid w:val="00C41B9D"/>
    <w:rsid w:val="00C54348"/>
    <w:rsid w:val="00C73680"/>
    <w:rsid w:val="00C83272"/>
    <w:rsid w:val="00C83F93"/>
    <w:rsid w:val="00C85898"/>
    <w:rsid w:val="00C8610F"/>
    <w:rsid w:val="00C94047"/>
    <w:rsid w:val="00CB1F80"/>
    <w:rsid w:val="00CF646C"/>
    <w:rsid w:val="00CF7BB9"/>
    <w:rsid w:val="00D26C64"/>
    <w:rsid w:val="00D47D5A"/>
    <w:rsid w:val="00D5695A"/>
    <w:rsid w:val="00D87E69"/>
    <w:rsid w:val="00D97EFF"/>
    <w:rsid w:val="00DA2553"/>
    <w:rsid w:val="00DA7C94"/>
    <w:rsid w:val="00DC036E"/>
    <w:rsid w:val="00DC085F"/>
    <w:rsid w:val="00DD0195"/>
    <w:rsid w:val="00DE6671"/>
    <w:rsid w:val="00E07BFA"/>
    <w:rsid w:val="00E15F71"/>
    <w:rsid w:val="00E22003"/>
    <w:rsid w:val="00E25D29"/>
    <w:rsid w:val="00E349CC"/>
    <w:rsid w:val="00E352C6"/>
    <w:rsid w:val="00E369D2"/>
    <w:rsid w:val="00E37ADD"/>
    <w:rsid w:val="00E72197"/>
    <w:rsid w:val="00E830DF"/>
    <w:rsid w:val="00E90E56"/>
    <w:rsid w:val="00E92DF5"/>
    <w:rsid w:val="00E94C49"/>
    <w:rsid w:val="00E97ACA"/>
    <w:rsid w:val="00EA09EC"/>
    <w:rsid w:val="00EA5569"/>
    <w:rsid w:val="00EA55EF"/>
    <w:rsid w:val="00EB4DC1"/>
    <w:rsid w:val="00F109A8"/>
    <w:rsid w:val="00F144A6"/>
    <w:rsid w:val="00F6512C"/>
    <w:rsid w:val="00F66C02"/>
    <w:rsid w:val="00F85883"/>
    <w:rsid w:val="00F8632B"/>
    <w:rsid w:val="00FB29A3"/>
    <w:rsid w:val="00FD2659"/>
    <w:rsid w:val="00FE0E76"/>
    <w:rsid w:val="011D12F1"/>
    <w:rsid w:val="01544BBF"/>
    <w:rsid w:val="01557885"/>
    <w:rsid w:val="02685E37"/>
    <w:rsid w:val="02EF39F5"/>
    <w:rsid w:val="030B7CD5"/>
    <w:rsid w:val="03686C68"/>
    <w:rsid w:val="0394180E"/>
    <w:rsid w:val="04BB1B38"/>
    <w:rsid w:val="05F94CBD"/>
    <w:rsid w:val="072034F0"/>
    <w:rsid w:val="0733371A"/>
    <w:rsid w:val="07E76EF1"/>
    <w:rsid w:val="084628F2"/>
    <w:rsid w:val="08BA0844"/>
    <w:rsid w:val="09153E4C"/>
    <w:rsid w:val="098565D2"/>
    <w:rsid w:val="09C15C02"/>
    <w:rsid w:val="09DA460A"/>
    <w:rsid w:val="0A5F7231"/>
    <w:rsid w:val="0B43483B"/>
    <w:rsid w:val="0C175FAD"/>
    <w:rsid w:val="0C1E10EA"/>
    <w:rsid w:val="0E7B3726"/>
    <w:rsid w:val="0EA23819"/>
    <w:rsid w:val="0EC07EDD"/>
    <w:rsid w:val="0ECB3364"/>
    <w:rsid w:val="0F115C50"/>
    <w:rsid w:val="0F847DFE"/>
    <w:rsid w:val="10260F59"/>
    <w:rsid w:val="106654C9"/>
    <w:rsid w:val="11600CD6"/>
    <w:rsid w:val="11986BEC"/>
    <w:rsid w:val="11DC2922"/>
    <w:rsid w:val="124D7AEF"/>
    <w:rsid w:val="12541E50"/>
    <w:rsid w:val="12CB228E"/>
    <w:rsid w:val="12F11306"/>
    <w:rsid w:val="12FE2C52"/>
    <w:rsid w:val="13225800"/>
    <w:rsid w:val="13A448D1"/>
    <w:rsid w:val="140E67CF"/>
    <w:rsid w:val="1410165D"/>
    <w:rsid w:val="14496F20"/>
    <w:rsid w:val="148230FD"/>
    <w:rsid w:val="14E360FC"/>
    <w:rsid w:val="15190006"/>
    <w:rsid w:val="15982039"/>
    <w:rsid w:val="15FA2B4B"/>
    <w:rsid w:val="165A598A"/>
    <w:rsid w:val="16E178E4"/>
    <w:rsid w:val="1727562F"/>
    <w:rsid w:val="17384384"/>
    <w:rsid w:val="178C2C54"/>
    <w:rsid w:val="188624F1"/>
    <w:rsid w:val="18BA03EC"/>
    <w:rsid w:val="192F2B88"/>
    <w:rsid w:val="19A3205B"/>
    <w:rsid w:val="19D9003D"/>
    <w:rsid w:val="19F416DC"/>
    <w:rsid w:val="1A522939"/>
    <w:rsid w:val="1B4F0E81"/>
    <w:rsid w:val="1B6819AF"/>
    <w:rsid w:val="1BCD0437"/>
    <w:rsid w:val="1BF93576"/>
    <w:rsid w:val="1C774562"/>
    <w:rsid w:val="1D21405D"/>
    <w:rsid w:val="1D523B45"/>
    <w:rsid w:val="1D803F2F"/>
    <w:rsid w:val="1DF47EFC"/>
    <w:rsid w:val="1E025426"/>
    <w:rsid w:val="1EDB2E6A"/>
    <w:rsid w:val="1F770DE5"/>
    <w:rsid w:val="1FBD74C9"/>
    <w:rsid w:val="2043510B"/>
    <w:rsid w:val="2139763B"/>
    <w:rsid w:val="224D09C3"/>
    <w:rsid w:val="231142A3"/>
    <w:rsid w:val="235C0A1E"/>
    <w:rsid w:val="23703462"/>
    <w:rsid w:val="23AC3027"/>
    <w:rsid w:val="23DD25C1"/>
    <w:rsid w:val="24611C1C"/>
    <w:rsid w:val="24974D7D"/>
    <w:rsid w:val="25010055"/>
    <w:rsid w:val="25527B1E"/>
    <w:rsid w:val="25812575"/>
    <w:rsid w:val="25F0301C"/>
    <w:rsid w:val="263952BC"/>
    <w:rsid w:val="263C68E5"/>
    <w:rsid w:val="268E6AA9"/>
    <w:rsid w:val="271629FB"/>
    <w:rsid w:val="27624935"/>
    <w:rsid w:val="27CB0983"/>
    <w:rsid w:val="285A4982"/>
    <w:rsid w:val="288F460B"/>
    <w:rsid w:val="28C22A00"/>
    <w:rsid w:val="293F0D41"/>
    <w:rsid w:val="29C06E51"/>
    <w:rsid w:val="2ACA385F"/>
    <w:rsid w:val="2B8B3BB9"/>
    <w:rsid w:val="2BB22260"/>
    <w:rsid w:val="2BC66D82"/>
    <w:rsid w:val="2C7A4D6A"/>
    <w:rsid w:val="2C882884"/>
    <w:rsid w:val="2CB25CD8"/>
    <w:rsid w:val="2D673B6A"/>
    <w:rsid w:val="3147217E"/>
    <w:rsid w:val="31880C30"/>
    <w:rsid w:val="330003E2"/>
    <w:rsid w:val="335A674B"/>
    <w:rsid w:val="341A7FF1"/>
    <w:rsid w:val="341D5431"/>
    <w:rsid w:val="342712DB"/>
    <w:rsid w:val="34653CA5"/>
    <w:rsid w:val="34A46DF0"/>
    <w:rsid w:val="34C957E7"/>
    <w:rsid w:val="354A0D64"/>
    <w:rsid w:val="356D6ABA"/>
    <w:rsid w:val="35A62223"/>
    <w:rsid w:val="369776E4"/>
    <w:rsid w:val="370B4A9C"/>
    <w:rsid w:val="378B409C"/>
    <w:rsid w:val="39AB4C98"/>
    <w:rsid w:val="3A224785"/>
    <w:rsid w:val="3ADD7E34"/>
    <w:rsid w:val="3AE51303"/>
    <w:rsid w:val="3B221CDB"/>
    <w:rsid w:val="3BD72DBB"/>
    <w:rsid w:val="3D2139CC"/>
    <w:rsid w:val="3E2717D1"/>
    <w:rsid w:val="3EEA04B3"/>
    <w:rsid w:val="3FFE3D07"/>
    <w:rsid w:val="407A2BA2"/>
    <w:rsid w:val="41301A23"/>
    <w:rsid w:val="41580872"/>
    <w:rsid w:val="41832A67"/>
    <w:rsid w:val="4282466B"/>
    <w:rsid w:val="42C378F3"/>
    <w:rsid w:val="448862EB"/>
    <w:rsid w:val="44AE0556"/>
    <w:rsid w:val="44C81EA9"/>
    <w:rsid w:val="44DB0E82"/>
    <w:rsid w:val="45284162"/>
    <w:rsid w:val="45535547"/>
    <w:rsid w:val="463E6C8B"/>
    <w:rsid w:val="46405B25"/>
    <w:rsid w:val="46780020"/>
    <w:rsid w:val="46821749"/>
    <w:rsid w:val="46C8288B"/>
    <w:rsid w:val="472F5159"/>
    <w:rsid w:val="47506E88"/>
    <w:rsid w:val="476D64A6"/>
    <w:rsid w:val="47723ABC"/>
    <w:rsid w:val="477A73D0"/>
    <w:rsid w:val="47B5320C"/>
    <w:rsid w:val="47D5010B"/>
    <w:rsid w:val="47E86111"/>
    <w:rsid w:val="480D41E4"/>
    <w:rsid w:val="4912538A"/>
    <w:rsid w:val="491D5CAA"/>
    <w:rsid w:val="495B4F02"/>
    <w:rsid w:val="4A723928"/>
    <w:rsid w:val="4A7B6C66"/>
    <w:rsid w:val="4AC21CF1"/>
    <w:rsid w:val="4B2F0C07"/>
    <w:rsid w:val="4B6425A8"/>
    <w:rsid w:val="4B7D06FF"/>
    <w:rsid w:val="4BB5510E"/>
    <w:rsid w:val="4C2118B3"/>
    <w:rsid w:val="4C7C18D7"/>
    <w:rsid w:val="4D67709C"/>
    <w:rsid w:val="4DBB5113"/>
    <w:rsid w:val="4DD22E83"/>
    <w:rsid w:val="4E1D2330"/>
    <w:rsid w:val="4E2D248E"/>
    <w:rsid w:val="4E546956"/>
    <w:rsid w:val="4E7A1EA6"/>
    <w:rsid w:val="4EFF6A57"/>
    <w:rsid w:val="4F147B4F"/>
    <w:rsid w:val="4F166C4D"/>
    <w:rsid w:val="50DD58C5"/>
    <w:rsid w:val="51136310"/>
    <w:rsid w:val="5161270B"/>
    <w:rsid w:val="51A864DF"/>
    <w:rsid w:val="51E37A59"/>
    <w:rsid w:val="52F142C1"/>
    <w:rsid w:val="53565585"/>
    <w:rsid w:val="53A7451A"/>
    <w:rsid w:val="56066468"/>
    <w:rsid w:val="565D2223"/>
    <w:rsid w:val="56760CC4"/>
    <w:rsid w:val="5698723E"/>
    <w:rsid w:val="570E7170"/>
    <w:rsid w:val="57AA621C"/>
    <w:rsid w:val="57EA53CE"/>
    <w:rsid w:val="583F79EB"/>
    <w:rsid w:val="59260671"/>
    <w:rsid w:val="593D71D2"/>
    <w:rsid w:val="5981749E"/>
    <w:rsid w:val="59B20569"/>
    <w:rsid w:val="59BD4E33"/>
    <w:rsid w:val="59E22D24"/>
    <w:rsid w:val="59F01359"/>
    <w:rsid w:val="5B026B12"/>
    <w:rsid w:val="5B2A78B3"/>
    <w:rsid w:val="5B445318"/>
    <w:rsid w:val="5B4D6831"/>
    <w:rsid w:val="5B61290C"/>
    <w:rsid w:val="5D140CE7"/>
    <w:rsid w:val="5D446CA9"/>
    <w:rsid w:val="5D691B4C"/>
    <w:rsid w:val="5DD40262"/>
    <w:rsid w:val="5E785B24"/>
    <w:rsid w:val="5E9A04F7"/>
    <w:rsid w:val="5EDA221B"/>
    <w:rsid w:val="5F182D44"/>
    <w:rsid w:val="5F186E9A"/>
    <w:rsid w:val="60242901"/>
    <w:rsid w:val="6064040F"/>
    <w:rsid w:val="60924BE4"/>
    <w:rsid w:val="62A6083D"/>
    <w:rsid w:val="62B236BD"/>
    <w:rsid w:val="631057CC"/>
    <w:rsid w:val="632641AF"/>
    <w:rsid w:val="637D586B"/>
    <w:rsid w:val="63AF5FDC"/>
    <w:rsid w:val="64AE3654"/>
    <w:rsid w:val="66200076"/>
    <w:rsid w:val="665135D2"/>
    <w:rsid w:val="6666121D"/>
    <w:rsid w:val="666E2ACC"/>
    <w:rsid w:val="667029CC"/>
    <w:rsid w:val="67B30C63"/>
    <w:rsid w:val="68155815"/>
    <w:rsid w:val="682C02AE"/>
    <w:rsid w:val="68B31623"/>
    <w:rsid w:val="69B03242"/>
    <w:rsid w:val="6A645B73"/>
    <w:rsid w:val="6B516B5C"/>
    <w:rsid w:val="6B8F47B7"/>
    <w:rsid w:val="6C3F20A2"/>
    <w:rsid w:val="6C7526BD"/>
    <w:rsid w:val="6D02447F"/>
    <w:rsid w:val="6DE670D0"/>
    <w:rsid w:val="6DFC4F92"/>
    <w:rsid w:val="6E335B93"/>
    <w:rsid w:val="6EA55897"/>
    <w:rsid w:val="6EBB2811"/>
    <w:rsid w:val="6ECD53E2"/>
    <w:rsid w:val="6F22699A"/>
    <w:rsid w:val="6F265B08"/>
    <w:rsid w:val="7090045B"/>
    <w:rsid w:val="72254828"/>
    <w:rsid w:val="72C840F4"/>
    <w:rsid w:val="73177D95"/>
    <w:rsid w:val="73410663"/>
    <w:rsid w:val="743B53B8"/>
    <w:rsid w:val="74450E79"/>
    <w:rsid w:val="74FF0DCD"/>
    <w:rsid w:val="76A17EFF"/>
    <w:rsid w:val="76A50F09"/>
    <w:rsid w:val="77753323"/>
    <w:rsid w:val="77B038F5"/>
    <w:rsid w:val="77F71820"/>
    <w:rsid w:val="780F2FC1"/>
    <w:rsid w:val="78A02AD5"/>
    <w:rsid w:val="794A62BA"/>
    <w:rsid w:val="797579F0"/>
    <w:rsid w:val="79BD08E9"/>
    <w:rsid w:val="7A7B50B2"/>
    <w:rsid w:val="7AB636E5"/>
    <w:rsid w:val="7AE929D2"/>
    <w:rsid w:val="7BC43454"/>
    <w:rsid w:val="7C29587F"/>
    <w:rsid w:val="7C2D63D6"/>
    <w:rsid w:val="7C7E6484"/>
    <w:rsid w:val="7CB265E0"/>
    <w:rsid w:val="7DCB4039"/>
    <w:rsid w:val="7E2D1F10"/>
    <w:rsid w:val="7E645D4D"/>
    <w:rsid w:val="7F513E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line="360" w:lineRule="auto"/>
      <w:outlineLvl w:val="1"/>
    </w:pPr>
    <w:rPr>
      <w:b/>
      <w:bCs/>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szCs w:val="20"/>
    </w:rPr>
  </w:style>
  <w:style w:type="paragraph" w:styleId="5">
    <w:name w:val="annotation text"/>
    <w:basedOn w:val="1"/>
    <w:qFormat/>
    <w:uiPriority w:val="0"/>
  </w:style>
  <w:style w:type="paragraph" w:styleId="6">
    <w:name w:val="Body Text"/>
    <w:basedOn w:val="1"/>
    <w:unhideWhenUsed/>
    <w:qFormat/>
    <w:uiPriority w:val="0"/>
    <w:pPr>
      <w:spacing w:after="120"/>
    </w:pPr>
    <w:rPr>
      <w:rFonts w:eastAsia="仿宋_GB2312" w:cs="Times New Roman"/>
      <w:b/>
      <w:szCs w:val="21"/>
    </w:rPr>
  </w:style>
  <w:style w:type="paragraph" w:styleId="7">
    <w:name w:val="Body Text Indent"/>
    <w:basedOn w:val="1"/>
    <w:qFormat/>
    <w:uiPriority w:val="0"/>
    <w:pPr>
      <w:ind w:firstLine="830" w:firstLineChars="352"/>
    </w:pPr>
    <w:rPr>
      <w:rFonts w:ascii="仿宋_GB2312" w:eastAsia="仿宋_GB2312"/>
      <w:sz w:val="32"/>
      <w:szCs w:val="20"/>
    </w:rPr>
  </w:style>
  <w:style w:type="paragraph" w:styleId="8">
    <w:name w:val="Plain Text"/>
    <w:basedOn w:val="1"/>
    <w:qFormat/>
    <w:uiPriority w:val="0"/>
    <w:rPr>
      <w:rFonts w:hAnsi="Courier New"/>
      <w:sz w:val="20"/>
      <w:szCs w:val="21"/>
    </w:r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22"/>
    <w:semiHidden/>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HTML Preformatted"/>
    <w:basedOn w:val="1"/>
    <w:link w:val="23"/>
    <w:semiHidden/>
    <w:unhideWhenUsed/>
    <w:qFormat/>
    <w:uiPriority w:val="99"/>
    <w:rPr>
      <w:rFonts w:ascii="Courier New" w:hAnsi="Courier New" w:cs="Courier New"/>
      <w:sz w:val="2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页眉 字符"/>
    <w:basedOn w:val="17"/>
    <w:link w:val="12"/>
    <w:qFormat/>
    <w:uiPriority w:val="99"/>
    <w:rPr>
      <w:rFonts w:ascii="宋体" w:hAnsi="宋体" w:eastAsia="宋体" w:cs="宋体"/>
      <w:kern w:val="0"/>
      <w:sz w:val="18"/>
      <w:szCs w:val="18"/>
    </w:rPr>
  </w:style>
  <w:style w:type="character" w:customStyle="1" w:styleId="21">
    <w:name w:val="页脚 字符"/>
    <w:basedOn w:val="17"/>
    <w:link w:val="11"/>
    <w:qFormat/>
    <w:uiPriority w:val="99"/>
    <w:rPr>
      <w:rFonts w:ascii="宋体" w:hAnsi="宋体" w:eastAsia="宋体" w:cs="宋体"/>
      <w:kern w:val="0"/>
      <w:sz w:val="18"/>
      <w:szCs w:val="18"/>
    </w:rPr>
  </w:style>
  <w:style w:type="character" w:customStyle="1" w:styleId="22">
    <w:name w:val="批注框文本 字符"/>
    <w:basedOn w:val="17"/>
    <w:link w:val="10"/>
    <w:semiHidden/>
    <w:qFormat/>
    <w:uiPriority w:val="99"/>
    <w:rPr>
      <w:rFonts w:ascii="宋体" w:hAnsi="宋体" w:eastAsia="宋体" w:cs="宋体"/>
      <w:kern w:val="0"/>
      <w:sz w:val="18"/>
      <w:szCs w:val="18"/>
    </w:rPr>
  </w:style>
  <w:style w:type="character" w:customStyle="1" w:styleId="23">
    <w:name w:val="HTML 预设格式 字符"/>
    <w:basedOn w:val="17"/>
    <w:link w:val="14"/>
    <w:semiHidden/>
    <w:qFormat/>
    <w:uiPriority w:val="99"/>
    <w:rPr>
      <w:rFonts w:ascii="Courier New" w:hAnsi="Courier New" w:eastAsia="宋体" w:cs="Courier New"/>
      <w:kern w:val="0"/>
      <w:sz w:val="20"/>
      <w:szCs w:val="20"/>
    </w:rPr>
  </w:style>
  <w:style w:type="character" w:customStyle="1" w:styleId="24">
    <w:name w:val="标题 1 字符"/>
    <w:basedOn w:val="17"/>
    <w:link w:val="2"/>
    <w:qFormat/>
    <w:uiPriority w:val="9"/>
    <w:rPr>
      <w:rFonts w:ascii="宋体" w:hAnsi="宋体" w:eastAsia="宋体" w:cs="宋体"/>
      <w:b/>
      <w:bCs/>
      <w:kern w:val="44"/>
      <w:sz w:val="44"/>
      <w:szCs w:val="44"/>
    </w:rPr>
  </w:style>
  <w:style w:type="paragraph" w:customStyle="1" w:styleId="25">
    <w:name w:val="Default"/>
    <w:basedOn w:val="1"/>
    <w:qFormat/>
    <w:uiPriority w:val="0"/>
    <w:pPr>
      <w:widowControl w:val="0"/>
      <w:autoSpaceDE w:val="0"/>
      <w:autoSpaceDN w:val="0"/>
      <w:adjustRightInd w:val="0"/>
    </w:pPr>
    <w:rPr>
      <w:rFonts w:ascii="Times New Roman" w:hAnsi="Times New Roman" w:cs="Times New Roman"/>
      <w:color w:val="000000"/>
    </w:rPr>
  </w:style>
  <w:style w:type="paragraph" w:customStyle="1" w:styleId="26">
    <w:name w:val="Table Paragraph"/>
    <w:basedOn w:val="1"/>
    <w:qFormat/>
    <w:uiPriority w:val="1"/>
    <w:pPr>
      <w:spacing w:before="30" w:line="278" w:lineRule="exact"/>
      <w:ind w:left="45"/>
    </w:pPr>
    <w:rPr>
      <w:lang w:val="zh-CN" w:bidi="zh-CN"/>
    </w:rPr>
  </w:style>
  <w:style w:type="paragraph" w:customStyle="1" w:styleId="2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28">
    <w:name w:val="font61"/>
    <w:basedOn w:val="17"/>
    <w:qFormat/>
    <w:uiPriority w:val="0"/>
    <w:rPr>
      <w:rFonts w:hint="eastAsia" w:ascii="宋体" w:hAnsi="宋体" w:eastAsia="宋体" w:cs="宋体"/>
      <w:b/>
      <w:bCs/>
      <w:color w:val="000000"/>
      <w:sz w:val="18"/>
      <w:szCs w:val="18"/>
      <w:u w:val="none"/>
    </w:rPr>
  </w:style>
  <w:style w:type="character" w:customStyle="1" w:styleId="29">
    <w:name w:val="font31"/>
    <w:basedOn w:val="17"/>
    <w:qFormat/>
    <w:uiPriority w:val="0"/>
    <w:rPr>
      <w:rFonts w:hint="eastAsia" w:ascii="宋体" w:hAnsi="宋体" w:eastAsia="宋体" w:cs="宋体"/>
      <w:color w:val="000000"/>
      <w:sz w:val="18"/>
      <w:szCs w:val="18"/>
      <w:u w:val="none"/>
    </w:rPr>
  </w:style>
  <w:style w:type="character" w:customStyle="1" w:styleId="30">
    <w:name w:val="font41"/>
    <w:basedOn w:val="17"/>
    <w:qFormat/>
    <w:uiPriority w:val="0"/>
    <w:rPr>
      <w:rFonts w:hint="eastAsia" w:ascii="宋体" w:hAnsi="宋体" w:eastAsia="宋体" w:cs="宋体"/>
      <w:b/>
      <w:bCs/>
      <w:color w:val="000000"/>
      <w:sz w:val="18"/>
      <w:szCs w:val="18"/>
      <w:u w:val="none"/>
    </w:rPr>
  </w:style>
  <w:style w:type="character" w:customStyle="1" w:styleId="31">
    <w:name w:val="font71"/>
    <w:basedOn w:val="17"/>
    <w:qFormat/>
    <w:uiPriority w:val="0"/>
    <w:rPr>
      <w:rFonts w:hint="eastAsia" w:ascii="宋体" w:hAnsi="宋体" w:eastAsia="宋体" w:cs="宋体"/>
      <w:color w:val="000000"/>
      <w:sz w:val="18"/>
      <w:szCs w:val="18"/>
      <w:u w:val="none"/>
    </w:rPr>
  </w:style>
  <w:style w:type="character" w:customStyle="1" w:styleId="32">
    <w:name w:val="font81"/>
    <w:basedOn w:val="17"/>
    <w:qFormat/>
    <w:uiPriority w:val="0"/>
    <w:rPr>
      <w:rFonts w:hint="eastAsia" w:ascii="宋体" w:hAnsi="宋体" w:eastAsia="宋体" w:cs="宋体"/>
      <w:color w:val="000000"/>
      <w:sz w:val="18"/>
      <w:szCs w:val="18"/>
      <w:u w:val="none"/>
      <w:vertAlign w:val="superscript"/>
    </w:rPr>
  </w:style>
  <w:style w:type="character" w:customStyle="1" w:styleId="33">
    <w:name w:val="font21"/>
    <w:basedOn w:val="17"/>
    <w:qFormat/>
    <w:uiPriority w:val="0"/>
    <w:rPr>
      <w:rFonts w:hint="eastAsia" w:ascii="宋体" w:hAnsi="宋体" w:eastAsia="宋体" w:cs="宋体"/>
      <w:color w:val="000000"/>
      <w:sz w:val="18"/>
      <w:szCs w:val="18"/>
      <w:u w:val="none"/>
    </w:rPr>
  </w:style>
  <w:style w:type="character" w:customStyle="1" w:styleId="34">
    <w:name w:val="font51"/>
    <w:basedOn w:val="17"/>
    <w:qFormat/>
    <w:uiPriority w:val="0"/>
    <w:rPr>
      <w:rFonts w:hint="eastAsia" w:ascii="宋体" w:hAnsi="宋体" w:eastAsia="宋体" w:cs="宋体"/>
      <w:b/>
      <w:bCs/>
      <w:color w:val="000000"/>
      <w:sz w:val="18"/>
      <w:szCs w:val="18"/>
      <w:u w:val="none"/>
    </w:rPr>
  </w:style>
  <w:style w:type="character" w:customStyle="1" w:styleId="35">
    <w:name w:val="正文 + 宋体 Char"/>
    <w:link w:val="36"/>
    <w:qFormat/>
    <w:uiPriority w:val="0"/>
    <w:rPr>
      <w:rFonts w:ascii="宋体" w:hAnsi="宋体"/>
      <w:b/>
      <w:sz w:val="24"/>
    </w:rPr>
  </w:style>
  <w:style w:type="paragraph" w:customStyle="1" w:styleId="36">
    <w:name w:val="正文 + 宋体"/>
    <w:basedOn w:val="9"/>
    <w:link w:val="35"/>
    <w:qFormat/>
    <w:uiPriority w:val="0"/>
    <w:pPr>
      <w:spacing w:line="480" w:lineRule="exact"/>
      <w:ind w:left="0" w:leftChars="0"/>
    </w:pPr>
    <w:rPr>
      <w:b/>
    </w:rPr>
  </w:style>
  <w:style w:type="paragraph" w:customStyle="1" w:styleId="37">
    <w:name w:val="Table Text"/>
    <w:basedOn w:val="1"/>
    <w:semiHidden/>
    <w:qFormat/>
    <w:uiPriority w:val="0"/>
    <w:rPr>
      <w:sz w:val="19"/>
      <w:szCs w:val="19"/>
      <w:lang w:eastAsia="en-US"/>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styleId="39">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5</Pages>
  <Words>3181</Words>
  <Characters>3635</Characters>
  <Lines>96</Lines>
  <Paragraphs>66</Paragraphs>
  <TotalTime>4</TotalTime>
  <ScaleCrop>false</ScaleCrop>
  <LinksUpToDate>false</LinksUpToDate>
  <CharactersWithSpaces>3664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2023-05-07T07:21:00Z</dcterms:created>
  <dc:creator>Administrator</dc:creator>
  <cp:lastModifiedBy>陆</cp:lastModifiedBy>
  <cp:lastPrinted>2025-07-23T10:42:00Z</cp:lastPrinted>
  <dcterms:modified xsi:type="dcterms:W3CDTF">2025-10-28T02:18:49Z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37E1E1DD5CA946588E67569B5ECC2832_13</vt:lpwstr>
  </property>
  <property fmtid="{D5CDD505-2E9C-101B-9397-08002B2CF9AE}" pid="4" name="KSOTemplateDocerSaveRecord">
    <vt:lpwstr>eyJoZGlkIjoiN2ZmYzFiZWYyNzY5YWQ4NDY0NzBmMTY1YWYzNDZjZDIiLCJ1c2VySWQiOiI4MTY2MTEzMTUifQ==</vt:lpwstr>
  </property>
</Properties>
</file>