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宋体" w:hAnsi="宋体"/>
          <w:color w:val="000000"/>
          <w:szCs w:val="21"/>
          <w:highlight w:val="none"/>
          <w:lang w:val="en-US" w:eastAsia="zh-CN"/>
        </w:rPr>
      </w:pPr>
      <w:bookmarkStart w:id="0" w:name="OLE_LINK7"/>
      <w:bookmarkStart w:id="1" w:name="_Toc1242"/>
      <w:r>
        <w:rPr>
          <w:rFonts w:hint="eastAsia" w:ascii="宋体" w:hAnsi="宋体"/>
          <w:color w:val="000000"/>
          <w:szCs w:val="21"/>
          <w:highlight w:val="none"/>
          <w:lang w:eastAsia="zh-CN"/>
        </w:rPr>
        <w:t>上林县公安局天网一、二、三期及龙母湖景区视频监控点对点数字电路服务项目</w:t>
      </w:r>
      <w:bookmarkEnd w:id="0"/>
      <w:r>
        <w:rPr>
          <w:rFonts w:hint="eastAsia" w:ascii="宋体" w:hAnsi="宋体"/>
          <w:color w:val="000000"/>
          <w:szCs w:val="21"/>
          <w:highlight w:val="none"/>
          <w:lang w:eastAsia="zh-CN"/>
        </w:rPr>
        <w:t>需求一览表</w:t>
      </w:r>
    </w:p>
    <w:p>
      <w:pPr>
        <w:pStyle w:val="3"/>
        <w:numPr>
          <w:ilvl w:val="0"/>
          <w:numId w:val="0"/>
        </w:numPr>
        <w:ind w:leftChars="0"/>
        <w:jc w:val="left"/>
        <w:rPr>
          <w:rFonts w:ascii="宋体" w:hAnsi="宋体"/>
          <w:bCs w:val="0"/>
          <w:sz w:val="21"/>
          <w:szCs w:val="21"/>
          <w:highlight w:val="none"/>
        </w:rPr>
      </w:pPr>
      <w:r>
        <w:rPr>
          <w:rFonts w:hint="eastAsia" w:ascii="宋体" w:hAnsi="宋体"/>
          <w:bCs w:val="0"/>
          <w:sz w:val="21"/>
          <w:szCs w:val="21"/>
          <w:highlight w:val="none"/>
          <w:lang w:eastAsia="zh-CN"/>
        </w:rPr>
        <w:t>一、</w:t>
      </w:r>
      <w:r>
        <w:rPr>
          <w:rFonts w:hint="eastAsia" w:ascii="宋体" w:hAnsi="宋体"/>
          <w:bCs w:val="0"/>
          <w:sz w:val="21"/>
          <w:szCs w:val="21"/>
          <w:highlight w:val="none"/>
        </w:rPr>
        <w:t>项目基本情况</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项目名称：上林县公安局</w:t>
      </w:r>
      <w:bookmarkStart w:id="2" w:name="OLE_LINK1"/>
      <w:r>
        <w:rPr>
          <w:rFonts w:hint="eastAsia" w:ascii="宋体" w:hAnsi="宋体"/>
          <w:color w:val="000000"/>
          <w:szCs w:val="21"/>
          <w:highlight w:val="none"/>
          <w:lang w:eastAsia="zh-CN"/>
        </w:rPr>
        <w:t>天网一、二、三期及龙母湖景区视频监控点对点数字电路</w:t>
      </w:r>
      <w:bookmarkEnd w:id="2"/>
      <w:r>
        <w:rPr>
          <w:rFonts w:hint="eastAsia" w:ascii="宋体" w:hAnsi="宋体"/>
          <w:color w:val="000000"/>
          <w:szCs w:val="21"/>
          <w:highlight w:val="none"/>
          <w:lang w:eastAsia="zh-CN"/>
        </w:rPr>
        <w:t>服务</w:t>
      </w:r>
      <w:r>
        <w:rPr>
          <w:rFonts w:hint="eastAsia" w:ascii="宋体" w:hAnsi="宋体"/>
          <w:color w:val="000000"/>
          <w:szCs w:val="21"/>
          <w:highlight w:val="none"/>
        </w:rPr>
        <w:t>项目</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预算金额</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44万元</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采购需求： </w:t>
      </w:r>
    </w:p>
    <w:tbl>
      <w:tblPr>
        <w:tblStyle w:val="28"/>
        <w:tblW w:w="90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3682"/>
        <w:gridCol w:w="1294"/>
        <w:gridCol w:w="2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36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标的的名称</w:t>
            </w:r>
          </w:p>
        </w:tc>
        <w:tc>
          <w:tcPr>
            <w:tcW w:w="12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数量及</w:t>
            </w:r>
          </w:p>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单位</w:t>
            </w:r>
          </w:p>
        </w:tc>
        <w:tc>
          <w:tcPr>
            <w:tcW w:w="29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highlight w:val="none"/>
              </w:rPr>
            </w:pPr>
            <w:r>
              <w:rPr>
                <w:rFonts w:hint="eastAsia" w:ascii="宋体" w:hAnsi="宋体"/>
                <w:color w:val="000000"/>
                <w:szCs w:val="21"/>
                <w:highlight w:val="none"/>
              </w:rPr>
              <w:t>上林县公安局</w:t>
            </w:r>
            <w:r>
              <w:rPr>
                <w:rFonts w:hint="eastAsia" w:ascii="宋体" w:hAnsi="宋体"/>
                <w:color w:val="000000"/>
                <w:szCs w:val="21"/>
                <w:highlight w:val="none"/>
                <w:lang w:eastAsia="zh-CN"/>
              </w:rPr>
              <w:t>天网一、二、三期及龙母湖景区视频监控点对点数字电路服务</w:t>
            </w:r>
            <w:r>
              <w:rPr>
                <w:rFonts w:hint="eastAsia" w:ascii="宋体" w:hAnsi="宋体"/>
                <w:color w:val="000000"/>
                <w:szCs w:val="21"/>
                <w:highlight w:val="none"/>
              </w:rPr>
              <w:t>项目</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r>
              <w:rPr>
                <w:rFonts w:hint="eastAsia"/>
                <w:highlight w:val="none"/>
              </w:rPr>
              <w:t>项</w:t>
            </w:r>
          </w:p>
        </w:tc>
        <w:tc>
          <w:tcPr>
            <w:tcW w:w="298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具体内容详见采购文件</w:t>
            </w:r>
          </w:p>
        </w:tc>
      </w:tr>
    </w:tbl>
    <w:p>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合同履行期限：详见</w:t>
      </w:r>
      <w:r>
        <w:rPr>
          <w:rFonts w:hint="eastAsia" w:ascii="宋体" w:hAnsi="宋体"/>
          <w:color w:val="000000"/>
          <w:szCs w:val="21"/>
          <w:highlight w:val="none"/>
          <w:lang w:val="en-US" w:eastAsia="zh-CN"/>
        </w:rPr>
        <w:t>服务</w:t>
      </w:r>
      <w:r>
        <w:rPr>
          <w:rFonts w:hint="eastAsia" w:ascii="宋体" w:hAnsi="宋体"/>
          <w:color w:val="000000"/>
          <w:szCs w:val="21"/>
          <w:highlight w:val="none"/>
        </w:rPr>
        <w:t>需求一览表</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本项目是否接受联合体响应：□是/</w:t>
      </w:r>
      <w:r>
        <w:rPr>
          <w:rFonts w:hint="eastAsia" w:ascii="宋体" w:hAnsi="宋体"/>
          <w:color w:val="000000"/>
          <w:szCs w:val="21"/>
          <w:highlight w:val="none"/>
          <w:lang w:eastAsia="zh-CN"/>
        </w:rPr>
        <w:t>☑</w:t>
      </w:r>
      <w:r>
        <w:rPr>
          <w:rFonts w:hint="eastAsia" w:ascii="宋体" w:hAnsi="宋体"/>
          <w:color w:val="000000"/>
          <w:szCs w:val="21"/>
          <w:highlight w:val="none"/>
        </w:rPr>
        <w:t>否。</w:t>
      </w:r>
    </w:p>
    <w:p>
      <w:pPr>
        <w:pStyle w:val="3"/>
        <w:spacing w:line="240" w:lineRule="auto"/>
        <w:jc w:val="left"/>
        <w:rPr>
          <w:rFonts w:ascii="宋体" w:hAnsi="宋体"/>
          <w:bCs w:val="0"/>
          <w:sz w:val="21"/>
          <w:szCs w:val="21"/>
          <w:highlight w:val="none"/>
        </w:rPr>
      </w:pPr>
      <w:bookmarkStart w:id="3" w:name="_Toc28359013"/>
      <w:bookmarkStart w:id="4" w:name="_Toc35393799"/>
      <w:bookmarkStart w:id="5" w:name="_Toc44229879"/>
      <w:bookmarkStart w:id="6" w:name="_Toc28359090"/>
      <w:bookmarkStart w:id="7" w:name="_Toc35393630"/>
      <w:r>
        <w:rPr>
          <w:rFonts w:hint="eastAsia" w:ascii="宋体" w:hAnsi="宋体"/>
          <w:bCs w:val="0"/>
          <w:sz w:val="21"/>
          <w:szCs w:val="21"/>
          <w:highlight w:val="none"/>
        </w:rPr>
        <w:t>二、供应商的资格条件</w:t>
      </w:r>
      <w:bookmarkEnd w:id="3"/>
      <w:bookmarkEnd w:id="4"/>
      <w:bookmarkEnd w:id="5"/>
      <w:bookmarkEnd w:id="6"/>
      <w:bookmarkEnd w:id="7"/>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1.满足《中华人民共和国政府采购法》第二十二条规定；</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2.落实政府采购政策需满足的资格要求：</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非专门面向中小企业采购的项目</w:t>
      </w:r>
    </w:p>
    <w:p>
      <w:pPr>
        <w:numPr>
          <w:ilvl w:val="0"/>
          <w:numId w:val="1"/>
        </w:numPr>
        <w:spacing w:line="360" w:lineRule="auto"/>
        <w:ind w:firstLine="420" w:firstLineChars="200"/>
        <w:rPr>
          <w:rFonts w:hint="eastAsia" w:ascii="宋体" w:hAnsi="宋体"/>
          <w:color w:val="000000"/>
          <w:szCs w:val="21"/>
          <w:highlight w:val="none"/>
          <w:u w:val="single"/>
        </w:rPr>
      </w:pPr>
      <w:r>
        <w:rPr>
          <w:rFonts w:hint="eastAsia" w:ascii="宋体" w:hAnsi="宋体"/>
          <w:color w:val="000000"/>
          <w:szCs w:val="21"/>
          <w:highlight w:val="none"/>
        </w:rPr>
        <w:t>本项目的特定资格要求：</w:t>
      </w:r>
      <w:r>
        <w:rPr>
          <w:rFonts w:hint="eastAsia" w:ascii="宋体" w:hAnsi="宋体"/>
          <w:color w:val="000000"/>
          <w:szCs w:val="21"/>
          <w:highlight w:val="none"/>
          <w:u w:val="none"/>
        </w:rPr>
        <w:t>提供具备</w:t>
      </w:r>
      <w:r>
        <w:rPr>
          <w:rFonts w:hint="eastAsia" w:ascii="宋体" w:hAnsi="宋体"/>
          <w:color w:val="auto"/>
          <w:szCs w:val="21"/>
          <w:highlight w:val="none"/>
          <w:u w:val="none"/>
        </w:rPr>
        <w:t>电信运营商资质或电信运营商相关授权证明</w:t>
      </w:r>
    </w:p>
    <w:p>
      <w:pPr>
        <w:numPr>
          <w:ilvl w:val="0"/>
          <w:numId w:val="1"/>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本项目的特定条件：</w:t>
      </w:r>
      <w:r>
        <w:rPr>
          <w:rFonts w:hint="eastAsia" w:ascii="宋体" w:hAnsi="宋体"/>
          <w:i/>
          <w:iCs/>
          <w:color w:val="000000"/>
          <w:szCs w:val="21"/>
          <w:highlight w:val="none"/>
          <w:u w:val="single"/>
        </w:rPr>
        <w:t>无</w:t>
      </w:r>
    </w:p>
    <w:p>
      <w:pPr>
        <w:adjustRightInd w:val="0"/>
        <w:spacing w:line="360" w:lineRule="auto"/>
        <w:ind w:left="-2" w:leftChars="-1" w:firstLine="420" w:firstLineChars="200"/>
        <w:jc w:val="left"/>
        <w:rPr>
          <w:rFonts w:hint="eastAsia" w:ascii="宋体" w:hAnsi="宋体"/>
          <w:b/>
          <w:bCs/>
          <w:szCs w:val="21"/>
          <w:highlight w:val="none"/>
        </w:rPr>
      </w:pPr>
      <w:r>
        <w:rPr>
          <w:rFonts w:hint="eastAsia" w:ascii="宋体" w:hAnsi="宋体"/>
          <w:color w:val="000000"/>
          <w:szCs w:val="21"/>
          <w:highlight w:val="none"/>
        </w:rPr>
        <w:t xml:space="preserve">5. </w:t>
      </w:r>
      <w:r>
        <w:rPr>
          <w:rFonts w:hint="eastAsia" w:ascii="宋体" w:hAnsi="宋体"/>
          <w:bCs/>
          <w:szCs w:val="21"/>
          <w:highlight w:val="none"/>
        </w:rPr>
        <w:t>竞价人为法人或者其他组织的提供其营业执照等证明文件（如营业执照或者事业单位法人证书等）。</w:t>
      </w:r>
      <w:r>
        <w:rPr>
          <w:rFonts w:hint="eastAsia" w:ascii="宋体" w:hAnsi="宋体"/>
          <w:b/>
          <w:bCs/>
          <w:szCs w:val="21"/>
          <w:highlight w:val="none"/>
        </w:rPr>
        <w:t>（必须提供，否则竞价按无效响应处理）</w:t>
      </w:r>
    </w:p>
    <w:p>
      <w:pPr>
        <w:snapToGrid w:val="0"/>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3"/>
        <w:spacing w:line="240" w:lineRule="auto"/>
        <w:jc w:val="left"/>
        <w:rPr>
          <w:rFonts w:ascii="宋体" w:hAnsi="宋体"/>
          <w:bCs w:val="0"/>
          <w:sz w:val="21"/>
          <w:szCs w:val="21"/>
          <w:highlight w:val="none"/>
        </w:rPr>
      </w:pPr>
      <w:r>
        <w:rPr>
          <w:rFonts w:hint="eastAsia" w:ascii="宋体" w:hAnsi="宋体"/>
          <w:bCs w:val="0"/>
          <w:sz w:val="21"/>
          <w:szCs w:val="21"/>
          <w:highlight w:val="none"/>
        </w:rPr>
        <w:t>三、</w:t>
      </w:r>
      <w:r>
        <w:rPr>
          <w:rFonts w:hint="eastAsia" w:ascii="宋体" w:hAnsi="宋体"/>
          <w:bCs w:val="0"/>
          <w:sz w:val="21"/>
          <w:szCs w:val="21"/>
          <w:highlight w:val="none"/>
          <w:lang w:val="en-US" w:eastAsia="zh-CN"/>
        </w:rPr>
        <w:t>服务</w:t>
      </w:r>
      <w:r>
        <w:rPr>
          <w:rFonts w:hint="eastAsia" w:ascii="宋体" w:hAnsi="宋体"/>
          <w:bCs w:val="0"/>
          <w:sz w:val="21"/>
          <w:szCs w:val="21"/>
          <w:highlight w:val="none"/>
        </w:rPr>
        <w:t>需求一览表</w:t>
      </w:r>
      <w:bookmarkEnd w:id="1"/>
    </w:p>
    <w:p>
      <w:pPr>
        <w:spacing w:line="420" w:lineRule="exact"/>
        <w:jc w:val="left"/>
        <w:rPr>
          <w:rFonts w:ascii="宋体" w:hAnsi="宋体" w:cs="宋体"/>
          <w:szCs w:val="21"/>
          <w:highlight w:val="none"/>
        </w:rPr>
      </w:pPr>
      <w:r>
        <w:rPr>
          <w:rFonts w:hint="eastAsia" w:ascii="宋体" w:hAnsi="宋体" w:cs="宋体"/>
          <w:szCs w:val="21"/>
          <w:highlight w:val="none"/>
        </w:rPr>
        <w:t>说明：</w:t>
      </w:r>
    </w:p>
    <w:p>
      <w:pPr>
        <w:spacing w:line="420" w:lineRule="exact"/>
        <w:ind w:firstLine="420" w:firstLineChars="200"/>
        <w:jc w:val="left"/>
        <w:rPr>
          <w:rFonts w:ascii="宋体" w:hAnsi="宋体" w:cs="宋体"/>
          <w:szCs w:val="21"/>
          <w:highlight w:val="none"/>
        </w:rPr>
      </w:pPr>
      <w:r>
        <w:rPr>
          <w:rFonts w:hint="eastAsia" w:ascii="宋体" w:hAnsi="宋体"/>
          <w:highlight w:val="none"/>
        </w:rPr>
        <w:t>1</w:t>
      </w:r>
      <w:r>
        <w:rPr>
          <w:highlight w:val="none"/>
        </w:rPr>
        <w:t xml:space="preserve">. </w:t>
      </w:r>
      <w:r>
        <w:rPr>
          <w:rFonts w:hint="eastAsia"/>
          <w:highlight w:val="none"/>
        </w:rPr>
        <w:t>为落实政府采购政策需满足的要求（根据项目实际情况填写内容）</w:t>
      </w:r>
    </w:p>
    <w:p>
      <w:pPr>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（1）本竞争性谈判采购文件所称中小企业必须符合《政府采购促进中小企业发展管理办法》（财库〔2020〕46号）的规定。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cs="宋体"/>
          <w:b/>
          <w:bCs/>
          <w:szCs w:val="21"/>
          <w:highlight w:val="none"/>
        </w:rPr>
      </w:pPr>
      <w:r>
        <w:rPr>
          <w:rFonts w:hint="eastAsia" w:ascii="宋体" w:hAnsi="宋体" w:cs="宋体"/>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作无效处理。如本项目包含的配套服务属于品目清单内非标注“★”的产品时，应优先采购。</w:t>
      </w:r>
    </w:p>
    <w:p>
      <w:pPr>
        <w:spacing w:line="420" w:lineRule="exact"/>
        <w:ind w:firstLine="413" w:firstLineChars="196"/>
        <w:rPr>
          <w:rFonts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w:t>
      </w:r>
    </w:p>
    <w:p>
      <w:pPr>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b/>
          <w:bCs/>
          <w:szCs w:val="21"/>
          <w:highlight w:val="none"/>
        </w:rPr>
        <w:t>不需要供应商对采购需求响应为具体数值的，此采购需求的数值后将以◆号标注。</w:t>
      </w:r>
    </w:p>
    <w:p>
      <w:pPr>
        <w:spacing w:line="360" w:lineRule="auto"/>
        <w:ind w:left="424"/>
        <w:jc w:val="left"/>
        <w:rPr>
          <w:rFonts w:ascii="宋体" w:hAnsi="宋体" w:cs="宋体"/>
          <w:b/>
          <w:szCs w:val="21"/>
          <w:highlight w:val="none"/>
        </w:rPr>
      </w:pPr>
      <w:r>
        <w:rPr>
          <w:rFonts w:ascii="宋体" w:hAnsi="宋体" w:cs="宋体"/>
          <w:szCs w:val="21"/>
          <w:highlight w:val="none"/>
        </w:rPr>
        <w:t>4</w:t>
      </w:r>
      <w:r>
        <w:rPr>
          <w:rFonts w:hint="eastAsia" w:ascii="宋体" w:hAnsi="宋体" w:cs="宋体"/>
          <w:szCs w:val="21"/>
          <w:highlight w:val="none"/>
        </w:rPr>
        <w:t>. 供应商必须自行为其竞标产品侵犯他人的知识产权或者专利成果的行为承担相应法律责任。</w:t>
      </w:r>
      <w:r>
        <w:rPr>
          <w:rFonts w:ascii="宋体" w:hAnsi="宋体" w:cs="宋体"/>
          <w:b/>
          <w:szCs w:val="21"/>
          <w:highlight w:val="none"/>
        </w:rPr>
        <w:t xml:space="preserve">  </w:t>
      </w:r>
    </w:p>
    <w:tbl>
      <w:tblPr>
        <w:tblStyle w:val="28"/>
        <w:tblW w:w="11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545"/>
        <w:gridCol w:w="1137"/>
        <w:gridCol w:w="709"/>
        <w:gridCol w:w="568"/>
        <w:gridCol w:w="9"/>
        <w:gridCol w:w="4489"/>
        <w:gridCol w:w="1314"/>
        <w:gridCol w:w="9"/>
        <w:gridCol w:w="1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270" w:type="dxa"/>
            <w:gridSpan w:val="10"/>
            <w:tcBorders>
              <w:top w:val="single" w:color="auto" w:sz="4" w:space="0"/>
              <w:left w:val="single" w:color="auto" w:sz="4" w:space="0"/>
              <w:bottom w:val="nil"/>
              <w:right w:val="single" w:color="auto" w:sz="4" w:space="0"/>
            </w:tcBorders>
            <w:vAlign w:val="center"/>
          </w:tcPr>
          <w:p>
            <w:pPr>
              <w:spacing w:line="360" w:lineRule="exact"/>
              <w:jc w:val="center"/>
              <w:rPr>
                <w:rFonts w:ascii="宋体" w:hAnsi="宋体" w:cs="宋体"/>
                <w:b/>
                <w:sz w:val="24"/>
                <w:highlight w:val="none"/>
              </w:rPr>
            </w:pPr>
            <w:r>
              <w:rPr>
                <w:rFonts w:hint="eastAsia" w:ascii="仿宋_GB2312" w:hAnsi="宋体" w:eastAsia="仿宋_GB2312" w:cs="Arial"/>
                <w:b/>
                <w:sz w:val="32"/>
                <w:szCs w:val="32"/>
                <w:highlight w:val="none"/>
                <w:lang w:val="en-US" w:eastAsia="zh-CN"/>
              </w:rPr>
              <w:t>服务</w:t>
            </w:r>
            <w:r>
              <w:rPr>
                <w:rFonts w:hint="eastAsia" w:ascii="仿宋_GB2312" w:hAnsi="宋体" w:eastAsia="仿宋_GB2312" w:cs="Arial"/>
                <w:b/>
                <w:sz w:val="32"/>
                <w:szCs w:val="32"/>
                <w:highlight w:val="none"/>
              </w:rPr>
              <w:t>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7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服务需求名称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5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4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主要服务内容及要求</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单价（元）</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71"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hint="eastAsia" w:ascii="宋体" w:hAnsi="宋体" w:eastAsia="宋体"/>
                <w:szCs w:val="21"/>
                <w:highlight w:val="none"/>
                <w:lang w:eastAsia="zh-CN"/>
              </w:rPr>
            </w:pPr>
            <w:r>
              <w:rPr>
                <w:rFonts w:hint="eastAsia" w:ascii="宋体" w:hAnsi="宋体"/>
                <w:color w:val="000000"/>
                <w:kern w:val="0"/>
                <w:szCs w:val="21"/>
                <w:highlight w:val="none"/>
                <w:lang w:val="en-US" w:eastAsia="zh-CN" w:bidi="ar"/>
              </w:rPr>
              <w:t>1</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lang w:bidi="ar"/>
              </w:rPr>
            </w:pPr>
          </w:p>
          <w:p>
            <w:pPr>
              <w:spacing w:line="360" w:lineRule="auto"/>
              <w:jc w:val="center"/>
              <w:rPr>
                <w:rFonts w:ascii="宋体" w:hAnsi="宋体" w:cs="宋体"/>
                <w:color w:val="000000"/>
                <w:kern w:val="0"/>
                <w:szCs w:val="21"/>
                <w:highlight w:val="none"/>
                <w:lang w:bidi="ar"/>
              </w:rPr>
            </w:pPr>
          </w:p>
          <w:p>
            <w:pPr>
              <w:spacing w:line="360" w:lineRule="auto"/>
              <w:jc w:val="center"/>
              <w:rPr>
                <w:rFonts w:ascii="宋体" w:hAnsi="宋体" w:cs="宋体"/>
                <w:color w:val="000000"/>
                <w:kern w:val="0"/>
                <w:szCs w:val="21"/>
                <w:highlight w:val="none"/>
                <w:lang w:bidi="ar"/>
              </w:rPr>
            </w:pPr>
          </w:p>
          <w:p>
            <w:pPr>
              <w:spacing w:line="360" w:lineRule="auto"/>
              <w:jc w:val="center"/>
              <w:rPr>
                <w:rFonts w:hint="default" w:ascii="宋体" w:hAnsi="宋体" w:eastAsia="宋体" w:cs="宋体"/>
                <w:bCs/>
                <w:caps/>
                <w:szCs w:val="21"/>
                <w:highlight w:val="none"/>
                <w:lang w:val="en-US" w:eastAsia="zh-CN"/>
              </w:rPr>
            </w:pPr>
            <w:r>
              <w:rPr>
                <w:rFonts w:hint="eastAsia" w:ascii="宋体" w:hAnsi="宋体"/>
                <w:color w:val="000000"/>
                <w:szCs w:val="21"/>
                <w:highlight w:val="none"/>
              </w:rPr>
              <w:t>上林县公安局</w:t>
            </w:r>
            <w:r>
              <w:rPr>
                <w:rFonts w:hint="eastAsia" w:ascii="宋体" w:hAnsi="宋体"/>
                <w:color w:val="000000"/>
                <w:szCs w:val="21"/>
                <w:highlight w:val="none"/>
                <w:lang w:eastAsia="zh-CN"/>
              </w:rPr>
              <w:t>天网一、二、三期及龙母湖景区视频监控点对点数字电路服务</w:t>
            </w:r>
            <w:r>
              <w:rPr>
                <w:rFonts w:hint="eastAsia" w:ascii="宋体" w:hAnsi="宋体"/>
                <w:color w:val="000000"/>
                <w:szCs w:val="21"/>
                <w:highlight w:val="none"/>
              </w:rPr>
              <w:t>项目</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w:t>
            </w:r>
          </w:p>
        </w:tc>
        <w:tc>
          <w:tcPr>
            <w:tcW w:w="4498"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highlight w:val="none"/>
                <w:lang w:eastAsia="zh-CN"/>
              </w:rPr>
            </w:pPr>
            <w:r>
              <w:rPr>
                <w:rFonts w:hint="eastAsia"/>
                <w:highlight w:val="none"/>
              </w:rPr>
              <w:t>▲</w:t>
            </w:r>
            <w:r>
              <w:rPr>
                <w:rFonts w:hint="eastAsia"/>
                <w:highlight w:val="none"/>
                <w:lang w:eastAsia="zh-CN"/>
              </w:rPr>
              <w:t>一、采购内容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highlight w:val="none"/>
                <w:lang w:val="en-US" w:eastAsia="zh-CN"/>
              </w:rPr>
            </w:pPr>
            <w:r>
              <w:rPr>
                <w:rFonts w:hint="eastAsia"/>
                <w:highlight w:val="none"/>
                <w:lang w:val="en-US" w:eastAsia="zh-CN"/>
              </w:rPr>
              <w:t xml:space="preserve">  本项目服务主要包括150条</w:t>
            </w:r>
            <w:r>
              <w:rPr>
                <w:rFonts w:hint="eastAsia" w:ascii="宋体" w:hAnsi="宋体" w:eastAsia="宋体" w:cs="宋体"/>
                <w:highlight w:val="none"/>
              </w:rPr>
              <w:t>≥</w:t>
            </w:r>
            <w:r>
              <w:rPr>
                <w:rFonts w:hint="eastAsia" w:ascii="宋体" w:hAnsi="宋体" w:cs="宋体"/>
                <w:highlight w:val="none"/>
                <w:lang w:val="en-US" w:eastAsia="zh-CN"/>
              </w:rPr>
              <w:t>100</w:t>
            </w:r>
            <w:r>
              <w:rPr>
                <w:rFonts w:hint="eastAsia" w:ascii="宋体" w:hAnsi="宋体" w:eastAsia="宋体" w:cs="宋体"/>
                <w:highlight w:val="none"/>
                <w:lang w:val="en-US" w:eastAsia="zh-CN"/>
              </w:rPr>
              <w:t>Mbps</w:t>
            </w:r>
            <w:r>
              <w:rPr>
                <w:rFonts w:hint="eastAsia" w:ascii="宋体" w:hAnsi="宋体" w:cs="宋体"/>
                <w:highlight w:val="none"/>
                <w:lang w:val="en-US" w:eastAsia="zh-CN"/>
              </w:rPr>
              <w:t>线路、5条</w:t>
            </w:r>
            <w:r>
              <w:rPr>
                <w:rFonts w:hint="eastAsia" w:ascii="宋体" w:hAnsi="宋体" w:eastAsia="宋体" w:cs="宋体"/>
                <w:highlight w:val="none"/>
              </w:rPr>
              <w:t>≥</w:t>
            </w:r>
            <w:r>
              <w:rPr>
                <w:rFonts w:hint="eastAsia" w:ascii="宋体" w:hAnsi="宋体" w:cs="宋体"/>
                <w:highlight w:val="none"/>
                <w:lang w:val="en-US" w:eastAsia="zh-CN"/>
              </w:rPr>
              <w:t>1000</w:t>
            </w:r>
            <w:r>
              <w:rPr>
                <w:rFonts w:hint="eastAsia" w:ascii="宋体" w:hAnsi="宋体" w:eastAsia="宋体" w:cs="宋体"/>
                <w:highlight w:val="none"/>
                <w:lang w:val="en-US" w:eastAsia="zh-CN"/>
              </w:rPr>
              <w:t>Mbps</w:t>
            </w:r>
            <w:r>
              <w:rPr>
                <w:rFonts w:hint="eastAsia" w:ascii="宋体" w:hAnsi="宋体" w:cs="宋体"/>
                <w:highlight w:val="none"/>
                <w:lang w:val="en-US" w:eastAsia="zh-CN"/>
              </w:rPr>
              <w:t>线路，实现上林县公安局视频监控前端各数据点位及相关派出所与上林县公安局中心机房数据互联互通，数字电路采用光纤接入，根据采购方的需求提供相应电路类型，并提供对应类型接口，端口速率为上、下行对称接入速率，同时根据采购方需求提供相应的核心交换机接入设备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highlight w:val="none"/>
                <w:lang w:val="en-US" w:eastAsia="zh-CN"/>
              </w:rPr>
            </w:pPr>
            <w:r>
              <w:rPr>
                <w:rFonts w:hint="eastAsia"/>
                <w:highlight w:val="none"/>
              </w:rPr>
              <w:t>▲</w:t>
            </w:r>
            <w:r>
              <w:rPr>
                <w:rFonts w:hint="eastAsia"/>
                <w:highlight w:val="none"/>
                <w:lang w:eastAsia="zh-CN"/>
              </w:rPr>
              <w:t>二、</w:t>
            </w:r>
            <w:r>
              <w:rPr>
                <w:rFonts w:hint="eastAsia" w:ascii="宋体" w:hAnsi="宋体" w:cs="宋体"/>
                <w:highlight w:val="none"/>
                <w:lang w:val="en-US" w:eastAsia="zh-CN"/>
              </w:rPr>
              <w:t>总体要求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根据公安信息、视频、语音等业务数据传输要求，提供数字电路使用服务、运行和维护等服务，遵循高度安全性、高度保密性、高度稳定性的原则，采用多种电路类型，覆盖各数据点。</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eastAsia" w:ascii="宋体" w:hAnsi="宋体" w:cs="宋体"/>
                <w:highlight w:val="none"/>
                <w:lang w:val="en-US" w:eastAsia="zh-CN"/>
              </w:rPr>
            </w:pPr>
            <w:r>
              <w:rPr>
                <w:rFonts w:hint="eastAsia" w:ascii="宋体" w:hAnsi="宋体" w:cs="宋体"/>
                <w:highlight w:val="none"/>
                <w:lang w:val="en-US" w:eastAsia="zh-CN"/>
              </w:rPr>
              <w:t>组网技术的先进性：组网应采用先进网络技术，要充分考虑公安局数据电路使用数量大、地点广泛、跨城乡、高宽带、高安全的特点，应用先进的组网技术保障传输服务质量及安全。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eastAsia" w:ascii="宋体" w:hAnsi="宋体" w:cs="宋体"/>
                <w:highlight w:val="none"/>
                <w:lang w:val="en-US" w:eastAsia="zh-CN"/>
              </w:rPr>
            </w:pPr>
            <w:r>
              <w:rPr>
                <w:rFonts w:hint="eastAsia" w:ascii="宋体" w:hAnsi="宋体" w:cs="宋体"/>
                <w:highlight w:val="none"/>
                <w:lang w:val="en-US" w:eastAsia="zh-CN"/>
              </w:rPr>
              <w:t>服务质量的可靠性：采用电路和裸光纤等多种电路类型，保障传输服务质量，要求实现安全的数据传输，以保障公安数据传输的安全性，同时避免多层级联设备转接造成设备节点过多，减少因网络节点过多造成的网络中断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default" w:ascii="宋体" w:hAnsi="宋体" w:cs="宋体"/>
                <w:highlight w:val="none"/>
                <w:lang w:val="en-US" w:eastAsia="zh-CN"/>
              </w:rPr>
            </w:pPr>
            <w:r>
              <w:rPr>
                <w:rFonts w:hint="eastAsia" w:ascii="宋体" w:hAnsi="宋体" w:cs="宋体"/>
                <w:highlight w:val="none"/>
                <w:lang w:val="en-US" w:eastAsia="zh-CN"/>
              </w:rPr>
              <w:t>传输服务的专用性：提供的数字电路涉及的光传输通信系统和裸光纤具有对公安局的专用性，不能基于该光纤传输系统和裸光纤提供给其他用户使用，同时要求具备可扩展性，在服务使用期限内，能满足采购方新增数字电路的要求。</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default" w:ascii="宋体" w:hAnsi="宋体" w:cs="宋体"/>
                <w:highlight w:val="none"/>
                <w:lang w:val="en-US" w:eastAsia="zh-CN"/>
              </w:rPr>
            </w:pPr>
            <w:r>
              <w:rPr>
                <w:rFonts w:hint="eastAsia" w:ascii="宋体" w:hAnsi="宋体" w:cs="宋体"/>
                <w:highlight w:val="none"/>
                <w:lang w:val="en-US" w:eastAsia="zh-CN"/>
              </w:rPr>
              <w:t>网络管理的使用性：数字电路的管理要成体系统，具备对光通信设备及数字电路的性能、参数、运行状况等统计分析、自动报表、智能优化等功能，实现对线路服务可视化、简易型的监控及运营。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cs="宋体"/>
                <w:highlight w:val="none"/>
                <w:lang w:val="en-US" w:eastAsia="zh-CN"/>
              </w:rPr>
            </w:pPr>
            <w:r>
              <w:rPr>
                <w:rFonts w:hint="eastAsia" w:ascii="宋体" w:hAnsi="宋体" w:cs="宋体"/>
                <w:highlight w:val="none"/>
                <w:lang w:val="en-US" w:eastAsia="zh-CN"/>
              </w:rPr>
              <w:t>三、数字电路技术指标要求：</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highlight w:val="none"/>
                <w:lang w:val="en-US" w:eastAsia="zh-CN"/>
              </w:rPr>
            </w:pPr>
            <w:r>
              <w:rPr>
                <w:rFonts w:hint="eastAsia"/>
                <w:highlight w:val="none"/>
              </w:rPr>
              <w:t>▲</w:t>
            </w:r>
            <w:r>
              <w:rPr>
                <w:rFonts w:hint="eastAsia"/>
                <w:highlight w:val="none"/>
                <w:lang w:val="en-US" w:eastAsia="zh-CN"/>
              </w:rPr>
              <w:t>1</w:t>
            </w:r>
            <w:r>
              <w:rPr>
                <w:rFonts w:hint="eastAsia" w:ascii="宋体" w:hAnsi="宋体" w:eastAsia="宋体" w:cs="宋体"/>
                <w:highlight w:val="none"/>
                <w:lang w:val="en-US" w:eastAsia="zh-CN"/>
              </w:rPr>
              <w:t>、电路类型：</w:t>
            </w:r>
            <w:r>
              <w:rPr>
                <w:rFonts w:hint="eastAsia" w:ascii="宋体" w:hAnsi="宋体" w:cs="宋体"/>
                <w:highlight w:val="none"/>
                <w:lang w:val="en-US" w:eastAsia="zh-CN"/>
              </w:rPr>
              <w:t>1、</w:t>
            </w:r>
            <w:r>
              <w:rPr>
                <w:rFonts w:hint="eastAsia" w:ascii="宋体" w:hAnsi="宋体" w:eastAsia="宋体" w:cs="宋体"/>
                <w:highlight w:val="none"/>
                <w:lang w:val="en-US" w:eastAsia="zh-CN"/>
              </w:rPr>
              <w:t>提供</w:t>
            </w:r>
            <w:r>
              <w:rPr>
                <w:rFonts w:hint="eastAsia" w:ascii="宋体" w:hAnsi="宋体" w:cs="宋体"/>
                <w:highlight w:val="none"/>
                <w:lang w:val="en-US" w:eastAsia="zh-CN"/>
              </w:rPr>
              <w:t>视频监控前端点对点数字电路150</w:t>
            </w:r>
            <w:r>
              <w:rPr>
                <w:rFonts w:hint="eastAsia" w:ascii="宋体" w:hAnsi="宋体" w:eastAsia="宋体" w:cs="宋体"/>
                <w:highlight w:val="none"/>
                <w:lang w:val="en-US" w:eastAsia="zh-CN"/>
              </w:rPr>
              <w:t>条</w:t>
            </w:r>
            <w:r>
              <w:rPr>
                <w:rFonts w:hint="eastAsia" w:ascii="宋体" w:hAnsi="宋体" w:cs="宋体"/>
                <w:highlight w:val="none"/>
                <w:lang w:val="en-US" w:eastAsia="zh-CN"/>
              </w:rPr>
              <w:t>(其中前端监控视频143条，卡口前端视频监控7条）</w:t>
            </w:r>
            <w:r>
              <w:rPr>
                <w:rFonts w:hint="eastAsia" w:ascii="宋体" w:hAnsi="宋体" w:eastAsia="宋体" w:cs="宋体"/>
                <w:highlight w:val="none"/>
                <w:lang w:val="en-US" w:eastAsia="zh-CN"/>
              </w:rPr>
              <w:t>，</w:t>
            </w:r>
            <w:r>
              <w:rPr>
                <w:rFonts w:hint="eastAsia" w:ascii="宋体" w:hAnsi="宋体" w:cs="宋体"/>
                <w:highlight w:val="none"/>
                <w:lang w:val="en-US" w:eastAsia="zh-CN"/>
              </w:rPr>
              <w:t>线路</w:t>
            </w:r>
            <w:r>
              <w:rPr>
                <w:rFonts w:hint="eastAsia" w:ascii="宋体" w:hAnsi="宋体" w:eastAsia="宋体" w:cs="宋体"/>
                <w:highlight w:val="none"/>
              </w:rPr>
              <w:t>带宽</w:t>
            </w:r>
            <w:bookmarkStart w:id="8" w:name="OLE_LINK4"/>
            <w:r>
              <w:rPr>
                <w:rFonts w:hint="eastAsia" w:ascii="宋体" w:hAnsi="宋体" w:eastAsia="宋体" w:cs="宋体"/>
                <w:highlight w:val="none"/>
              </w:rPr>
              <w:t>≥</w:t>
            </w:r>
            <w:r>
              <w:rPr>
                <w:rFonts w:hint="eastAsia" w:ascii="宋体" w:hAnsi="宋体" w:cs="宋体"/>
                <w:highlight w:val="none"/>
                <w:lang w:val="en-US" w:eastAsia="zh-CN"/>
              </w:rPr>
              <w:t>100</w:t>
            </w:r>
            <w:r>
              <w:rPr>
                <w:rFonts w:hint="eastAsia" w:ascii="宋体" w:hAnsi="宋体" w:eastAsia="宋体" w:cs="宋体"/>
                <w:highlight w:val="none"/>
                <w:lang w:val="en-US" w:eastAsia="zh-CN"/>
              </w:rPr>
              <w:t>Mbps</w:t>
            </w:r>
            <w:bookmarkEnd w:id="8"/>
            <w:r>
              <w:rPr>
                <w:rFonts w:hint="eastAsia" w:ascii="宋体" w:hAnsi="宋体" w:eastAsia="宋体" w:cs="宋体"/>
                <w:highlight w:val="none"/>
                <w:lang w:val="en-US" w:eastAsia="zh-CN"/>
              </w:rPr>
              <w:t>，接入方式为光纤接入，</w:t>
            </w:r>
            <w:r>
              <w:rPr>
                <w:rFonts w:hint="eastAsia"/>
                <w:highlight w:val="none"/>
                <w:lang w:val="en-US" w:eastAsia="zh-CN"/>
              </w:rPr>
              <w:t>要求</w:t>
            </w:r>
            <w:r>
              <w:rPr>
                <w:rFonts w:hint="default"/>
                <w:highlight w:val="none"/>
              </w:rPr>
              <w:t>专线速率上、下行对称</w:t>
            </w:r>
            <w:r>
              <w:rPr>
                <w:rFonts w:hint="eastAsia"/>
                <w:highlight w:val="none"/>
                <w:lang w:eastAsia="zh-CN"/>
              </w:rPr>
              <w:t>；</w:t>
            </w:r>
            <w:r>
              <w:rPr>
                <w:rFonts w:hint="eastAsia"/>
                <w:highlight w:val="none"/>
                <w:lang w:val="en-US" w:eastAsia="zh-CN"/>
              </w:rPr>
              <w:t>2、提供派出所视频巡查专线5条（城关所、巷贤所、白圩所、乔贤所、西燕所），</w:t>
            </w:r>
            <w:r>
              <w:rPr>
                <w:rFonts w:hint="eastAsia" w:ascii="宋体" w:hAnsi="宋体" w:cs="宋体"/>
                <w:highlight w:val="none"/>
                <w:lang w:val="en-US" w:eastAsia="zh-CN"/>
              </w:rPr>
              <w:t>线路</w:t>
            </w:r>
            <w:r>
              <w:rPr>
                <w:rFonts w:hint="eastAsia" w:ascii="宋体" w:hAnsi="宋体" w:eastAsia="宋体" w:cs="宋体"/>
                <w:highlight w:val="none"/>
              </w:rPr>
              <w:t>带宽≥</w:t>
            </w:r>
            <w:r>
              <w:rPr>
                <w:rFonts w:hint="eastAsia" w:ascii="宋体" w:hAnsi="宋体" w:cs="宋体"/>
                <w:highlight w:val="none"/>
                <w:lang w:val="en-US" w:eastAsia="zh-CN"/>
              </w:rPr>
              <w:t>1000</w:t>
            </w:r>
            <w:r>
              <w:rPr>
                <w:rFonts w:hint="eastAsia" w:ascii="宋体" w:hAnsi="宋体" w:eastAsia="宋体" w:cs="宋体"/>
                <w:highlight w:val="none"/>
                <w:lang w:val="en-US" w:eastAsia="zh-CN"/>
              </w:rPr>
              <w:t>Mbps，接入方式为光纤接入，</w:t>
            </w:r>
            <w:r>
              <w:rPr>
                <w:rFonts w:hint="eastAsia"/>
                <w:highlight w:val="none"/>
                <w:lang w:val="en-US" w:eastAsia="zh-CN"/>
              </w:rPr>
              <w:t>要求</w:t>
            </w:r>
            <w:r>
              <w:rPr>
                <w:rFonts w:hint="default"/>
                <w:highlight w:val="none"/>
              </w:rPr>
              <w:t>专线速率上、下行对称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rPr>
            </w:pPr>
            <w:r>
              <w:rPr>
                <w:rFonts w:hint="eastAsia"/>
                <w:highlight w:val="none"/>
              </w:rPr>
              <w:t>▲</w:t>
            </w:r>
            <w:r>
              <w:rPr>
                <w:rFonts w:hint="eastAsia"/>
                <w:highlight w:val="none"/>
                <w:lang w:val="en-US" w:eastAsia="zh-CN"/>
              </w:rPr>
              <w:t>2</w:t>
            </w:r>
            <w:r>
              <w:rPr>
                <w:rFonts w:hint="default"/>
                <w:highlight w:val="none"/>
              </w:rPr>
              <w:t>、接口类型：提供各种主流物理光、电接口，如RJ45/LC/FC等供采购人使用。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rPr>
            </w:pPr>
            <w:r>
              <w:rPr>
                <w:rFonts w:hint="eastAsia"/>
                <w:highlight w:val="none"/>
              </w:rPr>
              <w:t>▲</w:t>
            </w:r>
            <w:r>
              <w:rPr>
                <w:rFonts w:hint="eastAsia"/>
                <w:highlight w:val="none"/>
                <w:lang w:val="en-US" w:eastAsia="zh-CN"/>
              </w:rPr>
              <w:t>3</w:t>
            </w:r>
            <w:r>
              <w:rPr>
                <w:rFonts w:hint="default"/>
                <w:highlight w:val="none"/>
              </w:rPr>
              <w:t>、线路技术指标：丢包率 ≤0.1%，且不允许出现连续丢包；单条电路端到端可用率≥99.90%，电路比特误码率≤1×10-7，各个节点最大时延≤10ms，时延抖动率≤10ms；PING测1M报文，最大时延≤10ms。电路两端裸机测试，要求速率均能稳定在</w:t>
            </w:r>
            <w:r>
              <w:rPr>
                <w:rFonts w:hint="eastAsia"/>
                <w:highlight w:val="none"/>
                <w:lang w:val="en-US" w:eastAsia="zh-CN"/>
              </w:rPr>
              <w:t>2</w:t>
            </w:r>
            <w:r>
              <w:rPr>
                <w:rFonts w:hint="default"/>
                <w:highlight w:val="none"/>
              </w:rPr>
              <w:t>Mbit/s</w:t>
            </w:r>
          </w:p>
          <w:p>
            <w:pPr>
              <w:spacing w:line="360" w:lineRule="auto"/>
              <w:rPr>
                <w:rFonts w:hint="default"/>
                <w:highlight w:val="none"/>
              </w:rPr>
            </w:pPr>
            <w:r>
              <w:rPr>
                <w:rFonts w:hint="eastAsia"/>
                <w:highlight w:val="none"/>
              </w:rPr>
              <w:t>▲</w:t>
            </w:r>
            <w:r>
              <w:rPr>
                <w:rFonts w:hint="eastAsia"/>
                <w:highlight w:val="none"/>
                <w:lang w:val="en-US" w:eastAsia="zh-CN"/>
              </w:rPr>
              <w:t>4</w:t>
            </w:r>
            <w:r>
              <w:rPr>
                <w:rFonts w:hint="default"/>
                <w:highlight w:val="none"/>
              </w:rPr>
              <w:t>、数字电路要求全网端到端必须采用光传输通信系统或裸光纤进行组网，提供端对端透明传输电路，为了确保采购方的网络安全、易维护性，要求保证采购人的数字光纤线路为专用线路，并与其他网络物理隔离；</w:t>
            </w:r>
          </w:p>
          <w:p>
            <w:pPr>
              <w:spacing w:line="360" w:lineRule="auto"/>
              <w:rPr>
                <w:rFonts w:hint="default"/>
                <w:highlight w:val="none"/>
              </w:rPr>
            </w:pPr>
            <w:bookmarkStart w:id="9" w:name="OLE_LINK2"/>
            <w:r>
              <w:rPr>
                <w:rFonts w:hint="eastAsia"/>
                <w:highlight w:val="none"/>
              </w:rPr>
              <w:t>▲</w:t>
            </w:r>
            <w:bookmarkEnd w:id="9"/>
            <w:r>
              <w:rPr>
                <w:rFonts w:hint="eastAsia"/>
                <w:highlight w:val="none"/>
                <w:lang w:val="en-US" w:eastAsia="zh-CN"/>
              </w:rPr>
              <w:t>5</w:t>
            </w:r>
            <w:r>
              <w:rPr>
                <w:rFonts w:hint="default"/>
                <w:highlight w:val="none"/>
              </w:rPr>
              <w:t>、数字电路专线要求具有端到端全程网管监控功能，并实行7*24小时实时监控，具备自动告警、日志查询等功能</w:t>
            </w:r>
            <w:r>
              <w:rPr>
                <w:rFonts w:hint="eastAsia"/>
                <w:highlight w:val="none"/>
                <w:lang w:eastAsia="zh-CN"/>
              </w:rPr>
              <w:t>，</w:t>
            </w:r>
            <w:r>
              <w:rPr>
                <w:rFonts w:hint="default"/>
                <w:highlight w:val="none"/>
              </w:rPr>
              <w:t>可有效地检测并定位网络故障。</w:t>
            </w:r>
          </w:p>
          <w:p>
            <w:pPr>
              <w:spacing w:line="360" w:lineRule="auto"/>
              <w:rPr>
                <w:rFonts w:hint="default"/>
                <w:highlight w:val="none"/>
              </w:rPr>
            </w:pPr>
            <w:bookmarkStart w:id="10" w:name="OLE_LINK3"/>
            <w:r>
              <w:rPr>
                <w:rFonts w:hint="eastAsia"/>
                <w:highlight w:val="none"/>
              </w:rPr>
              <w:t>▲</w:t>
            </w:r>
            <w:bookmarkEnd w:id="10"/>
            <w:r>
              <w:rPr>
                <w:rFonts w:hint="eastAsia"/>
                <w:highlight w:val="none"/>
                <w:lang w:val="en-US" w:eastAsia="zh-CN"/>
              </w:rPr>
              <w:t>6</w:t>
            </w:r>
            <w:r>
              <w:rPr>
                <w:rFonts w:hint="default"/>
                <w:highlight w:val="none"/>
              </w:rPr>
              <w:t>、</w:t>
            </w:r>
            <w:r>
              <w:rPr>
                <w:rFonts w:hint="eastAsia"/>
                <w:highlight w:val="none"/>
                <w:lang w:val="en-US" w:eastAsia="zh-CN"/>
              </w:rPr>
              <w:t>线路汇聚层和骨干层具有自愈环保护功能，具备不超过50ms保护倒换能力，保证专线不会因光缆的意外阻断或部分设备故障而中断。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highlight w:val="none"/>
                <w:lang w:val="en-US" w:eastAsia="zh-CN"/>
              </w:rPr>
            </w:pPr>
            <w:r>
              <w:rPr>
                <w:rFonts w:hint="eastAsia"/>
                <w:highlight w:val="none"/>
              </w:rPr>
              <w:t>▲</w:t>
            </w:r>
            <w:r>
              <w:rPr>
                <w:rFonts w:hint="eastAsia"/>
                <w:highlight w:val="none"/>
                <w:lang w:val="en-US" w:eastAsia="zh-CN"/>
              </w:rPr>
              <w:t>7、网络施工、测试以及割接升级期间，不对现有业务系统产生影响。</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0" w:leftChars="0" w:firstLine="199" w:firstLineChars="95"/>
              <w:textAlignment w:val="auto"/>
              <w:rPr>
                <w:rFonts w:hint="eastAsia"/>
                <w:highlight w:val="none"/>
                <w:lang w:val="en-US" w:eastAsia="zh-CN"/>
              </w:rPr>
            </w:pPr>
            <w:r>
              <w:rPr>
                <w:rFonts w:hint="eastAsia"/>
                <w:highlight w:val="none"/>
                <w:lang w:val="en-US" w:eastAsia="zh-CN"/>
              </w:rPr>
              <w:t>具备有充足的备件、配件，可及时向采购人提供技术服务和备件服务。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lang w:val="en-US" w:eastAsia="zh-CN"/>
              </w:rPr>
            </w:pPr>
            <w:r>
              <w:rPr>
                <w:rFonts w:hint="eastAsia"/>
                <w:highlight w:val="none"/>
              </w:rPr>
              <w:t>▲</w:t>
            </w:r>
            <w:r>
              <w:rPr>
                <w:rFonts w:hint="eastAsia"/>
                <w:highlight w:val="none"/>
                <w:lang w:val="en-US" w:eastAsia="zh-CN"/>
              </w:rPr>
              <w:t>9.在服务期内，采购人需改变数字电路接入地址的，投标人应在接到采购人书面通知20个工作日内完成迁移，免收同一条线路一次电路迁移费用。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lang w:val="en-US" w:eastAsia="zh-CN"/>
              </w:rPr>
            </w:pPr>
            <w:r>
              <w:rPr>
                <w:rFonts w:hint="eastAsia"/>
                <w:highlight w:val="none"/>
              </w:rPr>
              <w:t>▲</w:t>
            </w:r>
            <w:r>
              <w:rPr>
                <w:rFonts w:hint="eastAsia"/>
                <w:highlight w:val="none"/>
                <w:lang w:val="en-US" w:eastAsia="zh-CN"/>
              </w:rPr>
              <w:t>10.如采购人进行本端机房搬迁，投标人应无偿免费根据采购人的要求进行一次线路和相关设备系统的迁移。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10" w:leftChars="0" w:firstLine="199" w:firstLineChars="95"/>
              <w:textAlignment w:val="auto"/>
              <w:rPr>
                <w:rFonts w:hint="default" w:eastAsia="宋体"/>
                <w:highlight w:val="none"/>
                <w:lang w:val="en-US" w:eastAsia="zh-CN"/>
              </w:rPr>
            </w:pPr>
            <w:r>
              <w:rPr>
                <w:rFonts w:hint="eastAsia"/>
                <w:highlight w:val="none"/>
                <w:lang w:val="en-US" w:eastAsia="zh-CN"/>
              </w:rPr>
              <w:t>11.</w:t>
            </w:r>
            <w:r>
              <w:rPr>
                <w:rFonts w:hint="eastAsia" w:ascii="宋体" w:hAnsi="宋体" w:cs="宋体"/>
                <w:highlight w:val="none"/>
                <w:lang w:val="en-US" w:eastAsia="zh-CN"/>
              </w:rPr>
              <w:t>接入设备服务：根据采购人实际需求提供核心交换机设备</w:t>
            </w:r>
            <w:r>
              <w:rPr>
                <w:rFonts w:hint="eastAsia" w:ascii="宋体" w:hAnsi="宋体" w:eastAsia="宋体" w:cs="宋体"/>
                <w:highlight w:val="none"/>
              </w:rPr>
              <w:t>≥</w:t>
            </w:r>
            <w:r>
              <w:rPr>
                <w:rFonts w:hint="eastAsia" w:ascii="宋体" w:hAnsi="宋体" w:cs="宋体"/>
                <w:highlight w:val="none"/>
                <w:lang w:val="en-US" w:eastAsia="zh-CN"/>
              </w:rPr>
              <w:t>5个接入服务，端口要求</w:t>
            </w:r>
            <w:r>
              <w:rPr>
                <w:rFonts w:hint="eastAsia" w:ascii="宋体" w:hAnsi="宋体" w:eastAsia="宋体" w:cs="宋体"/>
                <w:highlight w:val="none"/>
              </w:rPr>
              <w:t>≥</w:t>
            </w:r>
            <w:r>
              <w:rPr>
                <w:rFonts w:hint="eastAsia" w:ascii="宋体" w:hAnsi="宋体" w:cs="宋体"/>
                <w:highlight w:val="none"/>
                <w:lang w:val="en-US" w:eastAsia="zh-CN"/>
              </w:rPr>
              <w:t>8个GE电口；</w:t>
            </w:r>
            <w:r>
              <w:rPr>
                <w:rFonts w:hint="eastAsia" w:ascii="宋体" w:hAnsi="宋体" w:eastAsia="宋体" w:cs="宋体"/>
                <w:highlight w:val="none"/>
              </w:rPr>
              <w:t>≥</w:t>
            </w:r>
            <w:r>
              <w:rPr>
                <w:rFonts w:hint="eastAsia" w:ascii="宋体" w:hAnsi="宋体" w:cs="宋体"/>
                <w:highlight w:val="none"/>
                <w:lang w:val="en-US" w:eastAsia="zh-CN"/>
              </w:rPr>
              <w:t>2个GE光口；交换容量</w:t>
            </w:r>
            <w:r>
              <w:rPr>
                <w:rFonts w:hint="eastAsia" w:ascii="宋体" w:hAnsi="宋体" w:eastAsia="宋体" w:cs="宋体"/>
                <w:highlight w:val="none"/>
              </w:rPr>
              <w:t>≥</w:t>
            </w:r>
            <w:r>
              <w:rPr>
                <w:rFonts w:hint="eastAsia" w:ascii="宋体" w:hAnsi="宋体" w:cs="宋体"/>
                <w:highlight w:val="none"/>
                <w:lang w:val="en-US" w:eastAsia="zh-CN"/>
              </w:rPr>
              <w:t>10Gbps；转发率</w:t>
            </w:r>
            <w:r>
              <w:rPr>
                <w:rFonts w:hint="eastAsia" w:ascii="宋体" w:hAnsi="宋体" w:eastAsia="宋体" w:cs="宋体"/>
                <w:highlight w:val="none"/>
              </w:rPr>
              <w:t>≥</w:t>
            </w:r>
            <w:r>
              <w:rPr>
                <w:rFonts w:hint="eastAsia" w:ascii="宋体" w:hAnsi="宋体" w:cs="宋体"/>
                <w:highlight w:val="none"/>
                <w:lang w:val="en-US" w:eastAsia="zh-CN"/>
              </w:rPr>
              <w:t>151M；支持三层静态路由功能；提供GE光模块，单模，传输距离</w:t>
            </w:r>
            <w:r>
              <w:rPr>
                <w:rFonts w:hint="eastAsia" w:ascii="宋体" w:hAnsi="宋体" w:eastAsia="宋体" w:cs="宋体"/>
                <w:highlight w:val="none"/>
              </w:rPr>
              <w:t>≥</w:t>
            </w:r>
            <w:r>
              <w:rPr>
                <w:rFonts w:hint="eastAsia" w:ascii="宋体" w:hAnsi="宋体" w:cs="宋体"/>
                <w:highlight w:val="none"/>
                <w:lang w:val="en-US" w:eastAsia="zh-CN"/>
              </w:rPr>
              <w:t>10KM。</w:t>
            </w: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szCs w:val="21"/>
                <w:highlight w:val="none"/>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7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highlight w:val="none"/>
              </w:rPr>
            </w:pPr>
          </w:p>
          <w:p>
            <w:pPr>
              <w:spacing w:line="360" w:lineRule="exact"/>
              <w:jc w:val="center"/>
              <w:rPr>
                <w:rFonts w:ascii="宋体" w:hAnsi="宋体"/>
                <w:highlight w:val="none"/>
              </w:rPr>
            </w:pPr>
          </w:p>
          <w:p>
            <w:pPr>
              <w:spacing w:line="360" w:lineRule="exact"/>
              <w:jc w:val="center"/>
              <w:rPr>
                <w:rFonts w:ascii="宋体" w:hAnsi="宋体"/>
                <w:highlight w:val="none"/>
              </w:rPr>
            </w:pPr>
            <w:r>
              <w:rPr>
                <w:rFonts w:hint="eastAsia" w:ascii="宋体" w:hAnsi="宋体"/>
                <w:highlight w:val="none"/>
              </w:rPr>
              <w:t>商务条款</w:t>
            </w:r>
          </w:p>
        </w:tc>
        <w:tc>
          <w:tcPr>
            <w:tcW w:w="10299"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line="360" w:lineRule="auto"/>
              <w:ind w:firstLine="0" w:firstLineChars="0"/>
              <w:textAlignment w:val="auto"/>
              <w:rPr>
                <w:highlight w:val="none"/>
              </w:rPr>
            </w:pPr>
            <w:r>
              <w:rPr>
                <w:rFonts w:hint="eastAsia"/>
                <w:highlight w:val="none"/>
              </w:rPr>
              <w:t>1、合同签订期：自中标通知书发出之日起</w:t>
            </w:r>
            <w:r>
              <w:rPr>
                <w:rFonts w:hint="eastAsia"/>
                <w:highlight w:val="none"/>
                <w:lang w:val="en-US" w:eastAsia="zh-CN"/>
              </w:rPr>
              <w:t>10</w:t>
            </w:r>
            <w:r>
              <w:rPr>
                <w:rFonts w:hint="eastAsia"/>
                <w:highlight w:val="none"/>
              </w:rPr>
              <w:t>个日历日内；</w:t>
            </w:r>
            <w:r>
              <w:rPr>
                <w:rFonts w:hint="eastAsia"/>
                <w:highlight w:val="none"/>
              </w:rPr>
              <w:br w:type="textWrapping"/>
            </w:r>
            <w:r>
              <w:rPr>
                <w:rFonts w:hint="eastAsia"/>
                <w:highlight w:val="none"/>
              </w:rPr>
              <w:t>▲2、提交服务成果时间：自合同签订之日起</w:t>
            </w:r>
            <w:r>
              <w:rPr>
                <w:rFonts w:hint="eastAsia"/>
                <w:highlight w:val="none"/>
                <w:lang w:val="en-US" w:eastAsia="zh-CN"/>
              </w:rPr>
              <w:t>30</w:t>
            </w:r>
            <w:r>
              <w:rPr>
                <w:rFonts w:hint="eastAsia"/>
                <w:highlight w:val="none"/>
              </w:rPr>
              <w:t>个日历天内交付使用。</w:t>
            </w:r>
            <w:r>
              <w:rPr>
                <w:rFonts w:hint="eastAsia"/>
                <w:highlight w:val="none"/>
              </w:rPr>
              <w:br w:type="textWrapping"/>
            </w:r>
            <w:r>
              <w:rPr>
                <w:rFonts w:hint="eastAsia"/>
                <w:highlight w:val="none"/>
              </w:rPr>
              <w:t>3、提交服务成果地点：南宁市范围内采购单位指定地点。</w:t>
            </w:r>
            <w:r>
              <w:rPr>
                <w:rFonts w:hint="eastAsia"/>
                <w:highlight w:val="none"/>
              </w:rPr>
              <w:br w:type="textWrapping"/>
            </w:r>
            <w:r>
              <w:rPr>
                <w:rFonts w:hint="eastAsia"/>
                <w:highlight w:val="none"/>
              </w:rPr>
              <w:t>▲4、服务期限：自</w:t>
            </w:r>
            <w:r>
              <w:rPr>
                <w:rFonts w:hint="eastAsia"/>
                <w:highlight w:val="none"/>
                <w:lang w:eastAsia="zh-CN"/>
              </w:rPr>
              <w:t>验收</w:t>
            </w:r>
            <w:r>
              <w:rPr>
                <w:rFonts w:hint="eastAsia"/>
                <w:highlight w:val="none"/>
              </w:rPr>
              <w:t>交付使用之日起服务</w:t>
            </w:r>
            <w:r>
              <w:rPr>
                <w:rFonts w:hint="eastAsia"/>
                <w:highlight w:val="none"/>
                <w:lang w:val="en-US" w:eastAsia="zh-CN"/>
              </w:rPr>
              <w:t>二</w:t>
            </w:r>
            <w:r>
              <w:rPr>
                <w:rFonts w:hint="eastAsia"/>
                <w:highlight w:val="none"/>
              </w:rPr>
              <w:t>年。</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highlight w:val="none"/>
              </w:rPr>
            </w:pPr>
            <w:r>
              <w:rPr>
                <w:rFonts w:hint="eastAsia"/>
                <w:highlight w:val="none"/>
              </w:rPr>
              <w:t>▲5、质保期：自线路</w:t>
            </w:r>
            <w:r>
              <w:rPr>
                <w:rFonts w:hint="eastAsia"/>
                <w:highlight w:val="none"/>
                <w:lang w:eastAsia="zh-CN"/>
              </w:rPr>
              <w:t>验收</w:t>
            </w:r>
            <w:r>
              <w:rPr>
                <w:rFonts w:hint="eastAsia"/>
                <w:highlight w:val="none"/>
              </w:rPr>
              <w:t>交付使用之日起至服务期满之日止。</w:t>
            </w:r>
            <w:r>
              <w:rPr>
                <w:rFonts w:hint="eastAsia"/>
                <w:highlight w:val="none"/>
              </w:rPr>
              <w:br w:type="textWrapping"/>
            </w:r>
            <w:r>
              <w:rPr>
                <w:rFonts w:hint="eastAsia"/>
                <w:highlight w:val="none"/>
              </w:rPr>
              <w:t>▲6、报价必须含以下部分，包括：</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（1）服务的价格；</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（2）必要的保险费用和各项税金；</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（3）技术支持、售后服务、更新升级等费用；</w:t>
            </w:r>
          </w:p>
          <w:p>
            <w:pPr>
              <w:widowControl/>
              <w:adjustRightInd w:val="0"/>
              <w:snapToGrid w:val="0"/>
              <w:spacing w:line="400" w:lineRule="exact"/>
              <w:rPr>
                <w:highlight w:val="none"/>
              </w:rPr>
            </w:pPr>
            <w:r>
              <w:rPr>
                <w:rFonts w:hint="eastAsia"/>
                <w:highlight w:val="none"/>
              </w:rPr>
              <w:t>▲7、验收标准：</w:t>
            </w:r>
          </w:p>
          <w:p>
            <w:pPr>
              <w:widowControl/>
              <w:spacing w:line="400" w:lineRule="exact"/>
              <w:ind w:firstLine="420" w:firstLineChars="200"/>
              <w:rPr>
                <w:highlight w:val="none"/>
              </w:rPr>
            </w:pPr>
            <w:r>
              <w:rPr>
                <w:rFonts w:hint="eastAsia"/>
                <w:highlight w:val="none"/>
              </w:rPr>
              <w:t>（1）符合合同要求及国家相关标准；</w:t>
            </w:r>
          </w:p>
          <w:p>
            <w:pPr>
              <w:widowControl/>
              <w:spacing w:line="400" w:lineRule="exact"/>
              <w:ind w:firstLine="420" w:firstLineChars="200"/>
              <w:rPr>
                <w:highlight w:val="none"/>
              </w:rPr>
            </w:pPr>
            <w:r>
              <w:rPr>
                <w:rFonts w:hint="eastAsia"/>
                <w:highlight w:val="none"/>
              </w:rPr>
              <w:t>（2）服务内容符合或优于合同要求；</w:t>
            </w:r>
          </w:p>
          <w:p>
            <w:pPr>
              <w:widowControl/>
              <w:spacing w:line="400" w:lineRule="exact"/>
              <w:ind w:firstLine="420" w:firstLineChars="200"/>
              <w:rPr>
                <w:highlight w:val="none"/>
              </w:rPr>
            </w:pPr>
            <w:r>
              <w:rPr>
                <w:rFonts w:hint="eastAsia"/>
                <w:highlight w:val="none"/>
              </w:rPr>
              <w:t>（3）采购标的需执行国家标准、行业标准、地方标准或者其他标准、规范，如有最新的按最新的执行；</w:t>
            </w:r>
          </w:p>
          <w:p>
            <w:pPr>
              <w:widowControl/>
              <w:spacing w:line="400" w:lineRule="exact"/>
              <w:ind w:firstLine="420" w:firstLineChars="200"/>
              <w:rPr>
                <w:highlight w:val="none"/>
              </w:rPr>
            </w:pPr>
            <w:r>
              <w:rPr>
                <w:rFonts w:hint="eastAsia"/>
                <w:highlight w:val="none"/>
              </w:rPr>
              <w:t>（</w:t>
            </w:r>
            <w:r>
              <w:rPr>
                <w:highlight w:val="none"/>
              </w:rPr>
              <w:t>4</w:t>
            </w:r>
            <w:r>
              <w:rPr>
                <w:rFonts w:hint="eastAsia"/>
                <w:highlight w:val="none"/>
              </w:rPr>
              <w:t>）供应商在服务成果验收时由采购单位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w:t>
            </w:r>
          </w:p>
          <w:p>
            <w:pPr>
              <w:widowControl/>
              <w:spacing w:line="400" w:lineRule="exact"/>
              <w:ind w:firstLine="420" w:firstLineChars="200"/>
              <w:rPr>
                <w:highlight w:val="none"/>
              </w:rPr>
            </w:pPr>
            <w:r>
              <w:rPr>
                <w:rFonts w:hint="eastAsia"/>
                <w:highlight w:val="none"/>
              </w:rPr>
              <w:t>（</w:t>
            </w:r>
            <w:r>
              <w:rPr>
                <w:highlight w:val="none"/>
              </w:rPr>
              <w:t>5</w:t>
            </w:r>
            <w:r>
              <w:rPr>
                <w:rFonts w:hint="eastAsia"/>
                <w:highlight w:val="none"/>
              </w:rPr>
              <w:t>）验收不通过的，根据采购人意见进行整改，直到验收通过为止，期间产生相关费用由供应商承担。</w:t>
            </w:r>
          </w:p>
          <w:p>
            <w:pPr>
              <w:widowControl/>
              <w:adjustRightInd w:val="0"/>
              <w:snapToGrid w:val="0"/>
              <w:spacing w:line="400" w:lineRule="exact"/>
              <w:rPr>
                <w:highlight w:val="none"/>
              </w:rPr>
            </w:pPr>
            <w:r>
              <w:rPr>
                <w:rFonts w:hint="eastAsia"/>
                <w:highlight w:val="none"/>
              </w:rPr>
              <w:t>▲</w:t>
            </w:r>
            <w:r>
              <w:rPr>
                <w:highlight w:val="none"/>
              </w:rPr>
              <w:t>8</w:t>
            </w:r>
            <w:r>
              <w:rPr>
                <w:rFonts w:hint="eastAsia"/>
                <w:highlight w:val="none"/>
              </w:rPr>
              <w:t>、付款方式：全部</w:t>
            </w:r>
            <w:r>
              <w:rPr>
                <w:rFonts w:hint="eastAsia"/>
                <w:highlight w:val="none"/>
                <w:lang w:val="en-US" w:eastAsia="zh-CN"/>
              </w:rPr>
              <w:t>线路</w:t>
            </w:r>
            <w:r>
              <w:rPr>
                <w:rFonts w:hint="eastAsia"/>
                <w:highlight w:val="none"/>
              </w:rPr>
              <w:t>提供完毕，经采购人验收合格后，</w:t>
            </w:r>
            <w:r>
              <w:rPr>
                <w:rFonts w:hint="eastAsia"/>
                <w:highlight w:val="none"/>
                <w:lang w:eastAsia="zh-CN"/>
              </w:rPr>
              <w:t>按年度支付合同款，验收交付使用后</w:t>
            </w:r>
            <w:r>
              <w:rPr>
                <w:rFonts w:hint="eastAsia"/>
                <w:highlight w:val="none"/>
                <w:lang w:val="en-US" w:eastAsia="zh-CN"/>
              </w:rPr>
              <w:t>30个工作日内</w:t>
            </w:r>
            <w:r>
              <w:rPr>
                <w:rFonts w:hint="eastAsia"/>
                <w:highlight w:val="none"/>
                <w:lang w:eastAsia="zh-CN"/>
              </w:rPr>
              <w:t>支付第一年使用服务合同款</w:t>
            </w:r>
            <w:r>
              <w:rPr>
                <w:rFonts w:hint="eastAsia"/>
                <w:highlight w:val="none"/>
                <w:lang w:val="en-US" w:eastAsia="zh-CN"/>
              </w:rPr>
              <w:t>50%，次年同期支付50%</w:t>
            </w:r>
            <w:r>
              <w:rPr>
                <w:rFonts w:hint="eastAsia"/>
                <w:highlight w:val="none"/>
              </w:rPr>
              <w:t>。</w:t>
            </w:r>
          </w:p>
          <w:p>
            <w:pPr>
              <w:widowControl/>
              <w:adjustRightInd w:val="0"/>
              <w:snapToGrid w:val="0"/>
              <w:spacing w:line="400" w:lineRule="exact"/>
              <w:rPr>
                <w:highlight w:val="none"/>
              </w:rPr>
            </w:pPr>
            <w:r>
              <w:rPr>
                <w:rFonts w:hint="eastAsia"/>
                <w:highlight w:val="none"/>
              </w:rPr>
              <w:t>▲9、</w:t>
            </w:r>
            <w:r>
              <w:rPr>
                <w:rFonts w:hint="eastAsia"/>
                <w:highlight w:val="none"/>
                <w:lang w:val="en-US" w:eastAsia="zh-CN"/>
              </w:rPr>
              <w:t>售后服务要求</w:t>
            </w:r>
          </w:p>
          <w:p>
            <w:pPr>
              <w:widowControl/>
              <w:adjustRightInd w:val="0"/>
              <w:snapToGrid w:val="0"/>
              <w:spacing w:line="400" w:lineRule="exact"/>
              <w:ind w:firstLine="420" w:firstLineChars="200"/>
              <w:rPr>
                <w:highlight w:val="none"/>
              </w:rPr>
            </w:pPr>
            <w:r>
              <w:rPr>
                <w:rFonts w:hint="eastAsia"/>
                <w:highlight w:val="none"/>
              </w:rPr>
              <w:t>（1）投标人应保障网络的畅通，做好</w:t>
            </w:r>
            <w:r>
              <w:rPr>
                <w:rFonts w:hint="eastAsia"/>
                <w:highlight w:val="none"/>
                <w:lang w:val="en-US" w:eastAsia="zh-CN"/>
              </w:rPr>
              <w:t>数据</w:t>
            </w:r>
            <w:r>
              <w:rPr>
                <w:rFonts w:hint="eastAsia"/>
                <w:highlight w:val="none"/>
              </w:rPr>
              <w:t>传输保障工作；</w:t>
            </w:r>
          </w:p>
          <w:p>
            <w:pPr>
              <w:widowControl/>
              <w:adjustRightInd w:val="0"/>
              <w:snapToGrid w:val="0"/>
              <w:spacing w:line="400" w:lineRule="exact"/>
              <w:ind w:firstLine="420" w:firstLineChars="200"/>
              <w:rPr>
                <w:highlight w:val="none"/>
              </w:rPr>
            </w:pPr>
            <w:r>
              <w:rPr>
                <w:rFonts w:hint="eastAsia"/>
                <w:highlight w:val="none"/>
              </w:rPr>
              <w:t>（2）提供7*24小时热线服务电话和售后服务，接到故障报修后，技术服务人员在1小时内进行电话反馈。如果确认需要现场服务，技术服务人员在4小时内到达现场。如果线路故障或设备在检修12小时后仍无法排除，应在24小时内提供速率不低于故障线路的备用线路更换使用。</w:t>
            </w:r>
          </w:p>
          <w:p>
            <w:pPr>
              <w:widowControl/>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）投标人因施工、网络割接等原因影响通信专线传输的，应提前24小时通知用户，并尽快恢复通信线路。</w:t>
            </w:r>
          </w:p>
          <w:p>
            <w:pPr>
              <w:widowControl/>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4</w:t>
            </w:r>
            <w:r>
              <w:rPr>
                <w:rFonts w:hint="eastAsia"/>
                <w:highlight w:val="none"/>
              </w:rPr>
              <w:t>）投标人必须备有充足的备件、配件，可及时向采购人提供技术服务和备件服务。</w:t>
            </w:r>
          </w:p>
          <w:p>
            <w:pPr>
              <w:widowControl/>
              <w:adjustRightInd w:val="0"/>
              <w:snapToGrid w:val="0"/>
              <w:spacing w:line="400" w:lineRule="exact"/>
              <w:rPr>
                <w:highlight w:val="none"/>
              </w:rPr>
            </w:pPr>
            <w:bookmarkStart w:id="11" w:name="OLE_LINK5"/>
            <w:r>
              <w:rPr>
                <w:rFonts w:hint="eastAsia"/>
                <w:highlight w:val="none"/>
              </w:rPr>
              <w:t>▲</w:t>
            </w:r>
            <w:bookmarkEnd w:id="11"/>
            <w:r>
              <w:rPr>
                <w:highlight w:val="none"/>
              </w:rPr>
              <w:t>10</w:t>
            </w:r>
            <w:r>
              <w:rPr>
                <w:rFonts w:hint="eastAsia"/>
                <w:highlight w:val="none"/>
              </w:rPr>
              <w:t>、其他要求：</w:t>
            </w:r>
          </w:p>
          <w:p>
            <w:pPr>
              <w:widowControl/>
              <w:shd w:val="clear" w:color="auto" w:fill="FFFFFF"/>
              <w:spacing w:line="400" w:lineRule="exact"/>
              <w:ind w:firstLine="210" w:firstLineChars="100"/>
              <w:rPr>
                <w:highlight w:val="none"/>
              </w:rPr>
            </w:pPr>
            <w:r>
              <w:rPr>
                <w:rFonts w:hint="eastAsia"/>
                <w:highlight w:val="none"/>
              </w:rPr>
              <w:t>（1）本项目为“交钥匙”工程，成交人提供的服务必须完全符合采购需求，如本次采购内容中未能详尽说明，但又是满足服务成果提交条件需要的其它网络设备或配件，由成交人在合同金额内自行解决。</w:t>
            </w:r>
          </w:p>
          <w:p>
            <w:pPr>
              <w:widowControl/>
              <w:adjustRightInd w:val="0"/>
              <w:snapToGrid w:val="0"/>
              <w:spacing w:line="400" w:lineRule="exact"/>
              <w:ind w:firstLine="210" w:firstLineChars="100"/>
              <w:rPr>
                <w:highlight w:val="none"/>
              </w:rPr>
            </w:pPr>
            <w:r>
              <w:rPr>
                <w:rFonts w:hint="eastAsia"/>
                <w:highlight w:val="none"/>
              </w:rPr>
              <w:t>（</w:t>
            </w:r>
            <w:r>
              <w:rPr>
                <w:rFonts w:hint="eastAsia"/>
                <w:highlight w:val="none"/>
                <w:lang w:val="en-US" w:eastAsia="zh-CN"/>
              </w:rPr>
              <w:t>2</w:t>
            </w:r>
            <w:r>
              <w:rPr>
                <w:rFonts w:hint="eastAsia"/>
                <w:highlight w:val="none"/>
              </w:rPr>
              <w:t>）项目验收：所有</w:t>
            </w:r>
            <w:r>
              <w:rPr>
                <w:rFonts w:hint="eastAsia"/>
                <w:highlight w:val="none"/>
                <w:lang w:val="en-US" w:eastAsia="zh-CN"/>
              </w:rPr>
              <w:t>线路交付</w:t>
            </w:r>
            <w:r>
              <w:rPr>
                <w:rFonts w:hint="eastAsia"/>
                <w:highlight w:val="none"/>
              </w:rPr>
              <w:t>完成后，成交人提请项目验收，由采购人组织项目验收工作，依据行业规范及采购人的需求来确定。</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（4）为了保障本项目质量，若中标的投标人未能按照投标时承诺的成果提交期限</w:t>
            </w:r>
            <w:r>
              <w:rPr>
                <w:rFonts w:hint="eastAsia"/>
                <w:highlight w:val="none"/>
                <w:lang w:val="en-US" w:eastAsia="zh-CN"/>
              </w:rPr>
              <w:t>交付</w:t>
            </w:r>
            <w:r>
              <w:rPr>
                <w:rFonts w:hint="eastAsia"/>
                <w:highlight w:val="none"/>
              </w:rPr>
              <w:t>的，采购人有权报政府采购监督管理部门终止合同。</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（5）成交人在对所接触到的所有信息负有保密义务，并签署相关保密协议，如因中标商原因造成的信息泄露事件，采购人可申请有关部门追究其刑事责任。</w:t>
            </w:r>
          </w:p>
          <w:p>
            <w:pPr>
              <w:widowControl/>
              <w:adjustRightInd w:val="0"/>
              <w:snapToGrid w:val="0"/>
              <w:spacing w:line="400" w:lineRule="exact"/>
              <w:ind w:firstLine="210" w:firstLineChars="100"/>
              <w:rPr>
                <w:rFonts w:hint="eastAsia" w:eastAsia="宋体"/>
                <w:highlight w:val="none"/>
                <w:lang w:eastAsia="zh-CN"/>
              </w:rPr>
            </w:pPr>
            <w:r>
              <w:rPr>
                <w:rFonts w:hint="eastAsia"/>
                <w:highlight w:val="none"/>
              </w:rPr>
              <w:t>（</w:t>
            </w:r>
            <w:r>
              <w:rPr>
                <w:rFonts w:hint="eastAsia"/>
                <w:highlight w:val="none"/>
                <w:lang w:val="en-US" w:eastAsia="zh-CN"/>
              </w:rPr>
              <w:t>6</w:t>
            </w:r>
            <w:r>
              <w:rPr>
                <w:rFonts w:hint="eastAsia"/>
                <w:highlight w:val="none"/>
              </w:rPr>
              <w:t>）在项目合同服务期内，中标人须按安全规范标准进行工程实施及维护管理，所发生的安全事故责任全部由中标人承担。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highlight w:val="none"/>
              </w:rPr>
            </w:pPr>
            <w:r>
              <w:rPr>
                <w:rFonts w:hint="eastAsia" w:ascii="宋体" w:hAnsi="宋体"/>
                <w:highlight w:val="none"/>
              </w:rPr>
              <w:t>其他说明</w:t>
            </w:r>
          </w:p>
        </w:tc>
        <w:tc>
          <w:tcPr>
            <w:tcW w:w="10299" w:type="dxa"/>
            <w:gridSpan w:val="9"/>
            <w:tcBorders>
              <w:top w:val="single" w:color="auto" w:sz="4" w:space="0"/>
              <w:left w:val="single" w:color="auto" w:sz="4" w:space="0"/>
              <w:bottom w:val="single" w:color="auto" w:sz="4" w:space="0"/>
              <w:right w:val="single" w:color="auto" w:sz="4" w:space="0"/>
            </w:tcBorders>
          </w:tcPr>
          <w:p>
            <w:pPr>
              <w:widowControl/>
              <w:shd w:val="clear" w:color="auto" w:fill="FFFFFF"/>
              <w:spacing w:line="400" w:lineRule="exact"/>
              <w:rPr>
                <w:rFonts w:ascii="宋体" w:hAnsi="宋体"/>
                <w:szCs w:val="21"/>
                <w:highlight w:val="none"/>
              </w:rPr>
            </w:pPr>
            <w:r>
              <w:rPr>
                <w:rFonts w:hint="eastAsia" w:ascii="宋体" w:hAnsi="宋体"/>
                <w:szCs w:val="21"/>
                <w:highlight w:val="none"/>
              </w:rPr>
              <w:t>一、进口产品说明（根据项目实际情况选择）</w:t>
            </w:r>
          </w:p>
          <w:p>
            <w:pPr>
              <w:tabs>
                <w:tab w:val="left" w:pos="180"/>
                <w:tab w:val="left" w:pos="1620"/>
              </w:tabs>
              <w:spacing w:line="400" w:lineRule="exact"/>
              <w:ind w:firstLine="420"/>
              <w:rPr>
                <w:rFonts w:ascii="宋体" w:hAnsi="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本分标服务不接受进口产品（即通过中国海关报关验放进入中国境内且产自关境外的产品）参与响应，</w:t>
            </w:r>
            <w:r>
              <w:rPr>
                <w:rFonts w:hint="eastAsia" w:ascii="宋体" w:hAnsi="宋体"/>
                <w:b/>
                <w:szCs w:val="21"/>
                <w:highlight w:val="none"/>
              </w:rPr>
              <w:t>如有进口产品参与竞标的，其响应文件作无效处理</w:t>
            </w:r>
            <w:r>
              <w:rPr>
                <w:rFonts w:hint="eastAsia" w:ascii="宋体" w:hAnsi="宋体"/>
                <w:szCs w:val="21"/>
                <w:highlight w:val="none"/>
              </w:rPr>
              <w:t>。</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以下响应材料必须加盖公章：</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报价表、保密承诺书、营业执照、竞标声明、服务承诺函、企业营业执照复印件、资质证书复印件、法人(负责人)证件复印件、委托书、技术偏离表、商务条款偏离表</w:t>
      </w:r>
      <w:r>
        <w:rPr>
          <w:rFonts w:hint="eastAsia" w:cs="Times New Roman"/>
          <w:kern w:val="2"/>
          <w:sz w:val="21"/>
          <w:szCs w:val="24"/>
          <w:highlight w:val="none"/>
          <w:lang w:val="en-US" w:eastAsia="zh-CN" w:bidi="ar-SA"/>
        </w:rPr>
        <w:t>。</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83478"/>
    <w:multiLevelType w:val="singleLevel"/>
    <w:tmpl w:val="36883478"/>
    <w:lvl w:ilvl="0" w:tentative="0">
      <w:start w:val="3"/>
      <w:numFmt w:val="decimal"/>
      <w:lvlText w:val="%1."/>
      <w:lvlJc w:val="left"/>
      <w:pPr>
        <w:tabs>
          <w:tab w:val="left" w:pos="312"/>
        </w:tabs>
      </w:pPr>
    </w:lvl>
  </w:abstractNum>
  <w:abstractNum w:abstractNumId="1">
    <w:nsid w:val="4DE6F1DB"/>
    <w:multiLevelType w:val="singleLevel"/>
    <w:tmpl w:val="4DE6F1DB"/>
    <w:lvl w:ilvl="0" w:tentative="0">
      <w:start w:val="1"/>
      <w:numFmt w:val="decimal"/>
      <w:suff w:val="nothing"/>
      <w:lvlText w:val="%1、"/>
      <w:lvlJc w:val="left"/>
      <w:pPr>
        <w:ind w:left="210" w:leftChars="0" w:firstLine="0" w:firstLineChars="0"/>
      </w:pPr>
    </w:lvl>
  </w:abstractNum>
  <w:abstractNum w:abstractNumId="2">
    <w:nsid w:val="6EAFA02F"/>
    <w:multiLevelType w:val="singleLevel"/>
    <w:tmpl w:val="6EAFA02F"/>
    <w:lvl w:ilvl="0" w:tentative="0">
      <w:start w:val="8"/>
      <w:numFmt w:val="decimal"/>
      <w:lvlText w:val="%1."/>
      <w:lvlJc w:val="left"/>
      <w:pPr>
        <w:tabs>
          <w:tab w:val="left" w:pos="312"/>
        </w:tabs>
        <w:ind w:left="21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62BF8"/>
    <w:rsid w:val="0002586A"/>
    <w:rsid w:val="00062BF8"/>
    <w:rsid w:val="0007389B"/>
    <w:rsid w:val="00073C96"/>
    <w:rsid w:val="001144AF"/>
    <w:rsid w:val="00182A3F"/>
    <w:rsid w:val="001869F9"/>
    <w:rsid w:val="001B3F56"/>
    <w:rsid w:val="00204B45"/>
    <w:rsid w:val="00253DC8"/>
    <w:rsid w:val="002C07A7"/>
    <w:rsid w:val="002C41AD"/>
    <w:rsid w:val="00315B4F"/>
    <w:rsid w:val="00391994"/>
    <w:rsid w:val="003D003C"/>
    <w:rsid w:val="004303DD"/>
    <w:rsid w:val="00464F31"/>
    <w:rsid w:val="004B4068"/>
    <w:rsid w:val="00502632"/>
    <w:rsid w:val="0051468C"/>
    <w:rsid w:val="005170B7"/>
    <w:rsid w:val="00561BD8"/>
    <w:rsid w:val="005C1F95"/>
    <w:rsid w:val="005D0649"/>
    <w:rsid w:val="005F6A62"/>
    <w:rsid w:val="005F71F5"/>
    <w:rsid w:val="006140BD"/>
    <w:rsid w:val="0062718E"/>
    <w:rsid w:val="00634A9B"/>
    <w:rsid w:val="00657642"/>
    <w:rsid w:val="00712FF6"/>
    <w:rsid w:val="00756926"/>
    <w:rsid w:val="007746EA"/>
    <w:rsid w:val="007B53BB"/>
    <w:rsid w:val="007E630E"/>
    <w:rsid w:val="007F76E3"/>
    <w:rsid w:val="0080541B"/>
    <w:rsid w:val="008541A9"/>
    <w:rsid w:val="00854430"/>
    <w:rsid w:val="00883806"/>
    <w:rsid w:val="008A3CE2"/>
    <w:rsid w:val="008A7487"/>
    <w:rsid w:val="008A7668"/>
    <w:rsid w:val="008E0B37"/>
    <w:rsid w:val="008F7B2D"/>
    <w:rsid w:val="00913070"/>
    <w:rsid w:val="009222C4"/>
    <w:rsid w:val="009612C6"/>
    <w:rsid w:val="009871AF"/>
    <w:rsid w:val="009A028E"/>
    <w:rsid w:val="009C14B0"/>
    <w:rsid w:val="009F5563"/>
    <w:rsid w:val="00A21887"/>
    <w:rsid w:val="00A66B72"/>
    <w:rsid w:val="00A7286A"/>
    <w:rsid w:val="00A76BB1"/>
    <w:rsid w:val="00AA2D3C"/>
    <w:rsid w:val="00AE0AAF"/>
    <w:rsid w:val="00AF37B0"/>
    <w:rsid w:val="00B45E5E"/>
    <w:rsid w:val="00B84A13"/>
    <w:rsid w:val="00BC3DDF"/>
    <w:rsid w:val="00C22A9A"/>
    <w:rsid w:val="00C22D61"/>
    <w:rsid w:val="00C26757"/>
    <w:rsid w:val="00C450C7"/>
    <w:rsid w:val="00C45628"/>
    <w:rsid w:val="00C533E4"/>
    <w:rsid w:val="00C71F56"/>
    <w:rsid w:val="00C95986"/>
    <w:rsid w:val="00CB2927"/>
    <w:rsid w:val="00D2294D"/>
    <w:rsid w:val="00D5153B"/>
    <w:rsid w:val="00D90F3D"/>
    <w:rsid w:val="00DC4F22"/>
    <w:rsid w:val="00DF179B"/>
    <w:rsid w:val="00DF4282"/>
    <w:rsid w:val="00E50EA3"/>
    <w:rsid w:val="00E86058"/>
    <w:rsid w:val="00ED552F"/>
    <w:rsid w:val="00EF6E2C"/>
    <w:rsid w:val="00F623FA"/>
    <w:rsid w:val="00F9503F"/>
    <w:rsid w:val="00FB0EC5"/>
    <w:rsid w:val="0242123F"/>
    <w:rsid w:val="03C43B4B"/>
    <w:rsid w:val="046A18AE"/>
    <w:rsid w:val="062D3A4B"/>
    <w:rsid w:val="06E33593"/>
    <w:rsid w:val="0A976966"/>
    <w:rsid w:val="0BBD2C3B"/>
    <w:rsid w:val="0D0B39F3"/>
    <w:rsid w:val="10A04854"/>
    <w:rsid w:val="10E53F5D"/>
    <w:rsid w:val="12EE2CBB"/>
    <w:rsid w:val="13A011A8"/>
    <w:rsid w:val="1577373D"/>
    <w:rsid w:val="16912623"/>
    <w:rsid w:val="173152DC"/>
    <w:rsid w:val="192769DA"/>
    <w:rsid w:val="19687EF8"/>
    <w:rsid w:val="196E52C2"/>
    <w:rsid w:val="1ABA4502"/>
    <w:rsid w:val="1C795389"/>
    <w:rsid w:val="1D655B01"/>
    <w:rsid w:val="1D862DB1"/>
    <w:rsid w:val="1E0C6532"/>
    <w:rsid w:val="237B5F47"/>
    <w:rsid w:val="23E67966"/>
    <w:rsid w:val="2492140C"/>
    <w:rsid w:val="28584980"/>
    <w:rsid w:val="2A0E0273"/>
    <w:rsid w:val="2B4F358C"/>
    <w:rsid w:val="2D160D40"/>
    <w:rsid w:val="2FBA5E76"/>
    <w:rsid w:val="303061A7"/>
    <w:rsid w:val="306821F8"/>
    <w:rsid w:val="350A242B"/>
    <w:rsid w:val="357C674B"/>
    <w:rsid w:val="36161B2A"/>
    <w:rsid w:val="3650162A"/>
    <w:rsid w:val="374B2314"/>
    <w:rsid w:val="37DC7A31"/>
    <w:rsid w:val="39CB1662"/>
    <w:rsid w:val="3BFE736C"/>
    <w:rsid w:val="3E5251A3"/>
    <w:rsid w:val="40A62494"/>
    <w:rsid w:val="42274E01"/>
    <w:rsid w:val="428C40E9"/>
    <w:rsid w:val="44FA4BF9"/>
    <w:rsid w:val="47D14035"/>
    <w:rsid w:val="4A3257E0"/>
    <w:rsid w:val="4E9815C3"/>
    <w:rsid w:val="513A40D0"/>
    <w:rsid w:val="56667A7C"/>
    <w:rsid w:val="57036966"/>
    <w:rsid w:val="5A56101C"/>
    <w:rsid w:val="5AD35DF6"/>
    <w:rsid w:val="5F01564A"/>
    <w:rsid w:val="607E5AAB"/>
    <w:rsid w:val="681D6519"/>
    <w:rsid w:val="682114A4"/>
    <w:rsid w:val="68D910B6"/>
    <w:rsid w:val="6A5E0607"/>
    <w:rsid w:val="6B9474B8"/>
    <w:rsid w:val="6EBD1E5A"/>
    <w:rsid w:val="76301991"/>
    <w:rsid w:val="77932AFE"/>
    <w:rsid w:val="77D526EF"/>
    <w:rsid w:val="782D3EED"/>
    <w:rsid w:val="78817D25"/>
    <w:rsid w:val="7A0F03BE"/>
    <w:rsid w:val="7AC9399F"/>
    <w:rsid w:val="7B061E7A"/>
    <w:rsid w:val="7B194382"/>
    <w:rsid w:val="7C6931B5"/>
    <w:rsid w:val="7D7820F7"/>
    <w:rsid w:val="7D78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1"/>
    <w:qFormat/>
    <w:uiPriority w:val="0"/>
    <w:pPr>
      <w:keepNext/>
      <w:keepLines/>
      <w:spacing w:before="260" w:after="260" w:line="416" w:lineRule="auto"/>
      <w:outlineLvl w:val="2"/>
    </w:pPr>
    <w:rPr>
      <w:b/>
      <w:bCs/>
      <w:sz w:val="32"/>
      <w:szCs w:val="32"/>
    </w:rPr>
  </w:style>
  <w:style w:type="paragraph" w:styleId="6">
    <w:name w:val="heading 5"/>
    <w:basedOn w:val="1"/>
    <w:next w:val="7"/>
    <w:link w:val="52"/>
    <w:qFormat/>
    <w:uiPriority w:val="0"/>
    <w:pPr>
      <w:keepNext/>
      <w:keepLines/>
      <w:spacing w:before="280" w:after="290" w:line="376" w:lineRule="auto"/>
      <w:outlineLvl w:val="4"/>
    </w:pPr>
    <w:rPr>
      <w:b/>
      <w:bCs/>
      <w:sz w:val="28"/>
      <w:szCs w:val="28"/>
    </w:rPr>
  </w:style>
  <w:style w:type="paragraph" w:styleId="8">
    <w:name w:val="heading 8"/>
    <w:basedOn w:val="1"/>
    <w:next w:val="1"/>
    <w:link w:val="53"/>
    <w:qFormat/>
    <w:uiPriority w:val="0"/>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54"/>
    <w:qFormat/>
    <w:uiPriority w:val="0"/>
    <w:pPr>
      <w:keepNext/>
      <w:keepLines/>
      <w:spacing w:before="240" w:after="64" w:line="320" w:lineRule="auto"/>
      <w:outlineLvl w:val="8"/>
    </w:pPr>
    <w:rPr>
      <w:rFonts w:ascii="Cambria" w:hAnsi="Cambria"/>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0"/>
    <w:unhideWhenUsed/>
    <w:qFormat/>
    <w:uiPriority w:val="0"/>
    <w:pPr>
      <w:spacing w:after="120"/>
    </w:p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6"/>
    <w:qFormat/>
    <w:uiPriority w:val="0"/>
    <w:pPr>
      <w:jc w:val="left"/>
    </w:pPr>
  </w:style>
  <w:style w:type="paragraph" w:styleId="12">
    <w:name w:val="Body Text 3"/>
    <w:basedOn w:val="1"/>
    <w:link w:val="58"/>
    <w:qFormat/>
    <w:uiPriority w:val="0"/>
    <w:pPr>
      <w:spacing w:after="120"/>
    </w:pPr>
    <w:rPr>
      <w:sz w:val="16"/>
      <w:szCs w:val="16"/>
    </w:rPr>
  </w:style>
  <w:style w:type="paragraph" w:styleId="13">
    <w:name w:val="Body Text Indent"/>
    <w:basedOn w:val="1"/>
    <w:link w:val="62"/>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link w:val="64"/>
    <w:qFormat/>
    <w:uiPriority w:val="0"/>
    <w:rPr>
      <w:rFonts w:ascii="宋体" w:hAnsi="Courier New"/>
      <w:kern w:val="0"/>
      <w:sz w:val="20"/>
      <w:szCs w:val="21"/>
    </w:rPr>
  </w:style>
  <w:style w:type="paragraph" w:styleId="17">
    <w:name w:val="Date"/>
    <w:basedOn w:val="1"/>
    <w:next w:val="1"/>
    <w:link w:val="66"/>
    <w:qFormat/>
    <w:uiPriority w:val="0"/>
    <w:pPr>
      <w:ind w:left="100" w:leftChars="2500"/>
    </w:pPr>
  </w:style>
  <w:style w:type="paragraph" w:styleId="18">
    <w:name w:val="Balloon Text"/>
    <w:basedOn w:val="1"/>
    <w:link w:val="68"/>
    <w:qFormat/>
    <w:uiPriority w:val="0"/>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tabs>
        <w:tab w:val="right" w:leader="dot" w:pos="8296"/>
      </w:tabs>
      <w:ind w:left="420" w:leftChars="200"/>
    </w:pPr>
  </w:style>
  <w:style w:type="paragraph" w:styleId="24">
    <w:name w:val="Normal (Web)"/>
    <w:basedOn w:val="1"/>
    <w:qFormat/>
    <w:uiPriority w:val="0"/>
    <w:rPr>
      <w:rFonts w:ascii="Calibri" w:hAnsi="Calibri"/>
      <w:kern w:val="0"/>
      <w:sz w:val="24"/>
    </w:rPr>
  </w:style>
  <w:style w:type="paragraph" w:styleId="25">
    <w:name w:val="Title"/>
    <w:basedOn w:val="1"/>
    <w:link w:val="72"/>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6">
    <w:name w:val="annotation subject"/>
    <w:basedOn w:val="11"/>
    <w:next w:val="11"/>
    <w:link w:val="74"/>
    <w:qFormat/>
    <w:uiPriority w:val="0"/>
    <w:rPr>
      <w:b/>
      <w:bCs/>
    </w:rPr>
  </w:style>
  <w:style w:type="paragraph" w:styleId="27">
    <w:name w:val="Body Text First Indent 2"/>
    <w:basedOn w:val="13"/>
    <w:link w:val="76"/>
    <w:qFormat/>
    <w:uiPriority w:val="0"/>
    <w:pPr>
      <w:spacing w:after="120"/>
      <w:ind w:left="420" w:leftChars="200" w:firstLine="420" w:firstLineChars="200"/>
    </w:pPr>
    <w:rPr>
      <w:rFonts w:ascii="Times New Roman" w:eastAsia="宋体"/>
      <w:kern w:val="2"/>
      <w:sz w:val="21"/>
      <w:szCs w:val="24"/>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qFormat/>
    <w:uiPriority w:val="0"/>
    <w:rPr>
      <w:vertAlign w:val="superscript"/>
    </w:rPr>
  </w:style>
  <w:style w:type="character" w:styleId="32">
    <w:name w:val="page number"/>
    <w:qFormat/>
    <w:uiPriority w:val="0"/>
    <w:rPr>
      <w:rFonts w:ascii="Arial" w:hAnsi="Arial" w:eastAsia="黑体" w:cs="Arial"/>
      <w:snapToGrid w:val="0"/>
      <w:kern w:val="0"/>
      <w:szCs w:val="21"/>
    </w:rPr>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Char1"/>
    <w:basedOn w:val="30"/>
    <w:link w:val="3"/>
    <w:qFormat/>
    <w:uiPriority w:val="9"/>
    <w:rPr>
      <w:rFonts w:ascii="Times New Roman" w:hAnsi="Times New Roman" w:eastAsia="宋体" w:cs="Times New Roman"/>
      <w:b/>
      <w:bCs/>
      <w:kern w:val="44"/>
      <w:sz w:val="44"/>
      <w:szCs w:val="44"/>
      <w:lang w:val="zh-CN" w:eastAsia="zh-CN"/>
    </w:rPr>
  </w:style>
  <w:style w:type="character" w:customStyle="1" w:styleId="37">
    <w:name w:val="font41"/>
    <w:qFormat/>
    <w:uiPriority w:val="0"/>
    <w:rPr>
      <w:rFonts w:hint="eastAsia" w:ascii="宋体" w:hAnsi="宋体" w:eastAsia="宋体" w:cs="宋体"/>
      <w:b/>
      <w:bCs/>
      <w:color w:val="000000"/>
      <w:sz w:val="20"/>
      <w:szCs w:val="20"/>
      <w:u w:val="none"/>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01"/>
    <w:basedOn w:val="30"/>
    <w:qFormat/>
    <w:uiPriority w:val="0"/>
    <w:rPr>
      <w:rFonts w:hint="eastAsia" w:ascii="宋体" w:hAnsi="宋体" w:eastAsia="宋体" w:cs="宋体"/>
      <w:color w:val="000000"/>
      <w:sz w:val="22"/>
      <w:szCs w:val="22"/>
      <w:u w:val="none"/>
    </w:rPr>
  </w:style>
  <w:style w:type="character" w:customStyle="1" w:styleId="40">
    <w:name w:val="页眉 Char2"/>
    <w:basedOn w:val="30"/>
    <w:link w:val="20"/>
    <w:qFormat/>
    <w:uiPriority w:val="99"/>
    <w:rPr>
      <w:kern w:val="2"/>
      <w:sz w:val="18"/>
      <w:szCs w:val="18"/>
    </w:rPr>
  </w:style>
  <w:style w:type="character" w:customStyle="1" w:styleId="41">
    <w:name w:val="页脚 Char1"/>
    <w:basedOn w:val="30"/>
    <w:link w:val="19"/>
    <w:qFormat/>
    <w:uiPriority w:val="99"/>
    <w:rPr>
      <w:kern w:val="2"/>
      <w:sz w:val="18"/>
      <w:szCs w:val="18"/>
    </w:rPr>
  </w:style>
  <w:style w:type="character" w:customStyle="1" w:styleId="42">
    <w:name w:val="style41"/>
    <w:qFormat/>
    <w:uiPriority w:val="0"/>
    <w:rPr>
      <w:sz w:val="21"/>
      <w:szCs w:val="21"/>
    </w:rPr>
  </w:style>
  <w:style w:type="paragraph" w:styleId="43">
    <w:name w:val="List Paragraph"/>
    <w:basedOn w:val="1"/>
    <w:unhideWhenUsed/>
    <w:qFormat/>
    <w:uiPriority w:val="34"/>
    <w:pPr>
      <w:ind w:firstLine="420" w:firstLineChars="200"/>
    </w:pPr>
  </w:style>
  <w:style w:type="character" w:customStyle="1" w:styleId="44">
    <w:name w:val="标题 2 字符"/>
    <w:basedOn w:val="30"/>
    <w:qFormat/>
    <w:uiPriority w:val="9"/>
    <w:rPr>
      <w:rFonts w:asciiTheme="majorHAnsi" w:hAnsiTheme="majorHAnsi" w:eastAsiaTheme="majorEastAsia" w:cstheme="majorBidi"/>
      <w:b/>
      <w:bCs/>
      <w:kern w:val="2"/>
      <w:sz w:val="32"/>
      <w:szCs w:val="32"/>
    </w:rPr>
  </w:style>
  <w:style w:type="character" w:customStyle="1" w:styleId="45">
    <w:name w:val="标题 3 字符"/>
    <w:basedOn w:val="30"/>
    <w:qFormat/>
    <w:uiPriority w:val="9"/>
    <w:rPr>
      <w:b/>
      <w:bCs/>
      <w:kern w:val="2"/>
      <w:sz w:val="32"/>
      <w:szCs w:val="32"/>
    </w:rPr>
  </w:style>
  <w:style w:type="character" w:customStyle="1" w:styleId="46">
    <w:name w:val="标题 5 字符"/>
    <w:basedOn w:val="30"/>
    <w:qFormat/>
    <w:uiPriority w:val="9"/>
    <w:rPr>
      <w:b/>
      <w:bCs/>
      <w:kern w:val="2"/>
      <w:sz w:val="28"/>
      <w:szCs w:val="28"/>
    </w:rPr>
  </w:style>
  <w:style w:type="character" w:customStyle="1" w:styleId="47">
    <w:name w:val="标题 8 字符"/>
    <w:basedOn w:val="30"/>
    <w:qFormat/>
    <w:uiPriority w:val="9"/>
    <w:rPr>
      <w:rFonts w:asciiTheme="majorHAnsi" w:hAnsiTheme="majorHAnsi" w:eastAsiaTheme="majorEastAsia" w:cstheme="majorBidi"/>
      <w:kern w:val="2"/>
      <w:sz w:val="24"/>
      <w:szCs w:val="24"/>
    </w:rPr>
  </w:style>
  <w:style w:type="character" w:customStyle="1" w:styleId="48">
    <w:name w:val="标题 9 字符"/>
    <w:basedOn w:val="30"/>
    <w:qFormat/>
    <w:uiPriority w:val="9"/>
    <w:rPr>
      <w:rFonts w:asciiTheme="majorHAnsi" w:hAnsiTheme="majorHAnsi" w:eastAsiaTheme="majorEastAsia" w:cstheme="majorBidi"/>
      <w:kern w:val="2"/>
      <w:sz w:val="21"/>
      <w:szCs w:val="21"/>
    </w:rPr>
  </w:style>
  <w:style w:type="character" w:customStyle="1" w:styleId="49">
    <w:name w:val="标题 1 Char"/>
    <w:qFormat/>
    <w:uiPriority w:val="0"/>
    <w:rPr>
      <w:b/>
      <w:bCs/>
      <w:kern w:val="44"/>
      <w:sz w:val="44"/>
      <w:szCs w:val="44"/>
    </w:rPr>
  </w:style>
  <w:style w:type="character" w:customStyle="1" w:styleId="50">
    <w:name w:val="标题 2 Char1"/>
    <w:link w:val="4"/>
    <w:qFormat/>
    <w:uiPriority w:val="0"/>
    <w:rPr>
      <w:rFonts w:ascii="Cambria" w:hAnsi="Cambria"/>
      <w:b/>
      <w:bCs/>
      <w:kern w:val="2"/>
      <w:sz w:val="32"/>
      <w:szCs w:val="32"/>
    </w:rPr>
  </w:style>
  <w:style w:type="character" w:customStyle="1" w:styleId="51">
    <w:name w:val="标题 3 Char"/>
    <w:link w:val="5"/>
    <w:qFormat/>
    <w:uiPriority w:val="0"/>
    <w:rPr>
      <w:b/>
      <w:bCs/>
      <w:kern w:val="2"/>
      <w:sz w:val="32"/>
      <w:szCs w:val="32"/>
    </w:rPr>
  </w:style>
  <w:style w:type="character" w:customStyle="1" w:styleId="52">
    <w:name w:val="标题 5 Char"/>
    <w:link w:val="6"/>
    <w:qFormat/>
    <w:uiPriority w:val="0"/>
    <w:rPr>
      <w:b/>
      <w:bCs/>
      <w:kern w:val="2"/>
      <w:sz w:val="28"/>
      <w:szCs w:val="28"/>
    </w:rPr>
  </w:style>
  <w:style w:type="character" w:customStyle="1" w:styleId="53">
    <w:name w:val="标题 8 Char1"/>
    <w:link w:val="8"/>
    <w:qFormat/>
    <w:uiPriority w:val="0"/>
    <w:rPr>
      <w:rFonts w:ascii="等线 Light" w:hAnsi="等线 Light" w:eastAsia="等线 Light"/>
      <w:kern w:val="2"/>
      <w:sz w:val="24"/>
      <w:szCs w:val="24"/>
    </w:rPr>
  </w:style>
  <w:style w:type="character" w:customStyle="1" w:styleId="54">
    <w:name w:val="标题 9 Char"/>
    <w:link w:val="9"/>
    <w:qFormat/>
    <w:uiPriority w:val="0"/>
    <w:rPr>
      <w:rFonts w:ascii="Cambria" w:hAnsi="Cambria"/>
      <w:kern w:val="2"/>
      <w:sz w:val="21"/>
      <w:szCs w:val="21"/>
    </w:rPr>
  </w:style>
  <w:style w:type="character" w:customStyle="1" w:styleId="55">
    <w:name w:val="批注文字 字符"/>
    <w:basedOn w:val="30"/>
    <w:qFormat/>
    <w:uiPriority w:val="0"/>
    <w:rPr>
      <w:kern w:val="2"/>
      <w:sz w:val="21"/>
      <w:szCs w:val="24"/>
    </w:rPr>
  </w:style>
  <w:style w:type="character" w:customStyle="1" w:styleId="56">
    <w:name w:val="批注文字 Char1"/>
    <w:link w:val="11"/>
    <w:qFormat/>
    <w:uiPriority w:val="0"/>
    <w:rPr>
      <w:kern w:val="2"/>
      <w:sz w:val="21"/>
      <w:szCs w:val="24"/>
    </w:rPr>
  </w:style>
  <w:style w:type="character" w:customStyle="1" w:styleId="57">
    <w:name w:val="正文文本 3 字符"/>
    <w:basedOn w:val="30"/>
    <w:qFormat/>
    <w:uiPriority w:val="99"/>
    <w:rPr>
      <w:kern w:val="2"/>
      <w:sz w:val="16"/>
      <w:szCs w:val="16"/>
    </w:rPr>
  </w:style>
  <w:style w:type="character" w:customStyle="1" w:styleId="58">
    <w:name w:val="正文文本 3 Char"/>
    <w:link w:val="12"/>
    <w:qFormat/>
    <w:uiPriority w:val="0"/>
    <w:rPr>
      <w:kern w:val="2"/>
      <w:sz w:val="16"/>
      <w:szCs w:val="16"/>
    </w:rPr>
  </w:style>
  <w:style w:type="character" w:customStyle="1" w:styleId="59">
    <w:name w:val="正文文本 字符"/>
    <w:basedOn w:val="30"/>
    <w:qFormat/>
    <w:uiPriority w:val="0"/>
    <w:rPr>
      <w:kern w:val="2"/>
      <w:sz w:val="21"/>
      <w:szCs w:val="24"/>
    </w:rPr>
  </w:style>
  <w:style w:type="character" w:customStyle="1" w:styleId="60">
    <w:name w:val="正文文本 Char1"/>
    <w:link w:val="2"/>
    <w:qFormat/>
    <w:uiPriority w:val="0"/>
    <w:rPr>
      <w:kern w:val="2"/>
      <w:sz w:val="21"/>
      <w:szCs w:val="24"/>
    </w:rPr>
  </w:style>
  <w:style w:type="character" w:customStyle="1" w:styleId="61">
    <w:name w:val="正文文本缩进 字符"/>
    <w:basedOn w:val="30"/>
    <w:qFormat/>
    <w:uiPriority w:val="0"/>
    <w:rPr>
      <w:kern w:val="2"/>
      <w:sz w:val="21"/>
      <w:szCs w:val="24"/>
    </w:rPr>
  </w:style>
  <w:style w:type="character" w:customStyle="1" w:styleId="62">
    <w:name w:val="正文文本缩进 Char"/>
    <w:link w:val="13"/>
    <w:qFormat/>
    <w:uiPriority w:val="0"/>
    <w:rPr>
      <w:rFonts w:ascii="仿宋_GB2312" w:eastAsia="仿宋_GB2312"/>
      <w:sz w:val="32"/>
    </w:rPr>
  </w:style>
  <w:style w:type="character" w:customStyle="1" w:styleId="63">
    <w:name w:val="纯文本 字符"/>
    <w:basedOn w:val="30"/>
    <w:qFormat/>
    <w:uiPriority w:val="0"/>
    <w:rPr>
      <w:rFonts w:hAnsi="Courier New" w:cs="Courier New" w:asciiTheme="minorEastAsia" w:eastAsiaTheme="minorEastAsia"/>
      <w:kern w:val="2"/>
      <w:sz w:val="21"/>
      <w:szCs w:val="24"/>
    </w:rPr>
  </w:style>
  <w:style w:type="character" w:customStyle="1" w:styleId="64">
    <w:name w:val="纯文本 Char3"/>
    <w:link w:val="16"/>
    <w:qFormat/>
    <w:uiPriority w:val="0"/>
    <w:rPr>
      <w:rFonts w:ascii="宋体" w:hAnsi="Courier New"/>
      <w:szCs w:val="21"/>
    </w:rPr>
  </w:style>
  <w:style w:type="character" w:customStyle="1" w:styleId="65">
    <w:name w:val="日期 字符"/>
    <w:basedOn w:val="30"/>
    <w:qFormat/>
    <w:uiPriority w:val="99"/>
    <w:rPr>
      <w:kern w:val="2"/>
      <w:sz w:val="21"/>
      <w:szCs w:val="24"/>
    </w:rPr>
  </w:style>
  <w:style w:type="character" w:customStyle="1" w:styleId="66">
    <w:name w:val="日期 Char"/>
    <w:link w:val="17"/>
    <w:qFormat/>
    <w:uiPriority w:val="0"/>
    <w:rPr>
      <w:kern w:val="2"/>
      <w:sz w:val="21"/>
      <w:szCs w:val="24"/>
    </w:rPr>
  </w:style>
  <w:style w:type="character" w:customStyle="1" w:styleId="67">
    <w:name w:val="批注框文本 字符"/>
    <w:basedOn w:val="30"/>
    <w:semiHidden/>
    <w:qFormat/>
    <w:uiPriority w:val="99"/>
    <w:rPr>
      <w:kern w:val="2"/>
      <w:sz w:val="18"/>
      <w:szCs w:val="18"/>
    </w:rPr>
  </w:style>
  <w:style w:type="character" w:customStyle="1" w:styleId="68">
    <w:name w:val="批注框文本 Char"/>
    <w:link w:val="18"/>
    <w:qFormat/>
    <w:uiPriority w:val="0"/>
    <w:rPr>
      <w:kern w:val="2"/>
      <w:sz w:val="18"/>
      <w:szCs w:val="18"/>
    </w:rPr>
  </w:style>
  <w:style w:type="character" w:customStyle="1" w:styleId="69">
    <w:name w:val="页脚 Char"/>
    <w:qFormat/>
    <w:uiPriority w:val="99"/>
    <w:rPr>
      <w:sz w:val="18"/>
      <w:szCs w:val="18"/>
    </w:rPr>
  </w:style>
  <w:style w:type="character" w:customStyle="1" w:styleId="70">
    <w:name w:val="页眉 Char1"/>
    <w:qFormat/>
    <w:uiPriority w:val="0"/>
    <w:rPr>
      <w:sz w:val="18"/>
      <w:szCs w:val="18"/>
    </w:rPr>
  </w:style>
  <w:style w:type="character" w:customStyle="1" w:styleId="71">
    <w:name w:val="标题 字符"/>
    <w:basedOn w:val="30"/>
    <w:qFormat/>
    <w:uiPriority w:val="99"/>
    <w:rPr>
      <w:rFonts w:asciiTheme="majorHAnsi" w:hAnsiTheme="majorHAnsi" w:eastAsiaTheme="majorEastAsia" w:cstheme="majorBidi"/>
      <w:b/>
      <w:bCs/>
      <w:kern w:val="2"/>
      <w:sz w:val="32"/>
      <w:szCs w:val="32"/>
    </w:rPr>
  </w:style>
  <w:style w:type="character" w:customStyle="1" w:styleId="72">
    <w:name w:val="标题 Char1"/>
    <w:link w:val="25"/>
    <w:qFormat/>
    <w:uiPriority w:val="0"/>
    <w:rPr>
      <w:rFonts w:ascii="Calibri" w:hAnsi="Calibri"/>
      <w:b/>
      <w:sz w:val="24"/>
      <w:lang w:val="en-GB"/>
    </w:rPr>
  </w:style>
  <w:style w:type="character" w:customStyle="1" w:styleId="73">
    <w:name w:val="批注主题 字符"/>
    <w:basedOn w:val="55"/>
    <w:qFormat/>
    <w:uiPriority w:val="99"/>
    <w:rPr>
      <w:b/>
      <w:bCs/>
      <w:kern w:val="2"/>
      <w:sz w:val="21"/>
      <w:szCs w:val="24"/>
    </w:rPr>
  </w:style>
  <w:style w:type="character" w:customStyle="1" w:styleId="74">
    <w:name w:val="批注主题 Char"/>
    <w:link w:val="26"/>
    <w:qFormat/>
    <w:uiPriority w:val="0"/>
    <w:rPr>
      <w:b/>
      <w:bCs/>
      <w:kern w:val="2"/>
      <w:sz w:val="21"/>
      <w:szCs w:val="24"/>
    </w:rPr>
  </w:style>
  <w:style w:type="character" w:customStyle="1" w:styleId="75">
    <w:name w:val="正文首行缩进 2 字符"/>
    <w:basedOn w:val="61"/>
    <w:qFormat/>
    <w:uiPriority w:val="99"/>
    <w:rPr>
      <w:kern w:val="2"/>
      <w:sz w:val="21"/>
      <w:szCs w:val="24"/>
    </w:rPr>
  </w:style>
  <w:style w:type="character" w:customStyle="1" w:styleId="76">
    <w:name w:val="正文首行缩进 2 Char"/>
    <w:link w:val="27"/>
    <w:qFormat/>
    <w:uiPriority w:val="0"/>
    <w:rPr>
      <w:kern w:val="2"/>
      <w:sz w:val="21"/>
      <w:szCs w:val="24"/>
    </w:rPr>
  </w:style>
  <w:style w:type="character" w:customStyle="1" w:styleId="77">
    <w:name w:val="批注文字 字符2"/>
    <w:qFormat/>
    <w:uiPriority w:val="0"/>
    <w:rPr>
      <w:rFonts w:ascii="Times New Roman" w:hAnsi="Times New Roman" w:eastAsia="宋体" w:cs="Times New Roman"/>
      <w:kern w:val="2"/>
      <w:sz w:val="21"/>
      <w:szCs w:val="24"/>
    </w:rPr>
  </w:style>
  <w:style w:type="character" w:customStyle="1" w:styleId="78">
    <w:name w:val="正文文本 字符1"/>
    <w:qFormat/>
    <w:uiPriority w:val="99"/>
    <w:rPr>
      <w:rFonts w:ascii="Times New Roman" w:hAnsi="Times New Roman" w:eastAsia="宋体" w:cs="Times New Roman"/>
      <w:kern w:val="2"/>
      <w:sz w:val="21"/>
      <w:szCs w:val="24"/>
    </w:rPr>
  </w:style>
  <w:style w:type="character" w:customStyle="1" w:styleId="79">
    <w:name w:val="正文文本缩进 字符1"/>
    <w:qFormat/>
    <w:uiPriority w:val="99"/>
    <w:rPr>
      <w:rFonts w:ascii="仿宋_GB2312" w:hAnsi="Times New Roman" w:eastAsia="仿宋_GB2312" w:cs="Times New Roman"/>
      <w:sz w:val="32"/>
      <w:szCs w:val="20"/>
    </w:rPr>
  </w:style>
  <w:style w:type="character" w:customStyle="1" w:styleId="80">
    <w:name w:val="纯文本 字符3"/>
    <w:qFormat/>
    <w:uiPriority w:val="99"/>
    <w:rPr>
      <w:rFonts w:ascii="宋体" w:hAnsi="Courier New" w:eastAsia="宋体" w:cs="Courier New"/>
      <w:szCs w:val="21"/>
    </w:rPr>
  </w:style>
  <w:style w:type="character" w:customStyle="1" w:styleId="81">
    <w:name w:val="正文首行缩进 2 字符1"/>
    <w:qFormat/>
    <w:uiPriority w:val="99"/>
    <w:rPr>
      <w:rFonts w:ascii="Times New Roman" w:hAnsi="Times New Roman" w:eastAsia="宋体" w:cs="Times New Roman"/>
      <w:kern w:val="2"/>
      <w:sz w:val="21"/>
      <w:szCs w:val="24"/>
    </w:rPr>
  </w:style>
  <w:style w:type="character" w:customStyle="1" w:styleId="82">
    <w:name w:val="标题 8 Char"/>
    <w:qFormat/>
    <w:uiPriority w:val="0"/>
    <w:rPr>
      <w:rFonts w:ascii="Arial" w:hAnsi="Arial" w:eastAsia="黑体"/>
      <w:kern w:val="2"/>
      <w:sz w:val="24"/>
      <w:szCs w:val="24"/>
    </w:rPr>
  </w:style>
  <w:style w:type="character" w:customStyle="1" w:styleId="8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4">
    <w:name w:val="纯文本 Char"/>
    <w:qFormat/>
    <w:uiPriority w:val="0"/>
    <w:rPr>
      <w:rFonts w:ascii="宋体" w:hAnsi="Courier New" w:eastAsia="宋体" w:cs="Courier New"/>
      <w:szCs w:val="21"/>
    </w:rPr>
  </w:style>
  <w:style w:type="character" w:customStyle="1" w:styleId="85">
    <w:name w:val="正文文本 Char"/>
    <w:qFormat/>
    <w:uiPriority w:val="99"/>
    <w:rPr>
      <w:rFonts w:ascii="Times New Roman" w:hAnsi="Times New Roman"/>
      <w:kern w:val="2"/>
      <w:sz w:val="21"/>
      <w:szCs w:val="24"/>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2 Char"/>
    <w:qFormat/>
    <w:uiPriority w:val="9"/>
    <w:rPr>
      <w:rFonts w:ascii="Cambria" w:hAnsi="Cambria" w:eastAsia="宋体" w:cs="Times New Roman"/>
      <w:b/>
      <w:bCs/>
      <w:kern w:val="2"/>
      <w:sz w:val="32"/>
      <w:szCs w:val="32"/>
    </w:rPr>
  </w:style>
  <w:style w:type="character" w:customStyle="1" w:styleId="88">
    <w:name w:val="未处理的提及"/>
    <w:unhideWhenUsed/>
    <w:qFormat/>
    <w:uiPriority w:val="99"/>
    <w:rPr>
      <w:color w:val="605E5C"/>
      <w:shd w:val="clear" w:color="auto" w:fill="E1DFDD"/>
    </w:rPr>
  </w:style>
  <w:style w:type="character" w:customStyle="1" w:styleId="89">
    <w:name w:val="apple-style-span"/>
    <w:qFormat/>
    <w:uiPriority w:val="0"/>
  </w:style>
  <w:style w:type="character" w:customStyle="1" w:styleId="90">
    <w:name w:val="纯文本 字符2"/>
    <w:qFormat/>
    <w:uiPriority w:val="0"/>
    <w:rPr>
      <w:rFonts w:ascii="宋体" w:hAnsi="Courier New" w:eastAsia="宋体" w:cs="Courier New"/>
      <w:szCs w:val="21"/>
    </w:rPr>
  </w:style>
  <w:style w:type="character" w:customStyle="1" w:styleId="91">
    <w:name w:val="textcontents"/>
    <w:qFormat/>
    <w:uiPriority w:val="0"/>
  </w:style>
  <w:style w:type="character" w:customStyle="1" w:styleId="92">
    <w:name w:val="纯文本 字符1"/>
    <w:qFormat/>
    <w:uiPriority w:val="0"/>
    <w:rPr>
      <w:rFonts w:ascii="宋体" w:hAnsi="Courier New"/>
    </w:rPr>
  </w:style>
  <w:style w:type="character" w:customStyle="1" w:styleId="93">
    <w:name w:val="批注文字 Char"/>
    <w:qFormat/>
    <w:uiPriority w:val="0"/>
    <w:rPr>
      <w:rFonts w:ascii="Times New Roman" w:hAnsi="Times New Roman"/>
      <w:kern w:val="2"/>
      <w:sz w:val="21"/>
      <w:szCs w:val="24"/>
    </w:rPr>
  </w:style>
  <w:style w:type="character" w:customStyle="1" w:styleId="94">
    <w:name w:val="标题 1 字符1"/>
    <w:qFormat/>
    <w:uiPriority w:val="0"/>
    <w:rPr>
      <w:b/>
      <w:bCs/>
      <w:kern w:val="44"/>
      <w:sz w:val="44"/>
      <w:szCs w:val="44"/>
    </w:rPr>
  </w:style>
  <w:style w:type="paragraph" w:customStyle="1" w:styleId="95">
    <w:name w:val="Char Char Char Char"/>
    <w:basedOn w:val="1"/>
    <w:qFormat/>
    <w:uiPriority w:val="99"/>
    <w:pPr>
      <w:widowControl/>
      <w:spacing w:after="160" w:line="240" w:lineRule="exact"/>
      <w:jc w:val="left"/>
    </w:pPr>
  </w:style>
  <w:style w:type="paragraph" w:customStyle="1" w:styleId="96">
    <w:name w:val="默认段落字体 Para Char Char Char Char Char Char Char Char Char1 Char Char Char Char"/>
    <w:basedOn w:val="1"/>
    <w:qFormat/>
    <w:uiPriority w:val="99"/>
    <w:rPr>
      <w:rFonts w:ascii="Tahoma" w:hAnsi="Tahoma"/>
      <w:sz w:val="24"/>
      <w:szCs w:val="20"/>
    </w:rPr>
  </w:style>
  <w:style w:type="paragraph" w:customStyle="1" w:styleId="97">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8">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9">
    <w:name w:val="Table Paragraph"/>
    <w:basedOn w:val="1"/>
    <w:qFormat/>
    <w:uiPriority w:val="1"/>
    <w:pPr>
      <w:jc w:val="left"/>
    </w:pPr>
    <w:rPr>
      <w:rFonts w:ascii="Calibri" w:hAnsi="Calibri"/>
      <w:kern w:val="0"/>
      <w:sz w:val="22"/>
      <w:szCs w:val="22"/>
      <w:lang w:eastAsia="en-US"/>
    </w:rPr>
  </w:style>
  <w:style w:type="character" w:customStyle="1" w:styleId="100">
    <w:name w:val="正文2 Char Char"/>
    <w:link w:val="101"/>
    <w:qFormat/>
    <w:uiPriority w:val="0"/>
    <w:rPr>
      <w:sz w:val="24"/>
    </w:rPr>
  </w:style>
  <w:style w:type="paragraph" w:customStyle="1" w:styleId="101">
    <w:name w:val="正文2"/>
    <w:basedOn w:val="1"/>
    <w:link w:val="100"/>
    <w:qFormat/>
    <w:uiPriority w:val="0"/>
    <w:pPr>
      <w:adjustRightInd w:val="0"/>
      <w:spacing w:before="156" w:line="360" w:lineRule="auto"/>
      <w:ind w:firstLine="510" w:firstLineChars="200"/>
    </w:pPr>
    <w:rPr>
      <w:kern w:val="0"/>
      <w:sz w:val="24"/>
      <w:szCs w:val="20"/>
    </w:rPr>
  </w:style>
  <w:style w:type="character" w:customStyle="1" w:styleId="102">
    <w:name w:val="纯文本 Char2"/>
    <w:qFormat/>
    <w:uiPriority w:val="0"/>
    <w:rPr>
      <w:rFonts w:ascii="宋体" w:hAnsi="Courier New" w:cs="Arial"/>
      <w:snapToGrid w:val="0"/>
      <w:szCs w:val="21"/>
    </w:rPr>
  </w:style>
  <w:style w:type="paragraph" w:customStyle="1" w:styleId="103">
    <w:name w:val="表格文字"/>
    <w:basedOn w:val="1"/>
    <w:next w:val="2"/>
    <w:qFormat/>
    <w:uiPriority w:val="99"/>
    <w:pPr>
      <w:adjustRightInd w:val="0"/>
      <w:spacing w:line="420" w:lineRule="atLeast"/>
      <w:jc w:val="left"/>
      <w:textAlignment w:val="baseline"/>
    </w:pPr>
    <w:rPr>
      <w:kern w:val="0"/>
    </w:rPr>
  </w:style>
  <w:style w:type="character" w:customStyle="1" w:styleId="104">
    <w:name w:val="标题 Char"/>
    <w:qFormat/>
    <w:uiPriority w:val="10"/>
    <w:rPr>
      <w:rFonts w:ascii="Cambria" w:hAnsi="Cambria" w:cs="Times New Roman"/>
      <w:b/>
      <w:bCs/>
      <w:kern w:val="2"/>
      <w:sz w:val="32"/>
      <w:szCs w:val="32"/>
    </w:rPr>
  </w:style>
  <w:style w:type="paragraph" w:customStyle="1" w:styleId="10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06">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107">
    <w:name w:val="NormalCharacter"/>
    <w:qFormat/>
    <w:uiPriority w:val="0"/>
  </w:style>
  <w:style w:type="character" w:customStyle="1" w:styleId="108">
    <w:name w:val="页眉 Char"/>
    <w:qFormat/>
    <w:uiPriority w:val="99"/>
    <w:rPr>
      <w:lang w:eastAsia="zh-CN"/>
    </w:rPr>
  </w:style>
  <w:style w:type="character" w:customStyle="1" w:styleId="109">
    <w:name w:val="纯文本 Char1"/>
    <w:qFormat/>
    <w:uiPriority w:val="0"/>
    <w:rPr>
      <w:rFonts w:ascii="宋体" w:hAnsi="Courier New" w:eastAsia="宋体" w:cs="Times New Roman"/>
      <w:kern w:val="0"/>
      <w:sz w:val="20"/>
      <w:szCs w:val="21"/>
    </w:rPr>
  </w:style>
  <w:style w:type="paragraph" w:customStyle="1" w:styleId="110">
    <w:name w:val="_Style 93"/>
    <w:basedOn w:val="1"/>
    <w:next w:val="43"/>
    <w:qFormat/>
    <w:uiPriority w:val="99"/>
    <w:pPr>
      <w:ind w:firstLine="420" w:firstLineChars="200"/>
    </w:pPr>
  </w:style>
  <w:style w:type="paragraph" w:customStyle="1" w:styleId="111">
    <w:name w:val="_Style 94"/>
    <w:basedOn w:val="1"/>
    <w:next w:val="1"/>
    <w:unhideWhenUsed/>
    <w:qFormat/>
    <w:uiPriority w:val="39"/>
    <w:pPr>
      <w:tabs>
        <w:tab w:val="right" w:leader="dot" w:pos="8296"/>
      </w:tabs>
      <w:ind w:left="420" w:leftChars="200"/>
    </w:pPr>
  </w:style>
  <w:style w:type="paragraph" w:customStyle="1" w:styleId="112">
    <w:name w:val="msonormal"/>
    <w:basedOn w:val="1"/>
    <w:qFormat/>
    <w:uiPriority w:val="99"/>
    <w:rPr>
      <w:rFonts w:ascii="Calibri" w:hAnsi="Calibri"/>
      <w:kern w:val="0"/>
      <w:sz w:val="24"/>
    </w:rPr>
  </w:style>
  <w:style w:type="character" w:customStyle="1" w:styleId="113">
    <w:name w:val="font81"/>
    <w:qFormat/>
    <w:uiPriority w:val="0"/>
    <w:rPr>
      <w:rFonts w:hint="eastAsia" w:ascii="宋体" w:hAnsi="宋体" w:eastAsia="宋体" w:cs="宋体"/>
      <w:color w:val="000000"/>
      <w:sz w:val="22"/>
      <w:szCs w:val="22"/>
      <w:u w:val="none"/>
    </w:rPr>
  </w:style>
  <w:style w:type="character" w:customStyle="1" w:styleId="114">
    <w:name w:val="font12"/>
    <w:qFormat/>
    <w:uiPriority w:val="0"/>
    <w:rPr>
      <w:rFonts w:hint="default" w:ascii="Times New Roman" w:hAnsi="Times New Roman" w:cs="Times New Roman"/>
      <w:color w:val="000000"/>
      <w:sz w:val="22"/>
      <w:szCs w:val="22"/>
      <w:u w:val="none"/>
    </w:rPr>
  </w:style>
  <w:style w:type="character" w:customStyle="1" w:styleId="115">
    <w:name w:val="font1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3052</Words>
  <Characters>3189</Characters>
  <Lines>124</Lines>
  <Paragraphs>34</Paragraphs>
  <TotalTime>1</TotalTime>
  <ScaleCrop>false</ScaleCrop>
  <LinksUpToDate>false</LinksUpToDate>
  <CharactersWithSpaces>3239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2023-09-20T01:46:00Z</dcterms:created>
  <dc:creator>wenzhong fang</dc:creator>
  <cp:lastModifiedBy>Administrator</cp:lastModifiedBy>
  <cp:lastPrinted>2025-08-11T10:04:00Z</cp:lastPrinted>
  <dcterms:modified xsi:type="dcterms:W3CDTF">2025-12-16T02:24:56Z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7DAD3CE34AD84293B17643B73D321CF4_13</vt:lpwstr>
  </property>
  <property fmtid="{D5CDD505-2E9C-101B-9397-08002B2CF9AE}" pid="4" name="KSOTemplateDocerSaveRecord">
    <vt:lpwstr>eyJoZGlkIjoiZTgyNDcxYmYwMWE4YzEwOTRmNGRkZTNlZWIyMWI0MjcifQ==</vt:lpwstr>
  </property>
</Properties>
</file>