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D4CFA">
      <w:pPr>
        <w:jc w:val="center"/>
        <w:rPr>
          <w:rFonts w:hint="eastAsia" w:ascii="宋体" w:hAnsi="宋体" w:eastAsia="宋体" w:cs="宋体"/>
          <w:sz w:val="32"/>
          <w:szCs w:val="32"/>
        </w:rPr>
      </w:pPr>
      <w:r>
        <w:rPr>
          <w:rFonts w:hint="eastAsia" w:ascii="宋体" w:hAnsi="宋体" w:eastAsia="宋体" w:cs="宋体"/>
          <w:sz w:val="32"/>
          <w:szCs w:val="32"/>
        </w:rPr>
        <w:t>南宁市邕宁区民族中学礼堂相关配套设施采购项目（目录</w:t>
      </w:r>
      <w:r>
        <w:rPr>
          <w:rFonts w:hint="eastAsia" w:cs="宋体"/>
          <w:sz w:val="32"/>
          <w:szCs w:val="32"/>
          <w:lang w:val="en-US" w:eastAsia="zh-CN"/>
        </w:rPr>
        <w:t>内</w:t>
      </w:r>
      <w:r>
        <w:rPr>
          <w:rFonts w:hint="eastAsia" w:ascii="宋体" w:hAnsi="宋体" w:eastAsia="宋体" w:cs="宋体"/>
          <w:sz w:val="32"/>
          <w:szCs w:val="32"/>
        </w:rPr>
        <w:t>）</w:t>
      </w:r>
    </w:p>
    <w:p w14:paraId="4496C6A6">
      <w:pPr>
        <w:jc w:val="right"/>
        <w:rPr>
          <w:rFonts w:hint="default" w:ascii="宋体" w:hAnsi="宋体" w:eastAsia="宋体" w:cs="宋体"/>
          <w:sz w:val="32"/>
          <w:szCs w:val="32"/>
          <w:lang w:val="en-US" w:eastAsia="zh-CN"/>
        </w:rPr>
      </w:pPr>
      <w:r>
        <w:rPr>
          <w:rFonts w:hint="eastAsia" w:cs="宋体"/>
          <w:sz w:val="32"/>
          <w:szCs w:val="32"/>
          <w:lang w:val="en-US" w:eastAsia="zh-CN"/>
        </w:rPr>
        <w:t>单位：元</w:t>
      </w:r>
    </w:p>
    <w:tbl>
      <w:tblPr>
        <w:tblW w:w="52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33"/>
        <w:gridCol w:w="1093"/>
        <w:gridCol w:w="868"/>
        <w:gridCol w:w="1078"/>
        <w:gridCol w:w="7196"/>
        <w:gridCol w:w="747"/>
        <w:gridCol w:w="747"/>
        <w:gridCol w:w="933"/>
        <w:gridCol w:w="1169"/>
      </w:tblGrid>
      <w:tr w14:paraId="2BF2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7EE0CA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一、采购需求</w:t>
            </w:r>
          </w:p>
        </w:tc>
      </w:tr>
      <w:tr w14:paraId="7AE6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2451B1F">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序号</w:t>
            </w:r>
          </w:p>
        </w:tc>
        <w:tc>
          <w:tcPr>
            <w:tcW w:w="37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9E68C2D">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产品名称</w:t>
            </w:r>
          </w:p>
        </w:tc>
        <w:tc>
          <w:tcPr>
            <w:tcW w:w="294"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3EA48DF1">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品牌</w:t>
            </w:r>
          </w:p>
        </w:tc>
        <w:tc>
          <w:tcPr>
            <w:tcW w:w="363" w:type="pct"/>
            <w:tcBorders>
              <w:top w:val="single" w:color="000000" w:sz="4" w:space="0"/>
              <w:left w:val="single" w:color="000000" w:sz="4" w:space="0"/>
              <w:bottom w:val="single" w:color="000000" w:sz="4" w:space="0"/>
              <w:right w:val="single" w:color="000000" w:sz="4" w:space="0"/>
            </w:tcBorders>
            <w:shd w:val="clear" w:color="auto" w:fill="00B0F0"/>
            <w:vAlign w:val="center"/>
          </w:tcPr>
          <w:p w14:paraId="43B8A27E">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型号规格</w:t>
            </w:r>
          </w:p>
        </w:tc>
        <w:tc>
          <w:tcPr>
            <w:tcW w:w="2437"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9FB6FBD">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参数</w:t>
            </w:r>
          </w:p>
        </w:tc>
        <w:tc>
          <w:tcPr>
            <w:tcW w:w="253"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8A6D105">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数量</w:t>
            </w:r>
          </w:p>
        </w:tc>
        <w:tc>
          <w:tcPr>
            <w:tcW w:w="253"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5EFEF540">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单位</w:t>
            </w:r>
          </w:p>
        </w:tc>
        <w:tc>
          <w:tcPr>
            <w:tcW w:w="316"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78FFD1A">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单价</w:t>
            </w:r>
          </w:p>
        </w:tc>
        <w:tc>
          <w:tcPr>
            <w:tcW w:w="391"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9526901">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金额</w:t>
            </w:r>
          </w:p>
        </w:tc>
      </w:tr>
      <w:tr w14:paraId="0FBE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2079C99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一、阶梯座椅</w:t>
            </w:r>
          </w:p>
        </w:tc>
      </w:tr>
      <w:tr w14:paraId="1B93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0225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34801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礼堂椅</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24E82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065C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HK-HXKL04</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15C28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礼堂椅技术参数：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1、背海棉:采用高密度冷发泡PU定型海棉。背海棉长735mm,|宽470mm，头顶高度为90mm，底高度为90mm。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▲2、座海棉:采用高密度冷发泡PU定型海棉。座海棉长505mm,宽455mm，头顶高度为97mm，底高度为65mm。海绵各项技术指标须符合GB/T 10802-2006《通用软质聚氨酯泡沫塑料》的要求。海绵颜色均匀、无大于6mm对穿孔、无污染、无刺激性气味，75%压缩永久变形≤8%，拉伸强度≥100kPa，伸长率≥100%，撕裂强度≥1.8N/cm。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3、背内板:采用优质夹板经模具压弯成型。外型成弧型，美观大方，具有曲线美。尺寸规格:长683 mm,头顶宽395 mm,底宽425mm,厚度为9mm。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4、座内板:采用优质夹板经模具压注成型。外型成弧型，美观|大方，具有曲线美。尺寸规格:长440mm,头顶宽380mm， 底宽405 mm,厚度为11mm。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5、背胶壳:采用优质PP (聚丙烯)多元素复合材料经模具压铸|成型，尺寸规格:长745 mm,头顶宽404mm, 底宽445 mm,厚度3mm。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6、座胶壳:采用优质PP (聚丙烯)多元素复合材料经模具压铸|成型，尺寸规格:长513 mm，头顶宽400mm, 底宽433 mm厚度为4mm。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7、回位功能:座内采用双弹簧回位结构，不存在故障，持久耐用，而且无回位噪音。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8、座椅结构:采用加强型连接结构，座包后方装有防震胶垫，使座在受外力作用与背相碰撞时受力点不再海绵上，而更加耐用、牢固、更舒适。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▲9、扶手面采用进口橡木材质制作成型，经多道打磨、砂光、多层油漆工艺，长度为440mm, 最厚位置达到25mm、宽度84mm。油漆中的底漆、面漆、稀释剂、固化剂中的有害物质限量都必须符合GB18581-2020《室内装饰装修材料 溶剂型木器涂料中有害物质限量》的要求。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10、写字板:板面尺寸为270mm*240mm， 厚度为15mm，采用优质中纤板外覆三聚氰胺面，颜色可选;轴承为优质铝合金压铸件，壁厚2.0mm;固定写字板的五金件为1.5mm冷轧钢板冲压件，规格为200mm* 110mm的钢制U型托盘，写字板下方开有槽位扦盘嵌入板内组装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11、面料:座背面料采用高级专用布料，可选择做、阻然，抗污，防褪色。</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12、侧板:采用优质中纤板。厚度为3mm。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▲13、脚架:扶手框架采用优质T1.8mm热轧板/经模具冲压机械手焊接成型、框架为内嵌式框架尺寸为：长320mm、上宽430mm、下宽270mm， 底脚:采用2.0优质冷轧钢板冲压成型，造型尺寸为长260mm(±5mm)，宽123mm(±5mm)的三角形，打破常规两孔固定采用三孔固定，呈不规则三角形外观，设有前端1个，后端2个，共3个地爆螺丝固定孔，更为稳固，底部焊接小酒杯型固定件。脚管采用80X40XT1.8mm优质方管.</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C185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1228</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E13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位</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11A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461.00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627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566108.00 </w:t>
            </w:r>
          </w:p>
        </w:tc>
      </w:tr>
      <w:tr w14:paraId="5171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60EA9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5F9CE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主席台</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79DF1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6E863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HK-ZXT2100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7D6F6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尺寸：1400*600*760，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▲1、采用优质环保型中密度纤维板。板材的各项技术指标符合GB/T11718-2009《中密度纤维板》的要求，板材的甲醛释放量须满足或优于国家强制性标准GB18580-2017《室内装饰装修材料 人造板及其制品中甲醛释放限量》E1级的要求，要求板材的甲醛释放量≤5.0mg/100g。                                                          2、木皮饰面：采用0.6mm厚胡桃木皮饰面。木皮颜色相近，纹理自然清晰，无明显节眼、黑斑、霉变、破损等。同时，木皮经除虫、防虫、防腐处理保证木材含水率低于14%。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▲3、油漆：采用优质环保型PU聚酯漆。油漆中的底漆、面漆、稀释剂、固化剂中的有害物质限量都必须符合GB18581-2020《室内装饰装修材料 溶剂型木器涂料中有害物质限量》的要求。采用五底三面工艺，保证所有木制外露部分（包括榫头和榫眼）油漆喷涂完整，防止木材回潮。保证油漆漆面平整无颗粒、气泡、积粉、渣点，表面色泽均匀剔透，具有较好的耐磨性、耐高温性能，附着力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▲4、胶粘剂：采用优质胶粘剂（白乳胶）。胶粘剂（白乳胶）中的有害物质限量必须符合国家标准GB 18580-2008《室内装饰装修材料 胶粘剂中有害物质限量》（水基型聚乙酸乙烯酯胶粘剂）的要求。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▲5、五金配件：连接件采用三合一连接件，三合一连接件须符合GB/T 28203-2011《家具用连接件技术要求及试验方法》中的技术要求。1.5 m以下锈点≤20 点/dm，其中&gt;1.0mm锈点不超过5点(距离边缘棱角 2m以内的不计)；力学性能符合要求。</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A4C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0725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4A4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1897.00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A2A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7588.00 </w:t>
            </w:r>
          </w:p>
        </w:tc>
      </w:tr>
      <w:tr w14:paraId="359B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E9D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724E2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主席椅子</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5ECEE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3B92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HK-ZXY720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4B74B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尺寸：720*520*1100mm，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▲1、面料：采用优质西皮覆面，符合QB/T 2725-2005《皮革 气味的测定》、GB/T 19942-2019、GB/T 19941.1-2019标准要求。游离甲醛释放限量≤60 mg/kg。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▲2、海绵：海绵颜色均匀、无污染、无刺激性气味，回弹率≥50%，拉伸强度≥100kPa，伸长率≥100%，撕裂强度≥1.8N/cm，干热老化后拉伸强度≥55kPa，75%压陷压缩永久变形≤8%，符合GB/T 10802-2006标准要求，满足HJ 2547-2016标准要求。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内架：优质实木框架，承重强，结构牢靠，木方/夹板经过防虫干燥压刨处理。弹簧:采用优质碳素钢蛇形弹簧，韧性强，寿命长。弹簧衔接采用航空PP材质，牢固、静音效果好。绷带：采用高弹橡筋无接口，弹力张力承托力高。平衡网：外层防滑面无声响，抗老化，平衡性好，提升坐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▲4、实木扶手及脚架：选用上等的实木，材质坚硬、刚性强，防腐、防虫永不变。油漆中的底漆、面漆、稀释剂、固化剂中的有害物质限量都必须符合GB18581-2020《室内装饰装修材料 溶剂型木器涂料中有害物质限量》的要求。</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A88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1383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F2D5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750.00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FC8B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6000.00 </w:t>
            </w:r>
          </w:p>
        </w:tc>
      </w:tr>
      <w:tr w14:paraId="475E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5C36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6E2B8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控制台</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0AEDB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066E6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HK-SKZ1170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6FE3D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规格尺寸：长1170宽900高850mm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1、操作台采用拼装结构，整体钢木结合，桌面E1级环保板，聚氨酯鸭嘴封边制作，侧板烤漆处理。整体采用1.0-1.5mm优质冷轧钢板结合制作。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2、操作台台面预留50mm过线孔。</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3、操作台门开启方式，柜内标准19英寸，带可以上下调节拆卸式托盘，以便放置工控机，电源放大器，控制器，主机等设备。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4、每个操作台，台面下配有键盘托盘，前门冲风孔，后门冲有散热孔以便散热，前后门左，右开起，方便使用。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5、表面采用酸洗，磷化，静电喷涂处理。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▲6、五金配件：连接件采用三合一连接件，三合一连接件须符合GB/T 28203-2011《家具用连接件技术要求及试验方法》中的技术要求。1.5 m以下锈点≤20 点/dm，其中&gt;1.0mm锈点不超过5点(距离边缘棱角 2m以内的不计)；力学性能符合要求。</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E83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FBD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5F2FB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1316.00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54EC5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1316.00 </w:t>
            </w:r>
          </w:p>
        </w:tc>
      </w:tr>
      <w:tr w14:paraId="583B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11666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343B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转椅</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301F4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4E1AB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HK-SKZ1030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0C3DB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规格：高1030*深530*宽500mm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▲1、面料：优质网布面料，尼龙背架；网布须符合GB 18401-2010《国家纺织产品基本安全技术规范》、GB 8624-2012《建筑材料及制品燃烧性能分级》等的要求；其中甲醛含量为C类≤300mg/kg；PH：4.0～9.0；染色牢度（耐水、耐酸汗渍、耐碱汗渍、耐干摩擦）均≥3级；异味：无；可分解致癌芳香胺染料的含量≤20mg/kg；燃烧性能达B1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▲2、海绵:环保弹力海棉，环保，无异味;海绵各项技术指标须符合GB/T 10802-2006《通用软质聚氨酯泡沫塑料》的要求。海绵颜色均匀、无大于6mm对穿孔、无污染、无刺激性气味，75%压缩永久变形≤8%，拉伸强度≥100kPa，伸长率≥100%，撕裂强度≥1.8N/cm。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▲3、气棒：黑色气杆，2.0mm厚蝴蝶底盘;气压棒通过SGS国际认证3级气杆,升降倾仰自如，过30万次升降不漏气，各项性能符合GE/T 29525-2013《座椅升降气弹簧技术条件》的要求，镀层本身的耐蚀能力10级，镀层对基体金属防蚀能力10级。外观质里，力特性，强度性能，耐腐蚀性能等符合标准要求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配件：PU扶手，310黑色尼龙脚+60mm黑色尼轮逍遥自由锁定</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330A5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3DDC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F079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189.00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760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378.00 </w:t>
            </w:r>
          </w:p>
        </w:tc>
      </w:tr>
      <w:tr w14:paraId="3E05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7D9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370" w:type="pct"/>
            <w:tcBorders>
              <w:top w:val="single" w:color="000000" w:sz="4" w:space="0"/>
              <w:left w:val="single" w:color="000000" w:sz="4" w:space="0"/>
              <w:bottom w:val="single" w:color="000000" w:sz="4" w:space="0"/>
              <w:right w:val="single" w:color="000000" w:sz="4" w:space="0"/>
            </w:tcBorders>
            <w:shd w:val="clear"/>
            <w:noWrap/>
            <w:vAlign w:val="center"/>
          </w:tcPr>
          <w:p w14:paraId="0F2E9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演讲台</w:t>
            </w:r>
          </w:p>
        </w:tc>
        <w:tc>
          <w:tcPr>
            <w:tcW w:w="294" w:type="pct"/>
            <w:tcBorders>
              <w:top w:val="single" w:color="000000" w:sz="4" w:space="0"/>
              <w:left w:val="single" w:color="000000" w:sz="4" w:space="0"/>
              <w:bottom w:val="single" w:color="000000" w:sz="4" w:space="0"/>
              <w:right w:val="single" w:color="000000" w:sz="4" w:space="0"/>
            </w:tcBorders>
            <w:shd w:val="clear"/>
            <w:noWrap/>
            <w:vAlign w:val="center"/>
          </w:tcPr>
          <w:p w14:paraId="2CF3D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鸿鑫凯</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2F179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HK-YJT110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63443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尺寸：720*520*1100mm，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▲1、采用优质环保型中密度纤维板。板材的各项技术指标符合GB/T11718-2009《中密度纤维板》的要求，板材的甲醛释放量须满足或优于国家强制性标准GB18580-2017《室内装饰装修材料 人造板及其制品中甲醛释放限量》E1级的要求，要求板材的甲醛释放量≤5.0mg/100g。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2、木皮饰面：采用0.6mm厚胡桃木皮饰面。木皮颜色相近，纹理自然清晰，无明显节眼、黑斑、霉变、破损等。同时，木皮经除虫、防虫、防腐处理保证木材含水率低于14%。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▲3、油漆：采用优质环保型PU聚酯漆。油漆中的底漆、面漆、稀释剂、固化剂中的有害物质限量都必须符合GB18581-2020《室内装饰装修材料 溶剂型木器涂料中有害物质限量》的要求。采用五底三面工艺，保证所有木制外露部分（包括榫头和榫眼）油漆喷涂完整，防止木材回潮。保证油漆漆面平整无颗粒、气泡、积粉、渣点，表面色泽均匀剔透，具有较好的耐磨性、耐高温性能，附着力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▲4、胶粘剂：采用优质胶粘剂（白乳胶）。胶粘剂（白乳胶）中的有害物质限量必须符合国家标准GB 18580-2008《室内装饰装修材料 胶粘剂中有害物质限量》（水基型聚乙酸乙烯酯胶粘剂）的要求。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▲5、五金配件：连接件采用三合一连接件，三合一连接件须符合GB/T 28203-2011《家具用连接件技术要求及试验方法》中的技术要求。1.5 m以下锈点≤20 点/dm，其中&gt;1.0mm锈点不超过5点(距离边缘棱角 2m以内的不计)；力学性能符合要求。</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6681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B24ED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张</w:t>
            </w: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0F3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1560.00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765D1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1560.00 </w:t>
            </w:r>
          </w:p>
        </w:tc>
      </w:tr>
      <w:tr w14:paraId="2933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F296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29" w:type="pct"/>
            <w:gridSpan w:val="3"/>
            <w:tcBorders>
              <w:top w:val="single" w:color="000000" w:sz="4" w:space="0"/>
              <w:left w:val="single" w:color="000000" w:sz="4" w:space="0"/>
              <w:bottom w:val="single" w:color="000000" w:sz="4" w:space="0"/>
              <w:right w:val="single" w:color="000000" w:sz="4" w:space="0"/>
            </w:tcBorders>
            <w:shd w:val="clear"/>
            <w:vAlign w:val="center"/>
          </w:tcPr>
          <w:p w14:paraId="44DF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小计D：</w:t>
            </w:r>
          </w:p>
        </w:tc>
        <w:tc>
          <w:tcPr>
            <w:tcW w:w="2437" w:type="pct"/>
            <w:tcBorders>
              <w:top w:val="single" w:color="000000" w:sz="4" w:space="0"/>
              <w:left w:val="single" w:color="000000" w:sz="4" w:space="0"/>
              <w:bottom w:val="single" w:color="000000" w:sz="4" w:space="0"/>
              <w:right w:val="single" w:color="000000" w:sz="4" w:space="0"/>
            </w:tcBorders>
            <w:shd w:val="clear"/>
            <w:noWrap/>
            <w:vAlign w:val="center"/>
          </w:tcPr>
          <w:p w14:paraId="317F5395">
            <w:pPr>
              <w:rPr>
                <w:rFonts w:hint="eastAsia" w:ascii="宋体" w:hAnsi="宋体" w:eastAsia="宋体" w:cs="宋体"/>
                <w:i w:val="0"/>
                <w:iCs w:val="0"/>
                <w:color w:val="000000"/>
                <w:sz w:val="20"/>
                <w:szCs w:val="20"/>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78EE5DD">
            <w:pPr>
              <w:rPr>
                <w:rFonts w:hint="eastAsia" w:ascii="宋体" w:hAnsi="宋体" w:eastAsia="宋体" w:cs="宋体"/>
                <w:i w:val="0"/>
                <w:iCs w:val="0"/>
                <w:color w:val="000000"/>
                <w:sz w:val="20"/>
                <w:szCs w:val="20"/>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0B32169">
            <w:pPr>
              <w:rPr>
                <w:rFonts w:hint="eastAsia" w:ascii="宋体" w:hAnsi="宋体" w:eastAsia="宋体" w:cs="宋体"/>
                <w:i w:val="0"/>
                <w:iCs w:val="0"/>
                <w:color w:val="000000"/>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42A8EEC3">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68A6F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582950.00 </w:t>
            </w:r>
          </w:p>
        </w:tc>
      </w:tr>
      <w:tr w14:paraId="7BAB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3E6678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二、LED显示系统</w:t>
            </w:r>
          </w:p>
        </w:tc>
      </w:tr>
      <w:tr w14:paraId="7391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48ED7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7E774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室内LED模组（全彩）</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B64D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丰视</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6FB34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FS-EIA2.5S-D</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05FD0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全彩LED显示屏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1、显示屏尺寸为宽10.88m，高4.96m，显示面积53.96㎡，长宽尺寸和面积不小于规定尺寸。</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2、像素间距≤2.5mm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3、显示单元平整度≤0.03mm，模组平整度≤0.03mm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▲4、显示亮度：显示单元亮度0～4000cd/㎡之间可调，亮度调节0～100%手动/自动/程控方 式无极可调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▲5、水平视角178°，垂直视角178°</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▲6、对比度≥10000:1，支持 3840HZ 调节；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▲7、色度均匀性：偏差在±0.001Cx,Cy 之内。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▲8、整屏平整度：≤0.08mm，模组间隙：≤0.1mm。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▲9、抗拉力值：通过抗拉力测试，数值≥5000N，抗压力通过抗压力测试，数值≥50000N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▲10、失控点：&lt;1/200000，无连续失控点；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▲11、8层电路板结构设计，电流分布均匀，功耗 小，散热快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▲12、发光点中心距偏差＜1%，灰度等级18bit；</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▲13、亮度均匀性：≥99%，</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▲14、采用完全静音设计，屏体无风扇自然散 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▲15、屏体色温：2000K～15000K可调，色温为6500K时，100%，75%，50%，25%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四档电平白场调节色温误差≤200K</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▲16、支持落地，壁挂，安装省力。</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▲17、符合盐雾10级要求；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阻燃等级达到UL94V-0级，抗震8级，抗风≥1000Pa，防护达到IP6X等级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▲19、支持消除毛毛虫（列消影），支持消除摩尔纹，支持消除开路十字架，支持模组间亮暗线修复，支持单点检测逐点校正功能，单点亮度校 正，单点颜色校正、单点色温可调功能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▲20、具有电源过流、过压、断电保护功能，系统 具有烟雾报警和温升报警功能，符合GB/T9254-2008 ClassB限值要求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21、标▲投标时需提供具有CMA、CNAS、ilac-MRA认证标识的 检测报告；</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0555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53.96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64F1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7760B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3953.00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68383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213303.88 </w:t>
            </w:r>
          </w:p>
        </w:tc>
      </w:tr>
      <w:tr w14:paraId="7ED6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5B16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336A1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室内LED模组（条屏）</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FCCA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丰视</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5D444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P10单红</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55746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1）像素间距：10mm；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2）封装类型：SMD1515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3）模组参数：尺寸320*160mm；</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6B5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6C0E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F77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598.00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84BD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6888.96 </w:t>
            </w:r>
          </w:p>
        </w:tc>
      </w:tr>
      <w:tr w14:paraId="44DB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51866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6F21C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超高清矩阵切换器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（16进16出）</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CF45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1AAA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TZC-1616HDMI</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46813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功能描述：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1、16路HDMI信号输入，16路HDMI信号输出，交叉切换；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2、支持高清1080P、支持3D、支持超高清4K分辨率；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3、长线输入自动均衡——确保能对每个输入进行独立的自动的补偿由于长距离传输或者使用低质量线材造成的信号损耗；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4、在理想的环境下，支持输入距离达到25米，输出距离达到20米；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5、支持蓝光DVD24/50/60fs/HD-DVD/xvYCC；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6、支持音频格式DTS-HD/Dolby-trueHD/LPCM7.1/DTS/DOLBY-AC3/DSD；</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7、支持HDMI 1.4a、以及DVI 1.0协议。支持高色深，以及高达13.5Gbps速率；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8、全贴片SMD工艺，特有ESD静电保护功能；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9、带有断电现现场切换记忆保护；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10、支持红外遥控控制，具有2路RS-232通讯接口；可支持1路网络TCP/IP通信接口，手机和平板APP可连接控制；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11、支持在线升级更新，更好解决现场问题；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12、面板按键切换通道，并可以修改每个通道EQ驱动大小，更好兼容不同长短的线材；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13、支持预案场景保存和调用，客户端能保存不少于300组预案；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14、软件支持采用拖拽的方式将视频信号源推送到各个显示终端上；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15、支持矩阵轮巡/矩阵预切/全局分区功能，能更加方便客户操作，分区管理。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设备参数：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1、输入接口数：16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2、输出接口数：16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3、接口带宽：13.5Gbps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4、串行控制接口：RS-232，9-针母 D型 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5、波特率与协议：波特率：9600，数据位：8位，停止位：1，无奇偶校验位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6、网口（选配,默认是串口）：波特率：115200 / TCP/IP:192.168.1.190:6666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7、协议：支持HDMI 1.4a、以及DVI 1.0协议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8、电源：100VAC ~ 240VAC，50/60 Hz，国际自适应电源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9、储存、使用温度：0°～ +50°C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10、储存、使用湿度：20% ～70%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11、设备尺寸(L*W*H)：440*317*88mm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12、包装尺寸(L*W*H)：610*560*245mm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13、净重：12.6kg，毛重：15.25kg</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A654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0C2B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BA5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3CF3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28000.00 </w:t>
            </w:r>
          </w:p>
        </w:tc>
      </w:tr>
      <w:tr w14:paraId="5F80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2C1B1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01753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线阵全频纯后级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功率放大器</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5D3D4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131E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ZS-1800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5BB40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1、输出功率：8Ω≥2X1800W   4Ω≥2X2700W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2、频率响应：20Hz～20KHz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3、灵敏度：0.775V/1.4V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4、输入阻抗：20KΩ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5、信噪比：＞95dB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6、转换速率：80V/μs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7、谐波失真：≤0.05%(¼W/8Ω)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8、输出端口：香蕉插、瑞士插座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9、阻尼系数：≥250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10、内置温度补偿技术，高温下仍然维持稳定的工作状态；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11、具备智能保护模式，具有短路保护、直流保护、电源通断多种保护和告警功能；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12、内置先进的整机模拟限幅式保护，即使在过载失真时也不会对您的扬声器系统造成损害，低噪声设计；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13、电源采用先进的防冲击保护设计，无论功率再大也不会对交流电网电压及音响产生冲击声音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14、电源：AC 180V～260V(50Hz)</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69E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C76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EC3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9980.00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78E3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19960.00 </w:t>
            </w:r>
          </w:p>
        </w:tc>
      </w:tr>
      <w:tr w14:paraId="73E8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E6D8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4F694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线阵次低音纯后级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功率放大器</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7471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59CBF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ZS-1200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427BB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1、双声道立体声专业功率放大器；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2、有双声道、单声道和并接三种输出方式供选择，输出方式开关选择；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3、每声道音量单独可调；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4、立体声工作最小负载阻抗为4Ω，正常工作负载阻抗为8Ω；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5、动态功率强劲，可实现低阻抗驱动，备有XLR，使用灵活方便；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6、内置温度补偿技术，高温下仍然维持稳定的工作状态；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7、具备智能保护模式，具有短路保护、直流保护、电源通断多种保护和告警功能；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8、内置先进的整机模拟限幅式保护，即使在过载失真时也不会对您的扬声器系统造成损害，低噪声设计；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9、电源采用先进的防冲击保护设计，无论功率再大也不会对交流电网电压及音响产生冲击声音。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10、输出功率：8Ω≥2X1200W   4Ω≥2X1800W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11、桥接功率：8Ω≥2400W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12、频响响应：20Hz～20KHz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13、转换速率：≥25V/μs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14、输出类别：Class D</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15、阻尼系数：≥400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16、输入抗组：10KΩ（不平衡），20kΩ（平衡）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17、总谐波失真：﹤1%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18、信噪比：﹥105dB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19、输入灵敏度：0.775V/1.0V/1.4V,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20、输出端口：三针式XLR</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▲提供以上1-20条带符合“CNAS”“CMA”“ilac-MAR”（标准的权威检测机构出具的检测报告扫描件加盖厂商公章）</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A1F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A828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74704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7800.00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83D0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7800.00 </w:t>
            </w:r>
          </w:p>
        </w:tc>
      </w:tr>
      <w:tr w14:paraId="6249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ADF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1ED6F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反听音箱纯后级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功率放大器</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455BD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3EEF8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ZS-400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2074A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1、输出功率：8Ω≥2X400W   4Ω≥2X600W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2、频率响应：20Hz～20KHz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3、灵敏度：0.775V/1.4V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4、输入阻抗：20KΩ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5、信噪比：＞95dB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6、转换速率：80V/μs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7、谐波失真：≤0.05%(¼W/8Ω)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8、输出端口：香蕉插、瑞士插座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9、阻尼系数：≥250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10、内置温度补偿技术，高温下仍然维持稳定的工作状态；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11、具备智能保护模式，具有短路保护、直流保护、电源通断多种保护和告警功能；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12、内置先进的整机模拟限幅式保护，即使在过载失真时也不会对您的扬声器系统造成损害，低噪声设计；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13、电源采用先进的防冲击保护设计，无论功率再大也不会对交流电网电压及音响产生冲击声音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14、电源：AC 180V～260V(50Hz)</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72E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506B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6C971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8F31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7000.00 </w:t>
            </w:r>
          </w:p>
        </w:tc>
      </w:tr>
      <w:tr w14:paraId="20A6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0CD8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59BB6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中置音箱纯后级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功率放大器</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06FF0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7B7D1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ZS-600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37E8E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1、输出功率：8Ω≥2X600W   4Ω≥2X900W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2、频率响应：20Hz～20KHz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3、灵敏度：0.775V/1.4V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4、输入阻抗：20KΩ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5、信噪比：＞95dB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6、转换速率：80V/μs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7、谐波失真：≤0.05%(¼W/8Ω)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8、输出端口：香蕉插、瑞士插座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9、阻尼系数：≥250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10、内置温度补偿技术，高温下仍然维持稳定的工作状态；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11、具备智能保护模式，具有短路保护、直流保护、电源通断多种保护和告警功能；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12、内置先进的整机模拟限幅式保护，即使在过载失真时也不会对您的扬声器系统造成损害，低噪声设计；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13、电源采用先进的防冲击保护设计，无论功率再大也不会对交流电网电压及音响产生冲击声音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14、电源：AC 180V～260V(50Hz)</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9DD7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5EB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08A7F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4500.00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2336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9000.00 </w:t>
            </w:r>
          </w:p>
        </w:tc>
      </w:tr>
      <w:tr w14:paraId="4DCA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70129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6999C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辅助音箱纯后级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功率放大器</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7C13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INPUSEN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英普声</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596B4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ZS-800</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7D29E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1、输出功率：8Ω≥2X800W   4Ω≥2X1200W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2、频率响应：20Hz～20KHz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3、灵敏度：0.775V/1.4V</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4、输入阻抗：20KΩ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5、信噪比：＞95dB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6、转换速率：80V/μs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7、谐波失真：≤0.05%(¼W/8Ω)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8、输出端口：香蕉插、瑞士插座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9、阻尼系数：≥250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10、内置温度补偿技术，高温下仍然维持稳定的工作状态；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11、具备智能保护模式，具有短路保护、直流保护、电源通断多种保护和告警功能；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12、内置先进的整机模拟限幅式保护，即使在过载失真时也不会对您的扬声器系统造成损害，低噪声设计；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13、电源采用先进的防冲击保护设计，无论功率再大也不会对交流电网电压及音响产生冲击声音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14、电源：AC 180V～260V(50Hz)</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0966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A20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7C17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49C3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15000.00 </w:t>
            </w:r>
          </w:p>
        </w:tc>
      </w:tr>
      <w:tr w14:paraId="607B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1FCB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3431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安装支架</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3956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国产定制</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2E25D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42298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1、钢结构内框，专用铝型材包边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2、钢结构要求：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2.1显示屏钢结构材料必须采用国标材料，不可采用非标；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2.2钢结构需做好防锈处理；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2.3钢结构需做好防尘处理；</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7AA6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55.56 </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91C1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435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900.00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73F4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50004.00 </w:t>
            </w:r>
          </w:p>
        </w:tc>
      </w:tr>
      <w:tr w14:paraId="218A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75320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59679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辅材</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CD62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国产定制</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5269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37F60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电源线、网线等及弱电布线，满足项目安装所需</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D455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6D5B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5B446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14384.16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C720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14384.16 </w:t>
            </w:r>
          </w:p>
        </w:tc>
      </w:tr>
      <w:tr w14:paraId="3470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34225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72960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工作站</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18DD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H3C</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0537A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工作站</w:t>
            </w: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00EC7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八核处理器/8G内存/256GSSD/23.8寸显示器</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D65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527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504A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3950.00 </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6EC1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3950.00 </w:t>
            </w:r>
          </w:p>
        </w:tc>
      </w:tr>
      <w:tr w14:paraId="5803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vAlign w:val="center"/>
          </w:tcPr>
          <w:p w14:paraId="4AB2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370" w:type="pct"/>
            <w:tcBorders>
              <w:top w:val="single" w:color="000000" w:sz="4" w:space="0"/>
              <w:left w:val="single" w:color="000000" w:sz="4" w:space="0"/>
              <w:bottom w:val="single" w:color="000000" w:sz="4" w:space="0"/>
              <w:right w:val="single" w:color="000000" w:sz="4" w:space="0"/>
            </w:tcBorders>
            <w:shd w:val="clear"/>
            <w:vAlign w:val="center"/>
          </w:tcPr>
          <w:p w14:paraId="509A9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系统集成安装调试</w:t>
            </w:r>
          </w:p>
        </w:tc>
        <w:tc>
          <w:tcPr>
            <w:tcW w:w="294" w:type="pct"/>
            <w:tcBorders>
              <w:top w:val="single" w:color="000000" w:sz="4" w:space="0"/>
              <w:left w:val="single" w:color="000000" w:sz="4" w:space="0"/>
              <w:bottom w:val="single" w:color="000000" w:sz="4" w:space="0"/>
              <w:right w:val="single" w:color="000000" w:sz="4" w:space="0"/>
            </w:tcBorders>
            <w:shd w:val="clear"/>
            <w:vAlign w:val="center"/>
          </w:tcPr>
          <w:p w14:paraId="63B9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363" w:type="pct"/>
            <w:tcBorders>
              <w:top w:val="single" w:color="000000" w:sz="4" w:space="0"/>
              <w:left w:val="single" w:color="000000" w:sz="4" w:space="0"/>
              <w:bottom w:val="single" w:color="000000" w:sz="4" w:space="0"/>
              <w:right w:val="single" w:color="000000" w:sz="4" w:space="0"/>
            </w:tcBorders>
            <w:shd w:val="clear"/>
            <w:vAlign w:val="center"/>
          </w:tcPr>
          <w:p w14:paraId="0597D613">
            <w:pPr>
              <w:jc w:val="center"/>
              <w:rPr>
                <w:rFonts w:hint="eastAsia" w:ascii="宋体" w:hAnsi="宋体" w:eastAsia="宋体" w:cs="宋体"/>
                <w:i w:val="0"/>
                <w:iCs w:val="0"/>
                <w:color w:val="000000"/>
                <w:sz w:val="18"/>
                <w:szCs w:val="18"/>
                <w:u w:val="none"/>
              </w:rPr>
            </w:pPr>
          </w:p>
        </w:tc>
        <w:tc>
          <w:tcPr>
            <w:tcW w:w="2437" w:type="pct"/>
            <w:tcBorders>
              <w:top w:val="single" w:color="000000" w:sz="4" w:space="0"/>
              <w:left w:val="single" w:color="000000" w:sz="4" w:space="0"/>
              <w:bottom w:val="single" w:color="000000" w:sz="4" w:space="0"/>
              <w:right w:val="single" w:color="000000" w:sz="4" w:space="0"/>
            </w:tcBorders>
            <w:shd w:val="clear"/>
            <w:vAlign w:val="center"/>
          </w:tcPr>
          <w:p w14:paraId="3A28DA8B">
            <w:pPr>
              <w:jc w:val="center"/>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4D5E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E77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16" w:type="pct"/>
            <w:tcBorders>
              <w:top w:val="single" w:color="000000" w:sz="4" w:space="0"/>
              <w:left w:val="single" w:color="000000" w:sz="4" w:space="0"/>
              <w:bottom w:val="single" w:color="000000" w:sz="4" w:space="0"/>
              <w:right w:val="single" w:color="000000" w:sz="4" w:space="0"/>
            </w:tcBorders>
            <w:shd w:val="clear"/>
            <w:vAlign w:val="center"/>
          </w:tcPr>
          <w:p w14:paraId="44C19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35000.00 </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A730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35000.00 </w:t>
            </w:r>
          </w:p>
        </w:tc>
      </w:tr>
      <w:tr w14:paraId="0C7D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1097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3466" w:type="pct"/>
            <w:gridSpan w:val="4"/>
            <w:tcBorders>
              <w:top w:val="single" w:color="000000" w:sz="4" w:space="0"/>
              <w:left w:val="single" w:color="000000" w:sz="4" w:space="0"/>
              <w:bottom w:val="single" w:color="000000" w:sz="4" w:space="0"/>
              <w:right w:val="single" w:color="000000" w:sz="4" w:space="0"/>
            </w:tcBorders>
            <w:shd w:val="clear"/>
            <w:vAlign w:val="center"/>
          </w:tcPr>
          <w:p w14:paraId="34A41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小计E：</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C29C724">
            <w:pPr>
              <w:rPr>
                <w:rFonts w:hint="eastAsia" w:ascii="宋体" w:hAnsi="宋体" w:eastAsia="宋体" w:cs="宋体"/>
                <w:i w:val="0"/>
                <w:iCs w:val="0"/>
                <w:color w:val="000000"/>
                <w:sz w:val="20"/>
                <w:szCs w:val="20"/>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BE4A0D2">
            <w:pPr>
              <w:rPr>
                <w:rFonts w:hint="eastAsia" w:ascii="宋体" w:hAnsi="宋体" w:eastAsia="宋体" w:cs="宋体"/>
                <w:i w:val="0"/>
                <w:iCs w:val="0"/>
                <w:color w:val="000000"/>
                <w:sz w:val="20"/>
                <w:szCs w:val="20"/>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3B664C92">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5E314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410291.00 </w:t>
            </w:r>
          </w:p>
        </w:tc>
      </w:tr>
      <w:tr w14:paraId="2E7D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7E7EB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346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28A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总合计金额</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934991B">
            <w:pPr>
              <w:rPr>
                <w:rFonts w:hint="eastAsia" w:ascii="宋体" w:hAnsi="宋体" w:eastAsia="宋体" w:cs="宋体"/>
                <w:i w:val="0"/>
                <w:iCs w:val="0"/>
                <w:color w:val="000000"/>
                <w:sz w:val="22"/>
                <w:szCs w:val="22"/>
                <w:u w:val="none"/>
              </w:rPr>
            </w:pP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AF68FAE">
            <w:pPr>
              <w:rPr>
                <w:rFonts w:hint="eastAsia" w:ascii="宋体" w:hAnsi="宋体" w:eastAsia="宋体" w:cs="宋体"/>
                <w:i w:val="0"/>
                <w:iCs w:val="0"/>
                <w:color w:val="000000"/>
                <w:sz w:val="22"/>
                <w:szCs w:val="22"/>
                <w:u w:val="none"/>
              </w:rPr>
            </w:pPr>
          </w:p>
        </w:tc>
        <w:tc>
          <w:tcPr>
            <w:tcW w:w="316" w:type="pct"/>
            <w:tcBorders>
              <w:top w:val="single" w:color="000000" w:sz="4" w:space="0"/>
              <w:left w:val="single" w:color="000000" w:sz="4" w:space="0"/>
              <w:bottom w:val="single" w:color="000000" w:sz="4" w:space="0"/>
              <w:right w:val="single" w:color="000000" w:sz="4" w:space="0"/>
            </w:tcBorders>
            <w:shd w:val="clear"/>
            <w:noWrap/>
            <w:vAlign w:val="center"/>
          </w:tcPr>
          <w:p w14:paraId="23C8556D">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3A92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993241.00 </w:t>
            </w:r>
          </w:p>
        </w:tc>
      </w:tr>
    </w:tbl>
    <w:p w14:paraId="54469358">
      <w:pPr>
        <w:sectPr>
          <w:pgSz w:w="16838" w:h="11906" w:orient="landscape"/>
          <w:pgMar w:top="1800" w:right="1440" w:bottom="1800" w:left="1440" w:header="851" w:footer="992" w:gutter="0"/>
          <w:cols w:space="425" w:num="1"/>
          <w:docGrid w:type="lines" w:linePitch="312" w:charSpace="0"/>
        </w:sectPr>
      </w:pPr>
    </w:p>
    <w:tbl>
      <w:tblPr>
        <w:tblStyle w:val="8"/>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8798"/>
      </w:tblGrid>
      <w:tr w14:paraId="57EB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1" w:type="dxa"/>
            <w:gridSpan w:val="2"/>
            <w:noWrap/>
            <w:vAlign w:val="center"/>
          </w:tcPr>
          <w:p w14:paraId="38636377">
            <w:pPr>
              <w:adjustRightInd w:val="0"/>
              <w:snapToGrid w:val="0"/>
              <w:spacing w:line="320" w:lineRule="exact"/>
              <w:rPr>
                <w:rFonts w:hint="eastAsia" w:ascii="宋体" w:hAnsi="宋体" w:eastAsia="宋体" w:cs="宋体"/>
                <w:b/>
                <w:szCs w:val="21"/>
                <w:highlight w:val="none"/>
              </w:rPr>
            </w:pPr>
            <w:r>
              <w:rPr>
                <w:rFonts w:hint="eastAsia" w:ascii="宋体" w:hAnsi="宋体" w:eastAsia="宋体" w:cs="宋体"/>
                <w:b/>
                <w:szCs w:val="21"/>
                <w:highlight w:val="none"/>
              </w:rPr>
              <w:t>二、商务条款</w:t>
            </w:r>
          </w:p>
        </w:tc>
      </w:tr>
      <w:tr w14:paraId="783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123" w:type="dxa"/>
            <w:noWrap/>
            <w:vAlign w:val="center"/>
          </w:tcPr>
          <w:p w14:paraId="2877B2D7">
            <w:pPr>
              <w:adjustRightInd w:val="0"/>
              <w:spacing w:line="320" w:lineRule="exact"/>
              <w:rPr>
                <w:rFonts w:hint="eastAsia" w:ascii="宋体" w:hAnsi="宋体" w:eastAsia="宋体" w:cs="宋体"/>
                <w:b/>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sz w:val="24"/>
                <w:szCs w:val="24"/>
                <w:highlight w:val="none"/>
              </w:rPr>
              <w:t>报价</w:t>
            </w:r>
            <w:bookmarkStart w:id="0" w:name="_GoBack"/>
            <w:bookmarkEnd w:id="0"/>
            <w:r>
              <w:rPr>
                <w:rFonts w:hint="eastAsia" w:ascii="宋体" w:hAnsi="宋体" w:eastAsia="宋体" w:cs="宋体"/>
                <w:b/>
                <w:sz w:val="24"/>
                <w:szCs w:val="24"/>
                <w:highlight w:val="none"/>
              </w:rPr>
              <w:t>要求</w:t>
            </w:r>
          </w:p>
          <w:p w14:paraId="1314ACD0">
            <w:pPr>
              <w:adjustRightInd w:val="0"/>
              <w:spacing w:line="320" w:lineRule="exact"/>
              <w:rPr>
                <w:rFonts w:hint="eastAsia" w:ascii="宋体" w:hAnsi="宋体" w:eastAsia="宋体" w:cs="宋体"/>
                <w:b/>
                <w:sz w:val="24"/>
                <w:szCs w:val="24"/>
                <w:highlight w:val="none"/>
              </w:rPr>
            </w:pPr>
          </w:p>
        </w:tc>
        <w:tc>
          <w:tcPr>
            <w:tcW w:w="8798" w:type="dxa"/>
            <w:noWrap/>
            <w:vAlign w:val="center"/>
          </w:tcPr>
          <w:p w14:paraId="1B365EB6">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1.供应商竞价时必须全部响应本文件的“项目要求及技术需求”，否则报价无效。</w:t>
            </w:r>
          </w:p>
          <w:p w14:paraId="0FDC39F9">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0EA8AE5F">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3.系统生成预成交供应商后，预成交供应商须在3日内按附件格式提供响应文件（加盖单位公章）扫描件。如果不能按时按要求提供，则视为预成交供应商响应无效。</w:t>
            </w:r>
          </w:p>
        </w:tc>
      </w:tr>
      <w:tr w14:paraId="20C6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123" w:type="dxa"/>
            <w:noWrap/>
            <w:vAlign w:val="center"/>
          </w:tcPr>
          <w:p w14:paraId="6E4C71CE">
            <w:pPr>
              <w:adjustRightInd w:val="0"/>
              <w:spacing w:line="320" w:lineRule="exact"/>
              <w:rPr>
                <w:rFonts w:hint="eastAsia" w:ascii="宋体" w:hAnsi="宋体" w:eastAsia="宋体" w:cs="宋体"/>
                <w:b/>
                <w:iCs/>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iCs/>
                <w:sz w:val="24"/>
                <w:szCs w:val="24"/>
                <w:highlight w:val="none"/>
              </w:rPr>
              <w:t>质保期及免费维护期限</w:t>
            </w:r>
          </w:p>
          <w:p w14:paraId="05B6DBDC">
            <w:pPr>
              <w:adjustRightInd w:val="0"/>
              <w:spacing w:line="320" w:lineRule="exact"/>
              <w:rPr>
                <w:rFonts w:hint="eastAsia" w:ascii="宋体" w:hAnsi="宋体" w:eastAsia="宋体" w:cs="宋体"/>
                <w:b/>
                <w:iCs/>
                <w:sz w:val="24"/>
                <w:szCs w:val="24"/>
                <w:highlight w:val="none"/>
              </w:rPr>
            </w:pPr>
          </w:p>
        </w:tc>
        <w:tc>
          <w:tcPr>
            <w:tcW w:w="8798" w:type="dxa"/>
            <w:noWrap/>
            <w:vAlign w:val="center"/>
          </w:tcPr>
          <w:p w14:paraId="531D2950">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质保期为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一</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年</w:t>
            </w:r>
            <w:r>
              <w:rPr>
                <w:rFonts w:hint="eastAsia" w:ascii="宋体" w:hAnsi="宋体" w:eastAsia="宋体" w:cs="宋体"/>
                <w:sz w:val="24"/>
                <w:szCs w:val="24"/>
                <w:highlight w:val="none"/>
              </w:rPr>
              <w:t>（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14:paraId="63FA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3" w:type="dxa"/>
            <w:shd w:val="clear" w:color="auto" w:fill="auto"/>
            <w:noWrap/>
            <w:vAlign w:val="center"/>
          </w:tcPr>
          <w:p w14:paraId="628E56C4">
            <w:pPr>
              <w:adjustRightInd w:val="0"/>
              <w:spacing w:line="320" w:lineRule="exact"/>
              <w:rPr>
                <w:rFonts w:hint="eastAsia" w:ascii="宋体" w:hAnsi="宋体" w:eastAsia="宋体" w:cs="宋体"/>
                <w:b/>
                <w:iCs/>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iCs/>
                <w:sz w:val="24"/>
                <w:szCs w:val="24"/>
                <w:highlight w:val="none"/>
              </w:rPr>
              <w:t>交货时间及地点</w:t>
            </w:r>
          </w:p>
        </w:tc>
        <w:tc>
          <w:tcPr>
            <w:tcW w:w="8798" w:type="dxa"/>
            <w:shd w:val="clear" w:color="auto" w:fill="auto"/>
            <w:noWrap/>
            <w:vAlign w:val="center"/>
          </w:tcPr>
          <w:p w14:paraId="09A378FE">
            <w:pPr>
              <w:pStyle w:val="10"/>
              <w:spacing w:line="360" w:lineRule="auto"/>
              <w:rPr>
                <w:rFonts w:hint="eastAsia" w:ascii="宋体" w:hAnsi="宋体" w:eastAsia="宋体" w:cs="宋体"/>
                <w:sz w:val="24"/>
                <w:highlight w:val="none"/>
              </w:rPr>
            </w:pPr>
            <w:r>
              <w:rPr>
                <w:rFonts w:hint="eastAsia" w:ascii="宋体" w:hAnsi="宋体" w:eastAsia="宋体" w:cs="宋体"/>
                <w:sz w:val="24"/>
                <w:highlight w:val="none"/>
              </w:rPr>
              <w:t>1.供货安装时间：</w:t>
            </w:r>
            <w:r>
              <w:rPr>
                <w:rFonts w:hint="eastAsia" w:ascii="宋体" w:hAnsi="宋体" w:eastAsia="宋体" w:cs="宋体"/>
                <w:sz w:val="24"/>
                <w:highlight w:val="none"/>
                <w:lang w:val="en-US" w:eastAsia="zh-CN"/>
              </w:rPr>
              <w:t>采购人发出交货通知书</w:t>
            </w:r>
            <w:r>
              <w:rPr>
                <w:rFonts w:hint="eastAsia" w:ascii="宋体" w:hAnsi="宋体" w:eastAsia="宋体" w:cs="宋体"/>
                <w:sz w:val="24"/>
                <w:highlight w:val="none"/>
              </w:rPr>
              <w:t>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个工作日</w:t>
            </w:r>
            <w:r>
              <w:rPr>
                <w:rFonts w:hint="eastAsia" w:ascii="宋体" w:hAnsi="宋体" w:eastAsia="宋体" w:cs="宋体"/>
                <w:sz w:val="24"/>
                <w:highlight w:val="none"/>
              </w:rPr>
              <w:t>内，成交供应商须按采购人的要求全部供货调试完毕。如果出现不能按时供货，则视为成交供应商违约，采购人有权终止合同，并追究成交供应商的违约责任，所造成的损失由成交供应商承担。</w:t>
            </w:r>
          </w:p>
          <w:p w14:paraId="5F656F4E">
            <w:pPr>
              <w:pStyle w:val="10"/>
              <w:adjustRightIn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2.交货地点：广西</w:t>
            </w:r>
            <w:r>
              <w:rPr>
                <w:rFonts w:hint="eastAsia" w:ascii="宋体" w:hAnsi="宋体" w:eastAsia="宋体" w:cs="宋体"/>
                <w:sz w:val="24"/>
                <w:highlight w:val="none"/>
                <w:lang w:val="en-US" w:eastAsia="zh-CN"/>
              </w:rPr>
              <w:t>南宁</w:t>
            </w:r>
            <w:r>
              <w:rPr>
                <w:rFonts w:hint="eastAsia" w:ascii="宋体" w:hAnsi="宋体" w:eastAsia="宋体" w:cs="宋体"/>
                <w:sz w:val="24"/>
                <w:highlight w:val="none"/>
              </w:rPr>
              <w:t>市采购人指定地点。</w:t>
            </w:r>
          </w:p>
          <w:p w14:paraId="516BE4AB">
            <w:pPr>
              <w:pStyle w:val="10"/>
              <w:adjustRightInd w:val="0"/>
              <w:spacing w:line="320" w:lineRule="exact"/>
              <w:rPr>
                <w:rFonts w:hint="eastAsia" w:ascii="宋体" w:hAnsi="宋体" w:eastAsia="宋体" w:cs="宋体"/>
                <w:sz w:val="24"/>
                <w:highlight w:val="none"/>
              </w:rPr>
            </w:pPr>
            <w:r>
              <w:rPr>
                <w:rFonts w:hint="eastAsia" w:ascii="宋体" w:hAnsi="宋体" w:eastAsia="宋体" w:cs="宋体"/>
                <w:szCs w:val="21"/>
                <w:highlight w:val="none"/>
              </w:rPr>
              <w:t>3.</w:t>
            </w:r>
            <w:r>
              <w:rPr>
                <w:rFonts w:hint="eastAsia" w:ascii="宋体" w:hAnsi="宋体" w:eastAsia="宋体" w:cs="宋体"/>
                <w:szCs w:val="22"/>
                <w:highlight w:val="none"/>
              </w:rPr>
              <w:t>成交人交付的所有设备必须是签订合同之日前半年内生产的产品。</w:t>
            </w:r>
          </w:p>
        </w:tc>
      </w:tr>
      <w:tr w14:paraId="668B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23" w:type="dxa"/>
            <w:shd w:val="clear" w:color="auto" w:fill="auto"/>
            <w:noWrap/>
            <w:vAlign w:val="center"/>
          </w:tcPr>
          <w:p w14:paraId="0A551C57">
            <w:pPr>
              <w:adjustRightInd w:val="0"/>
              <w:spacing w:line="320" w:lineRule="exact"/>
              <w:rPr>
                <w:rFonts w:hint="eastAsia" w:ascii="宋体" w:hAnsi="宋体" w:eastAsia="宋体" w:cs="宋体"/>
                <w:b/>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sz w:val="24"/>
                <w:szCs w:val="24"/>
                <w:highlight w:val="none"/>
              </w:rPr>
              <w:t>售后</w:t>
            </w:r>
          </w:p>
          <w:p w14:paraId="1B8C4117">
            <w:pPr>
              <w:adjustRightInd w:val="0"/>
              <w:spacing w:line="3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服务要求</w:t>
            </w:r>
          </w:p>
          <w:p w14:paraId="6EA9C17B">
            <w:pPr>
              <w:adjustRightInd w:val="0"/>
              <w:spacing w:line="320" w:lineRule="exact"/>
              <w:rPr>
                <w:rFonts w:hint="eastAsia" w:ascii="宋体" w:hAnsi="宋体" w:eastAsia="宋体" w:cs="宋体"/>
                <w:b/>
                <w:sz w:val="24"/>
                <w:szCs w:val="24"/>
                <w:highlight w:val="none"/>
              </w:rPr>
            </w:pPr>
          </w:p>
        </w:tc>
        <w:tc>
          <w:tcPr>
            <w:tcW w:w="8798" w:type="dxa"/>
            <w:shd w:val="clear" w:color="auto" w:fill="auto"/>
            <w:noWrap/>
            <w:vAlign w:val="center"/>
          </w:tcPr>
          <w:p w14:paraId="01707962">
            <w:pPr>
              <w:adjustRightInd w:val="0"/>
              <w:spacing w:line="320" w:lineRule="exact"/>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1.所有竞标产品必须是厂家合法渠道的全新正品，</w:t>
            </w:r>
            <w:r>
              <w:rPr>
                <w:rFonts w:hint="eastAsia" w:ascii="宋体" w:hAnsi="宋体" w:eastAsia="宋体" w:cs="宋体"/>
                <w:sz w:val="24"/>
                <w:szCs w:val="24"/>
                <w:highlight w:val="none"/>
                <w:lang w:val="en-US" w:eastAsia="zh-CN"/>
              </w:rPr>
              <w:t>不接受拆改配产品（供货时提供设备生产厂家出具的参数确认函），</w:t>
            </w:r>
            <w:r>
              <w:rPr>
                <w:rFonts w:hint="eastAsia" w:ascii="宋体" w:hAnsi="宋体" w:eastAsia="宋体" w:cs="宋体"/>
                <w:sz w:val="24"/>
                <w:szCs w:val="24"/>
                <w:highlight w:val="none"/>
              </w:rPr>
              <w:t>按国家有关产品“三包”规定执行“三包”，项目整体质保期至少为</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年（各分项另有要求的，以各分项要求为准），自验收合格之日起计算；</w:t>
            </w:r>
            <w:r>
              <w:rPr>
                <w:rFonts w:hint="eastAsia" w:ascii="宋体" w:hAnsi="宋体" w:eastAsia="宋体" w:cs="宋体"/>
                <w:bCs/>
                <w:sz w:val="24"/>
                <w:szCs w:val="24"/>
                <w:highlight w:val="none"/>
              </w:rPr>
              <w:t>在质保期内，成交供应商应对货物出现的质量及安全问题负责处理解决并承担一切费用。</w:t>
            </w:r>
          </w:p>
          <w:p w14:paraId="52ED5514">
            <w:pPr>
              <w:adjustRightIn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2.质保期内提供以下技术支持和服务：</w:t>
            </w:r>
          </w:p>
          <w:p w14:paraId="75E5CE1C">
            <w:pPr>
              <w:adjustRightIn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（1）电话咨询：成交供应商应当为采购人提供7×24小时技术援助电话，解答采购人在使用中遇到的问题，及时为采购人提出解决问题的建议。</w:t>
            </w:r>
          </w:p>
          <w:p w14:paraId="0C20F86B">
            <w:pPr>
              <w:adjustRightIn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（2）现场响应：采购人遇到使用或技术问题，电话咨询不能解决的，成交供应商接到保障电话在2小时内派工程技术人员上门维修解决问题，工程技术人员</w:t>
            </w:r>
            <w:r>
              <w:rPr>
                <w:rFonts w:hint="eastAsia" w:ascii="宋体" w:hAnsi="宋体" w:eastAsia="宋体" w:cs="宋体"/>
                <w:sz w:val="24"/>
                <w:szCs w:val="24"/>
                <w:highlight w:val="none"/>
                <w:lang w:val="en-US" w:eastAsia="zh-CN"/>
              </w:rPr>
              <w:t>须是供应商社保人员，不接受技术外包，提供响应方案合理性说明</w:t>
            </w:r>
            <w:r>
              <w:rPr>
                <w:rFonts w:hint="eastAsia" w:ascii="宋体" w:hAnsi="宋体" w:eastAsia="宋体" w:cs="宋体"/>
                <w:sz w:val="24"/>
                <w:szCs w:val="24"/>
                <w:highlight w:val="none"/>
              </w:rPr>
              <w:t>。</w:t>
            </w:r>
          </w:p>
          <w:p w14:paraId="67E6D83E">
            <w:pPr>
              <w:adjustRightIn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（3）技术升级：在质保期内，如果成交供应商的产品或服务升级，应及时通知采购人，如采购人有相应要求，成交供应商应对采购人购买的产品或服务进行免费升级。</w:t>
            </w:r>
          </w:p>
          <w:p w14:paraId="1E02A548">
            <w:pPr>
              <w:adjustRightIn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（4）定期回访以及对设备维修。</w:t>
            </w:r>
          </w:p>
        </w:tc>
      </w:tr>
      <w:tr w14:paraId="4F5B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123" w:type="dxa"/>
            <w:noWrap/>
            <w:vAlign w:val="center"/>
          </w:tcPr>
          <w:p w14:paraId="107033E3">
            <w:pPr>
              <w:adjustRightInd w:val="0"/>
              <w:spacing w:line="320" w:lineRule="exact"/>
              <w:rPr>
                <w:rFonts w:hint="eastAsia" w:ascii="宋体" w:hAnsi="宋体" w:eastAsia="宋体" w:cs="宋体"/>
                <w:b/>
                <w:iCs/>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iCs/>
                <w:sz w:val="24"/>
                <w:szCs w:val="24"/>
                <w:highlight w:val="none"/>
              </w:rPr>
              <w:t>安装</w:t>
            </w:r>
          </w:p>
          <w:p w14:paraId="34437E89">
            <w:pPr>
              <w:adjustRightInd w:val="0"/>
              <w:spacing w:line="320" w:lineRule="exact"/>
              <w:rPr>
                <w:rFonts w:hint="eastAsia" w:ascii="宋体" w:hAnsi="宋体" w:eastAsia="宋体" w:cs="宋体"/>
                <w:b/>
                <w:sz w:val="24"/>
                <w:szCs w:val="24"/>
                <w:highlight w:val="none"/>
              </w:rPr>
            </w:pPr>
            <w:r>
              <w:rPr>
                <w:rFonts w:hint="eastAsia" w:ascii="宋体" w:hAnsi="宋体" w:eastAsia="宋体" w:cs="宋体"/>
                <w:b/>
                <w:iCs/>
                <w:sz w:val="24"/>
                <w:szCs w:val="24"/>
                <w:highlight w:val="none"/>
              </w:rPr>
              <w:t>与验收</w:t>
            </w:r>
          </w:p>
        </w:tc>
        <w:tc>
          <w:tcPr>
            <w:tcW w:w="8798" w:type="dxa"/>
            <w:noWrap/>
            <w:vAlign w:val="center"/>
          </w:tcPr>
          <w:p w14:paraId="1C5A1CF9">
            <w:p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1.本次采购的货物必须是成交供应商免费</w:t>
            </w:r>
            <w:r>
              <w:rPr>
                <w:rFonts w:hint="eastAsia" w:ascii="宋体" w:hAnsi="宋体" w:eastAsia="宋体" w:cs="宋体"/>
                <w:sz w:val="24"/>
                <w:szCs w:val="24"/>
                <w:highlight w:val="none"/>
                <w:u w:val="single"/>
              </w:rPr>
              <w:t>送货上门并提供免费安装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rPr>
              <w:t>，不接受物流快递发货以及远程指导安装，否则采购人有权取消合同。</w:t>
            </w:r>
          </w:p>
          <w:p w14:paraId="623087B3">
            <w:pPr>
              <w:adjustRightInd w:val="0"/>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设备安装时，项目经理必须在场全称管理，项目经理须由</w:t>
            </w:r>
            <w:r>
              <w:rPr>
                <w:rFonts w:hint="eastAsia" w:ascii="宋体" w:hAnsi="宋体" w:eastAsia="宋体" w:cs="宋体"/>
                <w:sz w:val="24"/>
                <w:szCs w:val="24"/>
                <w:highlight w:val="none"/>
              </w:rPr>
              <w:t>成交供应商</w:t>
            </w:r>
            <w:r>
              <w:rPr>
                <w:rFonts w:hint="eastAsia" w:ascii="宋体" w:hAnsi="宋体" w:eastAsia="宋体" w:cs="宋体"/>
                <w:sz w:val="24"/>
                <w:szCs w:val="24"/>
                <w:highlight w:val="none"/>
                <w:lang w:val="en-US" w:eastAsia="zh-CN"/>
              </w:rPr>
              <w:t>的社保人员担任（不允许外包）。</w:t>
            </w:r>
          </w:p>
          <w:p w14:paraId="6425DE04">
            <w:pPr>
              <w:adjustRightInd w:val="0"/>
              <w:spacing w:line="32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3.该分项涉及的与项目其它分项协调施工的，各分项供应商承担协调相关费用与责任。</w:t>
            </w:r>
          </w:p>
          <w:p w14:paraId="48162FB5">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培训：成交供应商对其提供产品或服务的使用和操作应尽培训义务。成交供应商应提供对采购人的基本培训，使采购人使用人员熟练掌握所培训内容，熟练掌握全部功能。</w:t>
            </w:r>
          </w:p>
          <w:p w14:paraId="163115E3">
            <w:pPr>
              <w:adjustRightInd w:val="0"/>
              <w:snapToGri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.验收要求</w:t>
            </w:r>
          </w:p>
          <w:p w14:paraId="742164DA">
            <w:p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5日内予以补救，所产生的费用及法律后果由成交供应商承担。</w:t>
            </w:r>
          </w:p>
          <w:p w14:paraId="4026F2A9">
            <w:pPr>
              <w:adjustRightInd w:val="0"/>
              <w:snapToGri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日内采取措施消除缺陷后重新申请终验，并承担由此产生的费用。</w:t>
            </w:r>
          </w:p>
          <w:p w14:paraId="313813CA">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14:paraId="23C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23" w:type="dxa"/>
            <w:noWrap/>
            <w:vAlign w:val="center"/>
          </w:tcPr>
          <w:p w14:paraId="15231004">
            <w:pPr>
              <w:adjustRightInd w:val="0"/>
              <w:spacing w:line="320" w:lineRule="exact"/>
              <w:rPr>
                <w:rFonts w:hint="eastAsia" w:ascii="宋体" w:hAnsi="宋体" w:eastAsia="宋体" w:cs="宋体"/>
                <w:b/>
                <w:sz w:val="24"/>
                <w:szCs w:val="24"/>
                <w:highlight w:val="none"/>
              </w:rPr>
            </w:pPr>
            <w:r>
              <w:rPr>
                <w:rFonts w:hint="eastAsia" w:ascii="微软雅黑" w:hAnsi="微软雅黑" w:eastAsia="微软雅黑" w:cs="微软雅黑"/>
                <w:b/>
                <w:sz w:val="24"/>
                <w:szCs w:val="24"/>
                <w:highlight w:val="none"/>
              </w:rPr>
              <w:t>★</w:t>
            </w:r>
            <w:r>
              <w:rPr>
                <w:rFonts w:hint="eastAsia" w:ascii="宋体" w:hAnsi="宋体" w:eastAsia="宋体" w:cs="宋体"/>
                <w:b/>
                <w:sz w:val="24"/>
                <w:szCs w:val="24"/>
                <w:highlight w:val="none"/>
              </w:rPr>
              <w:t>付款</w:t>
            </w:r>
          </w:p>
          <w:p w14:paraId="7D2A2671">
            <w:pPr>
              <w:adjustRightInd w:val="0"/>
              <w:spacing w:line="3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方式</w:t>
            </w:r>
          </w:p>
        </w:tc>
        <w:tc>
          <w:tcPr>
            <w:tcW w:w="8798" w:type="dxa"/>
            <w:noWrap/>
            <w:vAlign w:val="center"/>
          </w:tcPr>
          <w:p w14:paraId="5511B7B5">
            <w:pPr>
              <w:adjustRightInd w:val="0"/>
              <w:snapToGrid w:val="0"/>
              <w:spacing w:line="3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本合同项下的全部货物经最终验收合格后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个工作日内，采购人凭成交供应商开具的全额发票向</w:t>
            </w:r>
            <w:r>
              <w:rPr>
                <w:rFonts w:hint="eastAsia" w:ascii="宋体" w:hAnsi="宋体" w:eastAsia="宋体" w:cs="宋体"/>
                <w:sz w:val="24"/>
                <w:szCs w:val="24"/>
                <w:highlight w:val="none"/>
                <w:lang w:val="en-US" w:eastAsia="zh-CN"/>
              </w:rPr>
              <w:t>财政部门申请</w:t>
            </w:r>
            <w:r>
              <w:rPr>
                <w:rFonts w:hint="eastAsia" w:ascii="宋体" w:hAnsi="宋体" w:eastAsia="宋体" w:cs="宋体"/>
                <w:sz w:val="24"/>
                <w:szCs w:val="24"/>
                <w:highlight w:val="none"/>
              </w:rPr>
              <w:t>支付全部合同价款。</w:t>
            </w:r>
          </w:p>
        </w:tc>
      </w:tr>
      <w:tr w14:paraId="296C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23" w:type="dxa"/>
            <w:noWrap/>
            <w:vAlign w:val="center"/>
          </w:tcPr>
          <w:p w14:paraId="4C9C4846">
            <w:pPr>
              <w:adjustRightInd w:val="0"/>
              <w:spacing w:line="3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知识产权要求</w:t>
            </w:r>
          </w:p>
        </w:tc>
        <w:tc>
          <w:tcPr>
            <w:tcW w:w="8798" w:type="dxa"/>
            <w:noWrap/>
            <w:vAlign w:val="center"/>
          </w:tcPr>
          <w:p w14:paraId="228D7FCC">
            <w:pPr>
              <w:adjustRightInd w:val="0"/>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采购人在中华人民共和国境内使用中标人提供的产品及服务时免受第三方提出的侵犯其专利权或其它知识产权的起诉。如果第三方提出侵权指控，中标人应承担由此而引起的一切法律责任和费用。</w:t>
            </w:r>
          </w:p>
        </w:tc>
      </w:tr>
    </w:tbl>
    <w:p w14:paraId="417CFE8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6DF51"/>
    <w:multiLevelType w:val="multilevel"/>
    <w:tmpl w:val="BA96DF51"/>
    <w:lvl w:ilvl="0" w:tentative="0">
      <w:start w:val="1"/>
      <w:numFmt w:val="decimal"/>
      <w:lvlText w:val="%1"/>
      <w:lvlJc w:val="left"/>
      <w:pPr>
        <w:ind w:left="574"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123ED"/>
    <w:rsid w:val="04246EFF"/>
    <w:rsid w:val="08E51DC0"/>
    <w:rsid w:val="137F6EAF"/>
    <w:rsid w:val="162216F3"/>
    <w:rsid w:val="1F332E09"/>
    <w:rsid w:val="21330BAE"/>
    <w:rsid w:val="24CF7267"/>
    <w:rsid w:val="282C1EE8"/>
    <w:rsid w:val="2D890C94"/>
    <w:rsid w:val="2EB5007C"/>
    <w:rsid w:val="319950ED"/>
    <w:rsid w:val="3812539E"/>
    <w:rsid w:val="39AB34F4"/>
    <w:rsid w:val="42411218"/>
    <w:rsid w:val="431C6577"/>
    <w:rsid w:val="4C6D19B7"/>
    <w:rsid w:val="4F447BAE"/>
    <w:rsid w:val="552D05D4"/>
    <w:rsid w:val="5C7A0445"/>
    <w:rsid w:val="5D3E6681"/>
    <w:rsid w:val="5EF43DB9"/>
    <w:rsid w:val="605F1CC6"/>
    <w:rsid w:val="625B391D"/>
    <w:rsid w:val="647123ED"/>
    <w:rsid w:val="6A2C52E2"/>
    <w:rsid w:val="6CDB7768"/>
    <w:rsid w:val="6DD70E48"/>
    <w:rsid w:val="6E427C94"/>
    <w:rsid w:val="70876530"/>
    <w:rsid w:val="796339D3"/>
    <w:rsid w:val="7E90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keepNext/>
      <w:keepLines/>
      <w:numPr>
        <w:ilvl w:val="1"/>
        <w:numId w:val="1"/>
      </w:numPr>
      <w:spacing w:before="120" w:after="120" w:line="360" w:lineRule="auto"/>
      <w:ind w:left="578" w:hanging="578"/>
      <w:jc w:val="left"/>
      <w:outlineLvl w:val="1"/>
    </w:pPr>
    <w:rPr>
      <w:rFonts w:ascii="Arial" w:hAnsi="Arial" w:eastAsia="宋体" w:cs="黑体"/>
      <w:b/>
      <w:bCs/>
      <w:sz w:val="28"/>
      <w:szCs w:val="32"/>
    </w:rPr>
  </w:style>
  <w:style w:type="paragraph" w:styleId="4">
    <w:name w:val="heading 4"/>
    <w:basedOn w:val="1"/>
    <w:next w:val="1"/>
    <w:semiHidden/>
    <w:unhideWhenUsed/>
    <w:qFormat/>
    <w:uiPriority w:val="0"/>
    <w:pPr>
      <w:keepNext/>
      <w:keepLines/>
      <w:widowControl/>
      <w:spacing w:before="120" w:after="120" w:line="360" w:lineRule="auto"/>
      <w:jc w:val="center"/>
      <w:outlineLvl w:val="3"/>
    </w:pPr>
    <w:rPr>
      <w:rFonts w:ascii="Arial" w:hAnsi="Arial" w:eastAsia="黑体" w:cs="Times New Roman"/>
      <w:kern w:val="0"/>
      <w:sz w:val="28"/>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20</TotalTime>
  <Pages>19</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2025-11-03T12:53:00Z</dcterms:created>
  <dcterms:modified xsi:type="dcterms:W3CDTF">2025-11-03T13:29:05Z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3056320D556A439BB18FC2BF6D38A21B_11</vt:lpwstr>
  </property>
  <property fmtid="{D5CDD505-2E9C-101B-9397-08002B2CF9AE}" pid="4" name="KSOTemplateDocerSaveRecord">
    <vt:lpwstr>eyJoZGlkIjoiMTE4NjNmMDgzNzFiZDU0MWU2ZWZjMjYxZTY1MWQyNDMiLCJ1c2VySWQiOiIxMjAyODEwMjM3In0=</vt:lpwstr>
  </property>
</Properties>
</file>