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39"/>
        <w:gridCol w:w="705"/>
        <w:gridCol w:w="425"/>
        <w:gridCol w:w="425"/>
        <w:gridCol w:w="5670"/>
        <w:gridCol w:w="992"/>
        <w:gridCol w:w="920"/>
      </w:tblGrid>
      <w:tr w14:paraId="23317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06B8C19D">
            <w:pPr>
              <w:spacing w:line="320" w:lineRule="exact"/>
              <w:jc w:val="center"/>
              <w:rPr>
                <w:rFonts w:ascii="宋体" w:hAnsi="宋体" w:cs="宋体"/>
                <w:b/>
                <w:sz w:val="24"/>
              </w:rPr>
            </w:pPr>
            <w:bookmarkStart w:id="0" w:name="PO_TDCUS_ITEM_PB_REQ_FILE_2_1_1"/>
            <w:r>
              <w:rPr>
                <w:rFonts w:hint="eastAsia" w:ascii="仿宋_GB2312" w:hAnsi="宋体" w:eastAsia="仿宋_GB2312" w:cs="Arial"/>
                <w:b/>
                <w:color w:val="000000"/>
                <w:sz w:val="32"/>
                <w:szCs w:val="32"/>
              </w:rPr>
              <w:t>服务需求一览表</w:t>
            </w:r>
          </w:p>
        </w:tc>
      </w:tr>
      <w:tr w14:paraId="3B5C2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689" w:type="dxa"/>
            <w:gridSpan w:val="3"/>
            <w:tcBorders>
              <w:top w:val="single" w:color="auto" w:sz="4" w:space="0"/>
              <w:left w:val="single" w:color="auto" w:sz="4" w:space="0"/>
              <w:right w:val="single" w:color="auto" w:sz="4" w:space="0"/>
            </w:tcBorders>
            <w:noWrap w:val="0"/>
            <w:vAlign w:val="center"/>
          </w:tcPr>
          <w:p w14:paraId="3BC6E92F">
            <w:pPr>
              <w:spacing w:line="320" w:lineRule="exact"/>
              <w:jc w:val="center"/>
              <w:rPr>
                <w:rFonts w:ascii="仿宋_GB2312" w:hAnsi="宋体" w:eastAsia="仿宋_GB2312" w:cs="Arial"/>
                <w:b/>
                <w:color w:val="000000"/>
                <w:sz w:val="32"/>
                <w:szCs w:val="32"/>
              </w:rPr>
            </w:pPr>
            <w:r>
              <w:rPr>
                <w:rFonts w:hint="eastAsia" w:ascii="仿宋_GB2312" w:hAnsi="宋体" w:eastAsia="仿宋_GB2312" w:cs="Arial"/>
                <w:b/>
                <w:color w:val="000000"/>
                <w:sz w:val="32"/>
                <w:szCs w:val="32"/>
              </w:rPr>
              <w:t>标段</w:t>
            </w:r>
          </w:p>
        </w:tc>
        <w:tc>
          <w:tcPr>
            <w:tcW w:w="8432" w:type="dxa"/>
            <w:gridSpan w:val="5"/>
            <w:tcBorders>
              <w:top w:val="single" w:color="auto" w:sz="4" w:space="0"/>
              <w:left w:val="single" w:color="auto" w:sz="4" w:space="0"/>
              <w:right w:val="single" w:color="auto" w:sz="4" w:space="0"/>
            </w:tcBorders>
            <w:noWrap w:val="0"/>
            <w:vAlign w:val="center"/>
          </w:tcPr>
          <w:p w14:paraId="1F077196">
            <w:pPr>
              <w:spacing w:line="320" w:lineRule="exact"/>
              <w:jc w:val="left"/>
              <w:rPr>
                <w:rFonts w:ascii="仿宋_GB2312" w:hAnsi="宋体" w:eastAsia="仿宋_GB2312" w:cs="Arial"/>
                <w:b/>
                <w:color w:val="000000"/>
                <w:sz w:val="32"/>
                <w:szCs w:val="32"/>
              </w:rPr>
            </w:pPr>
          </w:p>
        </w:tc>
      </w:tr>
      <w:tr w14:paraId="57290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top"/>
          </w:tcPr>
          <w:p w14:paraId="1C78B0FD">
            <w:pPr>
              <w:jc w:val="center"/>
              <w:rPr>
                <w:rFonts w:ascii="宋体" w:hAnsi="宋体" w:cs="宋体"/>
                <w:sz w:val="24"/>
              </w:rPr>
            </w:pPr>
            <w:r>
              <w:rPr>
                <w:rFonts w:hint="eastAsia" w:ascii="宋体" w:hAnsi="宋体" w:cs="宋体"/>
              </w:rPr>
              <w:t>采购清单及服务参数</w:t>
            </w:r>
          </w:p>
        </w:tc>
        <w:tc>
          <w:tcPr>
            <w:tcW w:w="43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8086AF">
            <w:pPr>
              <w:jc w:val="center"/>
              <w:rPr>
                <w:rFonts w:ascii="宋体" w:hAnsi="宋体" w:cs="宋体"/>
                <w:sz w:val="24"/>
              </w:rPr>
            </w:pPr>
            <w:r>
              <w:rPr>
                <w:rFonts w:hint="eastAsia" w:ascii="宋体" w:hAnsi="宋体" w:cs="宋体"/>
                <w:sz w:val="24"/>
              </w:rPr>
              <w:t>序号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BD92D3C">
            <w:pPr>
              <w:jc w:val="center"/>
              <w:rPr>
                <w:rFonts w:ascii="宋体" w:hAnsi="宋体" w:cs="宋体"/>
                <w:sz w:val="24"/>
              </w:rPr>
            </w:pPr>
            <w:r>
              <w:rPr>
                <w:rFonts w:hint="eastAsia" w:ascii="宋体" w:hAnsi="宋体" w:cs="宋体"/>
                <w:sz w:val="24"/>
              </w:rPr>
              <w:t>采购服务名称</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2586EB3B">
            <w:pPr>
              <w:jc w:val="center"/>
              <w:rPr>
                <w:rFonts w:ascii="宋体" w:hAnsi="宋体" w:cs="宋体"/>
                <w:sz w:val="24"/>
              </w:rPr>
            </w:pPr>
            <w:r>
              <w:rPr>
                <w:rFonts w:hint="eastAsia" w:ascii="宋体" w:hAnsi="宋体" w:cs="宋体"/>
                <w:sz w:val="24"/>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36EFE614">
            <w:pPr>
              <w:jc w:val="center"/>
              <w:rPr>
                <w:rFonts w:ascii="宋体" w:hAnsi="宋体" w:cs="宋体"/>
                <w:sz w:val="24"/>
              </w:rPr>
            </w:pPr>
            <w:r>
              <w:rPr>
                <w:rFonts w:hint="eastAsia" w:ascii="宋体" w:hAnsi="宋体" w:cs="宋体"/>
                <w:sz w:val="24"/>
              </w:rPr>
              <w:t>数量</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0DAD8FA3">
            <w:pPr>
              <w:jc w:val="center"/>
              <w:rPr>
                <w:rFonts w:ascii="宋体" w:hAnsi="宋体" w:cs="宋体"/>
                <w:sz w:val="24"/>
              </w:rPr>
            </w:pPr>
            <w:r>
              <w:rPr>
                <w:rFonts w:hint="eastAsia" w:ascii="宋体" w:hAnsi="宋体" w:cs="宋体"/>
                <w:sz w:val="24"/>
              </w:rPr>
              <w:t>服务参数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CA36C1F">
            <w:pPr>
              <w:jc w:val="center"/>
              <w:rPr>
                <w:rFonts w:ascii="宋体" w:hAnsi="宋体" w:cs="宋体"/>
                <w:sz w:val="24"/>
              </w:rPr>
            </w:pPr>
            <w:r>
              <w:rPr>
                <w:rFonts w:hint="eastAsia" w:ascii="宋体" w:hAnsi="宋体" w:cs="宋体"/>
                <w:sz w:val="24"/>
              </w:rPr>
              <w:t>分项预算合计（元）</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172254FA">
            <w:pPr>
              <w:jc w:val="center"/>
              <w:rPr>
                <w:rFonts w:ascii="宋体" w:hAnsi="宋体" w:cs="宋体"/>
                <w:sz w:val="24"/>
              </w:rPr>
            </w:pPr>
            <w:r>
              <w:rPr>
                <w:rFonts w:hint="eastAsia"/>
              </w:rPr>
              <w:t>中小企业划分标准所属行业名称</w:t>
            </w:r>
          </w:p>
        </w:tc>
      </w:tr>
      <w:tr w14:paraId="57C70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top w:val="single" w:color="auto" w:sz="4" w:space="0"/>
              <w:left w:val="single" w:color="auto" w:sz="4" w:space="0"/>
              <w:right w:val="single" w:color="auto" w:sz="4" w:space="0"/>
            </w:tcBorders>
            <w:noWrap w:val="0"/>
            <w:vAlign w:val="top"/>
          </w:tcPr>
          <w:p w14:paraId="20144F96">
            <w:pPr>
              <w:spacing w:line="240" w:lineRule="exact"/>
              <w:jc w:val="center"/>
              <w:rPr>
                <w:rFonts w:ascii="宋体" w:hAnsi="宋体"/>
                <w:b/>
                <w:bCs/>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317CCE75">
            <w:pPr>
              <w:rPr>
                <w:sz w:val="24"/>
              </w:rPr>
            </w:pPr>
            <w:r>
              <w:rPr>
                <w:rFonts w:hint="eastAsia"/>
                <w:sz w:val="24"/>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A01BBBE">
            <w:pPr>
              <w:widowControl/>
              <w:jc w:val="center"/>
              <w:rPr>
                <w:rFonts w:hint="default" w:ascii="宋体" w:hAnsi="宋体" w:eastAsia="宋体"/>
                <w:color w:val="333333"/>
                <w:kern w:val="0"/>
                <w:sz w:val="24"/>
                <w:lang w:val="en-US" w:eastAsia="zh-CN"/>
              </w:rPr>
            </w:pPr>
            <w:r>
              <w:rPr>
                <w:rFonts w:hint="eastAsia" w:ascii="宋体" w:hAnsi="宋体" w:eastAsia="宋体" w:cs="Times New Roman"/>
                <w:bCs/>
                <w:sz w:val="24"/>
                <w:szCs w:val="24"/>
                <w:lang w:val="en-US" w:eastAsia="zh-CN"/>
              </w:rPr>
              <w:t>烧烤摊项目</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2B200F3F">
            <w:pPr>
              <w:spacing w:line="360" w:lineRule="auto"/>
              <w:jc w:val="center"/>
              <w:rPr>
                <w:rFonts w:ascii="宋体" w:hAnsi="宋体"/>
                <w:color w:val="000000"/>
                <w:sz w:val="24"/>
              </w:rPr>
            </w:pPr>
            <w:r>
              <w:rPr>
                <w:rFonts w:hint="eastAsia" w:ascii="宋体" w:hAnsi="宋体"/>
                <w:color w:val="000000"/>
                <w:sz w:val="24"/>
              </w:rPr>
              <w:t>项</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63400330">
            <w:pPr>
              <w:spacing w:line="360" w:lineRule="auto"/>
              <w:jc w:val="center"/>
              <w:rPr>
                <w:rFonts w:ascii="宋体" w:hAnsi="宋体"/>
                <w:color w:val="000000"/>
                <w:sz w:val="24"/>
              </w:rPr>
            </w:pPr>
            <w:r>
              <w:rPr>
                <w:rFonts w:hint="eastAsia" w:ascii="宋体" w:hAnsi="宋体"/>
                <w:color w:val="000000"/>
                <w:sz w:val="24"/>
              </w:rPr>
              <w:t>1</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7275BDA6">
            <w:pPr>
              <w:widowControl/>
              <w:snapToGrid w:val="0"/>
              <w:spacing w:line="360" w:lineRule="auto"/>
              <w:jc w:val="left"/>
              <w:rPr>
                <w:rFonts w:ascii="宋体" w:hAnsi="宋体"/>
                <w:b/>
                <w:bCs w:val="0"/>
                <w:sz w:val="24"/>
              </w:rPr>
            </w:pPr>
            <w:r>
              <w:rPr>
                <w:rFonts w:hint="eastAsia" w:ascii="宋体" w:hAnsi="宋体"/>
                <w:b/>
                <w:bCs w:val="0"/>
                <w:sz w:val="24"/>
              </w:rPr>
              <w:t>一、单点摄像监控服务</w:t>
            </w:r>
          </w:p>
          <w:p w14:paraId="442AE725">
            <w:pPr>
              <w:widowControl/>
              <w:snapToGrid w:val="0"/>
              <w:spacing w:line="360" w:lineRule="auto"/>
              <w:jc w:val="left"/>
              <w:rPr>
                <w:rFonts w:hint="eastAsia" w:ascii="宋体" w:hAnsi="宋体" w:eastAsia="宋体" w:cs="Times New Roman"/>
                <w:bCs/>
                <w:sz w:val="24"/>
              </w:rPr>
            </w:pPr>
            <w:r>
              <w:rPr>
                <w:rFonts w:hint="eastAsia" w:ascii="宋体" w:hAnsi="宋体"/>
                <w:bCs/>
                <w:sz w:val="24"/>
              </w:rPr>
              <w:t>提供视频监控前端点摄像</w:t>
            </w:r>
            <w:r>
              <w:rPr>
                <w:rFonts w:hint="eastAsia" w:ascii="宋体" w:hAnsi="宋体"/>
                <w:bCs/>
                <w:sz w:val="24"/>
                <w:lang w:val="en-US" w:eastAsia="zh-CN"/>
              </w:rPr>
              <w:t>29</w:t>
            </w:r>
            <w:r>
              <w:rPr>
                <w:rFonts w:hint="eastAsia" w:ascii="宋体" w:hAnsi="宋体"/>
                <w:bCs/>
                <w:sz w:val="24"/>
              </w:rPr>
              <w:t>路，具体安装地点由采购人指</w:t>
            </w:r>
            <w:r>
              <w:rPr>
                <w:rFonts w:hint="eastAsia" w:ascii="宋体" w:hAnsi="宋体" w:eastAsia="宋体" w:cs="Times New Roman"/>
                <w:bCs/>
                <w:sz w:val="24"/>
              </w:rPr>
              <w:t>定地点，服务所涉及摄像头终端等设备在服务期内的用电由中标方负责，摄像点位具体参数要求如下：</w:t>
            </w:r>
          </w:p>
          <w:p w14:paraId="011AAEC2">
            <w:pPr>
              <w:widowControl/>
              <w:snapToGrid w:val="0"/>
              <w:spacing w:line="360" w:lineRule="auto"/>
              <w:jc w:val="left"/>
              <w:rPr>
                <w:rFonts w:hint="eastAsia" w:eastAsia="宋体"/>
                <w:lang w:eastAsia="zh-CN"/>
              </w:rPr>
            </w:pPr>
            <w:r>
              <w:rPr>
                <w:rFonts w:hint="eastAsia" w:ascii="宋体" w:hAnsi="宋体" w:eastAsia="宋体" w:cs="Times New Roman"/>
                <w:bCs/>
                <w:sz w:val="24"/>
                <w:lang w:val="en-US" w:eastAsia="zh-CN"/>
              </w:rPr>
              <w:t>1、</w:t>
            </w:r>
            <w:r>
              <w:rPr>
                <w:rFonts w:hint="eastAsia" w:ascii="宋体" w:hAnsi="宋体" w:eastAsia="宋体" w:cs="Times New Roman"/>
                <w:bCs/>
                <w:sz w:val="24"/>
              </w:rPr>
              <w:t>400万像素 2560×1440，全彩夜视，POE供电，双向语音，IP67防尘防水，支持声光告警、人脸侦测等功能（定焦）</w:t>
            </w:r>
            <w:r>
              <w:rPr>
                <w:rFonts w:hint="eastAsia" w:ascii="宋体" w:hAnsi="宋体" w:cs="Times New Roman"/>
                <w:bCs/>
                <w:sz w:val="24"/>
                <w:lang w:eastAsia="zh-CN"/>
              </w:rPr>
              <w:t>。</w:t>
            </w:r>
          </w:p>
          <w:p w14:paraId="7C4FD283">
            <w:pPr>
              <w:widowControl/>
              <w:snapToGrid w:val="0"/>
              <w:spacing w:line="360" w:lineRule="auto"/>
              <w:jc w:val="left"/>
              <w:rPr>
                <w:rFonts w:hint="eastAsia" w:ascii="宋体" w:hAnsi="宋体"/>
                <w:bCs/>
                <w:sz w:val="24"/>
                <w:highlight w:val="none"/>
              </w:rPr>
            </w:pPr>
            <w:r>
              <w:rPr>
                <w:rFonts w:hint="eastAsia" w:ascii="宋体" w:hAnsi="宋体" w:eastAsia="宋体" w:cs="Times New Roman"/>
                <w:bCs/>
                <w:sz w:val="24"/>
              </w:rPr>
              <w:t>▲</w:t>
            </w:r>
            <w:r>
              <w:rPr>
                <w:rFonts w:hint="eastAsia" w:ascii="宋体" w:hAnsi="宋体" w:eastAsia="宋体" w:cs="Times New Roman"/>
                <w:bCs/>
                <w:sz w:val="24"/>
                <w:lang w:val="en-US" w:eastAsia="zh-CN"/>
              </w:rPr>
              <w:t>2、</w:t>
            </w:r>
            <w:r>
              <w:rPr>
                <w:rFonts w:hint="eastAsia" w:ascii="宋体" w:hAnsi="宋体" w:eastAsia="宋体" w:cs="Times New Roman"/>
                <w:bCs/>
                <w:sz w:val="24"/>
              </w:rPr>
              <w:t>提供监控内容不低于</w:t>
            </w:r>
            <w:r>
              <w:rPr>
                <w:rFonts w:hint="eastAsia" w:ascii="宋体" w:hAnsi="宋体" w:cs="Times New Roman"/>
                <w:bCs/>
                <w:sz w:val="24"/>
                <w:lang w:val="en-US" w:eastAsia="zh-CN"/>
              </w:rPr>
              <w:t>3</w:t>
            </w:r>
            <w:r>
              <w:rPr>
                <w:rFonts w:hint="eastAsia" w:ascii="宋体" w:hAnsi="宋体" w:eastAsia="宋体" w:cs="Times New Roman"/>
                <w:bCs/>
                <w:sz w:val="24"/>
              </w:rPr>
              <w:t>0天云存储，满足项目多层地区组织机构、多设备、多人员权限的管理需求。</w:t>
            </w:r>
          </w:p>
          <w:p w14:paraId="286F2D50">
            <w:pPr>
              <w:widowControl/>
              <w:snapToGrid w:val="0"/>
              <w:spacing w:line="360" w:lineRule="auto"/>
              <w:jc w:val="left"/>
              <w:rPr>
                <w:rFonts w:hint="eastAsia" w:ascii="宋体" w:hAnsi="宋体" w:eastAsia="宋体" w:cs="Times New Roman"/>
                <w:b/>
                <w:bCs w:val="0"/>
                <w:sz w:val="24"/>
                <w:lang w:val="en-US" w:eastAsia="zh-CN"/>
              </w:rPr>
            </w:pPr>
            <w:r>
              <w:rPr>
                <w:rFonts w:hint="eastAsia" w:ascii="宋体" w:hAnsi="宋体" w:eastAsia="宋体" w:cs="Times New Roman"/>
                <w:b/>
                <w:bCs w:val="0"/>
                <w:sz w:val="24"/>
                <w:lang w:val="en-US" w:eastAsia="zh-CN"/>
              </w:rPr>
              <w:t>二、5G增值服务一项</w:t>
            </w:r>
          </w:p>
          <w:p w14:paraId="026AD550">
            <w:pPr>
              <w:widowControl/>
              <w:snapToGrid w:val="0"/>
              <w:spacing w:line="360" w:lineRule="auto"/>
              <w:jc w:val="left"/>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新增29套5G网关1T流量服务，并针对采购人网络使用实际情况，提供具有针对性的5G专网网络设计、规划、优化服务，满足采购人应用场景个性化需求。</w:t>
            </w:r>
          </w:p>
          <w:p w14:paraId="298CC51D">
            <w:pPr>
              <w:widowControl/>
              <w:snapToGrid w:val="0"/>
              <w:spacing w:line="360" w:lineRule="auto"/>
              <w:jc w:val="left"/>
              <w:rPr>
                <w:rFonts w:hint="default" w:ascii="宋体" w:hAnsi="宋体" w:eastAsia="宋体" w:cs="Times New Roman"/>
                <w:b/>
                <w:bCs w:val="0"/>
                <w:sz w:val="24"/>
                <w:lang w:val="en-US" w:eastAsia="zh-CN"/>
              </w:rPr>
            </w:pPr>
            <w:r>
              <w:rPr>
                <w:rFonts w:hint="eastAsia" w:ascii="宋体" w:hAnsi="宋体" w:eastAsia="宋体" w:cs="Times New Roman"/>
                <w:b/>
                <w:bCs w:val="0"/>
                <w:sz w:val="24"/>
                <w:lang w:val="en-US" w:eastAsia="zh-CN"/>
              </w:rPr>
              <w:t>三、云网资源桌面虚拟化办公服务</w:t>
            </w:r>
          </w:p>
          <w:p w14:paraId="79C67FB4">
            <w:pPr>
              <w:widowControl/>
              <w:snapToGrid w:val="0"/>
              <w:spacing w:line="360" w:lineRule="auto"/>
              <w:jc w:val="left"/>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1、提供基于云网资源及先进桌面虚拟化技术的办公服务：含</w:t>
            </w:r>
            <w:r>
              <w:rPr>
                <w:rFonts w:hint="eastAsia" w:ascii="宋体" w:hAnsi="宋体" w:cs="Times New Roman"/>
                <w:bCs/>
                <w:sz w:val="24"/>
                <w:lang w:val="en-US" w:eastAsia="zh-CN"/>
              </w:rPr>
              <w:t>4</w:t>
            </w:r>
            <w:bookmarkStart w:id="1" w:name="_GoBack"/>
            <w:bookmarkEnd w:id="1"/>
            <w:r>
              <w:rPr>
                <w:rFonts w:hint="eastAsia" w:ascii="宋体" w:hAnsi="宋体" w:eastAsia="宋体" w:cs="Times New Roman"/>
                <w:bCs/>
                <w:sz w:val="24"/>
                <w:lang w:val="en-US" w:eastAsia="zh-CN"/>
              </w:rPr>
              <w:t>套云平板服务,其性能参数:硬终端CPU8核、运行内存8GB、本地存储256GB、软终端CPU4核、内存8GB、数据盘100GB。</w:t>
            </w:r>
          </w:p>
          <w:p w14:paraId="2D3AC142">
            <w:pPr>
              <w:widowControl/>
              <w:snapToGrid w:val="0"/>
              <w:spacing w:line="360" w:lineRule="auto"/>
              <w:jc w:val="left"/>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2、支持本地系统和云系统双模式，支持双模式自由选择。提供AI秘书功能，AI秘书需接入Deepseek大模型和通义开源大模型，支持大模型灵活切换，面向维护场景提供交互式会话能力。</w:t>
            </w:r>
          </w:p>
          <w:p w14:paraId="00CB90A5">
            <w:pPr>
              <w:widowControl/>
              <w:snapToGrid w:val="0"/>
              <w:spacing w:line="360" w:lineRule="auto"/>
              <w:jc w:val="left"/>
              <w:rPr>
                <w:rFonts w:hint="eastAsia" w:ascii="宋体" w:hAnsi="宋体" w:eastAsia="宋体" w:cs="Times New Roman"/>
                <w:b/>
                <w:bCs w:val="0"/>
                <w:sz w:val="24"/>
                <w:lang w:val="en-US" w:eastAsia="zh-CN"/>
              </w:rPr>
            </w:pPr>
            <w:r>
              <w:rPr>
                <w:rFonts w:hint="eastAsia" w:ascii="宋体" w:hAnsi="宋体" w:eastAsia="宋体" w:cs="Times New Roman"/>
                <w:b/>
                <w:bCs w:val="0"/>
                <w:sz w:val="24"/>
                <w:lang w:val="en-US" w:eastAsia="zh-CN"/>
              </w:rPr>
              <w:t>四、</w:t>
            </w:r>
            <w:r>
              <w:rPr>
                <w:rFonts w:hint="eastAsia" w:ascii="宋体" w:hAnsi="宋体"/>
                <w:b/>
                <w:bCs w:val="0"/>
                <w:sz w:val="24"/>
              </w:rPr>
              <w:t>系统集成安装调测服务</w:t>
            </w:r>
            <w:r>
              <w:rPr>
                <w:rFonts w:hint="eastAsia" w:ascii="宋体" w:hAnsi="宋体"/>
                <w:b/>
                <w:bCs w:val="0"/>
                <w:sz w:val="24"/>
                <w:lang w:val="en-US" w:eastAsia="zh-CN"/>
              </w:rPr>
              <w:t>与</w:t>
            </w:r>
            <w:r>
              <w:rPr>
                <w:rFonts w:hint="eastAsia" w:ascii="宋体" w:hAnsi="宋体" w:eastAsia="宋体" w:cs="Times New Roman"/>
                <w:b/>
                <w:bCs w:val="0"/>
                <w:sz w:val="24"/>
                <w:lang w:val="en-US" w:eastAsia="zh-CN"/>
              </w:rPr>
              <w:t>运行维护服务一项</w:t>
            </w:r>
          </w:p>
          <w:p w14:paraId="41D0C0A5">
            <w:pPr>
              <w:widowControl/>
              <w:snapToGrid w:val="0"/>
              <w:spacing w:line="360" w:lineRule="auto"/>
              <w:jc w:val="left"/>
              <w:rPr>
                <w:rFonts w:hint="eastAsia" w:ascii="宋体" w:hAnsi="宋体"/>
                <w:bCs/>
                <w:sz w:val="24"/>
              </w:rPr>
            </w:pPr>
            <w:r>
              <w:rPr>
                <w:rFonts w:hint="eastAsia" w:ascii="宋体" w:hAnsi="宋体"/>
                <w:bCs/>
                <w:sz w:val="24"/>
                <w:lang w:val="en-US" w:eastAsia="zh-CN"/>
              </w:rPr>
              <w:t>1、</w:t>
            </w:r>
            <w:r>
              <w:rPr>
                <w:rFonts w:hint="eastAsia" w:ascii="宋体" w:hAnsi="宋体"/>
                <w:bCs/>
                <w:sz w:val="24"/>
              </w:rPr>
              <w:t>对上述设备安装、调试、开通，含开通调试所需光缆，光缆配件，网线，电源线及辅材。</w:t>
            </w:r>
          </w:p>
          <w:p w14:paraId="7949B2B7">
            <w:pPr>
              <w:widowControl/>
              <w:snapToGrid w:val="0"/>
              <w:spacing w:line="360" w:lineRule="auto"/>
              <w:jc w:val="left"/>
              <w:rPr>
                <w:rFonts w:ascii="宋体" w:hAnsi="宋体"/>
                <w:color w:val="333333"/>
                <w:kern w:val="0"/>
                <w:sz w:val="24"/>
              </w:rPr>
            </w:pPr>
            <w:r>
              <w:rPr>
                <w:rFonts w:hint="eastAsia" w:ascii="宋体" w:hAnsi="宋体"/>
                <w:bCs/>
                <w:sz w:val="24"/>
                <w:lang w:val="en-US" w:eastAsia="zh-CN"/>
              </w:rPr>
              <w:t>2、</w:t>
            </w:r>
            <w:r>
              <w:rPr>
                <w:rFonts w:hint="default" w:ascii="宋体" w:hAnsi="宋体" w:eastAsia="宋体" w:cs="Times New Roman"/>
                <w:bCs/>
                <w:sz w:val="24"/>
                <w:lang w:val="en-US" w:eastAsia="zh-CN"/>
              </w:rPr>
              <w:t>服务期内项目所有采集设备、软件的运行维护服务，含维护人工、备件、迁改、工器具等。</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F0FCC6">
            <w:pPr>
              <w:widowControl/>
              <w:jc w:val="center"/>
              <w:rPr>
                <w:rFonts w:hint="eastAsia" w:ascii="宋体" w:hAnsi="宋体" w:eastAsia="微软雅黑"/>
                <w:color w:val="333333"/>
                <w:kern w:val="0"/>
                <w:lang w:eastAsia="zh-CN"/>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70BAAE4D">
            <w:pPr>
              <w:spacing w:line="260" w:lineRule="exact"/>
              <w:jc w:val="center"/>
              <w:rPr>
                <w:rFonts w:ascii="宋体" w:hAnsi="宋体"/>
              </w:rPr>
            </w:pPr>
            <w:r>
              <w:rPr>
                <w:rFonts w:hint="eastAsia" w:ascii="宋体" w:hAnsi="宋体"/>
                <w:bCs/>
              </w:rPr>
              <w:t>信息传输业</w:t>
            </w:r>
          </w:p>
        </w:tc>
      </w:tr>
      <w:tr w14:paraId="331BF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6" w:hRule="atLeast"/>
          <w:jc w:val="center"/>
        </w:trPr>
        <w:tc>
          <w:tcPr>
            <w:tcW w:w="545" w:type="dxa"/>
            <w:tcBorders>
              <w:left w:val="single" w:color="auto" w:sz="4" w:space="0"/>
              <w:bottom w:val="single" w:color="auto" w:sz="4" w:space="0"/>
              <w:right w:val="single" w:color="auto" w:sz="4" w:space="0"/>
            </w:tcBorders>
            <w:noWrap w:val="0"/>
            <w:vAlign w:val="top"/>
          </w:tcPr>
          <w:p w14:paraId="08E877A6">
            <w:pPr>
              <w:spacing w:line="240" w:lineRule="exact"/>
              <w:jc w:val="center"/>
              <w:rPr>
                <w:rFonts w:ascii="宋体" w:hAnsi="宋体"/>
                <w:b/>
                <w:bCs/>
              </w:rPr>
            </w:pPr>
            <w:r>
              <w:rPr>
                <w:rFonts w:hint="eastAsia" w:ascii="宋体" w:hAnsi="宋体"/>
                <w:b/>
                <w:bCs/>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center"/>
          </w:tcPr>
          <w:p w14:paraId="06A82CB4">
            <w:pPr>
              <w:widowControl/>
              <w:shd w:val="clear" w:color="auto" w:fill="FFFFFF"/>
              <w:spacing w:line="360" w:lineRule="auto"/>
              <w:ind w:right="0" w:rightChars="0"/>
              <w:rPr>
                <w:rFonts w:ascii="宋体" w:hAnsi="宋体"/>
                <w:sz w:val="24"/>
              </w:rPr>
            </w:pPr>
            <w:r>
              <w:rPr>
                <w:rFonts w:hint="eastAsia" w:ascii="宋体" w:hAnsi="宋体" w:cs="宋体"/>
                <w:b/>
                <w:bCs/>
                <w:sz w:val="24"/>
              </w:rPr>
              <w:t>▲</w:t>
            </w:r>
            <w:r>
              <w:rPr>
                <w:rFonts w:hint="eastAsia" w:ascii="宋体" w:hAnsi="宋体"/>
                <w:b/>
                <w:bCs/>
                <w:sz w:val="24"/>
              </w:rPr>
              <w:t>一、合同签订期：</w:t>
            </w:r>
            <w:r>
              <w:rPr>
                <w:rFonts w:hint="eastAsia" w:ascii="宋体" w:hAnsi="宋体"/>
                <w:sz w:val="24"/>
              </w:rPr>
              <w:t>自成交通知书发出之日起25个工作日内；</w:t>
            </w:r>
          </w:p>
          <w:p w14:paraId="7AB23DFC">
            <w:pPr>
              <w:widowControl/>
              <w:shd w:val="clear" w:color="auto" w:fill="FFFFFF"/>
              <w:spacing w:line="360" w:lineRule="auto"/>
              <w:ind w:right="0" w:rightChars="0"/>
              <w:rPr>
                <w:rFonts w:ascii="宋体" w:hAnsi="宋体"/>
                <w:sz w:val="24"/>
              </w:rPr>
            </w:pPr>
            <w:r>
              <w:rPr>
                <w:rFonts w:hint="eastAsia" w:ascii="宋体" w:hAnsi="宋体" w:cs="宋体"/>
                <w:b/>
                <w:bCs/>
                <w:sz w:val="24"/>
              </w:rPr>
              <w:t>▲</w:t>
            </w:r>
            <w:r>
              <w:rPr>
                <w:rFonts w:hint="eastAsia" w:ascii="宋体" w:hAnsi="宋体"/>
                <w:b/>
                <w:bCs/>
                <w:sz w:val="24"/>
              </w:rPr>
              <w:t>二、提交服务成果时间：</w:t>
            </w:r>
            <w:r>
              <w:rPr>
                <w:rFonts w:hint="eastAsia" w:ascii="宋体" w:hAnsi="宋体" w:cs="宋体"/>
                <w:sz w:val="24"/>
              </w:rPr>
              <w:t>交付期限：自签订合同之日起</w:t>
            </w:r>
            <w:r>
              <w:rPr>
                <w:rFonts w:hint="eastAsia" w:ascii="宋体" w:hAnsi="宋体" w:cs="宋体"/>
                <w:sz w:val="24"/>
                <w:lang w:val="en-US" w:eastAsia="zh-CN"/>
              </w:rPr>
              <w:t>30日内</w:t>
            </w:r>
            <w:r>
              <w:rPr>
                <w:rFonts w:hint="eastAsia" w:ascii="宋体" w:hAnsi="宋体" w:cs="宋体"/>
                <w:sz w:val="24"/>
              </w:rPr>
              <w:t>完成交付。</w:t>
            </w:r>
          </w:p>
          <w:p w14:paraId="2BAC5EA3">
            <w:pPr>
              <w:widowControl/>
              <w:shd w:val="clear" w:color="auto" w:fill="FFFFFF"/>
              <w:spacing w:line="360" w:lineRule="auto"/>
              <w:ind w:right="0" w:rightChars="0"/>
              <w:rPr>
                <w:rFonts w:ascii="宋体" w:hAnsi="宋体"/>
                <w:sz w:val="24"/>
              </w:rPr>
            </w:pPr>
            <w:r>
              <w:rPr>
                <w:rFonts w:hint="eastAsia" w:ascii="宋体" w:hAnsi="宋体"/>
                <w:b/>
                <w:bCs/>
                <w:sz w:val="24"/>
              </w:rPr>
              <w:t>三、提交服务成果地点：</w:t>
            </w:r>
            <w:r>
              <w:rPr>
                <w:rFonts w:hint="eastAsia" w:ascii="宋体" w:hAnsi="宋体"/>
                <w:sz w:val="24"/>
              </w:rPr>
              <w:t>采购人指定地点；</w:t>
            </w:r>
          </w:p>
          <w:p w14:paraId="2D60C4D8">
            <w:pPr>
              <w:widowControl/>
              <w:shd w:val="clear" w:color="auto" w:fill="FFFFFF"/>
              <w:spacing w:line="360" w:lineRule="auto"/>
              <w:ind w:right="0" w:rightChars="0"/>
              <w:rPr>
                <w:rFonts w:ascii="宋体" w:hAnsi="宋体"/>
                <w:b/>
                <w:bCs/>
                <w:sz w:val="24"/>
              </w:rPr>
            </w:pPr>
            <w:r>
              <w:rPr>
                <w:rFonts w:hint="eastAsia" w:ascii="宋体" w:hAnsi="宋体"/>
                <w:b/>
                <w:bCs/>
                <w:sz w:val="24"/>
              </w:rPr>
              <w:t>四、售后服务要求：</w:t>
            </w:r>
          </w:p>
          <w:p w14:paraId="47719343">
            <w:pPr>
              <w:widowControl/>
              <w:shd w:val="clear" w:color="auto" w:fill="FFFFFF"/>
              <w:spacing w:line="360" w:lineRule="auto"/>
              <w:rPr>
                <w:rFonts w:ascii="宋体" w:hAnsi="宋体"/>
                <w:sz w:val="24"/>
              </w:rPr>
            </w:pPr>
            <w:r>
              <w:rPr>
                <w:rFonts w:hint="eastAsia" w:ascii="宋体" w:hAnsi="宋体" w:cs="宋体"/>
                <w:sz w:val="24"/>
              </w:rPr>
              <w:t>▲</w:t>
            </w:r>
            <w:r>
              <w:rPr>
                <w:rFonts w:hint="eastAsia" w:ascii="宋体" w:hAnsi="宋体"/>
                <w:sz w:val="24"/>
              </w:rPr>
              <w:t>1．整体服务</w:t>
            </w:r>
            <w:r>
              <w:rPr>
                <w:rFonts w:hint="eastAsia" w:ascii="宋体" w:hAnsi="宋体" w:cs="宋体"/>
                <w:kern w:val="0"/>
                <w:sz w:val="24"/>
              </w:rPr>
              <w:t>质量保证期：</w:t>
            </w:r>
            <w:r>
              <w:rPr>
                <w:rFonts w:hint="eastAsia" w:ascii="宋体" w:hAnsi="宋体" w:cs="宋体"/>
                <w:kern w:val="0"/>
                <w:sz w:val="24"/>
                <w:lang w:val="en-US" w:eastAsia="zh-CN"/>
              </w:rPr>
              <w:t>1</w:t>
            </w:r>
            <w:r>
              <w:rPr>
                <w:rFonts w:hint="eastAsia" w:ascii="宋体" w:hAnsi="宋体" w:cs="宋体"/>
                <w:kern w:val="0"/>
                <w:sz w:val="24"/>
              </w:rPr>
              <w:t>年（自验收合格之日起至合同期满止）。</w:t>
            </w:r>
          </w:p>
          <w:p w14:paraId="79E65946">
            <w:pPr>
              <w:widowControl/>
              <w:shd w:val="clear" w:color="auto" w:fill="FFFFFF"/>
              <w:spacing w:line="360" w:lineRule="auto"/>
              <w:rPr>
                <w:rFonts w:ascii="宋体" w:hAnsi="宋体"/>
                <w:sz w:val="24"/>
              </w:rPr>
            </w:pPr>
            <w:r>
              <w:rPr>
                <w:rFonts w:hint="eastAsia" w:ascii="宋体" w:hAnsi="宋体" w:cs="宋体"/>
                <w:sz w:val="24"/>
              </w:rPr>
              <w:t>▲</w:t>
            </w:r>
            <w:r>
              <w:rPr>
                <w:rFonts w:hint="eastAsia" w:ascii="宋体" w:hAnsi="宋体"/>
                <w:sz w:val="24"/>
              </w:rPr>
              <w:t>2.服务响应和故障处理要求：要求7*2</w:t>
            </w:r>
            <w:r>
              <w:rPr>
                <w:rFonts w:ascii="宋体" w:hAnsi="宋体"/>
                <w:sz w:val="24"/>
              </w:rPr>
              <w:t>4</w:t>
            </w:r>
            <w:r>
              <w:rPr>
                <w:rFonts w:hint="eastAsia" w:ascii="宋体" w:hAnsi="宋体"/>
                <w:sz w:val="24"/>
              </w:rPr>
              <w:t>小时电话支持响应和</w:t>
            </w:r>
            <w:r>
              <w:rPr>
                <w:rFonts w:ascii="宋体" w:hAnsi="宋体"/>
                <w:sz w:val="24"/>
              </w:rPr>
              <w:t>5*8</w:t>
            </w:r>
            <w:r>
              <w:rPr>
                <w:rFonts w:hint="eastAsia" w:ascii="宋体" w:hAnsi="宋体"/>
                <w:sz w:val="24"/>
              </w:rPr>
              <w:t>小时现场支持售后响应服务；故障解决时间要求在48小时内。</w:t>
            </w:r>
          </w:p>
          <w:p w14:paraId="2FC62448">
            <w:pPr>
              <w:widowControl/>
              <w:shd w:val="clear" w:color="auto" w:fill="FFFFFF"/>
              <w:spacing w:line="360" w:lineRule="auto"/>
              <w:rPr>
                <w:rFonts w:ascii="宋体" w:hAnsi="宋体"/>
                <w:b/>
                <w:bCs/>
                <w:sz w:val="24"/>
              </w:rPr>
            </w:pPr>
            <w:r>
              <w:rPr>
                <w:rFonts w:hint="eastAsia" w:ascii="宋体" w:hAnsi="宋体"/>
                <w:b/>
                <w:bCs/>
                <w:sz w:val="24"/>
              </w:rPr>
              <w:t>五、其他要求：</w:t>
            </w:r>
          </w:p>
          <w:p w14:paraId="28B1CFF9">
            <w:pPr>
              <w:widowControl/>
              <w:shd w:val="clear" w:color="auto" w:fill="FFFFFF"/>
              <w:spacing w:line="360" w:lineRule="auto"/>
              <w:rPr>
                <w:rFonts w:ascii="宋体" w:hAnsi="宋体"/>
                <w:sz w:val="24"/>
              </w:rPr>
            </w:pPr>
            <w:r>
              <w:rPr>
                <w:rFonts w:hint="eastAsia" w:ascii="宋体" w:hAnsi="宋体" w:cs="宋体"/>
                <w:sz w:val="24"/>
              </w:rPr>
              <w:t>▲</w:t>
            </w:r>
            <w:r>
              <w:rPr>
                <w:rFonts w:hint="eastAsia" w:ascii="宋体" w:hAnsi="宋体"/>
                <w:sz w:val="24"/>
              </w:rPr>
              <w:t>1.投标报价为采购人提供的所有服务的报价，报价</w:t>
            </w:r>
            <w:r>
              <w:rPr>
                <w:rFonts w:hint="eastAsia" w:ascii="宋体" w:hAnsi="宋体"/>
                <w:sz w:val="24"/>
                <w:lang w:eastAsia="zh-CN"/>
              </w:rPr>
              <w:t>包括</w:t>
            </w:r>
            <w:r>
              <w:rPr>
                <w:rFonts w:hint="eastAsia" w:ascii="宋体" w:hAnsi="宋体"/>
                <w:sz w:val="24"/>
              </w:rPr>
              <w:t>：</w:t>
            </w:r>
          </w:p>
          <w:p w14:paraId="6313FAE3">
            <w:pPr>
              <w:widowControl/>
              <w:shd w:val="clear" w:color="auto" w:fill="FFFFFF"/>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）项目服务的价格；</w:t>
            </w:r>
          </w:p>
          <w:p w14:paraId="00DE50C1">
            <w:pPr>
              <w:widowControl/>
              <w:shd w:val="clear" w:color="auto" w:fill="FFFFFF"/>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）必要的保险费用和各项税金；</w:t>
            </w:r>
          </w:p>
          <w:p w14:paraId="68012EB8">
            <w:pPr>
              <w:widowControl/>
              <w:shd w:val="clear" w:color="auto" w:fill="FFFFFF"/>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cs="宋体"/>
                <w:sz w:val="24"/>
              </w:rPr>
              <w:t>其他：运输、装卸、安装、调试、培训、技术支持、售后服务、更新升级等费用</w:t>
            </w:r>
            <w:r>
              <w:rPr>
                <w:rFonts w:hint="eastAsia" w:ascii="宋体" w:hAnsi="宋体"/>
                <w:sz w:val="24"/>
              </w:rPr>
              <w:t>；</w:t>
            </w:r>
          </w:p>
          <w:p w14:paraId="40B8FFCC">
            <w:pPr>
              <w:widowControl/>
              <w:shd w:val="clear" w:color="auto" w:fill="FFFFFF"/>
              <w:spacing w:line="360" w:lineRule="auto"/>
              <w:rPr>
                <w:rFonts w:hint="eastAsia" w:ascii="宋体" w:hAnsi="宋体" w:eastAsia="宋体"/>
                <w:sz w:val="24"/>
                <w:lang w:eastAsia="zh-CN"/>
              </w:rPr>
            </w:pPr>
            <w:r>
              <w:rPr>
                <w:rFonts w:hint="eastAsia" w:ascii="宋体" w:hAnsi="宋体"/>
                <w:sz w:val="24"/>
              </w:rPr>
              <w:t>（4）项目验收产生的费用</w:t>
            </w:r>
            <w:r>
              <w:rPr>
                <w:rFonts w:hint="eastAsia" w:ascii="宋体" w:hAnsi="宋体"/>
                <w:sz w:val="24"/>
                <w:lang w:eastAsia="zh-CN"/>
              </w:rPr>
              <w:t>；</w:t>
            </w:r>
          </w:p>
          <w:p w14:paraId="217EEACE">
            <w:pPr>
              <w:widowControl/>
              <w:shd w:val="clear" w:color="auto" w:fill="FFFFFF"/>
              <w:spacing w:line="360" w:lineRule="auto"/>
              <w:rPr>
                <w:rFonts w:hint="eastAsia" w:ascii="宋体" w:hAnsi="宋体" w:eastAsia="宋体"/>
                <w:sz w:val="24"/>
                <w:lang w:eastAsia="zh-CN"/>
              </w:rPr>
            </w:pPr>
            <w:r>
              <w:rPr>
                <w:rFonts w:hint="eastAsia" w:ascii="宋体" w:hAnsi="宋体"/>
                <w:sz w:val="24"/>
              </w:rPr>
              <w:t>（5）检测、验收过程中所产生的一切费用均由中标人承担</w:t>
            </w:r>
            <w:r>
              <w:rPr>
                <w:rFonts w:hint="eastAsia" w:ascii="宋体" w:hAnsi="宋体"/>
                <w:sz w:val="24"/>
                <w:lang w:eastAsia="zh-CN"/>
              </w:rPr>
              <w:t>；</w:t>
            </w:r>
          </w:p>
          <w:p w14:paraId="4D631CE0">
            <w:pPr>
              <w:widowControl/>
              <w:shd w:val="clear" w:color="auto" w:fill="FFFFFF"/>
              <w:spacing w:line="360" w:lineRule="auto"/>
              <w:rPr>
                <w:rFonts w:hint="eastAsia" w:eastAsia="宋体"/>
                <w:lang w:eastAsia="zh-CN"/>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投标人应对本项目所有服务内容进行总承包报价，采购人不再支付任何费用</w:t>
            </w:r>
            <w:r>
              <w:rPr>
                <w:rFonts w:hint="eastAsia" w:ascii="宋体" w:hAnsi="宋体"/>
                <w:sz w:val="24"/>
                <w:lang w:eastAsia="zh-CN"/>
              </w:rPr>
              <w:t>。</w:t>
            </w:r>
          </w:p>
          <w:p w14:paraId="0AFBC438">
            <w:pPr>
              <w:widowControl/>
              <w:shd w:val="clear" w:color="auto" w:fill="FFFFFF"/>
              <w:spacing w:line="360" w:lineRule="auto"/>
              <w:rPr>
                <w:rFonts w:ascii="宋体" w:hAnsi="宋体"/>
                <w:sz w:val="24"/>
                <w:highlight w:val="yellow"/>
              </w:rPr>
            </w:pPr>
            <w:r>
              <w:rPr>
                <w:rFonts w:hint="eastAsia" w:ascii="宋体" w:hAnsi="宋体" w:cs="宋体"/>
                <w:b/>
                <w:bCs/>
                <w:sz w:val="24"/>
                <w:highlight w:val="yellow"/>
              </w:rPr>
              <w:t>▲</w:t>
            </w:r>
            <w:r>
              <w:rPr>
                <w:rFonts w:hint="eastAsia" w:ascii="宋体" w:hAnsi="宋体"/>
                <w:b/>
                <w:bCs/>
                <w:sz w:val="24"/>
                <w:highlight w:val="yellow"/>
              </w:rPr>
              <w:t>2.付款方式：</w:t>
            </w:r>
            <w:r>
              <w:rPr>
                <w:rFonts w:hint="eastAsia" w:ascii="宋体" w:hAnsi="宋体"/>
                <w:sz w:val="24"/>
                <w:highlight w:val="yellow"/>
              </w:rPr>
              <w:t>本项目</w:t>
            </w:r>
            <w:r>
              <w:rPr>
                <w:rFonts w:hint="eastAsia" w:ascii="宋体" w:hAnsi="宋体"/>
                <w:sz w:val="24"/>
                <w:highlight w:val="yellow"/>
                <w:lang w:val="en-US" w:eastAsia="zh-CN"/>
              </w:rPr>
              <w:t>施工</w:t>
            </w:r>
            <w:r>
              <w:rPr>
                <w:rFonts w:hint="eastAsia" w:ascii="宋体" w:hAnsi="宋体"/>
                <w:sz w:val="24"/>
                <w:highlight w:val="yellow"/>
              </w:rPr>
              <w:t>完成且验收合格后支付100%合同款。</w:t>
            </w:r>
          </w:p>
          <w:p w14:paraId="14AF368B">
            <w:pPr>
              <w:widowControl/>
              <w:shd w:val="clear" w:color="auto" w:fill="FFFFFF"/>
              <w:spacing w:line="360" w:lineRule="auto"/>
              <w:rPr>
                <w:rFonts w:ascii="宋体" w:hAnsi="宋体"/>
                <w:sz w:val="24"/>
              </w:rPr>
            </w:pPr>
            <w:r>
              <w:rPr>
                <w:rFonts w:hint="eastAsia" w:ascii="宋体" w:hAnsi="宋体"/>
                <w:sz w:val="24"/>
              </w:rPr>
              <w:t>3.供应商应当保证其所提供服务包含的所有软硬件产品为符合国家知识产权法律法规要求的国产正规正版产品。</w:t>
            </w:r>
          </w:p>
          <w:p w14:paraId="09C62819">
            <w:pPr>
              <w:widowControl/>
              <w:shd w:val="clear" w:color="auto" w:fill="FFFFFF"/>
              <w:spacing w:line="360" w:lineRule="auto"/>
              <w:jc w:val="left"/>
              <w:rPr>
                <w:rFonts w:hint="eastAsia" w:ascii="宋体" w:hAnsi="宋体"/>
                <w:bCs/>
              </w:rPr>
            </w:pPr>
            <w:r>
              <w:rPr>
                <w:rFonts w:hint="eastAsia" w:ascii="宋体" w:hAnsi="宋体"/>
                <w:sz w:val="24"/>
              </w:rPr>
              <w:t>4.成交供应商提供的服务产品如果与投标时承诺的服务产品不相符，采购人有权依法向财政监督管理部门提出申请，取消其中标资格。</w:t>
            </w:r>
          </w:p>
        </w:tc>
      </w:tr>
      <w:tr w14:paraId="4DD84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7" w:hRule="atLeast"/>
          <w:jc w:val="center"/>
        </w:trPr>
        <w:tc>
          <w:tcPr>
            <w:tcW w:w="545" w:type="dxa"/>
            <w:tcBorders>
              <w:top w:val="single" w:color="auto" w:sz="4" w:space="0"/>
              <w:left w:val="single" w:color="auto" w:sz="4" w:space="0"/>
              <w:right w:val="single" w:color="auto" w:sz="4" w:space="0"/>
            </w:tcBorders>
            <w:noWrap w:val="0"/>
            <w:vAlign w:val="top"/>
          </w:tcPr>
          <w:p w14:paraId="4AD2176B">
            <w:pPr>
              <w:spacing w:line="240" w:lineRule="exact"/>
              <w:jc w:val="center"/>
              <w:rPr>
                <w:rFonts w:hint="eastAsia" w:ascii="宋体" w:hAnsi="宋体"/>
              </w:rPr>
            </w:pPr>
          </w:p>
          <w:p w14:paraId="059823B5">
            <w:pPr>
              <w:spacing w:line="240" w:lineRule="exact"/>
              <w:jc w:val="center"/>
              <w:rPr>
                <w:rFonts w:hint="eastAsia" w:ascii="宋体" w:hAnsi="宋体"/>
                <w:b/>
                <w:bCs/>
              </w:rPr>
            </w:pPr>
            <w:r>
              <w:rPr>
                <w:rFonts w:hint="eastAsia" w:ascii="宋体" w:hAnsi="宋体" w:eastAsia="宋体" w:cs="Times New Roman"/>
                <w:color w:val="000000"/>
                <w:sz w:val="24"/>
              </w:rPr>
              <w:t>其他说明</w:t>
            </w:r>
          </w:p>
        </w:tc>
        <w:tc>
          <w:tcPr>
            <w:tcW w:w="9576" w:type="dxa"/>
            <w:gridSpan w:val="7"/>
            <w:tcBorders>
              <w:top w:val="single" w:color="auto" w:sz="4" w:space="0"/>
              <w:left w:val="single" w:color="auto" w:sz="4" w:space="0"/>
              <w:bottom w:val="single" w:color="auto" w:sz="4" w:space="0"/>
              <w:right w:val="single" w:color="auto" w:sz="4" w:space="0"/>
            </w:tcBorders>
            <w:noWrap w:val="0"/>
            <w:vAlign w:val="center"/>
          </w:tcPr>
          <w:p w14:paraId="183E3BD4">
            <w:pPr>
              <w:widowControl/>
              <w:shd w:val="clear" w:color="auto" w:fill="FFFFFF"/>
              <w:spacing w:line="360" w:lineRule="auto"/>
              <w:rPr>
                <w:rFonts w:hint="eastAsia" w:ascii="宋体" w:hAnsi="宋体"/>
                <w:b/>
                <w:bCs/>
                <w:sz w:val="24"/>
              </w:rPr>
            </w:pPr>
            <w:r>
              <w:rPr>
                <w:rFonts w:hint="eastAsia" w:ascii="宋体" w:hAnsi="宋体"/>
                <w:b/>
                <w:bCs/>
                <w:sz w:val="24"/>
              </w:rPr>
              <w:t>一、进口产品说明（根据项目实际情况选择）</w:t>
            </w:r>
          </w:p>
          <w:p w14:paraId="3802444E">
            <w:pPr>
              <w:spacing w:line="360" w:lineRule="auto"/>
              <w:ind w:firstLine="480" w:firstLineChars="200"/>
              <w:rPr>
                <w:rFonts w:hint="eastAsia" w:ascii="宋体" w:hAnsi="宋体"/>
                <w:color w:val="000000"/>
                <w:sz w:val="24"/>
              </w:rPr>
            </w:pPr>
            <w:r>
              <w:rPr>
                <w:rFonts w:hint="eastAsia" w:ascii="宋体" w:hAnsi="宋体"/>
                <w:color w:val="000000"/>
                <w:sz w:val="24"/>
              </w:rPr>
              <w:t>□本表的第</w:t>
            </w:r>
            <w:r>
              <w:rPr>
                <w:rFonts w:hint="eastAsia" w:ascii="宋体" w:hAnsi="宋体"/>
                <w:color w:val="000000"/>
                <w:sz w:val="24"/>
                <w:u w:val="single"/>
              </w:rPr>
              <w:t xml:space="preserve">  </w:t>
            </w:r>
            <w:r>
              <w:rPr>
                <w:rFonts w:hint="eastAsia" w:ascii="宋体" w:hAnsi="宋体"/>
                <w:color w:val="000000"/>
                <w:sz w:val="24"/>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000000"/>
                <w:sz w:val="24"/>
              </w:rPr>
              <w:t>其他货物不接受进口产品参与投标</w:t>
            </w:r>
            <w:r>
              <w:rPr>
                <w:rFonts w:hint="eastAsia" w:ascii="宋体" w:hAnsi="宋体"/>
                <w:color w:val="000000"/>
                <w:sz w:val="24"/>
              </w:rPr>
              <w:t>，</w:t>
            </w:r>
            <w:r>
              <w:rPr>
                <w:rFonts w:hint="eastAsia" w:ascii="宋体" w:hAnsi="宋体"/>
                <w:b/>
                <w:color w:val="000000"/>
                <w:sz w:val="24"/>
              </w:rPr>
              <w:t>否则作无效标处理。</w:t>
            </w:r>
          </w:p>
          <w:p w14:paraId="3A64B31C">
            <w:pPr>
              <w:tabs>
                <w:tab w:val="left" w:pos="180"/>
                <w:tab w:val="left" w:pos="1620"/>
              </w:tabs>
              <w:spacing w:line="360" w:lineRule="auto"/>
              <w:ind w:firstLine="480" w:firstLineChars="200"/>
              <w:rPr>
                <w:rFonts w:hint="eastAsia" w:ascii="宋体" w:hAnsi="宋体"/>
                <w:color w:val="000000"/>
                <w:sz w:val="24"/>
              </w:rPr>
            </w:pPr>
            <w:r>
              <w:rPr>
                <w:rFonts w:hint="eastAsia" w:ascii="宋体" w:hAnsi="宋体"/>
                <w:color w:val="000000"/>
                <w:sz w:val="24"/>
              </w:rPr>
              <w:t>√本分标服务所涉及的货物不接受进口产品（即通过中国海关报关验放进入中国境内且产自关境外的产品）参与投标，</w:t>
            </w:r>
            <w:r>
              <w:rPr>
                <w:rFonts w:hint="eastAsia" w:ascii="宋体" w:hAnsi="宋体"/>
                <w:b/>
                <w:color w:val="000000"/>
                <w:sz w:val="24"/>
              </w:rPr>
              <w:t>如有进口产品参与投标的作无效标处理</w:t>
            </w:r>
            <w:r>
              <w:rPr>
                <w:rFonts w:hint="eastAsia" w:ascii="宋体" w:hAnsi="宋体"/>
                <w:color w:val="000000"/>
                <w:sz w:val="24"/>
              </w:rPr>
              <w:t>。</w:t>
            </w:r>
          </w:p>
          <w:p w14:paraId="2E944998">
            <w:pPr>
              <w:widowControl/>
              <w:shd w:val="clear" w:color="auto" w:fill="FFFFFF"/>
              <w:spacing w:line="360" w:lineRule="auto"/>
              <w:rPr>
                <w:rFonts w:hint="eastAsia" w:ascii="宋体" w:hAnsi="宋体"/>
                <w:b/>
                <w:bCs/>
                <w:sz w:val="24"/>
              </w:rPr>
            </w:pPr>
            <w:r>
              <w:rPr>
                <w:rFonts w:hint="eastAsia" w:ascii="宋体" w:hAnsi="宋体"/>
                <w:b/>
                <w:bCs/>
                <w:sz w:val="24"/>
              </w:rPr>
              <w:t>二、其他</w:t>
            </w:r>
          </w:p>
          <w:p w14:paraId="3A74C6C5">
            <w:pPr>
              <w:widowControl/>
              <w:shd w:val="clear" w:color="auto" w:fill="FFFFFF"/>
              <w:spacing w:line="360" w:lineRule="auto"/>
              <w:rPr>
                <w:rFonts w:hint="eastAsia" w:ascii="宋体" w:hAnsi="宋体"/>
                <w:sz w:val="24"/>
              </w:rPr>
            </w:pPr>
            <w:r>
              <w:rPr>
                <w:rFonts w:hint="eastAsia" w:ascii="宋体" w:hAnsi="宋体"/>
                <w:sz w:val="24"/>
              </w:rPr>
              <w:t>1、不进行演示</w:t>
            </w:r>
          </w:p>
          <w:p w14:paraId="2D5430C3">
            <w:pPr>
              <w:widowControl/>
              <w:shd w:val="clear" w:color="auto" w:fill="FFFFFF"/>
              <w:spacing w:line="360" w:lineRule="auto"/>
              <w:rPr>
                <w:rFonts w:hint="eastAsia" w:ascii="宋体" w:hAnsi="宋体"/>
                <w:sz w:val="24"/>
              </w:rPr>
            </w:pPr>
            <w:r>
              <w:rPr>
                <w:rFonts w:hint="eastAsia" w:ascii="宋体" w:hAnsi="宋体"/>
                <w:sz w:val="24"/>
              </w:rPr>
              <w:t>2、不要求提供样品</w:t>
            </w:r>
          </w:p>
          <w:p w14:paraId="4CA76420">
            <w:pPr>
              <w:widowControl/>
              <w:shd w:val="clear" w:color="auto" w:fill="FFFFFF"/>
              <w:spacing w:line="360" w:lineRule="auto"/>
              <w:rPr>
                <w:rFonts w:hint="eastAsia" w:ascii="宋体" w:hAnsi="宋体"/>
                <w:sz w:val="24"/>
              </w:rPr>
            </w:pPr>
            <w:r>
              <w:rPr>
                <w:rFonts w:hint="eastAsia" w:ascii="宋体" w:hAnsi="宋体"/>
                <w:sz w:val="24"/>
              </w:rPr>
              <w:t>3、不组织现场踏勘</w:t>
            </w:r>
          </w:p>
          <w:p w14:paraId="5C5D89F4">
            <w:pPr>
              <w:spacing w:line="260" w:lineRule="exact"/>
              <w:jc w:val="both"/>
              <w:rPr>
                <w:rFonts w:hint="eastAsia" w:ascii="宋体" w:hAnsi="宋体"/>
                <w:bCs/>
              </w:rPr>
            </w:pPr>
            <w:r>
              <w:rPr>
                <w:rFonts w:hint="eastAsia" w:ascii="宋体" w:hAnsi="宋体"/>
                <w:sz w:val="24"/>
              </w:rPr>
              <w:t>4、合同延续年限、条件和方式：</w:t>
            </w:r>
            <w:r>
              <w:rPr>
                <w:rFonts w:hint="eastAsia" w:ascii="宋体" w:hAnsi="宋体"/>
                <w:sz w:val="24"/>
                <w:u w:val="none"/>
              </w:rPr>
              <w:t>本项目合同到期后不续签</w:t>
            </w:r>
          </w:p>
        </w:tc>
      </w:tr>
      <w:bookmarkEnd w:id="0"/>
    </w:tbl>
    <w:p w14:paraId="184A81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41629"/>
    <w:rsid w:val="022122EA"/>
    <w:rsid w:val="29441629"/>
    <w:rsid w:val="60784FE0"/>
    <w:rsid w:val="614D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广西有限公司</Company>
  <Pages>3</Pages>
  <Words>0</Words>
  <Characters>0</Characters>
  <Lines>0</Lines>
  <Paragraphs>0</Paragraphs>
  <TotalTime>2</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2025-10-14T03:35:00Z</dcterms:created>
  <dc:creator>lenovo</dc:creator>
  <cp:lastModifiedBy>大炳炆</cp:lastModifiedBy>
  <dcterms:modified xsi:type="dcterms:W3CDTF">2025-10-23T10:10:33Z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48FD2D6E2D0747DC841D5F196C3DBE03_13</vt:lpwstr>
  </property>
</Properties>
</file>