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color w:val="auto"/>
          <w:sz w:val="20"/>
          <w:highlight w:val="none"/>
        </w:rPr>
      </w:pPr>
    </w:p>
    <w:p>
      <w:pPr>
        <w:pStyle w:val="13"/>
        <w:rPr>
          <w:rFonts w:ascii="Times New Roman"/>
          <w:color w:val="auto"/>
          <w:sz w:val="20"/>
          <w:highlight w:val="none"/>
        </w:rPr>
      </w:pPr>
    </w:p>
    <w:p>
      <w:pPr>
        <w:pStyle w:val="13"/>
        <w:spacing w:before="1"/>
        <w:rPr>
          <w:rFonts w:ascii="Times New Roman"/>
          <w:color w:val="auto"/>
          <w:sz w:val="29"/>
          <w:highlight w:val="none"/>
        </w:rPr>
      </w:pPr>
    </w:p>
    <w:p>
      <w:pPr>
        <w:spacing w:line="480" w:lineRule="auto"/>
        <w:jc w:val="center"/>
        <w:rPr>
          <w:rFonts w:ascii="仿宋" w:hAnsi="仿宋" w:cs="仿宋"/>
          <w:b/>
          <w:color w:val="auto"/>
          <w:sz w:val="84"/>
          <w:szCs w:val="84"/>
          <w:highlight w:val="none"/>
          <w:u w:val="single"/>
        </w:rPr>
      </w:pPr>
      <w:r>
        <w:rPr>
          <w:rFonts w:hint="eastAsia" w:ascii="仿宋" w:hAnsi="仿宋" w:cs="仿宋"/>
          <w:b/>
          <w:color w:val="auto"/>
          <w:sz w:val="84"/>
          <w:szCs w:val="84"/>
          <w:highlight w:val="none"/>
          <w:u w:val="single"/>
        </w:rPr>
        <w:drawing>
          <wp:inline distT="0" distB="0" distL="114300" distR="114300">
            <wp:extent cx="666750" cy="666750"/>
            <wp:effectExtent l="0" t="0" r="0" b="0"/>
            <wp:docPr id="2" name="图片 1" descr="76509012645106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65090126451067580"/>
                    <pic:cNvPicPr>
                      <a:picLocks noChangeAspect="1"/>
                    </pic:cNvPicPr>
                  </pic:nvPicPr>
                  <pic:blipFill>
                    <a:blip r:embed="rId10"/>
                    <a:stretch>
                      <a:fillRect/>
                    </a:stretch>
                  </pic:blipFill>
                  <pic:spPr>
                    <a:xfrm>
                      <a:off x="0" y="0"/>
                      <a:ext cx="666750" cy="666750"/>
                    </a:xfrm>
                    <a:prstGeom prst="rect">
                      <a:avLst/>
                    </a:prstGeom>
                    <a:noFill/>
                    <a:ln>
                      <a:noFill/>
                    </a:ln>
                  </pic:spPr>
                </pic:pic>
              </a:graphicData>
            </a:graphic>
          </wp:inline>
        </w:drawing>
      </w:r>
      <w:r>
        <w:rPr>
          <w:rFonts w:hint="eastAsia" w:ascii="仿宋" w:hAnsi="仿宋" w:eastAsia="仿宋" w:cs="仿宋"/>
          <w:b/>
          <w:color w:val="auto"/>
          <w:sz w:val="66"/>
          <w:szCs w:val="66"/>
          <w:highlight w:val="none"/>
          <w:u w:val="single"/>
        </w:rPr>
        <w:t>广西龙建工程管理有限公司</w:t>
      </w:r>
    </w:p>
    <w:p>
      <w:pPr>
        <w:pStyle w:val="13"/>
        <w:spacing w:before="4"/>
        <w:rPr>
          <w:rFonts w:ascii="仿宋" w:hAnsi="仿宋" w:eastAsia="仿宋" w:cs="仿宋"/>
          <w:b/>
          <w:color w:val="auto"/>
          <w:sz w:val="93"/>
          <w:highlight w:val="none"/>
        </w:rPr>
      </w:pPr>
    </w:p>
    <w:p>
      <w:pPr>
        <w:pStyle w:val="23"/>
        <w:rPr>
          <w:color w:val="auto"/>
          <w:sz w:val="160"/>
          <w:szCs w:val="160"/>
          <w:highlight w:val="none"/>
        </w:rPr>
      </w:pPr>
      <w:r>
        <w:rPr>
          <w:color w:val="auto"/>
          <w:spacing w:val="-6"/>
          <w:sz w:val="160"/>
          <w:szCs w:val="160"/>
          <w:highlight w:val="none"/>
        </w:rPr>
        <w:t>招标文件</w:t>
      </w:r>
    </w:p>
    <w:p>
      <w:pPr>
        <w:spacing w:line="600" w:lineRule="exact"/>
        <w:ind w:firstLine="2036" w:firstLineChars="600"/>
        <w:rPr>
          <w:b/>
          <w:bCs/>
          <w:color w:val="auto"/>
          <w:spacing w:val="-2"/>
          <w:w w:val="95"/>
          <w:sz w:val="36"/>
          <w:szCs w:val="36"/>
          <w:highlight w:val="none"/>
        </w:rPr>
      </w:pPr>
    </w:p>
    <w:p>
      <w:pPr>
        <w:spacing w:line="600" w:lineRule="exact"/>
        <w:ind w:firstLine="2715" w:firstLineChars="800"/>
        <w:rPr>
          <w:b/>
          <w:bCs/>
          <w:color w:val="auto"/>
          <w:spacing w:val="-2"/>
          <w:w w:val="95"/>
          <w:sz w:val="36"/>
          <w:szCs w:val="36"/>
          <w:highlight w:val="none"/>
        </w:rPr>
      </w:pPr>
      <w:r>
        <w:rPr>
          <w:rFonts w:hint="eastAsia"/>
          <w:b/>
          <w:bCs/>
          <w:color w:val="auto"/>
          <w:spacing w:val="-2"/>
          <w:w w:val="95"/>
          <w:sz w:val="36"/>
          <w:szCs w:val="36"/>
          <w:highlight w:val="none"/>
        </w:rPr>
        <w:t>（全流程电子化评标）</w:t>
      </w:r>
    </w:p>
    <w:p>
      <w:pPr>
        <w:spacing w:line="600" w:lineRule="exact"/>
        <w:ind w:firstLine="1358" w:firstLineChars="400"/>
        <w:rPr>
          <w:b/>
          <w:bCs/>
          <w:color w:val="auto"/>
          <w:spacing w:val="-2"/>
          <w:w w:val="95"/>
          <w:sz w:val="36"/>
          <w:szCs w:val="36"/>
          <w:highlight w:val="none"/>
        </w:rPr>
      </w:pPr>
    </w:p>
    <w:p>
      <w:pPr>
        <w:pStyle w:val="13"/>
        <w:rPr>
          <w:color w:val="auto"/>
          <w:sz w:val="30"/>
          <w:highlight w:val="none"/>
        </w:rPr>
      </w:pPr>
    </w:p>
    <w:p>
      <w:pPr>
        <w:pStyle w:val="13"/>
        <w:spacing w:before="5"/>
        <w:rPr>
          <w:b/>
          <w:bCs/>
          <w:color w:val="auto"/>
          <w:spacing w:val="-2"/>
          <w:w w:val="95"/>
          <w:sz w:val="36"/>
          <w:szCs w:val="36"/>
          <w:highlight w:val="none"/>
        </w:rPr>
      </w:pPr>
    </w:p>
    <w:p>
      <w:pPr>
        <w:spacing w:line="600" w:lineRule="exact"/>
        <w:ind w:firstLine="1018" w:firstLineChars="300"/>
        <w:rPr>
          <w:rFonts w:hint="eastAsia" w:eastAsia="宋体"/>
          <w:b/>
          <w:bCs/>
          <w:color w:val="auto"/>
          <w:spacing w:val="-2"/>
          <w:w w:val="95"/>
          <w:sz w:val="36"/>
          <w:szCs w:val="36"/>
          <w:highlight w:val="none"/>
          <w:lang w:eastAsia="zh-CN"/>
        </w:rPr>
      </w:pPr>
      <w:r>
        <w:rPr>
          <w:rFonts w:hint="eastAsia"/>
          <w:b/>
          <w:bCs/>
          <w:color w:val="auto"/>
          <w:spacing w:val="-2"/>
          <w:w w:val="95"/>
          <w:sz w:val="36"/>
          <w:szCs w:val="36"/>
          <w:highlight w:val="none"/>
        </w:rPr>
        <w:t>项目名称：</w:t>
      </w:r>
      <w:r>
        <w:rPr>
          <w:rFonts w:hint="eastAsia"/>
          <w:b/>
          <w:bCs/>
          <w:color w:val="auto"/>
          <w:spacing w:val="-2"/>
          <w:w w:val="95"/>
          <w:sz w:val="36"/>
          <w:szCs w:val="36"/>
          <w:highlight w:val="none"/>
          <w:lang w:eastAsia="zh-CN"/>
        </w:rPr>
        <w:t>中等职业学校办学条件达标项目</w:t>
      </w:r>
    </w:p>
    <w:p>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项目编号：</w:t>
      </w:r>
      <w:r>
        <w:rPr>
          <w:rFonts w:hint="eastAsia"/>
          <w:b/>
          <w:bCs/>
          <w:color w:val="auto"/>
          <w:sz w:val="36"/>
          <w:szCs w:val="36"/>
          <w:highlight w:val="none"/>
          <w:lang w:eastAsia="zh-CN"/>
        </w:rPr>
        <w:t>LBZC2024-G1-00782-GXLJ</w:t>
      </w:r>
    </w:p>
    <w:p>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采购人：</w:t>
      </w:r>
      <w:r>
        <w:rPr>
          <w:rFonts w:hint="eastAsia"/>
          <w:b/>
          <w:bCs/>
          <w:color w:val="auto"/>
          <w:sz w:val="36"/>
          <w:szCs w:val="36"/>
          <w:highlight w:val="none"/>
          <w:lang w:eastAsia="zh-CN"/>
        </w:rPr>
        <w:t>来宾市卫生学校（来宾市卫生干部培训中心）</w:t>
      </w:r>
    </w:p>
    <w:p>
      <w:pPr>
        <w:spacing w:line="600" w:lineRule="exact"/>
        <w:ind w:firstLine="1084" w:firstLineChars="300"/>
        <w:rPr>
          <w:b/>
          <w:bCs/>
          <w:color w:val="auto"/>
          <w:sz w:val="36"/>
          <w:szCs w:val="36"/>
          <w:highlight w:val="none"/>
        </w:rPr>
      </w:pPr>
      <w:r>
        <w:rPr>
          <w:rFonts w:hint="eastAsia"/>
          <w:b/>
          <w:bCs/>
          <w:color w:val="auto"/>
          <w:sz w:val="36"/>
          <w:szCs w:val="36"/>
          <w:highlight w:val="none"/>
        </w:rPr>
        <w:t>采购代理机构：广西龙建工程管理有限公司</w:t>
      </w:r>
    </w:p>
    <w:p>
      <w:pPr>
        <w:spacing w:line="600" w:lineRule="exact"/>
        <w:ind w:left="1320" w:leftChars="600" w:firstLine="2168" w:firstLineChars="600"/>
        <w:rPr>
          <w:b/>
          <w:bCs/>
          <w:color w:val="auto"/>
          <w:sz w:val="36"/>
          <w:szCs w:val="36"/>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b/>
          <w:bCs/>
          <w:color w:val="auto"/>
          <w:sz w:val="36"/>
          <w:szCs w:val="36"/>
          <w:highlight w:val="none"/>
          <w:lang w:val="en-US" w:eastAsia="zh-CN"/>
        </w:rPr>
        <w:t xml:space="preserve"> 2024</w:t>
      </w:r>
      <w:r>
        <w:rPr>
          <w:rFonts w:hint="eastAsia"/>
          <w:b/>
          <w:bCs/>
          <w:color w:val="auto"/>
          <w:sz w:val="36"/>
          <w:szCs w:val="36"/>
          <w:highlight w:val="none"/>
        </w:rPr>
        <w:t>年</w:t>
      </w:r>
      <w:r>
        <w:rPr>
          <w:rFonts w:hint="eastAsia"/>
          <w:b/>
          <w:bCs/>
          <w:color w:val="auto"/>
          <w:sz w:val="36"/>
          <w:szCs w:val="36"/>
          <w:highlight w:val="none"/>
          <w:lang w:val="en-US" w:eastAsia="zh-CN"/>
        </w:rPr>
        <w:t xml:space="preserve">  </w:t>
      </w:r>
      <w:r>
        <w:rPr>
          <w:rFonts w:hint="eastAsia"/>
          <w:b/>
          <w:bCs/>
          <w:color w:val="auto"/>
          <w:sz w:val="36"/>
          <w:szCs w:val="36"/>
          <w:highlight w:val="none"/>
        </w:rPr>
        <w:t>月</w:t>
      </w:r>
      <w:r>
        <w:rPr>
          <w:rFonts w:hint="eastAsia"/>
          <w:b/>
          <w:bCs/>
          <w:color w:val="auto"/>
          <w:sz w:val="36"/>
          <w:szCs w:val="36"/>
          <w:highlight w:val="none"/>
          <w:lang w:val="en-US" w:eastAsia="zh-CN"/>
        </w:rPr>
        <w:t xml:space="preserve">  </w:t>
      </w:r>
      <w:r>
        <w:rPr>
          <w:rFonts w:hint="eastAsia"/>
          <w:b/>
          <w:bCs/>
          <w:color w:val="auto"/>
          <w:sz w:val="36"/>
          <w:szCs w:val="36"/>
          <w:highlight w:val="none"/>
        </w:rPr>
        <w:t>日</w:t>
      </w:r>
    </w:p>
    <w:p>
      <w:pPr>
        <w:pStyle w:val="13"/>
        <w:spacing w:before="8"/>
        <w:rPr>
          <w:b/>
          <w:color w:val="auto"/>
          <w:sz w:val="25"/>
          <w:highlight w:val="none"/>
        </w:rPr>
      </w:pPr>
    </w:p>
    <w:sdt>
      <w:sdtPr>
        <w:rPr>
          <w:color w:val="auto"/>
          <w:sz w:val="21"/>
          <w:highlight w:val="none"/>
        </w:rPr>
        <w:id w:val="147471946"/>
        <w15:color w:val="DBDBDB"/>
        <w:docPartObj>
          <w:docPartGallery w:val="Table of Contents"/>
          <w:docPartUnique/>
        </w:docPartObj>
      </w:sdtPr>
      <w:sdtEndPr>
        <w:rPr>
          <w:rFonts w:hint="eastAsia" w:ascii="仿宋" w:hAnsi="仿宋" w:eastAsia="仿宋" w:cs="仿宋"/>
          <w:color w:val="auto"/>
          <w:spacing w:val="-2"/>
          <w:w w:val="95"/>
          <w:sz w:val="22"/>
          <w:szCs w:val="32"/>
          <w:highlight w:val="none"/>
        </w:rPr>
      </w:sdtEndPr>
      <w:sdtContent>
        <w:p>
          <w:pPr>
            <w:jc w:val="center"/>
            <w:rPr>
              <w:b/>
              <w:bCs/>
              <w:color w:val="auto"/>
              <w:sz w:val="96"/>
              <w:szCs w:val="96"/>
              <w:highlight w:val="none"/>
            </w:rPr>
          </w:pPr>
          <w:r>
            <w:rPr>
              <w:b/>
              <w:bCs/>
              <w:color w:val="auto"/>
              <w:sz w:val="72"/>
              <w:szCs w:val="96"/>
              <w:highlight w:val="none"/>
            </w:rPr>
            <w:t>目录</w:t>
          </w:r>
        </w:p>
        <w:p>
          <w:pPr>
            <w:pStyle w:val="50"/>
            <w:tabs>
              <w:tab w:val="right" w:leader="dot" w:pos="9416"/>
            </w:tabs>
            <w:spacing w:line="360" w:lineRule="auto"/>
            <w:rPr>
              <w:rFonts w:ascii="仿宋" w:hAnsi="仿宋" w:eastAsia="仿宋" w:cs="仿宋"/>
              <w:b/>
              <w:bCs/>
              <w:color w:val="auto"/>
              <w:sz w:val="32"/>
              <w:szCs w:val="32"/>
              <w:highlight w:val="none"/>
            </w:rPr>
          </w:pPr>
          <w:r>
            <w:rPr>
              <w:rFonts w:hint="eastAsia" w:ascii="仿宋" w:hAnsi="仿宋" w:eastAsia="仿宋" w:cs="仿宋"/>
              <w:color w:val="auto"/>
              <w:spacing w:val="-2"/>
              <w:w w:val="95"/>
              <w:sz w:val="32"/>
              <w:szCs w:val="32"/>
              <w:highlight w:val="none"/>
            </w:rPr>
            <w:fldChar w:fldCharType="begin"/>
          </w:r>
          <w:r>
            <w:rPr>
              <w:rFonts w:hint="eastAsia" w:ascii="仿宋" w:hAnsi="仿宋" w:eastAsia="仿宋" w:cs="仿宋"/>
              <w:color w:val="auto"/>
              <w:spacing w:val="-2"/>
              <w:w w:val="95"/>
              <w:sz w:val="32"/>
              <w:szCs w:val="32"/>
              <w:highlight w:val="none"/>
            </w:rPr>
            <w:instrText xml:space="preserve">TOC \o "1-3" \h \u </w:instrText>
          </w:r>
          <w:r>
            <w:rPr>
              <w:rFonts w:hint="eastAsia" w:ascii="仿宋" w:hAnsi="仿宋" w:eastAsia="仿宋" w:cs="仿宋"/>
              <w:color w:val="auto"/>
              <w:spacing w:val="-2"/>
              <w:w w:val="95"/>
              <w:sz w:val="32"/>
              <w:szCs w:val="32"/>
              <w:highlight w:val="none"/>
            </w:rPr>
            <w:fldChar w:fldCharType="separate"/>
          </w: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cs="仿宋"/>
              <w:b/>
              <w:bCs/>
              <w:color w:val="auto"/>
              <w:sz w:val="32"/>
              <w:szCs w:val="32"/>
              <w:highlight w:val="none"/>
            </w:rPr>
            <w:t>第一</w:t>
          </w:r>
          <w:r>
            <w:rPr>
              <w:rFonts w:hint="eastAsia" w:ascii="仿宋" w:hAnsi="仿宋" w:eastAsia="仿宋" w:cs="仿宋"/>
              <w:b/>
              <w:bCs/>
              <w:color w:val="auto"/>
              <w:spacing w:val="-6"/>
              <w:sz w:val="32"/>
              <w:szCs w:val="32"/>
              <w:highlight w:val="none"/>
            </w:rPr>
            <w:t>章 招</w:t>
          </w:r>
          <w:r>
            <w:rPr>
              <w:rFonts w:hint="eastAsia" w:ascii="仿宋" w:hAnsi="仿宋" w:eastAsia="仿宋" w:cs="仿宋"/>
              <w:b/>
              <w:bCs/>
              <w:color w:val="auto"/>
              <w:sz w:val="32"/>
              <w:szCs w:val="32"/>
              <w:highlight w:val="none"/>
            </w:rPr>
            <w:t>标公</w:t>
          </w:r>
          <w:r>
            <w:rPr>
              <w:rFonts w:hint="eastAsia" w:ascii="仿宋" w:hAnsi="仿宋" w:eastAsia="仿宋" w:cs="仿宋"/>
              <w:b/>
              <w:bCs/>
              <w:color w:val="auto"/>
              <w:spacing w:val="-10"/>
              <w:sz w:val="32"/>
              <w:szCs w:val="32"/>
              <w:highlight w:val="none"/>
            </w:rPr>
            <w:t>告</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_Toc18348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"_Toc9970" </w:instrText>
          </w:r>
          <w:r>
            <w:rPr>
              <w:color w:val="auto"/>
              <w:highlight w:val="none"/>
            </w:rPr>
            <w:fldChar w:fldCharType="separate"/>
          </w:r>
          <w:r>
            <w:rPr>
              <w:rFonts w:hint="eastAsia" w:ascii="仿宋" w:hAnsi="仿宋" w:eastAsia="仿宋" w:cs="仿宋"/>
              <w:b/>
              <w:bCs/>
              <w:color w:val="auto"/>
              <w:sz w:val="32"/>
              <w:szCs w:val="32"/>
              <w:highlight w:val="none"/>
            </w:rPr>
            <w:t>第二章  采购需求</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_Toc9970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"_Toc27988" </w:instrText>
          </w:r>
          <w:r>
            <w:rPr>
              <w:color w:val="auto"/>
              <w:highlight w:val="none"/>
            </w:rPr>
            <w:fldChar w:fldCharType="separate"/>
          </w:r>
          <w:r>
            <w:rPr>
              <w:rFonts w:hint="eastAsia" w:ascii="仿宋" w:hAnsi="仿宋" w:eastAsia="仿宋" w:cs="仿宋"/>
              <w:b/>
              <w:bCs/>
              <w:color w:val="auto"/>
              <w:sz w:val="32"/>
              <w:szCs w:val="32"/>
              <w:highlight w:val="none"/>
            </w:rPr>
            <w:t>第三</w:t>
          </w:r>
          <w:r>
            <w:rPr>
              <w:rFonts w:hint="eastAsia" w:ascii="仿宋" w:hAnsi="仿宋" w:eastAsia="仿宋" w:cs="仿宋"/>
              <w:b/>
              <w:bCs/>
              <w:color w:val="auto"/>
              <w:spacing w:val="66"/>
              <w:sz w:val="32"/>
              <w:szCs w:val="32"/>
              <w:highlight w:val="none"/>
            </w:rPr>
            <w:t>章 投</w:t>
          </w:r>
          <w:r>
            <w:rPr>
              <w:rFonts w:hint="eastAsia" w:ascii="仿宋" w:hAnsi="仿宋" w:eastAsia="仿宋" w:cs="仿宋"/>
              <w:b/>
              <w:bCs/>
              <w:color w:val="auto"/>
              <w:sz w:val="32"/>
              <w:szCs w:val="32"/>
              <w:highlight w:val="none"/>
            </w:rPr>
            <w:t>标人须</w:t>
          </w:r>
          <w:r>
            <w:rPr>
              <w:rFonts w:hint="eastAsia" w:ascii="仿宋" w:hAnsi="仿宋" w:eastAsia="仿宋" w:cs="仿宋"/>
              <w:b/>
              <w:bCs/>
              <w:color w:val="auto"/>
              <w:spacing w:val="-10"/>
              <w:sz w:val="32"/>
              <w:szCs w:val="32"/>
              <w:highlight w:val="none"/>
            </w:rPr>
            <w:t>知</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_Toc27988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159</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"_Toc14276" </w:instrText>
          </w:r>
          <w:r>
            <w:rPr>
              <w:color w:val="auto"/>
              <w:highlight w:val="none"/>
            </w:rPr>
            <w:fldChar w:fldCharType="separate"/>
          </w:r>
          <w:r>
            <w:rPr>
              <w:rFonts w:hint="eastAsia" w:ascii="仿宋" w:hAnsi="仿宋" w:eastAsia="仿宋" w:cs="仿宋"/>
              <w:b/>
              <w:bCs/>
              <w:color w:val="auto"/>
              <w:sz w:val="32"/>
              <w:szCs w:val="32"/>
              <w:highlight w:val="none"/>
            </w:rPr>
            <w:t>第四</w:t>
          </w:r>
          <w:r>
            <w:rPr>
              <w:rFonts w:hint="eastAsia" w:ascii="仿宋" w:hAnsi="仿宋" w:eastAsia="仿宋" w:cs="仿宋"/>
              <w:b/>
              <w:bCs/>
              <w:color w:val="auto"/>
              <w:spacing w:val="-8"/>
              <w:sz w:val="32"/>
              <w:szCs w:val="32"/>
              <w:highlight w:val="none"/>
            </w:rPr>
            <w:t>章  评</w:t>
          </w:r>
          <w:r>
            <w:rPr>
              <w:rFonts w:hint="eastAsia" w:ascii="仿宋" w:hAnsi="仿宋" w:eastAsia="仿宋" w:cs="仿宋"/>
              <w:b/>
              <w:bCs/>
              <w:color w:val="auto"/>
              <w:sz w:val="32"/>
              <w:szCs w:val="32"/>
              <w:highlight w:val="none"/>
            </w:rPr>
            <w:t>标方法及评标标</w:t>
          </w:r>
          <w:r>
            <w:rPr>
              <w:rFonts w:hint="eastAsia" w:ascii="仿宋" w:hAnsi="仿宋" w:eastAsia="仿宋" w:cs="仿宋"/>
              <w:b/>
              <w:bCs/>
              <w:color w:val="auto"/>
              <w:spacing w:val="-10"/>
              <w:sz w:val="32"/>
              <w:szCs w:val="32"/>
              <w:highlight w:val="none"/>
            </w:rPr>
            <w:t>准</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_Toc14276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185</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"_Toc9524" </w:instrText>
          </w:r>
          <w:r>
            <w:rPr>
              <w:color w:val="auto"/>
              <w:highlight w:val="none"/>
            </w:rPr>
            <w:fldChar w:fldCharType="separate"/>
          </w:r>
          <w:r>
            <w:rPr>
              <w:rFonts w:hint="eastAsia" w:ascii="仿宋" w:hAnsi="仿宋" w:eastAsia="仿宋" w:cs="仿宋"/>
              <w:b/>
              <w:bCs/>
              <w:color w:val="auto"/>
              <w:sz w:val="32"/>
              <w:szCs w:val="32"/>
              <w:highlight w:val="none"/>
            </w:rPr>
            <w:t>第五</w:t>
          </w:r>
          <w:r>
            <w:rPr>
              <w:rFonts w:hint="eastAsia" w:ascii="仿宋" w:hAnsi="仿宋" w:eastAsia="仿宋" w:cs="仿宋"/>
              <w:b/>
              <w:bCs/>
              <w:color w:val="auto"/>
              <w:spacing w:val="63"/>
              <w:sz w:val="32"/>
              <w:szCs w:val="32"/>
              <w:highlight w:val="none"/>
            </w:rPr>
            <w:t>章 拟</w:t>
          </w:r>
          <w:r>
            <w:rPr>
              <w:rFonts w:hint="eastAsia" w:ascii="仿宋" w:hAnsi="仿宋" w:eastAsia="仿宋" w:cs="仿宋"/>
              <w:b/>
              <w:bCs/>
              <w:color w:val="auto"/>
              <w:sz w:val="32"/>
              <w:szCs w:val="32"/>
              <w:highlight w:val="none"/>
            </w:rPr>
            <w:t>签订的合同文</w:t>
          </w:r>
          <w:r>
            <w:rPr>
              <w:rFonts w:hint="eastAsia" w:ascii="仿宋" w:hAnsi="仿宋" w:eastAsia="仿宋" w:cs="仿宋"/>
              <w:b/>
              <w:bCs/>
              <w:color w:val="auto"/>
              <w:spacing w:val="-10"/>
              <w:sz w:val="32"/>
              <w:szCs w:val="32"/>
              <w:highlight w:val="none"/>
            </w:rPr>
            <w:t>本</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_Toc9524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200</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pPr>
            <w:pStyle w:val="50"/>
            <w:tabs>
              <w:tab w:val="right" w:leader="dot" w:pos="9416"/>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"_Toc26872" </w:instrText>
          </w:r>
          <w:r>
            <w:rPr>
              <w:color w:val="auto"/>
              <w:highlight w:val="none"/>
            </w:rPr>
            <w:fldChar w:fldCharType="separate"/>
          </w:r>
          <w:r>
            <w:rPr>
              <w:rFonts w:hint="eastAsia" w:ascii="仿宋" w:hAnsi="仿宋" w:eastAsia="仿宋" w:cs="仿宋"/>
              <w:b/>
              <w:bCs/>
              <w:color w:val="auto"/>
              <w:sz w:val="32"/>
              <w:szCs w:val="32"/>
              <w:highlight w:val="none"/>
            </w:rPr>
            <w:t>第六</w:t>
          </w:r>
          <w:r>
            <w:rPr>
              <w:rFonts w:hint="eastAsia" w:ascii="仿宋" w:hAnsi="仿宋" w:eastAsia="仿宋" w:cs="仿宋"/>
              <w:b/>
              <w:bCs/>
              <w:color w:val="auto"/>
              <w:spacing w:val="65"/>
              <w:sz w:val="32"/>
              <w:szCs w:val="32"/>
              <w:highlight w:val="none"/>
            </w:rPr>
            <w:t>章 投</w:t>
          </w:r>
          <w:r>
            <w:rPr>
              <w:rFonts w:hint="eastAsia" w:ascii="仿宋" w:hAnsi="仿宋" w:eastAsia="仿宋" w:cs="仿宋"/>
              <w:b/>
              <w:bCs/>
              <w:color w:val="auto"/>
              <w:sz w:val="32"/>
              <w:szCs w:val="32"/>
              <w:highlight w:val="none"/>
            </w:rPr>
            <w:t>标文件格</w:t>
          </w:r>
          <w:r>
            <w:rPr>
              <w:rFonts w:hint="eastAsia" w:ascii="仿宋" w:hAnsi="仿宋" w:eastAsia="仿宋" w:cs="仿宋"/>
              <w:b/>
              <w:bCs/>
              <w:color w:val="auto"/>
              <w:spacing w:val="-10"/>
              <w:sz w:val="32"/>
              <w:szCs w:val="32"/>
              <w:highlight w:val="none"/>
            </w:rPr>
            <w:t>式</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_Toc26872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210</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pPr>
            <w:pStyle w:val="50"/>
            <w:tabs>
              <w:tab w:val="right" w:leader="dot" w:pos="9416"/>
            </w:tabs>
            <w:rPr>
              <w:color w:val="auto"/>
              <w:highlight w:val="none"/>
            </w:rPr>
          </w:pPr>
        </w:p>
        <w:p>
          <w:pPr>
            <w:rPr>
              <w:rFonts w:ascii="仿宋" w:hAnsi="仿宋" w:eastAsia="仿宋" w:cs="仿宋"/>
              <w:color w:val="auto"/>
              <w:spacing w:val="-2"/>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w w:val="95"/>
              <w:szCs w:val="32"/>
              <w:highlight w:val="none"/>
            </w:rPr>
            <w:fldChar w:fldCharType="end"/>
          </w:r>
        </w:p>
      </w:sdtContent>
    </w:sdt>
    <w:p>
      <w:pPr>
        <w:pStyle w:val="2"/>
        <w:ind w:right="120"/>
        <w:rPr>
          <w:color w:val="auto"/>
          <w:highlight w:val="none"/>
        </w:rPr>
      </w:pPr>
      <w:bookmarkStart w:id="0" w:name="_Toc18348"/>
      <w:r>
        <w:rPr>
          <w:color w:val="auto"/>
          <w:highlight w:val="none"/>
        </w:rPr>
        <w:t>第一</w:t>
      </w:r>
      <w:r>
        <w:rPr>
          <w:color w:val="auto"/>
          <w:spacing w:val="-6"/>
          <w:highlight w:val="none"/>
        </w:rPr>
        <w:t>章 招</w:t>
      </w:r>
      <w:r>
        <w:rPr>
          <w:color w:val="auto"/>
          <w:highlight w:val="none"/>
        </w:rPr>
        <w:t>标公</w:t>
      </w:r>
      <w:r>
        <w:rPr>
          <w:color w:val="auto"/>
          <w:spacing w:val="-10"/>
          <w:highlight w:val="none"/>
        </w:rPr>
        <w:t>告</w:t>
      </w:r>
      <w:bookmarkEnd w:id="0"/>
    </w:p>
    <w:p>
      <w:pPr>
        <w:jc w:val="center"/>
        <w:outlineLvl w:val="1"/>
        <w:rPr>
          <w:rFonts w:hint="eastAsia" w:ascii="仿宋" w:hAnsi="仿宋" w:eastAsia="仿宋" w:cs="仿宋"/>
          <w:b/>
          <w:bCs/>
          <w:color w:val="auto"/>
          <w:spacing w:val="-2"/>
          <w:w w:val="95"/>
          <w:sz w:val="36"/>
          <w:szCs w:val="36"/>
          <w:highlight w:val="none"/>
          <w:lang w:eastAsia="zh-CN"/>
        </w:rPr>
      </w:pPr>
      <w:r>
        <w:rPr>
          <w:rFonts w:hint="eastAsia" w:ascii="仿宋" w:hAnsi="仿宋" w:eastAsia="仿宋" w:cs="仿宋"/>
          <w:b/>
          <w:bCs/>
          <w:color w:val="auto"/>
          <w:spacing w:val="-2"/>
          <w:w w:val="95"/>
          <w:sz w:val="36"/>
          <w:szCs w:val="36"/>
          <w:highlight w:val="none"/>
          <w:lang w:eastAsia="zh-CN"/>
        </w:rPr>
        <w:t>中等职业学校办学条件达标项目</w:t>
      </w:r>
    </w:p>
    <w:p>
      <w:pPr>
        <w:jc w:val="center"/>
        <w:outlineLvl w:val="1"/>
        <w:rPr>
          <w:rFonts w:ascii="仿宋" w:hAnsi="仿宋" w:eastAsia="仿宋" w:cs="仿宋"/>
          <w:b/>
          <w:bCs/>
          <w:color w:val="auto"/>
          <w:spacing w:val="-2"/>
          <w:w w:val="95"/>
          <w:sz w:val="36"/>
          <w:szCs w:val="36"/>
          <w:highlight w:val="none"/>
        </w:rPr>
      </w:pPr>
      <w:bookmarkStart w:id="1" w:name="_Toc2213"/>
      <w:r>
        <w:rPr>
          <w:rFonts w:hint="eastAsia" w:ascii="仿宋" w:hAnsi="仿宋" w:eastAsia="仿宋" w:cs="仿宋"/>
          <w:b/>
          <w:bCs/>
          <w:color w:val="auto"/>
          <w:spacing w:val="-2"/>
          <w:w w:val="95"/>
          <w:sz w:val="36"/>
          <w:szCs w:val="36"/>
          <w:highlight w:val="none"/>
        </w:rPr>
        <w:t>（项目编号：</w:t>
      </w:r>
      <w:r>
        <w:rPr>
          <w:rFonts w:hint="eastAsia" w:ascii="仿宋" w:hAnsi="仿宋" w:eastAsia="仿宋" w:cs="仿宋"/>
          <w:b/>
          <w:bCs/>
          <w:color w:val="auto"/>
          <w:spacing w:val="-2"/>
          <w:w w:val="95"/>
          <w:sz w:val="36"/>
          <w:szCs w:val="36"/>
          <w:highlight w:val="none"/>
          <w:lang w:eastAsia="zh-CN"/>
        </w:rPr>
        <w:t>LBZC2024-G1-00782-GXLJ</w:t>
      </w:r>
      <w:r>
        <w:rPr>
          <w:rFonts w:hint="eastAsia" w:ascii="仿宋" w:hAnsi="仿宋" w:eastAsia="仿宋" w:cs="仿宋"/>
          <w:b/>
          <w:bCs/>
          <w:color w:val="auto"/>
          <w:spacing w:val="-2"/>
          <w:w w:val="95"/>
          <w:sz w:val="36"/>
          <w:szCs w:val="36"/>
          <w:highlight w:val="none"/>
        </w:rPr>
        <w:t>）招标公告</w:t>
      </w:r>
      <w:bookmarkEnd w:id="1"/>
    </w:p>
    <w:tbl>
      <w:tblPr>
        <w:tblStyle w:val="2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pPr>
              <w:pStyle w:val="13"/>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项目概况</w:t>
            </w:r>
          </w:p>
          <w:p>
            <w:pPr>
              <w:pStyle w:val="13"/>
              <w:spacing w:line="560" w:lineRule="exact"/>
              <w:ind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lang w:eastAsia="zh-CN"/>
              </w:rPr>
              <w:t>中等职业学校办学条件达标项目</w:t>
            </w:r>
            <w:r>
              <w:rPr>
                <w:rStyle w:val="47"/>
                <w:rFonts w:hint="eastAsia" w:ascii="仿宋" w:hAnsi="仿宋" w:eastAsia="仿宋" w:cs="仿宋"/>
                <w:color w:val="auto"/>
                <w:sz w:val="32"/>
                <w:szCs w:val="32"/>
                <w:highlight w:val="none"/>
              </w:rPr>
              <w:t>招标项目的潜在投标人应在</w:t>
            </w:r>
            <w:r>
              <w:rPr>
                <w:rStyle w:val="47"/>
                <w:rFonts w:hint="eastAsia" w:ascii="仿宋" w:hAnsi="仿宋" w:eastAsia="仿宋" w:cs="仿宋"/>
                <w:color w:val="auto"/>
                <w:sz w:val="32"/>
                <w:szCs w:val="32"/>
                <w:highlight w:val="none"/>
                <w:lang w:eastAsia="zh-CN"/>
              </w:rPr>
              <w:t>广西政府采购云平台（https://www.gcy.zfcg.gxzf.gov.cn/）</w:t>
            </w:r>
            <w:r>
              <w:rPr>
                <w:rStyle w:val="47"/>
                <w:rFonts w:hint="eastAsia" w:ascii="仿宋" w:hAnsi="仿宋" w:eastAsia="仿宋" w:cs="仿宋"/>
                <w:color w:val="auto"/>
                <w:sz w:val="32"/>
                <w:szCs w:val="32"/>
                <w:highlight w:val="none"/>
              </w:rPr>
              <w:t>获取招标文件，并于</w:t>
            </w:r>
            <w:r>
              <w:rPr>
                <w:rStyle w:val="47"/>
                <w:rFonts w:hint="eastAsia" w:ascii="仿宋" w:hAnsi="仿宋" w:eastAsia="仿宋" w:cs="仿宋"/>
                <w:color w:val="auto"/>
                <w:sz w:val="32"/>
                <w:szCs w:val="32"/>
                <w:highlight w:val="none"/>
                <w:u w:val="single"/>
                <w:lang w:eastAsia="zh-CN"/>
              </w:rPr>
              <w:t>2024年  月  日上午10点00分</w:t>
            </w:r>
            <w:r>
              <w:rPr>
                <w:rStyle w:val="47"/>
                <w:rFonts w:hint="eastAsia" w:ascii="仿宋" w:hAnsi="仿宋" w:eastAsia="仿宋" w:cs="仿宋"/>
                <w:bCs/>
                <w:color w:val="auto"/>
                <w:sz w:val="32"/>
                <w:szCs w:val="32"/>
                <w:highlight w:val="none"/>
                <w:u w:val="single"/>
              </w:rPr>
              <w:t>（</w:t>
            </w:r>
            <w:r>
              <w:rPr>
                <w:rStyle w:val="47"/>
                <w:rFonts w:hint="eastAsia" w:ascii="仿宋" w:hAnsi="仿宋" w:eastAsia="仿宋" w:cs="仿宋"/>
                <w:bCs/>
                <w:color w:val="auto"/>
                <w:sz w:val="32"/>
                <w:szCs w:val="32"/>
                <w:highlight w:val="none"/>
              </w:rPr>
              <w:t>北京时间）前递交投标文件</w:t>
            </w:r>
            <w:r>
              <w:rPr>
                <w:rStyle w:val="47"/>
                <w:rFonts w:hint="eastAsia" w:ascii="仿宋" w:hAnsi="仿宋" w:eastAsia="仿宋" w:cs="仿宋"/>
                <w:color w:val="auto"/>
                <w:sz w:val="32"/>
                <w:szCs w:val="32"/>
                <w:highlight w:val="none"/>
              </w:rPr>
              <w:t>。</w:t>
            </w:r>
          </w:p>
        </w:tc>
      </w:tr>
    </w:tbl>
    <w:p>
      <w:pPr>
        <w:spacing w:line="560" w:lineRule="exact"/>
        <w:ind w:firstLine="603" w:firstLineChars="200"/>
        <w:outlineLvl w:val="1"/>
        <w:rPr>
          <w:rFonts w:ascii="仿宋" w:hAnsi="仿宋" w:eastAsia="仿宋" w:cs="仿宋"/>
          <w:b/>
          <w:color w:val="auto"/>
          <w:sz w:val="32"/>
          <w:szCs w:val="32"/>
          <w:highlight w:val="none"/>
        </w:rPr>
      </w:pPr>
      <w:bookmarkStart w:id="2" w:name="_Toc4128"/>
      <w:r>
        <w:rPr>
          <w:rFonts w:hint="eastAsia" w:ascii="仿宋" w:hAnsi="仿宋" w:eastAsia="仿宋" w:cs="仿宋"/>
          <w:b/>
          <w:color w:val="auto"/>
          <w:spacing w:val="-2"/>
          <w:w w:val="95"/>
          <w:sz w:val="32"/>
          <w:szCs w:val="32"/>
          <w:highlight w:val="none"/>
        </w:rPr>
        <w:t>一、项目基本情况</w:t>
      </w:r>
      <w:bookmarkEnd w:id="2"/>
    </w:p>
    <w:p>
      <w:pPr>
        <w:pStyle w:val="13"/>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项目编号：</w:t>
      </w:r>
      <w:r>
        <w:rPr>
          <w:rFonts w:hint="eastAsia" w:ascii="仿宋" w:hAnsi="仿宋" w:eastAsia="仿宋" w:cs="仿宋"/>
          <w:color w:val="auto"/>
          <w:w w:val="95"/>
          <w:sz w:val="32"/>
          <w:szCs w:val="32"/>
          <w:highlight w:val="none"/>
          <w:lang w:eastAsia="zh-CN"/>
        </w:rPr>
        <w:t>LBZC2024-G1-00782-GXLJ</w:t>
      </w:r>
    </w:p>
    <w:p>
      <w:pPr>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项目名称：</w:t>
      </w:r>
      <w:r>
        <w:rPr>
          <w:rFonts w:hint="eastAsia" w:ascii="仿宋" w:hAnsi="仿宋" w:eastAsia="仿宋" w:cs="仿宋"/>
          <w:color w:val="auto"/>
          <w:spacing w:val="-1"/>
          <w:w w:val="95"/>
          <w:sz w:val="32"/>
          <w:szCs w:val="32"/>
          <w:highlight w:val="none"/>
          <w:lang w:eastAsia="zh-CN"/>
        </w:rPr>
        <w:t>中等职业学校办学条件达标项目</w:t>
      </w:r>
    </w:p>
    <w:p>
      <w:pPr>
        <w:spacing w:line="560" w:lineRule="exact"/>
        <w:ind w:firstLine="643" w:firstLineChars="200"/>
        <w:rPr>
          <w:rFonts w:hint="default" w:ascii="仿宋" w:hAnsi="仿宋" w:eastAsia="仿宋" w:cs="仿宋"/>
          <w:b/>
          <w:color w:val="auto"/>
          <w:spacing w:val="2"/>
          <w:w w:val="99"/>
          <w:sz w:val="32"/>
          <w:szCs w:val="32"/>
          <w:highlight w:val="none"/>
          <w:lang w:val="en-US" w:eastAsia="zh-CN"/>
        </w:rPr>
      </w:pPr>
      <w:r>
        <w:rPr>
          <w:rFonts w:hint="eastAsia" w:ascii="仿宋" w:hAnsi="仿宋" w:eastAsia="仿宋" w:cs="仿宋"/>
          <w:b/>
          <w:strike w:val="0"/>
          <w:dstrike w:val="0"/>
          <w:color w:val="auto"/>
          <w:spacing w:val="2"/>
          <w:w w:val="99"/>
          <w:sz w:val="32"/>
          <w:szCs w:val="32"/>
          <w:highlight w:val="none"/>
          <w:lang w:val="en-US" w:eastAsia="zh-CN"/>
        </w:rPr>
        <w:t>预算金额</w:t>
      </w:r>
      <w:r>
        <w:rPr>
          <w:rFonts w:hint="eastAsia" w:ascii="仿宋" w:hAnsi="仿宋" w:eastAsia="仿宋" w:cs="仿宋"/>
          <w:b/>
          <w:strike w:val="0"/>
          <w:color w:val="auto"/>
          <w:spacing w:val="2"/>
          <w:w w:val="99"/>
          <w:sz w:val="32"/>
          <w:szCs w:val="32"/>
          <w:highlight w:val="none"/>
        </w:rPr>
        <w:t>：</w:t>
      </w:r>
      <w:r>
        <w:rPr>
          <w:rFonts w:hint="eastAsia" w:ascii="仿宋" w:hAnsi="仿宋" w:eastAsia="仿宋" w:cs="仿宋"/>
          <w:b/>
          <w:color w:val="auto"/>
          <w:spacing w:val="2"/>
          <w:w w:val="99"/>
          <w:sz w:val="32"/>
          <w:szCs w:val="32"/>
          <w:highlight w:val="none"/>
          <w:lang w:val="en-US" w:eastAsia="zh-CN"/>
        </w:rPr>
        <w:t>人民币叁佰贰拾万元整（3200000.00元），其中1标段为445000.00元，其中2标段为230000.00元，其中3标段为288000.00元，其中4标段为300000.00元，其中5标段为757000.00元，其中6标段为300000.00元，其中7标段为400000.00元，其中8标段为200000.00元，其中9标段为280000.00元。</w:t>
      </w:r>
    </w:p>
    <w:p>
      <w:pPr>
        <w:spacing w:line="560" w:lineRule="exact"/>
        <w:ind w:firstLine="639" w:firstLineChars="200"/>
        <w:rPr>
          <w:rFonts w:ascii="仿宋" w:hAnsi="仿宋" w:eastAsia="仿宋" w:cs="仿宋"/>
          <w:color w:val="auto"/>
          <w:spacing w:val="-1"/>
          <w:w w:val="99"/>
          <w:sz w:val="32"/>
          <w:szCs w:val="32"/>
          <w:highlight w:val="none"/>
        </w:rPr>
      </w:pPr>
      <w:r>
        <w:rPr>
          <w:rFonts w:hint="eastAsia" w:ascii="仿宋" w:hAnsi="仿宋" w:eastAsia="仿宋" w:cs="仿宋"/>
          <w:b/>
          <w:color w:val="auto"/>
          <w:spacing w:val="1"/>
          <w:w w:val="99"/>
          <w:sz w:val="32"/>
          <w:szCs w:val="32"/>
          <w:highlight w:val="none"/>
        </w:rPr>
        <w:t>最高限价：</w:t>
      </w:r>
      <w:r>
        <w:rPr>
          <w:rFonts w:hint="eastAsia" w:ascii="仿宋" w:hAnsi="仿宋" w:eastAsia="仿宋" w:cs="仿宋"/>
          <w:color w:val="auto"/>
          <w:spacing w:val="-1"/>
          <w:w w:val="99"/>
          <w:sz w:val="32"/>
          <w:szCs w:val="32"/>
          <w:highlight w:val="none"/>
        </w:rPr>
        <w:t>与预算金额一致</w:t>
      </w:r>
    </w:p>
    <w:p>
      <w:pPr>
        <w:spacing w:line="560" w:lineRule="exact"/>
        <w:ind w:firstLine="611" w:firstLineChars="200"/>
        <w:rPr>
          <w:rFonts w:ascii="仿宋" w:hAnsi="仿宋" w:eastAsia="仿宋" w:cs="仿宋"/>
          <w:color w:val="auto"/>
          <w:sz w:val="32"/>
          <w:szCs w:val="32"/>
          <w:highlight w:val="none"/>
        </w:rPr>
      </w:pPr>
      <w:r>
        <w:rPr>
          <w:rFonts w:hint="eastAsia" w:ascii="仿宋" w:hAnsi="仿宋" w:eastAsia="仿宋" w:cs="仿宋"/>
          <w:b/>
          <w:color w:val="auto"/>
          <w:w w:val="95"/>
          <w:sz w:val="32"/>
          <w:szCs w:val="32"/>
          <w:highlight w:val="none"/>
        </w:rPr>
        <w:t>采购需求：</w:t>
      </w:r>
      <w:r>
        <w:rPr>
          <w:rFonts w:hint="eastAsia" w:ascii="仿宋" w:hAnsi="仿宋" w:eastAsia="仿宋" w:cs="仿宋"/>
          <w:color w:val="auto"/>
          <w:spacing w:val="-1"/>
          <w:w w:val="95"/>
          <w:sz w:val="32"/>
          <w:szCs w:val="32"/>
          <w:highlight w:val="none"/>
          <w:lang w:eastAsia="zh-CN"/>
        </w:rPr>
        <w:t>中等职业学校办学条件达标项目</w:t>
      </w:r>
      <w:r>
        <w:rPr>
          <w:rFonts w:hint="eastAsia" w:ascii="仿宋" w:hAnsi="仿宋" w:eastAsia="仿宋" w:cs="仿宋"/>
          <w:color w:val="auto"/>
          <w:spacing w:val="-3"/>
          <w:w w:val="99"/>
          <w:sz w:val="32"/>
          <w:szCs w:val="32"/>
          <w:highlight w:val="none"/>
        </w:rPr>
        <w:t>，具体</w:t>
      </w:r>
      <w:r>
        <w:rPr>
          <w:rFonts w:hint="eastAsia" w:ascii="仿宋" w:hAnsi="仿宋" w:eastAsia="仿宋" w:cs="仿宋"/>
          <w:color w:val="auto"/>
          <w:spacing w:val="-3"/>
          <w:w w:val="99"/>
          <w:sz w:val="32"/>
          <w:szCs w:val="32"/>
          <w:highlight w:val="none"/>
          <w:lang w:eastAsia="zh-CN"/>
        </w:rPr>
        <w:t>分标</w:t>
      </w:r>
      <w:r>
        <w:rPr>
          <w:rFonts w:hint="eastAsia" w:ascii="仿宋" w:hAnsi="仿宋" w:eastAsia="仿宋" w:cs="仿宋"/>
          <w:color w:val="auto"/>
          <w:spacing w:val="-3"/>
          <w:w w:val="99"/>
          <w:sz w:val="32"/>
          <w:szCs w:val="32"/>
          <w:highlight w:val="none"/>
        </w:rPr>
        <w:t>的</w:t>
      </w:r>
      <w:r>
        <w:rPr>
          <w:rFonts w:hint="eastAsia" w:ascii="仿宋" w:hAnsi="仿宋" w:eastAsia="仿宋" w:cs="仿宋"/>
          <w:color w:val="auto"/>
          <w:sz w:val="32"/>
          <w:szCs w:val="32"/>
          <w:highlight w:val="none"/>
          <w:lang w:eastAsia="zh-CN"/>
        </w:rPr>
        <w:t>货物</w:t>
      </w:r>
      <w:r>
        <w:rPr>
          <w:rFonts w:hint="eastAsia" w:ascii="仿宋" w:hAnsi="仿宋" w:eastAsia="仿宋" w:cs="仿宋"/>
          <w:color w:val="auto"/>
          <w:sz w:val="32"/>
          <w:szCs w:val="32"/>
          <w:highlight w:val="none"/>
        </w:rPr>
        <w:t>名称</w:t>
      </w:r>
      <w:r>
        <w:rPr>
          <w:rFonts w:hint="eastAsia" w:ascii="仿宋" w:hAnsi="仿宋" w:eastAsia="仿宋" w:cs="仿宋"/>
          <w:color w:val="auto"/>
          <w:spacing w:val="-3"/>
          <w:w w:val="99"/>
          <w:sz w:val="32"/>
          <w:szCs w:val="32"/>
          <w:highlight w:val="none"/>
        </w:rPr>
        <w:t>、简要技术需求或服务要</w:t>
      </w:r>
      <w:r>
        <w:rPr>
          <w:rFonts w:hint="eastAsia" w:ascii="仿宋" w:hAnsi="仿宋" w:eastAsia="仿宋" w:cs="仿宋"/>
          <w:color w:val="auto"/>
          <w:spacing w:val="-1"/>
          <w:w w:val="99"/>
          <w:sz w:val="32"/>
          <w:szCs w:val="32"/>
          <w:highlight w:val="none"/>
        </w:rPr>
        <w:t>求等内容详见招标文件。</w:t>
      </w:r>
    </w:p>
    <w:p>
      <w:pPr>
        <w:spacing w:line="560" w:lineRule="exact"/>
        <w:ind w:firstLine="611" w:firstLineChars="200"/>
        <w:rPr>
          <w:rFonts w:hint="eastAsia" w:ascii="仿宋" w:hAnsi="仿宋" w:eastAsia="仿宋" w:cs="仿宋"/>
          <w:bCs/>
          <w:color w:val="auto"/>
          <w:sz w:val="32"/>
          <w:szCs w:val="32"/>
          <w:highlight w:val="none"/>
          <w:lang w:eastAsia="zh-CN"/>
        </w:rPr>
      </w:pPr>
      <w:r>
        <w:rPr>
          <w:rFonts w:hint="eastAsia" w:ascii="仿宋" w:hAnsi="仿宋" w:eastAsia="仿宋" w:cs="仿宋"/>
          <w:b/>
          <w:color w:val="auto"/>
          <w:w w:val="95"/>
          <w:sz w:val="32"/>
          <w:szCs w:val="32"/>
          <w:highlight w:val="none"/>
        </w:rPr>
        <w:t>合同履行期限</w:t>
      </w:r>
      <w:r>
        <w:rPr>
          <w:rFonts w:hint="eastAsia" w:ascii="仿宋" w:hAnsi="仿宋" w:eastAsia="仿宋" w:cs="仿宋"/>
          <w:b/>
          <w:color w:val="auto"/>
          <w:spacing w:val="-10"/>
          <w:w w:val="95"/>
          <w:sz w:val="32"/>
          <w:szCs w:val="32"/>
          <w:highlight w:val="none"/>
        </w:rPr>
        <w:t>：</w:t>
      </w:r>
      <w:r>
        <w:rPr>
          <w:rFonts w:hint="eastAsia" w:ascii="仿宋" w:hAnsi="仿宋" w:eastAsia="仿宋" w:cs="仿宋"/>
          <w:b/>
          <w:color w:val="auto"/>
          <w:spacing w:val="-10"/>
          <w:w w:val="95"/>
          <w:sz w:val="32"/>
          <w:szCs w:val="32"/>
          <w:highlight w:val="none"/>
          <w:lang w:eastAsia="zh-CN"/>
        </w:rPr>
        <w:t>详见采购需求</w:t>
      </w:r>
      <w:r>
        <w:rPr>
          <w:rFonts w:hint="eastAsia" w:ascii="仿宋" w:hAnsi="仿宋" w:eastAsia="仿宋" w:cs="仿宋"/>
          <w:bCs/>
          <w:color w:val="auto"/>
          <w:sz w:val="32"/>
          <w:szCs w:val="32"/>
          <w:highlight w:val="none"/>
          <w:lang w:eastAsia="zh-CN"/>
        </w:rPr>
        <w:t>。</w:t>
      </w:r>
    </w:p>
    <w:p>
      <w:pPr>
        <w:pStyle w:val="45"/>
        <w:tabs>
          <w:tab w:val="left" w:pos="1420"/>
        </w:tabs>
        <w:spacing w:line="560" w:lineRule="exact"/>
        <w:ind w:left="0" w:firstLine="635" w:firstLineChars="200"/>
        <w:rPr>
          <w:rFonts w:ascii="仿宋" w:hAnsi="仿宋" w:eastAsia="仿宋" w:cs="仿宋"/>
          <w:b/>
          <w:color w:val="auto"/>
          <w:sz w:val="32"/>
          <w:szCs w:val="32"/>
          <w:highlight w:val="none"/>
        </w:rPr>
      </w:pPr>
      <w:r>
        <w:rPr>
          <w:rFonts w:hint="eastAsia" w:ascii="仿宋" w:hAnsi="仿宋" w:eastAsia="仿宋" w:cs="仿宋"/>
          <w:b/>
          <w:color w:val="auto"/>
          <w:w w:val="99"/>
          <w:sz w:val="32"/>
          <w:szCs w:val="32"/>
          <w:highlight w:val="none"/>
        </w:rPr>
        <w:t>本项目不接受联合体投标。</w:t>
      </w:r>
    </w:p>
    <w:p>
      <w:pPr>
        <w:spacing w:line="560" w:lineRule="exact"/>
        <w:ind w:firstLine="607" w:firstLineChars="200"/>
        <w:outlineLvl w:val="1"/>
        <w:rPr>
          <w:rFonts w:ascii="仿宋" w:hAnsi="仿宋" w:eastAsia="仿宋" w:cs="仿宋"/>
          <w:b/>
          <w:color w:val="auto"/>
          <w:sz w:val="32"/>
          <w:szCs w:val="32"/>
          <w:highlight w:val="none"/>
        </w:rPr>
      </w:pPr>
      <w:bookmarkStart w:id="3" w:name="_Toc12943"/>
      <w:r>
        <w:rPr>
          <w:rFonts w:hint="eastAsia" w:ascii="仿宋" w:hAnsi="仿宋" w:eastAsia="仿宋" w:cs="仿宋"/>
          <w:b/>
          <w:color w:val="auto"/>
          <w:spacing w:val="-1"/>
          <w:w w:val="95"/>
          <w:sz w:val="32"/>
          <w:szCs w:val="32"/>
          <w:highlight w:val="none"/>
        </w:rPr>
        <w:t>二、申请人的资格要求：</w:t>
      </w:r>
      <w:bookmarkEnd w:id="3"/>
    </w:p>
    <w:p>
      <w:pPr>
        <w:pStyle w:val="45"/>
        <w:tabs>
          <w:tab w:val="left" w:pos="110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1.符合《中华人民共和国政府采购法》第二十二条规定。</w:t>
      </w:r>
    </w:p>
    <w:p>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参加政府采购活动前三年内，在经营活动中没有重大违法记录和不良信用记录；未被列入失信被执行人、重大税收违法案件当事人名单、政府采购严重违法失信行为记录名单。供应商可在“信用中国”网站（www.creditchina.gov.cn）、中国政府采购网（www.ccgp.gov.cn）查询相关供应商主体信用记录。</w:t>
      </w:r>
    </w:p>
    <w:p>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3.落实政府采购政策需满足的资格要求：</w:t>
      </w:r>
      <w:r>
        <w:rPr>
          <w:rFonts w:hint="eastAsia" w:ascii="仿宋" w:hAnsi="仿宋" w:eastAsia="仿宋" w:cs="仿宋"/>
          <w:color w:val="auto"/>
          <w:sz w:val="32"/>
          <w:szCs w:val="32"/>
          <w:highlight w:val="none"/>
        </w:rPr>
        <w:t>本项目属于专门面向中小企业采购的项目，</w:t>
      </w:r>
      <w:r>
        <w:rPr>
          <w:rFonts w:hint="eastAsia" w:ascii="仿宋" w:hAnsi="仿宋" w:eastAsia="仿宋" w:cs="仿宋"/>
          <w:color w:val="auto"/>
          <w:sz w:val="32"/>
          <w:szCs w:val="32"/>
          <w:highlight w:val="none"/>
          <w:lang w:eastAsia="zh-CN"/>
        </w:rPr>
        <w:t>制造商</w:t>
      </w:r>
      <w:r>
        <w:rPr>
          <w:rFonts w:hint="eastAsia" w:ascii="仿宋" w:hAnsi="仿宋" w:eastAsia="仿宋" w:cs="仿宋"/>
          <w:color w:val="auto"/>
          <w:sz w:val="32"/>
          <w:szCs w:val="32"/>
          <w:highlight w:val="none"/>
        </w:rPr>
        <w:t>必须为中型、小型或微</w:t>
      </w:r>
      <w:r>
        <w:rPr>
          <w:rFonts w:hint="eastAsia" w:ascii="仿宋" w:hAnsi="仿宋" w:eastAsia="仿宋" w:cs="仿宋"/>
          <w:color w:val="auto"/>
          <w:sz w:val="32"/>
          <w:szCs w:val="32"/>
          <w:highlight w:val="none"/>
          <w:lang w:eastAsia="zh-CN"/>
        </w:rPr>
        <w:t>型</w:t>
      </w:r>
      <w:r>
        <w:rPr>
          <w:rFonts w:hint="eastAsia" w:ascii="仿宋" w:hAnsi="仿宋" w:eastAsia="仿宋" w:cs="仿宋"/>
          <w:color w:val="auto"/>
          <w:sz w:val="32"/>
          <w:szCs w:val="32"/>
          <w:highlight w:val="none"/>
        </w:rPr>
        <w:t>企业（政府采购活动中，监狱企业或残疾人福利性单位视同小微企业）</w:t>
      </w:r>
      <w:r>
        <w:rPr>
          <w:rFonts w:hint="eastAsia" w:ascii="仿宋" w:hAnsi="仿宋" w:eastAsia="仿宋" w:cs="仿宋"/>
          <w:color w:val="auto"/>
          <w:spacing w:val="-2"/>
          <w:sz w:val="32"/>
          <w:szCs w:val="32"/>
          <w:highlight w:val="none"/>
        </w:rPr>
        <w:t>。</w:t>
      </w:r>
    </w:p>
    <w:p>
      <w:pPr>
        <w:pStyle w:val="13"/>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4.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pPr>
        <w:pStyle w:val="45"/>
        <w:tabs>
          <w:tab w:val="left" w:pos="1104"/>
        </w:tabs>
        <w:spacing w:line="560" w:lineRule="exact"/>
        <w:ind w:left="0" w:firstLine="635" w:firstLineChars="200"/>
        <w:outlineLvl w:val="1"/>
        <w:rPr>
          <w:rFonts w:ascii="仿宋" w:hAnsi="仿宋" w:eastAsia="仿宋" w:cs="仿宋"/>
          <w:b/>
          <w:color w:val="auto"/>
          <w:sz w:val="32"/>
          <w:szCs w:val="32"/>
          <w:highlight w:val="none"/>
        </w:rPr>
      </w:pPr>
      <w:bookmarkStart w:id="4" w:name="_Toc17042"/>
      <w:r>
        <w:rPr>
          <w:rFonts w:hint="eastAsia" w:ascii="仿宋" w:hAnsi="仿宋" w:eastAsia="仿宋" w:cs="仿宋"/>
          <w:b/>
          <w:color w:val="auto"/>
          <w:spacing w:val="-2"/>
          <w:sz w:val="32"/>
          <w:szCs w:val="32"/>
          <w:highlight w:val="none"/>
        </w:rPr>
        <w:t>三、获取招标文件</w:t>
      </w:r>
      <w:bookmarkEnd w:id="4"/>
    </w:p>
    <w:p>
      <w:pPr>
        <w:pStyle w:val="13"/>
        <w:tabs>
          <w:tab w:val="left" w:pos="2536"/>
          <w:tab w:val="left" w:pos="3069"/>
          <w:tab w:val="left" w:pos="4607"/>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时间：</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日至</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 </w:t>
      </w:r>
    </w:p>
    <w:p>
      <w:pPr>
        <w:pStyle w:val="13"/>
        <w:spacing w:line="560" w:lineRule="exact"/>
        <w:ind w:firstLine="640" w:firstLineChars="200"/>
        <w:rPr>
          <w:rFonts w:ascii="仿宋" w:hAnsi="仿宋" w:eastAsia="仿宋" w:cs="仿宋"/>
          <w:color w:val="auto"/>
          <w:sz w:val="32"/>
          <w:szCs w:val="32"/>
          <w:highlight w:val="none"/>
        </w:rPr>
      </w:pPr>
      <w:r>
        <w:rPr>
          <w:rStyle w:val="47"/>
          <w:rFonts w:hint="eastAsia" w:ascii="仿宋" w:hAnsi="仿宋" w:eastAsia="仿宋"/>
          <w:color w:val="auto"/>
          <w:sz w:val="32"/>
          <w:szCs w:val="32"/>
          <w:highlight w:val="none"/>
        </w:rPr>
        <w:t>下载网址：广西政府采购云平台（https://www.gcy.zfcg.gxzf.gov.cn/）</w:t>
      </w:r>
      <w:r>
        <w:rPr>
          <w:rFonts w:hint="eastAsia" w:ascii="仿宋" w:hAnsi="仿宋" w:eastAsia="仿宋" w:cs="仿宋"/>
          <w:color w:val="auto"/>
          <w:w w:val="99"/>
          <w:sz w:val="32"/>
          <w:szCs w:val="32"/>
          <w:highlight w:val="none"/>
        </w:rPr>
        <w:t>。</w:t>
      </w:r>
    </w:p>
    <w:p>
      <w:pPr>
        <w:pStyle w:val="13"/>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方式：</w:t>
      </w:r>
      <w:r>
        <w:rPr>
          <w:rStyle w:val="47"/>
          <w:rFonts w:ascii="仿宋" w:hAnsi="仿宋" w:eastAsia="仿宋"/>
          <w:color w:val="auto"/>
          <w:sz w:val="32"/>
          <w:szCs w:val="32"/>
          <w:highlight w:val="none"/>
        </w:rPr>
        <w:t>潜在投标人可通过账号及密码或企业CA锁登录</w:t>
      </w:r>
      <w:r>
        <w:rPr>
          <w:rStyle w:val="47"/>
          <w:rFonts w:hint="eastAsia" w:ascii="仿宋" w:hAnsi="仿宋" w:eastAsia="仿宋"/>
          <w:color w:val="auto"/>
          <w:sz w:val="32"/>
          <w:szCs w:val="32"/>
          <w:highlight w:val="none"/>
        </w:rPr>
        <w:t>广西政府采购云平台（https://www.gcy.zfcg.gxzf.gov.cn/）</w:t>
      </w:r>
      <w:r>
        <w:rPr>
          <w:color w:val="auto"/>
          <w:highlight w:val="none"/>
        </w:rPr>
        <w:fldChar w:fldCharType="begin"/>
      </w:r>
      <w:r>
        <w:rPr>
          <w:color w:val="auto"/>
          <w:highlight w:val="none"/>
        </w:rPr>
        <w:instrText xml:space="preserve"> HYPERLINK "https://www.zcygov.cn/锛夋寜瑙勫畾娴佺▼涓嬭浇鎷涙爣鏂囦欢鐢靛瓙鐗堬紝閫炬湡涓嬭浇鏃犳晥銆" \h </w:instrText>
      </w:r>
      <w:r>
        <w:rPr>
          <w:color w:val="auto"/>
          <w:highlight w:val="none"/>
        </w:rPr>
        <w:fldChar w:fldCharType="separate"/>
      </w:r>
      <w:r>
        <w:rPr>
          <w:rFonts w:hint="eastAsia" w:ascii="仿宋" w:hAnsi="仿宋" w:eastAsia="仿宋" w:cs="仿宋"/>
          <w:color w:val="auto"/>
          <w:spacing w:val="-1"/>
          <w:w w:val="99"/>
          <w:sz w:val="32"/>
          <w:szCs w:val="32"/>
          <w:highlight w:val="none"/>
        </w:rPr>
        <w:t>按规定流程下载招标文件电子版，逾期下载无效。</w:t>
      </w:r>
      <w:r>
        <w:rPr>
          <w:rFonts w:hint="eastAsia" w:ascii="仿宋" w:hAnsi="仿宋" w:eastAsia="仿宋" w:cs="仿宋"/>
          <w:color w:val="auto"/>
          <w:spacing w:val="-1"/>
          <w:w w:val="99"/>
          <w:sz w:val="32"/>
          <w:szCs w:val="32"/>
          <w:highlight w:val="none"/>
        </w:rPr>
        <w:fldChar w:fldCharType="end"/>
      </w:r>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售价</w:t>
      </w:r>
      <w:r>
        <w:rPr>
          <w:rFonts w:hint="eastAsia" w:ascii="仿宋" w:hAnsi="仿宋" w:eastAsia="仿宋" w:cs="仿宋"/>
          <w:color w:val="auto"/>
          <w:spacing w:val="-1"/>
          <w:sz w:val="32"/>
          <w:szCs w:val="32"/>
          <w:highlight w:val="none"/>
        </w:rPr>
        <w:t xml:space="preserve">：招标文件每套售价人民币 </w:t>
      </w:r>
      <w:r>
        <w:rPr>
          <w:rFonts w:hint="eastAsia" w:ascii="仿宋" w:hAnsi="仿宋" w:eastAsia="仿宋" w:cs="仿宋"/>
          <w:color w:val="auto"/>
          <w:sz w:val="32"/>
          <w:szCs w:val="32"/>
          <w:highlight w:val="none"/>
        </w:rPr>
        <w:t>0</w:t>
      </w:r>
      <w:r>
        <w:rPr>
          <w:rFonts w:hint="eastAsia" w:ascii="仿宋" w:hAnsi="仿宋" w:eastAsia="仿宋" w:cs="仿宋"/>
          <w:color w:val="auto"/>
          <w:spacing w:val="-7"/>
          <w:sz w:val="32"/>
          <w:szCs w:val="32"/>
          <w:highlight w:val="none"/>
        </w:rPr>
        <w:t xml:space="preserve"> 元 。</w:t>
      </w:r>
    </w:p>
    <w:p>
      <w:pPr>
        <w:spacing w:line="560" w:lineRule="exact"/>
        <w:ind w:firstLine="607" w:firstLineChars="200"/>
        <w:outlineLvl w:val="1"/>
        <w:rPr>
          <w:rFonts w:ascii="仿宋" w:hAnsi="仿宋" w:eastAsia="仿宋" w:cs="仿宋"/>
          <w:b/>
          <w:color w:val="auto"/>
          <w:sz w:val="32"/>
          <w:szCs w:val="32"/>
          <w:highlight w:val="none"/>
        </w:rPr>
      </w:pPr>
      <w:bookmarkStart w:id="5" w:name="_Toc1734"/>
      <w:r>
        <w:rPr>
          <w:rFonts w:hint="eastAsia" w:ascii="仿宋" w:hAnsi="仿宋" w:eastAsia="仿宋" w:cs="仿宋"/>
          <w:b/>
          <w:color w:val="auto"/>
          <w:spacing w:val="-1"/>
          <w:w w:val="95"/>
          <w:sz w:val="32"/>
          <w:szCs w:val="32"/>
          <w:highlight w:val="none"/>
        </w:rPr>
        <w:t>四、提交投标文件截止时间、开标时间和地点</w:t>
      </w:r>
      <w:bookmarkEnd w:id="5"/>
    </w:p>
    <w:p>
      <w:pPr>
        <w:pStyle w:val="13"/>
        <w:tabs>
          <w:tab w:val="left" w:pos="4358"/>
          <w:tab w:val="left" w:pos="4989"/>
          <w:tab w:val="left" w:pos="5618"/>
          <w:tab w:val="left" w:pos="6249"/>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提交投标文件截止时间：</w:t>
      </w:r>
      <w:r>
        <w:rPr>
          <w:rStyle w:val="47"/>
          <w:rFonts w:hint="eastAsia" w:ascii="仿宋" w:hAnsi="仿宋" w:eastAsia="仿宋" w:cs="仿宋"/>
          <w:color w:val="auto"/>
          <w:sz w:val="32"/>
          <w:szCs w:val="32"/>
          <w:highlight w:val="none"/>
          <w:u w:val="single"/>
          <w:lang w:eastAsia="zh-CN"/>
        </w:rPr>
        <w:t>2024年  月  日上午10点00分</w:t>
      </w:r>
      <w:r>
        <w:rPr>
          <w:rFonts w:hint="eastAsia" w:ascii="仿宋" w:hAnsi="仿宋" w:eastAsia="仿宋" w:cs="仿宋"/>
          <w:color w:val="auto"/>
          <w:w w:val="95"/>
          <w:sz w:val="32"/>
          <w:szCs w:val="32"/>
          <w:highlight w:val="none"/>
        </w:rPr>
        <w:t>（北京时间</w:t>
      </w:r>
      <w:r>
        <w:rPr>
          <w:rFonts w:hint="eastAsia" w:ascii="仿宋" w:hAnsi="仿宋" w:eastAsia="仿宋" w:cs="仿宋"/>
          <w:color w:val="auto"/>
          <w:spacing w:val="-10"/>
          <w:w w:val="95"/>
          <w:sz w:val="32"/>
          <w:szCs w:val="32"/>
          <w:highlight w:val="none"/>
        </w:rPr>
        <w:t>）</w:t>
      </w:r>
    </w:p>
    <w:p>
      <w:pPr>
        <w:pStyle w:val="13"/>
        <w:tabs>
          <w:tab w:val="left" w:pos="3127"/>
          <w:tab w:val="left" w:pos="3861"/>
          <w:tab w:val="left" w:pos="4492"/>
          <w:tab w:val="left" w:pos="5121"/>
        </w:tabs>
        <w:spacing w:line="560" w:lineRule="exact"/>
        <w:ind w:firstLine="628" w:firstLineChars="200"/>
        <w:rPr>
          <w:rFonts w:hint="eastAsia" w:ascii="仿宋" w:hAnsi="仿宋" w:eastAsia="仿宋" w:cs="仿宋"/>
          <w:color w:val="auto"/>
          <w:spacing w:val="2"/>
          <w:w w:val="99"/>
          <w:sz w:val="32"/>
          <w:szCs w:val="32"/>
          <w:highlight w:val="none"/>
        </w:rPr>
      </w:pPr>
      <w:r>
        <w:rPr>
          <w:rFonts w:hint="eastAsia" w:ascii="仿宋" w:hAnsi="仿宋" w:eastAsia="仿宋" w:cs="仿宋"/>
          <w:color w:val="auto"/>
          <w:spacing w:val="-1"/>
          <w:w w:val="99"/>
          <w:sz w:val="32"/>
          <w:szCs w:val="32"/>
          <w:highlight w:val="none"/>
        </w:rPr>
        <w:t>提</w:t>
      </w:r>
      <w:r>
        <w:rPr>
          <w:rFonts w:hint="eastAsia" w:ascii="仿宋" w:hAnsi="仿宋" w:eastAsia="仿宋" w:cs="仿宋"/>
          <w:color w:val="auto"/>
          <w:spacing w:val="2"/>
          <w:w w:val="99"/>
          <w:sz w:val="32"/>
          <w:szCs w:val="32"/>
          <w:highlight w:val="none"/>
        </w:rPr>
        <w:t>交</w:t>
      </w:r>
      <w:r>
        <w:rPr>
          <w:rFonts w:hint="eastAsia" w:ascii="仿宋" w:hAnsi="仿宋" w:eastAsia="仿宋" w:cs="仿宋"/>
          <w:color w:val="auto"/>
          <w:spacing w:val="-1"/>
          <w:w w:val="99"/>
          <w:sz w:val="32"/>
          <w:szCs w:val="32"/>
          <w:highlight w:val="none"/>
        </w:rPr>
        <w:t>投</w:t>
      </w:r>
      <w:r>
        <w:rPr>
          <w:rFonts w:hint="eastAsia" w:ascii="仿宋" w:hAnsi="仿宋" w:eastAsia="仿宋" w:cs="仿宋"/>
          <w:color w:val="auto"/>
          <w:spacing w:val="2"/>
          <w:w w:val="99"/>
          <w:sz w:val="32"/>
          <w:szCs w:val="32"/>
          <w:highlight w:val="none"/>
        </w:rPr>
        <w:t>标</w:t>
      </w:r>
      <w:r>
        <w:rPr>
          <w:rFonts w:hint="eastAsia" w:ascii="仿宋" w:hAnsi="仿宋" w:eastAsia="仿宋" w:cs="仿宋"/>
          <w:color w:val="auto"/>
          <w:spacing w:val="-1"/>
          <w:w w:val="99"/>
          <w:sz w:val="32"/>
          <w:szCs w:val="32"/>
          <w:highlight w:val="none"/>
        </w:rPr>
        <w:t>文</w:t>
      </w:r>
      <w:r>
        <w:rPr>
          <w:rFonts w:hint="eastAsia" w:ascii="仿宋" w:hAnsi="仿宋" w:eastAsia="仿宋" w:cs="仿宋"/>
          <w:color w:val="auto"/>
          <w:spacing w:val="2"/>
          <w:w w:val="99"/>
          <w:sz w:val="32"/>
          <w:szCs w:val="32"/>
          <w:highlight w:val="none"/>
        </w:rPr>
        <w:t>件</w:t>
      </w:r>
      <w:r>
        <w:rPr>
          <w:rFonts w:hint="eastAsia" w:ascii="仿宋" w:hAnsi="仿宋" w:eastAsia="仿宋" w:cs="仿宋"/>
          <w:color w:val="auto"/>
          <w:spacing w:val="-1"/>
          <w:w w:val="99"/>
          <w:sz w:val="32"/>
          <w:szCs w:val="32"/>
          <w:highlight w:val="none"/>
        </w:rPr>
        <w:t>地</w:t>
      </w:r>
      <w:r>
        <w:rPr>
          <w:rFonts w:hint="eastAsia" w:ascii="仿宋" w:hAnsi="仿宋" w:eastAsia="仿宋" w:cs="仿宋"/>
          <w:color w:val="auto"/>
          <w:spacing w:val="2"/>
          <w:w w:val="99"/>
          <w:sz w:val="32"/>
          <w:szCs w:val="32"/>
          <w:highlight w:val="none"/>
        </w:rPr>
        <w:t>点（</w:t>
      </w:r>
      <w:r>
        <w:rPr>
          <w:rFonts w:hint="eastAsia" w:ascii="仿宋" w:hAnsi="仿宋" w:eastAsia="仿宋" w:cs="仿宋"/>
          <w:color w:val="auto"/>
          <w:spacing w:val="-1"/>
          <w:w w:val="99"/>
          <w:sz w:val="32"/>
          <w:szCs w:val="32"/>
          <w:highlight w:val="none"/>
        </w:rPr>
        <w:t>网</w:t>
      </w:r>
      <w:r>
        <w:rPr>
          <w:rFonts w:hint="eastAsia" w:ascii="仿宋" w:hAnsi="仿宋" w:eastAsia="仿宋" w:cs="仿宋"/>
          <w:color w:val="auto"/>
          <w:spacing w:val="2"/>
          <w:w w:val="99"/>
          <w:sz w:val="32"/>
          <w:szCs w:val="32"/>
          <w:highlight w:val="none"/>
        </w:rPr>
        <w:t>址</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spacing w:val="2"/>
          <w:w w:val="99"/>
          <w:sz w:val="32"/>
          <w:szCs w:val="32"/>
          <w:highlight w:val="none"/>
        </w:rPr>
        <w:t>广西政府采购云平台（https://www.gcy.zfcg.gxzf.gov.cn/）</w:t>
      </w:r>
    </w:p>
    <w:p>
      <w:pPr>
        <w:pStyle w:val="13"/>
        <w:tabs>
          <w:tab w:val="left" w:pos="3127"/>
          <w:tab w:val="left" w:pos="3861"/>
          <w:tab w:val="left" w:pos="4492"/>
          <w:tab w:val="left" w:pos="5121"/>
        </w:tabs>
        <w:spacing w:line="560" w:lineRule="exact"/>
        <w:ind w:firstLine="648"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开标时</w:t>
      </w:r>
      <w:r>
        <w:rPr>
          <w:rFonts w:hint="eastAsia" w:ascii="仿宋" w:hAnsi="仿宋" w:eastAsia="仿宋" w:cs="仿宋"/>
          <w:color w:val="auto"/>
          <w:spacing w:val="7"/>
          <w:w w:val="99"/>
          <w:sz w:val="32"/>
          <w:szCs w:val="32"/>
          <w:highlight w:val="none"/>
        </w:rPr>
        <w:t>间</w:t>
      </w:r>
      <w:r>
        <w:rPr>
          <w:rFonts w:hint="eastAsia" w:ascii="仿宋" w:hAnsi="仿宋" w:eastAsia="仿宋" w:cs="仿宋"/>
          <w:color w:val="auto"/>
          <w:spacing w:val="4"/>
          <w:w w:val="99"/>
          <w:sz w:val="32"/>
          <w:szCs w:val="32"/>
          <w:highlight w:val="none"/>
        </w:rPr>
        <w:t>：</w:t>
      </w:r>
      <w:r>
        <w:rPr>
          <w:rStyle w:val="47"/>
          <w:rFonts w:hint="eastAsia" w:ascii="仿宋" w:hAnsi="仿宋" w:eastAsia="仿宋" w:cs="仿宋"/>
          <w:color w:val="auto"/>
          <w:sz w:val="32"/>
          <w:szCs w:val="32"/>
          <w:highlight w:val="none"/>
          <w:u w:val="single"/>
          <w:lang w:eastAsia="zh-CN"/>
        </w:rPr>
        <w:t>2024年  月  日上午10点00分</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北</w:t>
      </w:r>
      <w:r>
        <w:rPr>
          <w:rFonts w:hint="eastAsia" w:ascii="仿宋" w:hAnsi="仿宋" w:eastAsia="仿宋" w:cs="仿宋"/>
          <w:color w:val="auto"/>
          <w:spacing w:val="2"/>
          <w:w w:val="99"/>
          <w:sz w:val="32"/>
          <w:szCs w:val="32"/>
          <w:highlight w:val="none"/>
        </w:rPr>
        <w:t>京</w:t>
      </w:r>
      <w:r>
        <w:rPr>
          <w:rFonts w:hint="eastAsia" w:ascii="仿宋" w:hAnsi="仿宋" w:eastAsia="仿宋" w:cs="仿宋"/>
          <w:color w:val="auto"/>
          <w:spacing w:val="-1"/>
          <w:w w:val="99"/>
          <w:sz w:val="32"/>
          <w:szCs w:val="32"/>
          <w:highlight w:val="none"/>
        </w:rPr>
        <w:t>时</w:t>
      </w:r>
      <w:r>
        <w:rPr>
          <w:rFonts w:hint="eastAsia" w:ascii="仿宋" w:hAnsi="仿宋" w:eastAsia="仿宋" w:cs="仿宋"/>
          <w:color w:val="auto"/>
          <w:spacing w:val="2"/>
          <w:w w:val="99"/>
          <w:sz w:val="32"/>
          <w:szCs w:val="32"/>
          <w:highlight w:val="none"/>
        </w:rPr>
        <w:t>间</w:t>
      </w:r>
      <w:r>
        <w:rPr>
          <w:rFonts w:hint="eastAsia" w:ascii="仿宋" w:hAnsi="仿宋" w:eastAsia="仿宋" w:cs="仿宋"/>
          <w:color w:val="auto"/>
          <w:w w:val="99"/>
          <w:sz w:val="32"/>
          <w:szCs w:val="32"/>
          <w:highlight w:val="none"/>
        </w:rPr>
        <w:t>）</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开标地点：</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w w:val="95"/>
          <w:sz w:val="32"/>
          <w:szCs w:val="32"/>
          <w:highlight w:val="none"/>
        </w:rPr>
        <w:t>电子开标大</w:t>
      </w:r>
      <w:r>
        <w:rPr>
          <w:rFonts w:hint="eastAsia" w:ascii="仿宋" w:hAnsi="仿宋" w:eastAsia="仿宋" w:cs="仿宋"/>
          <w:color w:val="auto"/>
          <w:spacing w:val="-10"/>
          <w:w w:val="95"/>
          <w:sz w:val="32"/>
          <w:szCs w:val="32"/>
          <w:highlight w:val="none"/>
        </w:rPr>
        <w:t>厅</w:t>
      </w:r>
    </w:p>
    <w:p>
      <w:pPr>
        <w:pStyle w:val="13"/>
        <w:spacing w:line="560" w:lineRule="exact"/>
        <w:ind w:firstLine="61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注：本项目为全流程电子化采购项目不要求投标人到达开标现场，但投标人应派法定代表人或委托代理人准时在线出席电子开评标会议，随时关注开评标进度，如在开评标过程中有电子询标，应在规定的时</w:t>
      </w:r>
      <w:r>
        <w:rPr>
          <w:rFonts w:hint="eastAsia" w:ascii="仿宋" w:hAnsi="仿宋" w:eastAsia="仿宋" w:cs="仿宋"/>
          <w:color w:val="auto"/>
          <w:spacing w:val="-1"/>
          <w:w w:val="99"/>
          <w:sz w:val="32"/>
          <w:szCs w:val="32"/>
          <w:highlight w:val="none"/>
        </w:rPr>
        <w:t>间内对电子询标函进行澄清回复。</w:t>
      </w:r>
    </w:p>
    <w:p>
      <w:pPr>
        <w:spacing w:line="560" w:lineRule="exact"/>
        <w:ind w:firstLine="603" w:firstLineChars="200"/>
        <w:outlineLvl w:val="1"/>
        <w:rPr>
          <w:rFonts w:ascii="仿宋" w:hAnsi="仿宋" w:eastAsia="仿宋" w:cs="仿宋"/>
          <w:b/>
          <w:color w:val="auto"/>
          <w:sz w:val="32"/>
          <w:szCs w:val="32"/>
          <w:highlight w:val="none"/>
        </w:rPr>
      </w:pPr>
      <w:bookmarkStart w:id="6" w:name="_Toc3810"/>
      <w:r>
        <w:rPr>
          <w:rFonts w:hint="eastAsia" w:ascii="仿宋" w:hAnsi="仿宋" w:eastAsia="仿宋" w:cs="仿宋"/>
          <w:b/>
          <w:color w:val="auto"/>
          <w:spacing w:val="-2"/>
          <w:w w:val="95"/>
          <w:sz w:val="32"/>
          <w:szCs w:val="32"/>
          <w:highlight w:val="none"/>
        </w:rPr>
        <w:t>五、公告期限</w:t>
      </w:r>
      <w:bookmarkEnd w:id="6"/>
    </w:p>
    <w:p>
      <w:pPr>
        <w:spacing w:line="560" w:lineRule="exact"/>
        <w:ind w:firstLine="612" w:firstLineChars="200"/>
        <w:rPr>
          <w:rFonts w:ascii="仿宋" w:hAnsi="仿宋" w:eastAsia="仿宋" w:cs="仿宋"/>
          <w:color w:val="auto"/>
          <w:spacing w:val="-12"/>
          <w:sz w:val="32"/>
          <w:szCs w:val="32"/>
          <w:highlight w:val="none"/>
        </w:rPr>
      </w:pPr>
      <w:r>
        <w:rPr>
          <w:rFonts w:hint="eastAsia" w:ascii="仿宋" w:hAnsi="仿宋" w:eastAsia="仿宋" w:cs="仿宋"/>
          <w:color w:val="auto"/>
          <w:spacing w:val="-7"/>
          <w:sz w:val="32"/>
          <w:szCs w:val="32"/>
          <w:highlight w:val="none"/>
        </w:rPr>
        <w:t xml:space="preserve">自本公告发布之日起 </w:t>
      </w:r>
      <w:r>
        <w:rPr>
          <w:rFonts w:hint="eastAsia" w:ascii="仿宋" w:hAnsi="仿宋" w:eastAsia="仿宋" w:cs="仿宋"/>
          <w:color w:val="auto"/>
          <w:spacing w:val="-2"/>
          <w:sz w:val="32"/>
          <w:szCs w:val="32"/>
          <w:highlight w:val="none"/>
        </w:rPr>
        <w:t>5</w:t>
      </w:r>
      <w:r>
        <w:rPr>
          <w:rFonts w:hint="eastAsia" w:ascii="仿宋" w:hAnsi="仿宋" w:eastAsia="仿宋" w:cs="仿宋"/>
          <w:color w:val="auto"/>
          <w:spacing w:val="-12"/>
          <w:sz w:val="32"/>
          <w:szCs w:val="32"/>
          <w:highlight w:val="none"/>
        </w:rPr>
        <w:t xml:space="preserve"> 个工作日。</w:t>
      </w:r>
    </w:p>
    <w:p>
      <w:pPr>
        <w:spacing w:line="560" w:lineRule="exact"/>
        <w:ind w:firstLine="635" w:firstLineChars="200"/>
        <w:outlineLvl w:val="1"/>
        <w:rPr>
          <w:rFonts w:ascii="仿宋" w:hAnsi="仿宋" w:eastAsia="仿宋" w:cs="仿宋"/>
          <w:b/>
          <w:color w:val="auto"/>
          <w:sz w:val="32"/>
          <w:szCs w:val="32"/>
          <w:highlight w:val="none"/>
        </w:rPr>
      </w:pPr>
      <w:bookmarkStart w:id="7" w:name="_Toc9239"/>
      <w:r>
        <w:rPr>
          <w:rFonts w:hint="eastAsia" w:ascii="仿宋" w:hAnsi="仿宋" w:eastAsia="仿宋" w:cs="仿宋"/>
          <w:b/>
          <w:color w:val="auto"/>
          <w:spacing w:val="-2"/>
          <w:sz w:val="32"/>
          <w:szCs w:val="32"/>
          <w:highlight w:val="none"/>
        </w:rPr>
        <w:t>六、其他补充事宜</w:t>
      </w:r>
      <w:bookmarkEnd w:id="7"/>
    </w:p>
    <w:p>
      <w:pPr>
        <w:pStyle w:val="13"/>
        <w:spacing w:line="560" w:lineRule="exact"/>
        <w:ind w:firstLine="612"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7"/>
          <w:sz w:val="32"/>
          <w:szCs w:val="32"/>
          <w:highlight w:val="none"/>
        </w:rPr>
        <w:t>1.</w:t>
      </w:r>
      <w:r>
        <w:rPr>
          <w:rFonts w:hint="eastAsia" w:ascii="仿宋" w:hAnsi="仿宋" w:eastAsia="仿宋" w:cs="仿宋"/>
          <w:color w:val="auto"/>
          <w:spacing w:val="13"/>
          <w:w w:val="95"/>
          <w:sz w:val="32"/>
          <w:szCs w:val="32"/>
          <w:highlight w:val="none"/>
        </w:rPr>
        <w:t>网上查询地址：中国政府采购网、广西壮族自治区政府采购网、全国公共资源交易平台（广西•来宾）。</w:t>
      </w:r>
    </w:p>
    <w:p>
      <w:pPr>
        <w:pStyle w:val="13"/>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2.在线投标响应（网上投标）说明：</w:t>
      </w:r>
    </w:p>
    <w:p>
      <w:pPr>
        <w:pStyle w:val="13"/>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（1）本项目通过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实行在线投标响应（电子投标），投标人应先安装“</w:t>
      </w:r>
      <w:r>
        <w:rPr>
          <w:rFonts w:hint="eastAsia" w:ascii="仿宋" w:hAnsi="仿宋" w:eastAsia="仿宋" w:cs="仿宋"/>
          <w:color w:val="auto"/>
          <w:spacing w:val="13"/>
          <w:w w:val="95"/>
          <w:sz w:val="32"/>
          <w:szCs w:val="32"/>
          <w:highlight w:val="none"/>
          <w:lang w:eastAsia="zh-CN"/>
        </w:rPr>
        <w:t>广西政府采购云电子交易客户端</w:t>
      </w:r>
      <w:r>
        <w:rPr>
          <w:rFonts w:hint="eastAsia" w:ascii="仿宋" w:hAnsi="仿宋" w:eastAsia="仿宋" w:cs="仿宋"/>
          <w:color w:val="auto"/>
          <w:spacing w:val="13"/>
          <w:w w:val="95"/>
          <w:sz w:val="32"/>
          <w:szCs w:val="32"/>
          <w:highlight w:val="none"/>
        </w:rPr>
        <w:t>”，并按照本招标文件和</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的要求编制、加密投标文件。在提交投标文件截止时间前通过网络上传至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提交电子版投标文件时，请填写参加远程采购活动经办人联系方式，投标人未按规定编制并加密的投标文件，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pPr>
        <w:pStyle w:val="13"/>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注：下载投标客户端即“广西壮族自治区全流程电子招投标项目管理系统一供应商客户端”，下载地址：广西政府采购网（网址为“http: /zfcg.gxzf.gov.cn”）首页-[办事服务]-[下载专区]；电子投标具体操作流程参考《政府采购项目电子交易管理操作指南-供应商》，指南可在“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服务中心-帮助文档-最新指南”下载。若对项目采购电子交易系统操作有疑问，可登录</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，点击右侧咨询小采，获取采小蜜智能服务管家帮助，或拨打</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 xml:space="preserve">服务热线 </w:t>
      </w:r>
      <w:r>
        <w:rPr>
          <w:rFonts w:hint="eastAsia" w:ascii="仿宋" w:hAnsi="仿宋" w:eastAsia="仿宋" w:cs="仿宋"/>
          <w:color w:val="auto"/>
          <w:spacing w:val="13"/>
          <w:w w:val="95"/>
          <w:sz w:val="32"/>
          <w:szCs w:val="32"/>
          <w:highlight w:val="none"/>
          <w:lang w:eastAsia="zh-CN"/>
        </w:rPr>
        <w:t>95763</w:t>
      </w:r>
      <w:r>
        <w:rPr>
          <w:rFonts w:hint="eastAsia" w:ascii="仿宋" w:hAnsi="仿宋" w:eastAsia="仿宋" w:cs="仿宋"/>
          <w:color w:val="auto"/>
          <w:spacing w:val="13"/>
          <w:w w:val="95"/>
          <w:sz w:val="32"/>
          <w:szCs w:val="32"/>
          <w:highlight w:val="none"/>
        </w:rPr>
        <w:t xml:space="preserve"> 获取热线服务帮助。</w:t>
      </w:r>
    </w:p>
    <w:p>
      <w:pPr>
        <w:pStyle w:val="13"/>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（2）未进行网上注册并办理数字证书（CA 认证）的投标人将无法参与本项目政府采购活动，潜在投标人应尽早完成电子交易平台上的 CA 数字证书办理（申领流程请自行前往</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进行查阅，完成 CA 数字证书办理预计一周左右），并在投标文件提交截止时间前提交投标文件。</w:t>
      </w:r>
    </w:p>
    <w:p>
      <w:pPr>
        <w:pStyle w:val="13"/>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为确保网上操作合法、有效和安全，请投标人确保在电子响应过程中能够对相关数据电文进行加密和使用电子签章，妥善保管 CA 数字证书并使用有效的 CA 数字证书参与整个采购活动。</w:t>
      </w:r>
    </w:p>
    <w:p>
      <w:pPr>
        <w:pStyle w:val="13"/>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投标人应当在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pPr>
        <w:pStyle w:val="13"/>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提交投标文件截止时间后，</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（电子标系统）自动提取所有投标文件，各投标人须在开标后 30 分钟内对上传</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的投标文件进行解密，所有投标人在规定的解密时限内解密完成或解密时限结束后，由采购代理机构开启投标文件；投标人超过解密时限的，系统默认自动放弃。</w:t>
      </w:r>
    </w:p>
    <w:p>
      <w:pPr>
        <w:pStyle w:val="13"/>
        <w:spacing w:line="560" w:lineRule="exact"/>
        <w:ind w:firstLine="660" w:firstLineChars="200"/>
        <w:rPr>
          <w:rFonts w:hint="eastAsia"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本项目开标时只需投标人按时登录</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进行操作即可，无需到达来宾市公共资源交易中心进行开标。</w:t>
      </w:r>
    </w:p>
    <w:p>
      <w:pPr>
        <w:ind w:firstLine="660" w:firstLineChars="200"/>
      </w:pPr>
      <w:bookmarkStart w:id="103" w:name="_GoBack"/>
      <w:bookmarkEnd w:id="103"/>
      <w:r>
        <w:rPr>
          <w:rFonts w:hint="eastAsia" w:ascii="仿宋" w:hAnsi="仿宋" w:eastAsia="仿宋" w:cs="仿宋"/>
          <w:color w:val="auto"/>
          <w:spacing w:val="13"/>
          <w:w w:val="95"/>
          <w:sz w:val="32"/>
          <w:szCs w:val="32"/>
          <w:highlight w:val="none"/>
          <w:lang w:val="en-US" w:eastAsia="zh-CN" w:bidi="ar-SA"/>
        </w:rPr>
        <w:t>3.本项目（☑是 □否）采用远程异地评审。</w:t>
      </w:r>
    </w:p>
    <w:p>
      <w:pPr>
        <w:pStyle w:val="13"/>
        <w:spacing w:line="560" w:lineRule="exact"/>
        <w:ind w:firstLine="660" w:firstLineChars="200"/>
        <w:outlineLvl w:val="1"/>
        <w:rPr>
          <w:rFonts w:hint="eastAsia" w:ascii="仿宋" w:hAnsi="仿宋" w:eastAsia="仿宋" w:cs="仿宋"/>
          <w:color w:val="auto"/>
          <w:spacing w:val="13"/>
          <w:w w:val="95"/>
          <w:sz w:val="32"/>
          <w:szCs w:val="32"/>
          <w:highlight w:val="none"/>
        </w:rPr>
      </w:pPr>
      <w:bookmarkStart w:id="8" w:name="_Toc6345"/>
    </w:p>
    <w:p>
      <w:pPr>
        <w:pStyle w:val="13"/>
        <w:spacing w:line="560" w:lineRule="exact"/>
        <w:ind w:firstLine="660" w:firstLineChars="200"/>
        <w:outlineLvl w:val="1"/>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七、对本次招标提出询问，请按以下方式联系。</w:t>
      </w:r>
      <w:bookmarkEnd w:id="8"/>
    </w:p>
    <w:p>
      <w:pPr>
        <w:pStyle w:val="13"/>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1.采购人信息</w:t>
      </w:r>
    </w:p>
    <w:p>
      <w:pPr>
        <w:pStyle w:val="13"/>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名 称：</w:t>
      </w:r>
      <w:r>
        <w:rPr>
          <w:rFonts w:hint="eastAsia" w:ascii="仿宋" w:hAnsi="仿宋" w:eastAsia="仿宋" w:cs="仿宋"/>
          <w:color w:val="auto"/>
          <w:spacing w:val="13"/>
          <w:w w:val="95"/>
          <w:sz w:val="32"/>
          <w:szCs w:val="32"/>
          <w:highlight w:val="none"/>
          <w:lang w:eastAsia="zh-CN"/>
        </w:rPr>
        <w:t>来宾市卫生学校（来宾市卫生干部培训中心）</w:t>
      </w:r>
    </w:p>
    <w:p>
      <w:pPr>
        <w:pStyle w:val="13"/>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地址：</w:t>
      </w:r>
      <w:r>
        <w:rPr>
          <w:rFonts w:hint="eastAsia" w:ascii="仿宋" w:hAnsi="仿宋" w:eastAsia="仿宋" w:cs="仿宋"/>
          <w:color w:val="auto"/>
          <w:spacing w:val="13"/>
          <w:w w:val="95"/>
          <w:sz w:val="32"/>
          <w:szCs w:val="32"/>
          <w:highlight w:val="none"/>
          <w:lang w:eastAsia="zh-CN"/>
        </w:rPr>
        <w:t>来宾市华侨大道水韵路68号</w:t>
      </w:r>
    </w:p>
    <w:p>
      <w:pPr>
        <w:pStyle w:val="13"/>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联系方式：</w:t>
      </w:r>
      <w:r>
        <w:rPr>
          <w:rFonts w:hint="eastAsia" w:ascii="仿宋" w:hAnsi="仿宋" w:eastAsia="仿宋" w:cs="仿宋"/>
          <w:color w:val="auto"/>
          <w:spacing w:val="13"/>
          <w:w w:val="95"/>
          <w:sz w:val="32"/>
          <w:szCs w:val="32"/>
          <w:highlight w:val="none"/>
          <w:lang w:eastAsia="zh-CN"/>
        </w:rPr>
        <w:t>何老师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 xml:space="preserve"> </w:t>
      </w:r>
      <w:r>
        <w:rPr>
          <w:rFonts w:hint="eastAsia" w:ascii="仿宋" w:hAnsi="仿宋" w:eastAsia="仿宋" w:cs="仿宋"/>
          <w:color w:val="auto"/>
          <w:spacing w:val="13"/>
          <w:w w:val="95"/>
          <w:sz w:val="32"/>
          <w:szCs w:val="32"/>
          <w:highlight w:val="none"/>
          <w:lang w:eastAsia="zh-CN"/>
        </w:rPr>
        <w:t>0772-4211028</w:t>
      </w:r>
    </w:p>
    <w:p>
      <w:pPr>
        <w:pStyle w:val="13"/>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2.采购代理机构信息</w:t>
      </w:r>
    </w:p>
    <w:p>
      <w:pPr>
        <w:pStyle w:val="13"/>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名</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称：广西龙建工程管理有限公司</w:t>
      </w:r>
    </w:p>
    <w:p>
      <w:pPr>
        <w:pStyle w:val="13"/>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地</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址：来宾市政和路北88号硅谷大厦3楼</w:t>
      </w:r>
    </w:p>
    <w:p>
      <w:pPr>
        <w:pStyle w:val="13"/>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联系方式：黄工  0772-4280129</w:t>
      </w:r>
    </w:p>
    <w:p>
      <w:pPr>
        <w:pStyle w:val="13"/>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3.项目联系方式</w:t>
      </w:r>
    </w:p>
    <w:p>
      <w:pPr>
        <w:pStyle w:val="13"/>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项目联系人：黄工</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电话：0772-4280129</w:t>
      </w:r>
    </w:p>
    <w:p>
      <w:pPr>
        <w:autoSpaceDE/>
        <w:autoSpaceDN/>
        <w:spacing w:line="560" w:lineRule="exact"/>
        <w:ind w:firstLine="640" w:firstLineChars="200"/>
        <w:rPr>
          <w:color w:val="auto"/>
          <w:highlight w:val="none"/>
        </w:rPr>
      </w:pPr>
      <w:r>
        <w:rPr>
          <w:rFonts w:hint="eastAsia" w:ascii="仿宋" w:hAnsi="仿宋" w:eastAsia="仿宋" w:cs="仿宋"/>
          <w:color w:val="auto"/>
          <w:sz w:val="32"/>
          <w:szCs w:val="32"/>
          <w:highlight w:val="none"/>
        </w:rPr>
        <w:t xml:space="preserve"> </w:t>
      </w:r>
    </w:p>
    <w:p>
      <w:pPr>
        <w:pStyle w:val="13"/>
        <w:spacing w:line="520" w:lineRule="exact"/>
        <w:ind w:firstLine="3960" w:firstLineChars="1200"/>
        <w:rPr>
          <w:rFonts w:hint="eastAsia" w:ascii="仿宋" w:hAnsi="仿宋" w:eastAsia="仿宋" w:cs="仿宋"/>
          <w:color w:val="auto"/>
          <w:spacing w:val="13"/>
          <w:w w:val="95"/>
          <w:sz w:val="32"/>
          <w:szCs w:val="32"/>
          <w:highlight w:val="none"/>
        </w:rPr>
      </w:pPr>
    </w:p>
    <w:p>
      <w:pPr>
        <w:pStyle w:val="13"/>
        <w:spacing w:line="520" w:lineRule="exact"/>
        <w:ind w:firstLine="3960" w:firstLineChars="1200"/>
        <w:rPr>
          <w:rFonts w:hint="eastAsia" w:ascii="仿宋" w:hAnsi="仿宋" w:eastAsia="仿宋" w:cs="仿宋"/>
          <w:color w:val="auto"/>
          <w:spacing w:val="13"/>
          <w:w w:val="95"/>
          <w:sz w:val="32"/>
          <w:szCs w:val="32"/>
          <w:highlight w:val="none"/>
        </w:rPr>
      </w:pPr>
    </w:p>
    <w:p>
      <w:pPr>
        <w:pStyle w:val="13"/>
        <w:spacing w:line="520" w:lineRule="exact"/>
        <w:ind w:firstLine="3960" w:firstLineChars="1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 xml:space="preserve">广西龙建工程管理有限公司 </w:t>
      </w:r>
    </w:p>
    <w:p>
      <w:pPr>
        <w:pStyle w:val="13"/>
        <w:spacing w:line="520" w:lineRule="exact"/>
        <w:ind w:firstLine="4950" w:firstLineChars="15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lang w:val="en-US" w:eastAsia="zh-CN"/>
        </w:rPr>
        <w:t xml:space="preserve">  2024</w:t>
      </w:r>
      <w:r>
        <w:rPr>
          <w:rFonts w:hint="eastAsia" w:ascii="仿宋" w:hAnsi="仿宋" w:eastAsia="仿宋" w:cs="仿宋"/>
          <w:color w:val="auto"/>
          <w:spacing w:val="13"/>
          <w:w w:val="95"/>
          <w:sz w:val="32"/>
          <w:szCs w:val="32"/>
          <w:highlight w:val="none"/>
        </w:rPr>
        <w:t>年</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日</w:t>
      </w:r>
    </w:p>
    <w:p>
      <w:pPr>
        <w:pStyle w:val="13"/>
        <w:spacing w:line="560" w:lineRule="exact"/>
        <w:ind w:firstLine="660" w:firstLineChars="200"/>
        <w:rPr>
          <w:rFonts w:ascii="仿宋" w:hAnsi="仿宋" w:eastAsia="仿宋" w:cs="仿宋"/>
          <w:color w:val="auto"/>
          <w:spacing w:val="13"/>
          <w:w w:val="95"/>
          <w:sz w:val="32"/>
          <w:szCs w:val="32"/>
          <w:highlight w:val="none"/>
        </w:rPr>
        <w:sectPr>
          <w:headerReference r:id="rId3" w:type="default"/>
          <w:footerReference r:id="rId4" w:type="default"/>
          <w:pgSz w:w="11911" w:h="16838"/>
          <w:pgMar w:top="1247" w:right="1247" w:bottom="1247" w:left="1247" w:header="1134" w:footer="1247" w:gutter="0"/>
          <w:pgBorders>
            <w:top w:val="none" w:sz="0" w:space="0"/>
            <w:left w:val="none" w:sz="0" w:space="0"/>
            <w:bottom w:val="none" w:sz="0" w:space="0"/>
            <w:right w:val="none" w:sz="0" w:space="0"/>
          </w:pgBorders>
          <w:pgNumType w:start="1"/>
          <w:cols w:space="0" w:num="1"/>
        </w:sectPr>
      </w:pPr>
    </w:p>
    <w:p>
      <w:pPr>
        <w:pStyle w:val="2"/>
        <w:rPr>
          <w:color w:val="auto"/>
          <w:highlight w:val="none"/>
        </w:rPr>
      </w:pPr>
      <w:bookmarkStart w:id="9" w:name="_Toc9970"/>
      <w:r>
        <w:rPr>
          <w:color w:val="auto"/>
          <w:highlight w:val="none"/>
        </w:rPr>
        <w:t>第二章  采购需求</w:t>
      </w:r>
      <w:bookmarkEnd w:id="9"/>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说明：</w:t>
      </w:r>
    </w:p>
    <w:p>
      <w:pPr>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本项目至少包含以下设备，投标人必须就《货物及服务需求一览表》中的所有内容作完整唯一报价，否则，其投标将被拒绝。投标报价是履行合同的最终价格，投标报价必须包括设备的所有费用，包括采购、运输、劳务、管理、利润、税金、保险、协调、安装、调试、培训、售后服务以及所有的</w:t>
      </w:r>
      <w:r>
        <w:rPr>
          <w:rFonts w:hint="eastAsia" w:ascii="仿宋" w:hAnsi="仿宋" w:eastAsia="仿宋" w:cs="仿宋"/>
          <w:bCs/>
          <w:color w:val="auto"/>
          <w:sz w:val="32"/>
          <w:szCs w:val="32"/>
          <w:highlight w:val="none"/>
          <w:lang w:eastAsia="zh-CN"/>
        </w:rPr>
        <w:t>不确</w:t>
      </w:r>
      <w:r>
        <w:rPr>
          <w:rFonts w:hint="eastAsia" w:ascii="仿宋" w:hAnsi="仿宋" w:eastAsia="仿宋" w:cs="仿宋"/>
          <w:bCs/>
          <w:color w:val="auto"/>
          <w:sz w:val="32"/>
          <w:szCs w:val="32"/>
          <w:highlight w:val="none"/>
        </w:rPr>
        <w:t>定因素的风险等。</w:t>
      </w:r>
    </w:p>
    <w:p>
      <w:pPr>
        <w:spacing w:line="560" w:lineRule="exact"/>
        <w:ind w:firstLine="640" w:firstLineChars="200"/>
        <w:rPr>
          <w:rFonts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”的品目属于政府强制采购节能产品，如本项目包含的配套货物属于品目清单内标注“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”的产品时，供应商的投标货物必须使用政府强制采购的节能产品，投标人必须在投标文件中提供所投标产品的节能产品认证证书复印件（加盖投标人公章），否则投标文件作无效处理。</w:t>
      </w:r>
      <w:r>
        <w:rPr>
          <w:rFonts w:hint="eastAsia" w:ascii="仿宋" w:hAnsi="仿宋" w:eastAsia="仿宋" w:cs="仿宋"/>
          <w:b/>
          <w:color w:val="auto"/>
          <w:sz w:val="32"/>
          <w:szCs w:val="32"/>
          <w:highlight w:val="none"/>
        </w:rPr>
        <w:t xml:space="preserve"> </w:t>
      </w:r>
    </w:p>
    <w:p>
      <w:pPr>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w:t>
      </w:r>
      <w:r>
        <w:rPr>
          <w:rFonts w:hint="eastAsia" w:ascii="仿宋" w:hAnsi="仿宋" w:eastAsia="仿宋" w:cs="仿宋"/>
          <w:bCs/>
          <w:color w:val="auto"/>
          <w:sz w:val="32"/>
          <w:szCs w:val="32"/>
          <w:highlight w:val="none"/>
          <w:lang w:eastAsia="zh-CN"/>
        </w:rPr>
        <w:t>不</w:t>
      </w:r>
      <w:r>
        <w:rPr>
          <w:rFonts w:hint="eastAsia" w:ascii="仿宋" w:hAnsi="仿宋" w:eastAsia="仿宋" w:cs="仿宋"/>
          <w:color w:val="auto"/>
          <w:sz w:val="32"/>
          <w:szCs w:val="32"/>
          <w:highlight w:val="none"/>
        </w:rPr>
        <w:t>接受进口产</w:t>
      </w:r>
      <w:r>
        <w:rPr>
          <w:rFonts w:hint="eastAsia" w:ascii="仿宋" w:hAnsi="仿宋" w:eastAsia="仿宋" w:cs="仿宋"/>
          <w:bCs/>
          <w:color w:val="auto"/>
          <w:sz w:val="32"/>
          <w:szCs w:val="32"/>
          <w:highlight w:val="none"/>
        </w:rPr>
        <w:t xml:space="preserve">品。 </w:t>
      </w:r>
    </w:p>
    <w:p>
      <w:pPr>
        <w:spacing w:line="560" w:lineRule="exact"/>
        <w:ind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中小企业划分标准所属行业：工业。</w:t>
      </w:r>
    </w:p>
    <w:p>
      <w:pPr>
        <w:spacing w:line="560" w:lineRule="exact"/>
        <w:ind w:firstLine="640" w:firstLineChars="200"/>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（5）</w:t>
      </w:r>
      <w:r>
        <w:rPr>
          <w:rFonts w:hint="eastAsia" w:ascii="仿宋" w:hAnsi="仿宋" w:eastAsia="仿宋" w:cs="仿宋"/>
          <w:b/>
          <w:bCs w:val="0"/>
          <w:color w:val="auto"/>
          <w:sz w:val="32"/>
          <w:szCs w:val="32"/>
          <w:highlight w:val="none"/>
          <w:lang w:val="en-US" w:eastAsia="zh-CN"/>
        </w:rPr>
        <w:t>1标段的核心产品</w:t>
      </w:r>
      <w:r>
        <w:rPr>
          <w:rFonts w:hint="eastAsia" w:ascii="仿宋" w:hAnsi="仿宋" w:eastAsia="仿宋" w:cs="仿宋"/>
          <w:bCs/>
          <w:color w:val="auto"/>
          <w:sz w:val="32"/>
          <w:szCs w:val="32"/>
          <w:highlight w:val="none"/>
          <w:lang w:val="en-US" w:eastAsia="zh-CN"/>
        </w:rPr>
        <w:t>：教学一体机、教学配套电脑、NTP效时服务器</w:t>
      </w:r>
    </w:p>
    <w:p>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1标段的采购需求</w:t>
      </w:r>
    </w:p>
    <w:tbl>
      <w:tblPr>
        <w:tblStyle w:val="25"/>
        <w:tblW w:w="5009" w:type="pct"/>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31"/>
        <w:gridCol w:w="6824"/>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2" w:type="pct"/>
            <w:noWrap/>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bookmarkStart w:id="10" w:name="OLE_LINK1"/>
            <w:r>
              <w:rPr>
                <w:rFonts w:hint="eastAsia" w:asciiTheme="minorEastAsia" w:hAnsiTheme="minorEastAsia" w:eastAsiaTheme="minorEastAsia" w:cstheme="minorEastAsia"/>
                <w:color w:val="000000"/>
                <w:kern w:val="0"/>
                <w:sz w:val="21"/>
                <w:szCs w:val="21"/>
              </w:rPr>
              <w:t>序号</w:t>
            </w:r>
          </w:p>
        </w:tc>
        <w:tc>
          <w:tcPr>
            <w:tcW w:w="446" w:type="pct"/>
            <w:vAlign w:val="center"/>
          </w:tcPr>
          <w:p>
            <w:pPr>
              <w:widowControl/>
              <w:spacing w:line="360" w:lineRule="auto"/>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设备名称</w:t>
            </w:r>
          </w:p>
        </w:tc>
        <w:tc>
          <w:tcPr>
            <w:tcW w:w="3666" w:type="pct"/>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招标参数</w:t>
            </w:r>
          </w:p>
        </w:tc>
        <w:tc>
          <w:tcPr>
            <w:tcW w:w="322" w:type="pct"/>
            <w:noWrap/>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c>
          <w:tcPr>
            <w:tcW w:w="282" w:type="pct"/>
            <w:noWrap/>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2" w:type="pct"/>
            <w:noWrap/>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w:t>
            </w:r>
          </w:p>
        </w:tc>
        <w:tc>
          <w:tcPr>
            <w:tcW w:w="446" w:type="pct"/>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教学配套</w:t>
            </w:r>
            <w:r>
              <w:rPr>
                <w:rFonts w:hint="eastAsia" w:asciiTheme="minorEastAsia" w:hAnsiTheme="minorEastAsia" w:eastAsiaTheme="minorEastAsia" w:cstheme="minorEastAsia"/>
                <w:sz w:val="21"/>
                <w:szCs w:val="21"/>
                <w:lang w:eastAsia="zh-CN"/>
              </w:rPr>
              <w:t>电脑</w:t>
            </w:r>
          </w:p>
        </w:tc>
        <w:tc>
          <w:tcPr>
            <w:tcW w:w="3666" w:type="pc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1、机型：国产处理器商用台式机；</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2、处理器：主频≥3.0GHz、核心≥8个、缓存≥16MB，x86架构；</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主板：与处理器相匹配芯片组主板，具备智能温控系统，根据运行应用软件的负载等级和设备温度确定风扇转速优化计算机使用寿命及功耗。投标文件中提供（包括但不限于产品彩页、官网截图、相关检测报告等）证明材料，否则投标无效；</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4、内存：≥8GB DDR4 2666MHz 内存，≥4个内存插槽；</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5、硬盘：≥256TB SSD，1TB3.5英寸SATA硬盘；</w:t>
            </w:r>
          </w:p>
          <w:p>
            <w:pPr>
              <w:spacing w:line="360" w:lineRule="auto"/>
              <w:rPr>
                <w:rFonts w:hint="eastAsia" w:ascii="宋体" w:hAnsi="宋体" w:eastAsia="宋体" w:cs="宋体"/>
                <w:sz w:val="21"/>
                <w:szCs w:val="21"/>
              </w:rPr>
            </w:pPr>
            <w:r>
              <w:rPr>
                <w:rFonts w:hint="eastAsia" w:ascii="宋体" w:hAnsi="宋体" w:eastAsia="宋体" w:cs="宋体"/>
                <w:sz w:val="21"/>
                <w:szCs w:val="21"/>
              </w:rPr>
              <w:t>6、光驱：内置DVDRW光驱；</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7、显卡：国产≥2GB显存独立显卡，≥VGA + HDMI视频输出接口；</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8、音频：集成5.1声道高清声卡，≥5个音频接口，具备硬件语音降噪技术，即使用普通外置麦克风也可实现有效消除背景噪音达到清晰语音通话效果。投标文件中提供（包括但不限于产品彩页、官网截图、相关检测报告等）证明材料，否则投标无效；</w:t>
            </w:r>
          </w:p>
          <w:p>
            <w:pPr>
              <w:spacing w:line="360" w:lineRule="auto"/>
              <w:rPr>
                <w:rFonts w:hint="eastAsia" w:ascii="宋体" w:hAnsi="宋体" w:eastAsia="宋体" w:cs="宋体"/>
                <w:sz w:val="21"/>
                <w:szCs w:val="21"/>
              </w:rPr>
            </w:pPr>
            <w:r>
              <w:rPr>
                <w:rFonts w:hint="eastAsia" w:ascii="宋体" w:hAnsi="宋体" w:eastAsia="宋体" w:cs="宋体"/>
                <w:sz w:val="21"/>
                <w:szCs w:val="21"/>
              </w:rPr>
              <w:t>9、网卡：集成千兆网卡；</w:t>
            </w:r>
          </w:p>
          <w:p>
            <w:pPr>
              <w:spacing w:line="360" w:lineRule="auto"/>
              <w:rPr>
                <w:rFonts w:hint="eastAsia" w:ascii="宋体" w:hAnsi="宋体" w:eastAsia="宋体" w:cs="宋体"/>
                <w:sz w:val="21"/>
                <w:szCs w:val="21"/>
              </w:rPr>
            </w:pPr>
            <w:r>
              <w:rPr>
                <w:rFonts w:hint="eastAsia" w:ascii="宋体" w:hAnsi="宋体" w:eastAsia="宋体" w:cs="宋体"/>
                <w:sz w:val="21"/>
                <w:szCs w:val="21"/>
              </w:rPr>
              <w:t>10、I/O扩展槽：≥4个PCIe标准插槽，其中是少1个PCIe4.0 x16插槽；</w:t>
            </w:r>
          </w:p>
          <w:p>
            <w:pPr>
              <w:spacing w:line="360" w:lineRule="auto"/>
              <w:rPr>
                <w:rFonts w:hint="eastAsia" w:ascii="宋体" w:hAnsi="宋体" w:eastAsia="宋体" w:cs="宋体"/>
                <w:sz w:val="21"/>
                <w:szCs w:val="21"/>
              </w:rPr>
            </w:pPr>
            <w:r>
              <w:rPr>
                <w:rFonts w:hint="eastAsia" w:ascii="宋体" w:hAnsi="宋体" w:eastAsia="宋体" w:cs="宋体"/>
                <w:sz w:val="21"/>
                <w:szCs w:val="21"/>
              </w:rPr>
              <w:t>11、I/O扩展接口：≥11个USB3.2 Gen1接口（或≥9个USB接口），≥1个串口；</w:t>
            </w:r>
          </w:p>
          <w:p>
            <w:pPr>
              <w:spacing w:line="360" w:lineRule="auto"/>
              <w:rPr>
                <w:rFonts w:hint="eastAsia" w:ascii="宋体" w:hAnsi="宋体" w:eastAsia="宋体" w:cs="宋体"/>
                <w:sz w:val="21"/>
                <w:szCs w:val="21"/>
              </w:rPr>
            </w:pPr>
            <w:r>
              <w:rPr>
                <w:rFonts w:hint="eastAsia" w:ascii="宋体" w:hAnsi="宋体" w:eastAsia="宋体" w:cs="宋体"/>
                <w:sz w:val="21"/>
                <w:szCs w:val="21"/>
              </w:rPr>
              <w:t>12、键盘鼠标：USB接口防泼溅键盘、光电鼠标；</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13、电源：≥350W电源，具备断电保护功能，通过充电模块、储电模块及转换模块，在突然断电情况下输出12V、5V、3.3V电力供应计算机主要部件完成正常关闭流程，降低计算机故障。投标文件中提供（包括但不限于产品彩页、官网截图、相关检测报告等）证明材料，否则投标无效；</w:t>
            </w:r>
          </w:p>
          <w:p>
            <w:pPr>
              <w:spacing w:line="360" w:lineRule="auto"/>
              <w:rPr>
                <w:rFonts w:hint="eastAsia" w:ascii="宋体" w:hAnsi="宋体" w:eastAsia="宋体" w:cs="宋体"/>
                <w:sz w:val="21"/>
                <w:szCs w:val="21"/>
              </w:rPr>
            </w:pPr>
            <w:r>
              <w:rPr>
                <w:rFonts w:hint="eastAsia" w:ascii="宋体" w:hAnsi="宋体" w:eastAsia="宋体" w:cs="宋体"/>
                <w:sz w:val="21"/>
                <w:szCs w:val="21"/>
              </w:rPr>
              <w:t>14、BIOS：国产固件；</w:t>
            </w:r>
          </w:p>
          <w:p>
            <w:pPr>
              <w:spacing w:line="360" w:lineRule="auto"/>
              <w:rPr>
                <w:rFonts w:hint="eastAsia" w:ascii="宋体" w:hAnsi="宋体" w:eastAsia="宋体" w:cs="宋体"/>
                <w:sz w:val="21"/>
                <w:szCs w:val="21"/>
              </w:rPr>
            </w:pPr>
            <w:r>
              <w:rPr>
                <w:rFonts w:hint="eastAsia" w:ascii="宋体" w:hAnsi="宋体" w:eastAsia="宋体" w:cs="宋体"/>
                <w:sz w:val="21"/>
                <w:szCs w:val="21"/>
              </w:rPr>
              <w:t>15、机箱：立卧可转换的纤小型机箱，机箱体积≤10L；</w:t>
            </w:r>
          </w:p>
          <w:p>
            <w:pPr>
              <w:spacing w:line="360" w:lineRule="auto"/>
              <w:rPr>
                <w:rFonts w:hint="eastAsia" w:ascii="宋体" w:hAnsi="宋体" w:eastAsia="宋体" w:cs="宋体"/>
                <w:sz w:val="21"/>
                <w:szCs w:val="21"/>
              </w:rPr>
            </w:pPr>
            <w:r>
              <w:rPr>
                <w:rFonts w:hint="eastAsia" w:ascii="宋体" w:hAnsi="宋体" w:eastAsia="宋体" w:cs="宋体"/>
                <w:sz w:val="21"/>
                <w:szCs w:val="21"/>
              </w:rPr>
              <w:t>16、操作系统：预装国产统信桌面操作系统或麒麟桌面操作系统，支持Windows专业版操作系统；</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17、显示器：≥23.8英寸液晶显示器，分辨率≥1920x1080、刷新率≥100Hz、亮度≥300nits、对比度≥4000:1，VGA + HDMI+ DP视频输入接口带原厂数字信号线缆、VESA标准安装孔；</w:t>
            </w:r>
          </w:p>
          <w:p>
            <w:pPr>
              <w:spacing w:line="360" w:lineRule="auto"/>
              <w:rPr>
                <w:rFonts w:hint="eastAsia" w:ascii="宋体" w:hAnsi="宋体" w:eastAsia="宋体" w:cs="宋体"/>
                <w:sz w:val="21"/>
                <w:szCs w:val="21"/>
              </w:rPr>
            </w:pPr>
            <w:r>
              <w:rPr>
                <w:rFonts w:hint="eastAsia" w:ascii="宋体" w:hAnsi="宋体" w:eastAsia="宋体" w:cs="宋体"/>
                <w:sz w:val="21"/>
                <w:szCs w:val="21"/>
              </w:rPr>
              <w:t>18、一键恢复：独立操作系统之外的基于BIOS层系统备份与恢复功能，支持多种介质备份与恢复（本地硬盘、U盘或移动硬盘等），支持多种方式部署（U盘部署、PXE部署和脚本部署等）、支持多种操作系统备份与恢复（Windows、 KyLin或UOS等）；</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19、保修服务：三年第二工作日上门免费保修服务。</w:t>
            </w:r>
          </w:p>
          <w:p>
            <w:pPr>
              <w:spacing w:line="360" w:lineRule="auto"/>
              <w:rPr>
                <w:rFonts w:hint="eastAsia" w:asciiTheme="minorEastAsia" w:hAnsiTheme="minorEastAsia" w:eastAsiaTheme="minorEastAsia" w:cstheme="minorEastAsia"/>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20其他要求：制造厂商提供每周七天专业技术支持、制造厂商通过客户联络中心标准体系五星级认证，为保障整机运行良好，实训终端具备国家级GB/T 9813.1-2016《计算机通用规范 第1部分：台式微型计算机》标准中可靠性检验，平均无故障时间MTBF的M1值≥1100000小时</w:t>
            </w:r>
          </w:p>
        </w:tc>
        <w:tc>
          <w:tcPr>
            <w:tcW w:w="322" w:type="pct"/>
            <w:noWrap/>
            <w:vAlign w:val="center"/>
          </w:tcPr>
          <w:p>
            <w:pPr>
              <w:spacing w:line="360"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282" w:type="pct"/>
            <w:noWrap/>
            <w:vAlign w:val="center"/>
          </w:tcPr>
          <w:p>
            <w:pPr>
              <w:widowControl/>
              <w:spacing w:line="360" w:lineRule="auto"/>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bidi="ar"/>
              </w:rPr>
              <w:t>套</w:t>
            </w:r>
          </w:p>
        </w:tc>
      </w:tr>
      <w:bookmarkEnd w:id="10"/>
    </w:tbl>
    <w:p>
      <w:pPr>
        <w:tabs>
          <w:tab w:val="center" w:pos="4708"/>
        </w:tabs>
        <w:rPr>
          <w:rFonts w:hint="eastAsia"/>
          <w:color w:val="auto"/>
          <w:highlight w:val="none"/>
        </w:rPr>
      </w:pPr>
    </w:p>
    <w:tbl>
      <w:tblPr>
        <w:tblStyle w:val="25"/>
        <w:tblW w:w="9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1165"/>
        <w:gridCol w:w="6098"/>
        <w:gridCol w:w="596"/>
        <w:gridCol w:w="525"/>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54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val="0"/>
                <w:color w:val="auto"/>
                <w:sz w:val="32"/>
                <w:szCs w:val="32"/>
                <w:highlight w:val="none"/>
                <w:lang w:val="en-US" w:eastAsia="zh-CN"/>
              </w:rPr>
              <w:t>图书馆监控增加及监控维修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招标参数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5"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摄像头</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报警触发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移动侦测（支持人形检测），异常</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Smart事件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区域入侵侦测，越界侦测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音频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1个内置麦克风</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网络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1个RJ45 10 M/100 M自适应以太网口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网络协议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TCP/IP，ICMP，HTTP，FTP，DHCP，DNS，RTP，RTSP，RTCP，NTP，SMTP，IGMP，QoS，UDP，Bonjour，SSL/TLS，HTTPS，DDNS，UPnP，802.1X，IPv6，IPv4</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同时预览路数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最多6路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接口协议（API）</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开放型网络视频接口，ISAPI，SDK，GB28181（2016）</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用户管理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最多32个用户，可分3级用户权限管理：管理员，操作员，普通用户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客户端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iVMS-4200</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浏览器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使用插件预览：IE10，IE11 使用本地服务预览：Chrome 57.0+，Firefox 52.0+，Edge 89+</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补光距离</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最远可达30 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防补光过曝</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补光灯类型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柔光灯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联动方式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上传FTP，上传中心，邮件，抓图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通用功能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心跳，密码保护，水印技术，IP地址过滤，像素计算器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恢复出厂设置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支持客户端或浏览器恢复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启动和工作温湿度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 °C~60 °C，湿度小于95%（无凝结）</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供电方式</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 xml:space="preserve"> DC：12 V ± 25%，支持防反接保护 PoE：IEEE 802.3af， </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电流及功耗</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 xml:space="preserve"> DC：12 V，0.5 A，最大功耗：6 W PoE：IEEE 802.3af，CLASS 3，最大功耗：7 W  DC：12 V，0.5 A，最大功耗：6 W</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电源接口类型</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Ø5.5 mm圆口</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产品尺寸</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2.8 mm焦距段型号： 182.8 × 92.7 × 87.6 mm 其他焦距段型号： 189.4 × 92.7 × 87.6 mm</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包装尺寸</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235 × 120 × 125 mm</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最大图像尺寸</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2560 × 1440</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主码流帧率分辨率</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50 Hz：25 fps（2560 × 1440 , 1920 × 1080，1280 × 720）</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子码流帧率分辨率</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50 Hz：25 fps（1280 × 720，640 × 480，640 × 360）</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视频压缩标准</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主码流：H.265/H.264 子码流：H.265/H.264 *主码流、子码流支持Smart编码</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视频压缩码率</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32 Kbps~8 Mbps</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H.264编码类型</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BaseLine Profile/Main Profile/High Profile</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H.265编码类型</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Main Profile</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码率控制</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定码率，变码率</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SVC</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支持</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ROI</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支持主码流设置1个固定区域</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镜头尺寸接口</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M16</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光圈类型</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固定光圈</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最大光圈数</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F1.0</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景深范围</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2.8 mm：2.4 m~∞ 4 mm：3.1 m~∞ 6 mm：6.8 m~∞ 8 mm：8.8 m~135 m</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焦距&amp;视场角</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2.8 mm，水平视场角：105.7°，垂直视场角：57.2°，对角视场角：124.5° 4 mm，水平视场角：88.7°，垂直视场角：44.7°，对角视场角：107.5° 6 mm，水平视场角：55.2°，垂直视场角：29.3°，对角视场角：64.6° 8 mm，水平视场角：38.8°，垂直视场角：21.1°，对角视场角：45.2°</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图像设置</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走廊模式（旋转模式），饱和度，亮度，对比度，锐度，AGC，白平衡通过客户端或者浏览器可调</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日夜转换模式</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白天，夜晚，自动，定时切换</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图像增强</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背光补偿，强光抑制，3D数字降噪</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防护</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IP66</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音频压缩标准</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G.711ulaw/G.711alaw/G.722.1/G.726/MP2L2/PCM/AAC-LC</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音频压缩码率</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64 Kbps（G.711ulaw/G.711alaw）/16 Kbps（G.722.1/G.726）/32~192 Kbps（MP2L2）/16~64 Kbps（AAC-LC）</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音频采样率</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8 kHz/16 kHz</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音频环境噪声过滤</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支持</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传感器类型</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1/1.8" Progressive Scan CMOS</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最低照度</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彩色：0.0005 Lux @（F1.0，AGC ON），0 Lux with Light</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快门</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1/3 s~1/100,000 s</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宽动态</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120 dB</w:t>
            </w:r>
          </w:p>
          <w:p>
            <w:pPr>
              <w:keepNext w:val="0"/>
              <w:keepLines w:val="0"/>
              <w:widowControl/>
              <w:suppressLineNumbers w:val="0"/>
              <w:spacing w:line="360" w:lineRule="auto"/>
              <w:jc w:val="left"/>
              <w:textAlignment w:val="center"/>
              <w:rPr>
                <w:rStyle w:val="65"/>
                <w:rFonts w:hint="eastAsia" w:asciiTheme="minorEastAsia" w:hAnsiTheme="minorEastAsia" w:eastAsiaTheme="minorEastAsia" w:cstheme="minorEastAsia"/>
                <w:sz w:val="21"/>
                <w:szCs w:val="21"/>
                <w:lang w:val="en-US" w:eastAsia="zh-CN" w:bidi="ar"/>
              </w:rPr>
            </w:pPr>
            <w:r>
              <w:rPr>
                <w:rStyle w:val="65"/>
                <w:rFonts w:hint="eastAsia" w:asciiTheme="minorEastAsia" w:hAnsiTheme="minorEastAsia" w:eastAsiaTheme="minorEastAsia" w:cstheme="minorEastAsia"/>
                <w:sz w:val="21"/>
                <w:szCs w:val="21"/>
                <w:lang w:val="en-US" w:eastAsia="zh-CN" w:bidi="ar"/>
              </w:rPr>
              <w:t>日夜切换模式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Style w:val="65"/>
                <w:rFonts w:hint="eastAsia" w:asciiTheme="minorEastAsia" w:hAnsiTheme="minorEastAsia" w:eastAsiaTheme="minorEastAsia" w:cstheme="minorEastAsia"/>
                <w:sz w:val="21"/>
                <w:szCs w:val="21"/>
                <w:lang w:val="en-US" w:eastAsia="zh-CN" w:bidi="ar"/>
              </w:rPr>
              <w:t>ICR红外滤片式</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图书馆用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监控盘</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8TB容量，3.5英寸，SATA3.0接口，7200RPM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空气盘， CMR传统磁记录</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传输速率255 MB/s，流畅存储视频有效防止丢帧</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MTBF可达2,000,000小时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高级格式（AF）512e扇区技术，保障硬盘扇区4K对齐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满足数据严苛的7*24小时运行可靠性、安全性的需求</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机房监控用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交换机</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千兆网络接入设计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 IEEE 802.3at/af</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 PoE 输出功率管理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 6 KV 防浪涌</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坚固式高强度金属外壳</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无风扇设计，高可靠性</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图书馆用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楼层交换机</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千兆网络接入设计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支持IEEE 802.3at/af</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支持PoE输出功率管理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支持 6 KV 防浪涌</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坚固式高强度金属外壳</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无风扇设计，高可靠性</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护理楼用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NTP效时服务器</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(ARM+北斗+GPS+NTP+1*1路IPPS+1GbE×2)/1U</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推荐EBG行业及边缘场景使用，推荐前端接入规模500路以内使用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产品特点：</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精密的校时精度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超高守时能力</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支持GPS、北斗、上级NTP校时（默认北斗）</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支持多网域校时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产品小型化、安装方式多样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支持双机热备方案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处理器：ARM处理器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同步精度：卫星同步精度纳秒级；NTP同步精度毫秒级；</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内存：128M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授时容量：500次/每秒（默认NTP1~2端口绑定，实现网口高可用）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授时精度：≤1ms</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授时频段：GPS: 1575.42±1.023MHz ，北斗: 1561.098±2.046MHz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接口：2个NTP授时端口（RJ45）：NTP1~NTP2，对外授时接口，位于机箱前部，支持网口绑定；</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1个GPS/BD天线接口：位于机箱后部；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1个串口（RJ45）：调试使用，位于机箱前部；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1个NTP输入口（RJ45）：上级NTP设备输入使用，位于机箱前部；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1个管理口（RJ45）：接入网络，进入校时软件管理页面;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1个1PPS输出口：支持1路1PPS时间输出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指示灯：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电源指示灯，标识PWR，绿：有外部电源输入，灭：无外部电源输入；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卫星指示灯，标识GNSS，绿：卫星搜星正常，灭：卫星搜星异常；</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NTP输入状态指示灯，标识NTPINP，绿色常亮：NTP输入正常，绿色闪烁：锁定NTP输入源，灭：未同步；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授时状态指示灯，标识SYNC，绿色常亮：设备正常输出，绿色闪烁：设备守时输出，灭：未同步。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电源电压：90-240V/55Hz±8Hz  10w</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机箱：1U机架式或壁挂式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工作温度：-40℃--＋85℃</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工作湿度：5％--95％ 无凝结</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机箱尺寸：191*260*36.5mm (设备)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重量： ≤1KG</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软件功能：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设备上电或重启后，系统自启校时服务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支持BD/GPS模式对待授时设备进行授时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支持对监控设备（DVR、NVR、网络摄像机）、服务器进行授时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支持双机心跳监测互备功能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支持上级NTP设备输入级联</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可通过WEB管理对NTP时钟进行配置管理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支持NTP告警记录和日志信息查询导出</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整个学校监控校准时间用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网线</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超5类纯铜网线</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箱</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防水箱</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白色    高档环保喷塑480mm*350mm*150</w:t>
            </w:r>
            <w:r>
              <w:rPr>
                <w:rFonts w:hint="eastAsia" w:asciiTheme="minorEastAsia" w:hAnsiTheme="minorEastAsia" w:eastAsiaTheme="minorEastAsia" w:cstheme="minorEastAsia"/>
                <w:sz w:val="21"/>
                <w:szCs w:val="21"/>
                <w:highlight w:val="none"/>
                <w:lang w:val="en-US" w:eastAsia="zh-CN"/>
              </w:rPr>
              <w:t>mm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电源线</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RVV2*1.5纯铜电线</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排插</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6位无线排插</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支架</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ABS塑料170mm*95mm*60</w:t>
            </w:r>
            <w:r>
              <w:rPr>
                <w:rFonts w:hint="eastAsia" w:asciiTheme="minorEastAsia" w:hAnsiTheme="minorEastAsia" w:eastAsiaTheme="minorEastAsia" w:cstheme="minorEastAsia"/>
                <w:sz w:val="21"/>
                <w:szCs w:val="21"/>
                <w:highlight w:val="none"/>
                <w:lang w:val="en-US" w:eastAsia="zh-CN"/>
              </w:rPr>
              <w:t>mm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监控安装施工费</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监控安装调试（3个工作日）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监控效时服务费</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监控NTP效时调试（7个工作日,大概300个监控头）</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线槽</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4线槽</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UPS</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U在线式，额定容量 1KVA，额定功率 1000W，面板显示 LED显示UPS的运行状况，LCD显示UPS的运行参数，报警功能 电池电压，市电异常，过载，UPS故障，过温保护， 过压保护，过温保护，短路保护，电池欠压保护</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54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i w:val="0"/>
                <w:iCs w:val="0"/>
                <w:color w:val="000000"/>
                <w:kern w:val="0"/>
                <w:sz w:val="32"/>
                <w:szCs w:val="32"/>
                <w:u w:val="none"/>
                <w:lang w:val="en-US" w:eastAsia="zh-CN" w:bidi="ar"/>
              </w:rPr>
              <w:t>教学一体机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招标参数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5"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实训室教学一体机</w:t>
            </w:r>
          </w:p>
        </w:tc>
        <w:tc>
          <w:tcPr>
            <w:tcW w:w="6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一、整机护眼及安全接口设计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2、纸质护眼模式下，显示画面各像素点灰度不规则，减少背景干扰。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3、支持经典护眼模式，可通过前置面板物理功能按键一键启用经典护眼模式。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4、机身具备防盐雾锈蚀特性，且满足GB4943.1-2011标准中的防火要求。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5、整机具备抗振动、防跌落特性，保证整机运输或使用过程中不易受损。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7、整机在0℃- 40℃环境下可正常工作，在-20℃—60℃的环境下可正常贮存且贮存后功能无损。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（二）接口设计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1、侧置输入接口具备≥2路HDMI、≥1路RS232、≥1路USB接口。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2、侧置输出接口具备≥1路音频输出、≥1路触控USB输出。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3、前置输入接口≥3路USB接口（包含≥1路Type-C、≥2路USB），前置USB接口支持Android系统、Windows系统读取外接移动存储设备。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5、外接电脑设备经双头Type-C线连接至整机，可调用整机内置的摄像头、麦克风、扬声器，在外接电脑即可控制整机拍摄教室画面。</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6、支持通过Type-C接口U盘进行文件传输，兼容Type-C接口手机充电。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二、整机系统设计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（一）电脑系统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1、CPU：搭载Intel  系列≥ i5 CPU。</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2、内存：8GB DDR4笔记本内存或以上配置。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3、硬盘：256GB或以上SSD固态硬盘。</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4、PC模块可抽拉式插入整机，可实现无单独接线的插拔，和整机的连接采用万兆级接口，传输速率≥10Gbps。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5、采用按压式卡扣，无需工具就可快速拆卸电脑模块。</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6、PC模块的USB接口须为冗余备份接口，在正常使用整机的内置摄像头、内置麦克风功能时，USB接口不被占用，确保教师有足够的接口外接存储设备及显示设备。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7、具有独立非外扩展的视频输出接口：≥1路HDMI。</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8、具有独立非外拓展的电脑 USB 接口：至少具备 3个USB3.0 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9、整机具备供电保护模块，能够检测内置电脑是否插好在位，在内置电脑未在位的情况下，内置电脑无法上电工作。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（二）触摸系统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1、采用红外触控技术，支持Windows系统中进行40点或以上触控，支持在Android系统中进行40点或以上触控。（投标时须提供国家认可的第三方检测机构出具的关于该功能检测报告复印件）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2、整机屏幕触摸有效识别高度不超过1.5mm，即触摸物体距离玻璃外表面高度不超过1.5mm时，触摸屏识别为点击操作。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3、整机触控书写功能集成预测算法，在书写速度≥50cm/s，支持笔迹距离笔的距离小于20mm。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4、整机系统支持书写触控延迟≤25ms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5、整机支持提笔书写，在Windows系统下可实现无需点击任意功能入口，当检测到红外笔笔尖接触屏幕时，自动进入书写模式。（投标时须提供国家认可的第三方检测机构出具的关于该功能检测报告复印件）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6、支持智能板擦功能，系统可根据触控物体的形状自动识别出实物板擦，可擦除电子白板中的内容，无需依赖外部电子设备。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7、支持Windows 7、Windows 8、Windows 10、Windows 11、Linux、Mac Os、UOS和麒麟系统外置电脑操作系统接入时，无需安装触摸驱动。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8、整机触摸支持动态压力感应，支持无任何电子功能的普通书写笔在整机上书写或点压时，整机能感应压力变化，书写或点压过程笔迹呈现不同粗细。</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（三）嵌入式系统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1、嵌入式系统版本不低于Android 13，内存≥2GB，存储空间≥8GB。（投标时须提供国家认可的第三方检测机构出具的关于该功能检测报告复印件）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2、嵌入式Android操作系统下，白板支持对已经书写的笔迹和形状的颜色进行更换。</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3、在嵌入式系统下使用白板软件时，整机可自行调节屏幕亮度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4、嵌入式Android操作系统下，互动白板支持不同背景颜色，同时提供学科背景，如：五线谱、信纸、田字格、英文格、篮球和足球场地平面图。</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6、无PC状态下，嵌入式系统内置互动白板支持全局漫游，并能在工具栏中对全局内容进行预览和移动。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7、无PC状态下，嵌入式Android操作系统下可使用白板书写、WPS软件和网页浏览。</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三、整机屏幕设计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1、整机采用一体设计，外部无任何可见内部功能模块连接线。整机采用全金属外壳设计，边角采用弧形设计，表面无尖锐边缘或凸起。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2、整机屏幕边缘采用金属圆角包边防护，整机背板采用金属材质，有效屏蔽内部电路器件辐射；防潮耐盐雾蚀锈，适应多种教学环境。</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3、整机屏幕采用≥86英寸液晶显示器，采用UHD超高清LED液晶屏，显示比例16:9，分辨率3840×2160，色域覆盖率（NTSC）≥72%，灰度等级≥256级。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4、整机采用全物理钢化玻璃，有效保护屏幕显示画面，采用防眩光玻璃，屏幕支持防眩光功能，钢化玻璃表面硬度≥9H。</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5、整机背光系统支持DC调光方式，多级亮度调节，支持白颜色背景下最暗亮度≤100nit，用于提升显示对比度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6、整机采用硬件低蓝光背光技术，在源头减少有害蓝光波段能量，蓝光占比（有害蓝光415～455nm能量综合）/（整体蓝光400～500能量综合）≤50%，低蓝光保护显示不偏色、不泛黄。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7、整机支持支持可自定义图像设置，可对对比度、屏幕色温、图像亮度、亮度范围、色彩空间进行更进一步调节设置。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8、整机支持色彩空间可选，包含标准模式和sRGB模式，在sRGB模式下可做到高色准△E≤1.0。（投标时须提供国家认可的第三方检测机构出具的关于该功能检测报告复印件）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四、多媒体教学设计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1、整机全通道侧边栏快捷菜单包含如下小工具：批注、降半屏、截屏、放大镜、倒计时、日历、聚光灯、秒表、冻屏、倒数日、答题、节拍器。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2、整机全通道侧边栏支持使用批注小工具进行批注讲解，可切换书写笔颜色、截屏保存批注内容、清屏，可根据手与屏幕的接触面积自动调整板擦工具的大小。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3、整机全通道侧边栏快捷菜单支持快捷调节音量、亮度，支持自动亮度模式，支持点击静音按钮静音。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4、教学中可以实时查看物联设备的连接情况，点击任意一台设备图标即可调出中控菜单进行管控。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5、整机安卓和全部外接通道（HDMI、Type-c）下侧边栏支持节拍器，支持设置节拍、轻重、节拍播放速度。全通道下可支持通过自定义按键调出该功能。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6、整机安卓和全部外接通道（HDMI、Type-C）下侧边栏支持设置倒数日。</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7、整机全通道侧边栏支持倒计时、正计时功能；倒计时，输入某特定时间值，可精确到秒，点击开始进入倒计时；正计时，点击开始计时便自动开始，并实时显示时间。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8、教学支持放大任意区域内容；并可支持对未选中区域关灯处理，实现聚光灯效果。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五、综合素质管理软件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1、支持通过数字账号、微信二维码、硬件密钥方式登录教师个人账号。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2、移动端支持教师/家长双重身份无缝切换，软件内可直接切换账户类型，无需安装多个APP应用或退出账号重新登录。</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3、兼容多平台系统，可在PC、Web、安卓、iOS等系统使用，且各终端数据互通，教师可多场景下对学生进行管理与评价。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4、支持汇总查看校内的班级评价排名，可以列表形式查看班主任、班级学生数、家长数、班级代码等信息。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5、支持查看校内某个班级的详细信息及学生个人表现记录，便于进行教学行为分析。</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6、支持创建新班级，可批量添加学生，同时支持将已有班级的学生与家长快速导入新班级。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7、支持进行校级、年级学生综合素质量表快速导入，教师可将针对不同年级学段以及校级综合素质量表快速导入班级。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8、支持按学生或小组的首字母、总分、表扬分数、待改进分数等维度进行排序，方便老师快速找到需要评价的学生或小组。</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9、支持考勤功能，可对学生的出勤、迟到、缺勤、请假状态进行记录，并支持查看课堂考勤统计报表，可详细查看班级考勤概览数据。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10、支持网页端、PC授课端查看学生成长统计报表，按饼状图形式展现学生课堂表现情况，支持查看班级或学生个人情况，并可追溯每条评价的原因、对象、分值，便于教师进行精准评价。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11、系统支持通过教师日常点评数据及专业心理测试，对学生能力进行分析，分析维度包括专注力、行为习惯、理解力、探索性、表达能力、组织能力等，并对各个能力维度进行能力解释、得分量化、潜力分析。</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六、教学功能设计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1、三合一电源按键，同一电源物理按键完成Android系统和Windows系统的开机、节能熄屏、关机操作；关机状态下按按键开机；开机状态下按按键实现节能熄屏/唤醒，长按按键实现关机。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2、设备支持通过前置面板物理按键一键启动录屏功能，可将屏幕中显示的课件、音频内容与人声同时录制。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4、整机支持自定义图像设置，可对对比度、屏幕色温、图像亮度、亮度范围、色彩空间调节设置。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5、整机关机状态下，通过长按电源键进入设置界面后，可点击屏幕选择故障检测、系统还原功能，系统还原可单独还原PC系统，单独还原整机系统。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6、整机无需外接无线网卡，在Android和Windows系统下可实现Wi-Fi无线上网连接、AP无线热点发射和BT蓝牙连接功能。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7、Wi-Fi和AP热点工作距离≥12m。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8、整机支持蓝牙Bluetooth 5.4标准，固件版本号HCI13.0/LMP13.0。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10、整机PC端支持主动发现蓝牙外设从而连接（无需整机进入发现模式），支持连接外部蓝牙音箱播放音频。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11、整机内置双WiFi6无线网卡，在Android下支持无线设备同时连接数量≥32个，在Windows系统下支持无线设备同时连接≥8个。</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13、整机可选择高级音效设置，支持在左右声道平衡显示范围中进行更改；中低频段显示调节范围125Hz～1KHz，高频段显示调节范围 2KHz～16KHz，分贝显示-12dB～12dB 调节范围。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14、整机上边框内置非独立式摄像头，采用一体化集成设计，摄像头数量≥4个。</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16、整机内置至少三个摄像头，像素值均大于800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17、具备摄像头工作指示灯，摄像头运行时，有指示灯提示。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18、整机扬声器在100%音量下，可做到1米处声压级≥88db，10米处声压级≥79dB。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19、整机设备自带地震预警软件。支持在地震预警页面中获取位置，可以手动进行位置校准。支持在地震预警页面中选择提醒阈值。支持在地震预警界面中开启和关闭地震预警服务。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21、整机内置非独立外扩展的8阵列麦克风，拾音角度≥180°，可用于对教室环境音频进行采集，拾音距离≥12m。（投标时须提供国家认可的第三方检测机构出具的关于该功能检测报告复印件）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23、整机上边框内置非独式广角摄像头和智能拼接摄像头， 均支持 3D 降噪算法和数字宽动态范围成像WDR 技术，支持输出 MJPG、 H.264 视频格式。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24、整机摄像头支持人脸识别、清点人数、随机抽人；识别所有学生，显示标记，然后随机抽选，同时显示标记不少于60人。（投标时须提供国家认可的第三方检测机构出具的关于该功能检测报告复印件）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25、整机设备教学桌面支持教学常用的教学白板软件和文件管理软件软件；教学桌面首页支持自定义桌面应用，支持展示8个应用入口。并提供进入本机所有应用的入口。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26、整机设备教学桌面支持查看设备盘符，支持本地磁盘和外接 U 盘、移动硬盘，点击即可打开该磁盘查看磁盘文件。教学桌面支持显示存储空间状态，当存储空间即将满载时候进行红色标记明显提示。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七、教学PPT小工具</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1、不借助其他软件情况下，播放PPT时即可实现书写、擦除功能；可支持课件所有页面的预览、可随意进行页面跳转和实现上下翻页。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2、不借助其他软件情况下，播放PPT时即可支持板中板功能，直接调用板中板辅助教学，可实现批注及加页，不影响课件整体内容。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4、不借助其他软件情况下，播放PPT时即可调用放大镜、聚光灯小工具辅助教学。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八、智慧互动教学软件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（1）教师端功能设计：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1、统计考勤：互动反馈系统支持无感考勤功能，学生连接成功后名字可显示在签到列表上，签到列表实时统计已签到人数，并查看未到的人员。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2、班级创建：支持老师主动创建班级，创建成功后，每次登录教师端即可直接进入班级列表，选择班级进入课堂。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4、抢答抽选：互动反馈系统支持抢答、抽选功能，活跃课堂氛围。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5、观点云词：互动反馈系统支持主观观点收集功能，支持学生们自主提交不多于200字的观点评论，并自动生成班级关键词云，点击关键词可查看对应学生名单和具体评论信息。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6、学情报告；互动反馈系统在上课结束后支持实时生成课程报告，课堂报告支持查看签到人数，课堂互动总数，平均参与度，提问个数，支持查看考勤详情，互动详情和提问详情。 资料分发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7、资料下发：支持教师端一键下发资料到全体学生端，并且支持撤回功能。下发的资料支持的文件多样，包含但不局限于以下格式：音视频格式，文档格式，图片格式。  。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8、课堂答疑：教师端在连接状态下可实时接收到来自学生的提问，提问内容可根据老师操作自动判断为已读或者未读，并且支持问题放大全屏查看。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9、批注分发：教师端批注功能支持在课中任意时刻对教师端内容进行批注，并且支持批注内容一键保存，自动上传到教师空间，同时发送到全员学生端  。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10、授课小工具：教师播放课件时，提供授课小工具，包括画笔、橡皮擦、板中板、放大镜和批注分享功能  。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11、无线传屏：教师端工具栏支持无线传屏，点击开启无线传屏则打开传屏码，老师自带笔记本在互动教学软件输入传屏码即可进行无线传屏。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（2）学生端功能设计：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1、资料回顾：支持接收教师端下发的资料，并且可根据日历查找不同时间接收的资料。支持通过学生端在任意时间查看文件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2、资料收藏管理：支持学生端对文件内的资料进行收藏管理，收藏过后的资料可以快速索引到。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3、课堂动态：支持在课堂中记录课堂动态，包括老师下发的文件，老师课堂中的板书，课堂互动结果记录，课堂提问多种类型的记录；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4、同步课件：当教师在全屏播放课件的时候，学生端也会同时播放课件，老师翻页学生端也会一起翻页，保证课堂课件同步展示；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5、学习空间：学生端互动教学软件app上线学习空间，支持学生在学习空间查看老师上传在课程平台的课件，通知记录，笔记记录，作业记录等，学生可以对课件每一页的内容进行提问，收藏，做笔记；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（3）小程序端功能设计：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1、扫码连接：互动教学软件学生端小程序支持微信扫码加入课堂，方便快捷开启课堂互动；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2、课堂互动：支持在小程序接收课堂答题互动，支持单选，多选，判断，抢答，观点多种类型的答题互动；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3、课堂动态：支持在课堂中记录课堂动态，包括老师下发的文件，老师课堂中的板书，课堂互动结果记录，课堂提问多种类型的记录；</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4、课堂提问：支持在小程序发起课堂提问，教师端会有提问记录，方便老师对学生疑问进行解答；</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5、同步课件：当教师在全屏播放课件的时候，学生端也会同时播放课件，老师翻页学生端也会一起翻页，保证课堂课件同步展示。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九、产品售后保障服务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1、全国24小时免费400电话保修、二维码扫描保修、区域化驻地技术工程师专线保修。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2、微信售后报修服务：快速输入相关问题及所在区域进行在线保修，贴心服务人员实时在线提供客服专线报修，更好更快的解决售后故障问题带来的使用不便。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3、微信问题查询服务：提供八大模块的问题查询及解决方案，现场完成简单故障的快速修复指导。</w:t>
            </w:r>
          </w:p>
          <w:p>
            <w:pPr>
              <w:pStyle w:val="13"/>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十、壁挂式视频展台</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一、硬件要求：</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▲1、采用≥800万像素摄像头；采用 USB五伏电源直接供电，无需额外配置电源适配器，环保无辐射；箱内USB连线采用隐藏式设计，箱内无可见连线且USB口下出，有效防止积尘，且方便布线和返修。</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2、A4大小拍摄幅面，1080P动态视频预览达到30帧/秒；托板及挂墙部分采用金属加强，托板可承重3kg，整机壁挂式安装。</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3、支持展台成像画面实时批注，预设多种笔划粗细及颜色供选择，且支持对展台成像画面联同批注内容进行同步缩放、移动。</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4、展示托板正上方具备LED补光灯，保证展示区域的亮度及展示效果，补光灯开关采用触摸按键设计，同时可通过交互智能平板中的软件直接控制开关；带自动对焦摄像头。</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5、具有故障自动检测功能：在调用展台却无法出现镜头采集画面信号时，可自动出现检测链接，并给出导致性原因（如硬件连接、摄像头占用、配套软件版本等问题）。</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二、软件要求：</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1、支持对展台画面进行放大、缩小、旋转、自适应、冻结画面等操作。</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2、支持展台画面实时批注，预设多种笔划粗细及颜色供选择，且支持对展台画面联同批注内容进行同步缩放、移动。</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3、支持展台画面拍照截图并进行多图预览，可对任一图片进行全屏显示。</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4、老师可在一体机或电脑上选择延时拍照功能，支持5秒或10秒延时模式，预留充足时间以便调整拍摄内容。</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5、具备图像增强功能，可自动裁剪背景并增强文字显示，使文档画面更清晰。</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可选择图像、文本或动态等多种情景模式，适应不同展示内容。支持故障自动检测，在软件无法出现展台拍摄画面时，自动出现检测链接，帮助用户检测“无画面”的原因，并给出引导性解决方案。可判断硬件连接、显卡驱动、摄像头占用、软件版本等问题。</w:t>
            </w:r>
          </w:p>
          <w:p>
            <w:pPr>
              <w:numPr>
                <w:ilvl w:val="0"/>
                <w:numId w:val="1"/>
              </w:num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支持二维码扫码功能：打开扫一扫功能后，将书本上的二维码放入扫描框内即可自动扫描，并进入系统浏览器获取二维码的链接内容，帮助老师快速获取电子教学资源。</w:t>
            </w:r>
          </w:p>
          <w:p>
            <w:pPr>
              <w:numPr>
                <w:ilvl w:val="0"/>
                <w:numId w:val="2"/>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有源音响 </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1.采用功放与有源音箱一体化设计，内置麦克风无线接收模块，帮助教师实现多媒体扩音以及本地扩声功能。</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2.输出额定功率≥ 2x15W。</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3.音箱灵敏度≥85dB，1W/1M。</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4.信噪比≥80dB@额定功率、A计权。</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5.全频喇叭单元尺寸≥5英寸。</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6.THD+N≤1%。</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7.声频响110Hz-16kHz。</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8.距离音箱10米处声压级≥75dB。</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9.具备≥1路电源开关、1路LINE IN、1路USB 接口。USB接口可外接U盘设备对音箱固件进行升级。</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10.支持无线麦克风扩音接收，采用Wi-Fi射频2.4GHz与 5GHz双频段传输，有效避免环境中运营商U段（700MHz）的信号干扰。</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11.采用红外对码方式，避免连接到其他教室音箱。可快速完成与教学扩声麦克风对码，无需繁琐操作。</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12.配置独立音频数字信号处理芯片，支持啸叫抑制功能。</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13.支持蓝牙无线接收，可分享移动设备上的音频。支持密码模式，防止学生连接。</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▲14.支持安卓手机通过蓝牙无线连接音箱，实现控制有源音箱的音量、设置蓝牙名称、设置蓝牙密码等功能，方便教师对音箱的管控。</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15.支持交互智能平板显示设备通过蓝牙无线连接音箱，实现控制有源音箱的音量的功能。</w:t>
            </w:r>
          </w:p>
          <w:p>
            <w:pPr>
              <w:numPr>
                <w:ilvl w:val="0"/>
                <w:numId w:val="0"/>
              </w:num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16.为保证兼容性及稳定性，一体化有源音箱需与为无线麦克风同一品牌厂家。</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lang w:val="en-US" w:eastAsia="zh-CN"/>
              </w:rPr>
              <w:t>十二、</w:t>
            </w:r>
            <w:r>
              <w:rPr>
                <w:rFonts w:hint="eastAsia" w:ascii="宋体" w:hAnsi="宋体" w:eastAsia="宋体" w:cs="宋体"/>
                <w:i w:val="0"/>
                <w:iCs w:val="0"/>
                <w:color w:val="000000"/>
                <w:kern w:val="0"/>
                <w:sz w:val="21"/>
                <w:szCs w:val="21"/>
                <w:u w:val="none"/>
                <w:lang w:val="en-US" w:eastAsia="zh-CN" w:bidi="ar"/>
              </w:rPr>
              <w:t>无线麦克风</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1.无线麦克风集音频发射处理器、天线、电池、拾音麦克风于一体，配合一体化有源音箱，无需任何外接辅助设备即可实现本地扩声功能。</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2.采样率≥48KHz，16bit；扩音增益≥15dB；声频响150Hz-16kHz，声信噪比≥60dB；配合一体化有源音箱，扩音延时≤35ms。</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3.用Wi-Fi射频频段传输，有效避免环境中运营商U段（700MHz）信号干扰。</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4.支持2.4GHz与5GHz双频段工作，信道数量≥26个。</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▲5.电续航时间≥7小时，满电状态可满足一天内10节课（45分钟/一节课）的高频授课，充电10分钟满足一节课（45分钟/一节课）授课时间。</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6.采用红外对码方式连接，避免连接到其他教室音箱。可在5S内快速完成与教学扩声音箱对码，无需繁琐操作。</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7.支持两个无线麦克风同时配对一套一体化有源音箱使用，实现两个麦克风混音输出进行扩音。</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▲8.具备3.5mm外置麦克风接口，可搭配其他麦克风进行使用，比如头戴式、挂耳式的外置麦克风。</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9.空旷无干扰的环境，无线传输有效距离≥15 米。</w:t>
            </w:r>
          </w:p>
          <w:p>
            <w:pPr>
              <w:numPr>
                <w:ilvl w:val="0"/>
                <w:numId w:val="0"/>
              </w:num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10.外壳防火等级≥V1。</w:t>
            </w:r>
          </w:p>
          <w:p>
            <w:pPr>
              <w:numPr>
                <w:ilvl w:val="0"/>
                <w:numId w:val="0"/>
              </w:num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11.为保证兼容性及稳定性，无线麦克风需与一体化有源音箱为同一品牌厂家。</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十三、无尘黑板</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一、主要结构</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1.整机采用铝合金边框、柔性LCD液晶书写膜。</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▲2.整机尺寸≥1963mm*1180mm。</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3.安装方式：支持挂墙安装，安装支架可前后调节黑板表面与墙面距离，与配套一体机表面保存一致；下边框设计可选配滑动笔槽等配件。同时可支持移动支架安装。</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4.▲黑板通过压力传感书写，凡是硬度适中的物体均可书写，无需专用耗材。（须提供第三方检测机构出具的具有CMA标识或CNAS标识的功能检测报告扫描件，加盖厂商公章。）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5.黑板书写不会产生任何墨迹和粉尘，干净健康。采用纯自然光反射呈字技术，非自发光呈像或投影呈像形式，长时间观看不刺激眼睛，有助保护视力。</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二、基础功能</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1.擦除方式：提供至少两种一键清除方式，可通过物理按键或面板快捷键，一键清除黑板上的字迹。支持局部擦除方式，可使用辅助板擦工具或手势识别，实现黑板笔迹的局部擦除。</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2.表面硬度≥3H，耐久使用无划痕。</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3.▲有效可视距离≥40m，可视角度≥140º，确保教学使用效果。（须提供第三方检测机构出具的具有CMA标识或CNAS标识的功能检测报告扫描件，加盖厂商公章。）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4.黑板面板耐腐蚀性好，使用含有日常家用洗涤剂或消毒剂的温水(40℃)，擦拭书写板面板，书写面不变色，无表皮脱落。</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5.面板呈纯黑色，黄绿色字迹，笔迹粗细≥4mm，所书写字体笔迹圆润，平滑无毛刺。</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6.产品无书写盲区，数据通讯方式为USB，通信距离≥3m。书写响应时间≤7ms。互联功能支持Win7以上系统。抗强光干扰，照度在98K勒克司能正常工作。</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7.单点可书写次数≥100000次。</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8.待机功耗≤1W，擦除功耗≤2W。书写及显示过程无需耗电，仅擦除时消耗微弱电量。</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内置大容量锂电池，在断电不接外部电源的情况下，局部擦除加一键清功能都可继续使用。（中标人需提供样机演示，由使用人确认后方可实施。）（须提供第三方检测机构出具的具有CMA标识或CNAS标识的功能检测报告扫描件，加盖厂商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▲10.黑板书写内容可以通过USB传输到电脑或一体机上实现1：1 显示、保存，书写内容在电脑上或一体机延迟时间＜100ms。（须提供第三方检测机构出具的具有CMA标识或CNAS标识的功能检测报告扫描件，加盖厂商公章。）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▲11.产品稳定耐用，满足射频电磁场辐射抗扰度检测要求：依据GB/T 17626.3-2016标准：天线极化方向（水平/垂直），试验等级（3V/m），频率范围（80-1000MHz），调制方式（1kHz AM80%正弦波），驻留时间（3s）（须提供第三方检测机构出具的具有CMA标识或CNAS标识的功能检测报告扫描件，加盖厂商公章。）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▲12.为确保师生健康，产品通过电磁辐射安全测试，满足GB8702-2014、GB/T 39640-2020、HJT 10.2-1996检测要求。（须提供第三方检测机构出具的具有CMA标识或CNAS标识的功能检测报告扫描件，加盖厂商公章。）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产品满足危险防护三类设备要求，电击和能量危险防护，结构上能保证操作人员不触及危险部件，产品无能量危险。（须提供第三方检测机构出具的具有CMA标识或CNAS标识的功能检测报告扫描件，加盖厂商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▲14.无尘黑板符合《学生用品的安全通用要求》须提供第三方检测机构出具的具有CMA标识或CNAS标识的功能检测报告扫描件，加盖厂家公章。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▲15.无尘黑板符合《教学仪器设备产品一般质量要求》须提供第三方检测机构出具的具有CMA标识或CNAS标识的功能检测报告扫描件，加盖厂家公章。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▲16.通过正弦振动测试，产品外观、功能（写字及清除）均正常，检测依据：GB/T2423.10-2019。须提供第三方检测机构出具的具有CMA标识或CNAS标识的功能检测报告扫描件，加盖厂家公章。</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三、黑板互联软件功能要求：</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互联软件可记录无尘黑板书写的所有内容，方便学生课后复习及分享课堂内容。其基本功能及特点如下表所示：</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1.笔迹颜色：支持通过黑板快捷键在大屏一体机实现在多种颜色笔迹切换。</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2.记录模式：软件可以设置2种书写记录模式，支持单板书写记录内容为一个单页面，也可以支持双板同时书写时记录在一个页面上，同时保持记录内容转电子档时书写比例不变形。</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显示模式：为保证互联软件在使用过程中不会与显示端其它应用产生干扰，互联软件采用后台记录。未点击预览时，所有操作与显示端无互动，显示端可提供标识信息，可查看互联软件状态；点击预览后，书写的内容会在显示端进行显示，此时互联软件与无尘黑板可进行互动操作。</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4.板书查看及保存方式：保存的板书，可以通过互联软件打开并进行查看，无需安装第三方软件。用户可以设定板书保存的路径，也可以采用移动设备通过扫描二维码直接保存。</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投票功能：互联软件支持快速投票功能，在无尘黑板端可以对某个题目或问题进快速投票，投票支持单项投票、多项投票或表决等三种模式，用户可以通过使用移动设备扫描二维码进行快速投票，在投票的过程中参与投票者无需下载安装专用软件，对于投票的结果系统自动统计数据并展示。</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比例设置：为了最大程度的保持字迹的真实性，互联软件可根据不同比例尺寸的无尘黑板(如4：3；16：9等模式)进行调节，也可任意设置各种比例，使大屏显示的字体与无尘黑板在比例上保持一致，从而更完美的将无尘黑板的字体投屏到一体机上。</w:t>
            </w:r>
          </w:p>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笔锋效果：无尘黑板上板书字体同步到一体机屏幕时，可以呈现黑板字体的笔锋效果。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十</w:t>
            </w:r>
            <w:r>
              <w:rPr>
                <w:rFonts w:hint="eastAsia" w:ascii="宋体" w:hAnsi="宋体" w:eastAsia="宋体" w:cs="宋体"/>
                <w:i w:val="0"/>
                <w:iCs w:val="0"/>
                <w:color w:val="000000"/>
                <w:sz w:val="21"/>
                <w:szCs w:val="21"/>
                <w:u w:val="none"/>
                <w:lang w:val="en-US" w:eastAsia="zh-CN"/>
              </w:rPr>
              <w:t>四</w:t>
            </w:r>
            <w:r>
              <w:rPr>
                <w:rFonts w:hint="eastAsia" w:ascii="宋体" w:hAnsi="宋体" w:eastAsia="宋体" w:cs="宋体"/>
                <w:i w:val="0"/>
                <w:iCs w:val="0"/>
                <w:color w:val="000000"/>
                <w:sz w:val="21"/>
                <w:szCs w:val="21"/>
                <w:u w:val="none"/>
              </w:rPr>
              <w:t>、其他要求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1、为确保货物质量及原厂品质，中标供应商在正式供货时必须提供生产厂家针对此项目的售后服务保证原件、供货证明原件，否则采购方将不予验收通过。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2、打“</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bl>
    <w:p>
      <w:pPr>
        <w:tabs>
          <w:tab w:val="center" w:pos="4708"/>
        </w:tabs>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2标段的采购需求</w:t>
      </w:r>
    </w:p>
    <w:p>
      <w:pPr>
        <w:tabs>
          <w:tab w:val="center" w:pos="4708"/>
        </w:tabs>
        <w:jc w:val="both"/>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2标段的核心产品：中医经典书本、民族文化特色产品、实训室设备设计</w:t>
      </w:r>
    </w:p>
    <w:tbl>
      <w:tblPr>
        <w:tblStyle w:val="25"/>
        <w:tblW w:w="9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245"/>
        <w:gridCol w:w="4084"/>
        <w:gridCol w:w="1080"/>
        <w:gridCol w:w="977"/>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57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val="0"/>
                <w:color w:val="auto"/>
                <w:sz w:val="32"/>
                <w:szCs w:val="32"/>
                <w:highlight w:val="none"/>
                <w:lang w:val="en-US" w:eastAsia="zh-CN"/>
              </w:rPr>
              <w:t>健身运动器材采购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设备名称</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双位地上漫步机</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规格：1.7mX0.73mX1m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69215</wp:posOffset>
                  </wp:positionV>
                  <wp:extent cx="584835" cy="497840"/>
                  <wp:effectExtent l="0" t="0" r="5715" b="16510"/>
                  <wp:wrapNone/>
                  <wp:docPr id="22" name="图片_3"/>
                  <wp:cNvGraphicFramePr/>
                  <a:graphic xmlns:a="http://schemas.openxmlformats.org/drawingml/2006/main">
                    <a:graphicData uri="http://schemas.openxmlformats.org/drawingml/2006/picture">
                      <pic:pic xmlns:pic="http://schemas.openxmlformats.org/drawingml/2006/picture">
                        <pic:nvPicPr>
                          <pic:cNvPr id="22" name="图片_3"/>
                          <pic:cNvPicPr/>
                        </pic:nvPicPr>
                        <pic:blipFill>
                          <a:blip r:embed="rId11"/>
                          <a:stretch>
                            <a:fillRect/>
                          </a:stretch>
                        </pic:blipFill>
                        <pic:spPr>
                          <a:xfrm>
                            <a:off x="0" y="0"/>
                            <a:ext cx="584835" cy="4978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腹肌板</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规格：1.1mX1.1mX1.4m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146685</wp:posOffset>
                  </wp:positionH>
                  <wp:positionV relativeFrom="paragraph">
                    <wp:posOffset>101600</wp:posOffset>
                  </wp:positionV>
                  <wp:extent cx="563880" cy="494665"/>
                  <wp:effectExtent l="0" t="0" r="7620" b="635"/>
                  <wp:wrapNone/>
                  <wp:docPr id="21" name="图片_2"/>
                  <wp:cNvGraphicFramePr/>
                  <a:graphic xmlns:a="http://schemas.openxmlformats.org/drawingml/2006/main">
                    <a:graphicData uri="http://schemas.openxmlformats.org/drawingml/2006/picture">
                      <pic:pic xmlns:pic="http://schemas.openxmlformats.org/drawingml/2006/picture">
                        <pic:nvPicPr>
                          <pic:cNvPr id="21" name="图片_2"/>
                          <pic:cNvPicPr/>
                        </pic:nvPicPr>
                        <pic:blipFill>
                          <a:blip r:embed="rId12"/>
                          <a:stretch>
                            <a:fillRect/>
                          </a:stretch>
                        </pic:blipFill>
                        <pic:spPr>
                          <a:xfrm>
                            <a:off x="0" y="0"/>
                            <a:ext cx="563880" cy="4946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划船器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规格：1.30.97mX0.6mX0.7m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54610</wp:posOffset>
                  </wp:positionV>
                  <wp:extent cx="625475" cy="524510"/>
                  <wp:effectExtent l="0" t="0" r="3175" b="8890"/>
                  <wp:wrapNone/>
                  <wp:docPr id="20" name="图片_5"/>
                  <wp:cNvGraphicFramePr/>
                  <a:graphic xmlns:a="http://schemas.openxmlformats.org/drawingml/2006/main">
                    <a:graphicData uri="http://schemas.openxmlformats.org/drawingml/2006/picture">
                      <pic:pic xmlns:pic="http://schemas.openxmlformats.org/drawingml/2006/picture">
                        <pic:nvPicPr>
                          <pic:cNvPr id="20" name="图片_5"/>
                          <pic:cNvPicPr/>
                        </pic:nvPicPr>
                        <pic:blipFill>
                          <a:blip r:embed="rId13"/>
                          <a:stretch>
                            <a:fillRect/>
                          </a:stretch>
                        </pic:blipFill>
                        <pic:spPr>
                          <a:xfrm>
                            <a:off x="0" y="0"/>
                            <a:ext cx="625475" cy="524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跷跷板</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规格：2mX0.45mX65m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638175" cy="638175"/>
                  <wp:effectExtent l="0" t="0" r="9525" b="9525"/>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14"/>
                          <a:stretch>
                            <a:fillRect/>
                          </a:stretch>
                        </pic:blipFill>
                        <pic:spPr>
                          <a:xfrm>
                            <a:off x="0" y="0"/>
                            <a:ext cx="638175" cy="6381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三合一组合</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规格：2.84mX1.45mX1.05cm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624840</wp:posOffset>
                  </wp:positionV>
                  <wp:extent cx="678180" cy="595630"/>
                  <wp:effectExtent l="0" t="0" r="7620" b="13970"/>
                  <wp:wrapNone/>
                  <wp:docPr id="18" name="图片_6"/>
                  <wp:cNvGraphicFramePr/>
                  <a:graphic xmlns:a="http://schemas.openxmlformats.org/drawingml/2006/main">
                    <a:graphicData uri="http://schemas.openxmlformats.org/drawingml/2006/picture">
                      <pic:pic xmlns:pic="http://schemas.openxmlformats.org/drawingml/2006/picture">
                        <pic:nvPicPr>
                          <pic:cNvPr id="18" name="图片_6"/>
                          <pic:cNvPicPr/>
                        </pic:nvPicPr>
                        <pic:blipFill>
                          <a:blip r:embed="rId15"/>
                          <a:stretch>
                            <a:fillRect/>
                          </a:stretch>
                        </pic:blipFill>
                        <pic:spPr>
                          <a:xfrm>
                            <a:off x="0" y="0"/>
                            <a:ext cx="678180" cy="595630"/>
                          </a:xfrm>
                          <a:prstGeom prst="rect">
                            <a:avLst/>
                          </a:prstGeom>
                          <a:noFill/>
                          <a:ln>
                            <a:noFill/>
                          </a:ln>
                        </pic:spPr>
                      </pic:pic>
                    </a:graphicData>
                  </a:graphic>
                </wp:anchor>
              </w:drawing>
            </w: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37465</wp:posOffset>
                  </wp:positionV>
                  <wp:extent cx="627380" cy="558165"/>
                  <wp:effectExtent l="0" t="0" r="1270" b="13335"/>
                  <wp:wrapNone/>
                  <wp:docPr id="16" name="图片_4"/>
                  <wp:cNvGraphicFramePr/>
                  <a:graphic xmlns:a="http://schemas.openxmlformats.org/drawingml/2006/main">
                    <a:graphicData uri="http://schemas.openxmlformats.org/drawingml/2006/picture">
                      <pic:pic xmlns:pic="http://schemas.openxmlformats.org/drawingml/2006/picture">
                        <pic:nvPicPr>
                          <pic:cNvPr id="16" name="图片_4"/>
                          <pic:cNvPicPr/>
                        </pic:nvPicPr>
                        <pic:blipFill>
                          <a:blip r:embed="rId16"/>
                          <a:stretch>
                            <a:fillRect/>
                          </a:stretch>
                        </pic:blipFill>
                        <pic:spPr>
                          <a:xfrm>
                            <a:off x="0" y="0"/>
                            <a:ext cx="627380" cy="5581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三位扭腰器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规格：170cmX73cmX105cm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腰部按摩器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规格：1.4mX0.8mX1..7m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676275" cy="628650"/>
                  <wp:effectExtent l="0" t="0" r="9525" b="0"/>
                  <wp:docPr id="1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7"/>
                          <pic:cNvPicPr>
                            <a:picLocks noChangeAspect="1"/>
                          </pic:cNvPicPr>
                        </pic:nvPicPr>
                        <pic:blipFill>
                          <a:blip r:embed="rId17"/>
                          <a:stretch>
                            <a:fillRect/>
                          </a:stretch>
                        </pic:blipFill>
                        <pic:spPr>
                          <a:xfrm>
                            <a:off x="0" y="0"/>
                            <a:ext cx="676275" cy="6286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双人坐蹬训练器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规格：0.8mX0.75mX1.44m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44450</wp:posOffset>
                  </wp:positionV>
                  <wp:extent cx="568960" cy="502285"/>
                  <wp:effectExtent l="0" t="0" r="2540" b="12065"/>
                  <wp:wrapNone/>
                  <wp:docPr id="13" name="图片_8"/>
                  <wp:cNvGraphicFramePr/>
                  <a:graphic xmlns:a="http://schemas.openxmlformats.org/drawingml/2006/main">
                    <a:graphicData uri="http://schemas.openxmlformats.org/drawingml/2006/picture">
                      <pic:pic xmlns:pic="http://schemas.openxmlformats.org/drawingml/2006/picture">
                        <pic:nvPicPr>
                          <pic:cNvPr id="13" name="图片_8"/>
                          <pic:cNvPicPr/>
                        </pic:nvPicPr>
                        <pic:blipFill>
                          <a:blip r:embed="rId18"/>
                          <a:stretch>
                            <a:fillRect/>
                          </a:stretch>
                        </pic:blipFill>
                        <pic:spPr>
                          <a:xfrm>
                            <a:off x="0" y="0"/>
                            <a:ext cx="568960" cy="5022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肩关节康复器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规格：1.1mX1.1mX1.6m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42545</wp:posOffset>
                  </wp:positionV>
                  <wp:extent cx="557530" cy="437515"/>
                  <wp:effectExtent l="0" t="0" r="13970" b="635"/>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19"/>
                          <a:stretch>
                            <a:fillRect/>
                          </a:stretch>
                        </pic:blipFill>
                        <pic:spPr>
                          <a:xfrm>
                            <a:off x="0" y="0"/>
                            <a:ext cx="557530" cy="4375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健身车</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规格：0.9mX0.61mX0.95m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647700" cy="647700"/>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20"/>
                          <a:stretch>
                            <a:fillRect/>
                          </a:stretch>
                        </pic:blipFill>
                        <pic:spPr>
                          <a:xfrm>
                            <a:off x="0" y="0"/>
                            <a:ext cx="647700" cy="6477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提示牌</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规格：1.1mX1.1mX1.10m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647700" cy="571500"/>
                  <wp:effectExtent l="0" t="0" r="0" b="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21"/>
                          <a:stretch>
                            <a:fillRect/>
                          </a:stretch>
                        </pic:blipFill>
                        <pic:spPr>
                          <a:xfrm>
                            <a:off x="0" y="0"/>
                            <a:ext cx="647700" cy="5715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场地平整、硬化</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人工平整地面、沙子水泥硬化、滚涂地坪漆。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1"/>
                <w:szCs w:val="21"/>
                <w:u w:val="none"/>
              </w:rPr>
            </w:pPr>
          </w:p>
        </w:tc>
      </w:tr>
    </w:tbl>
    <w:p>
      <w:pPr>
        <w:pStyle w:val="13"/>
        <w:rPr>
          <w:rFonts w:hint="eastAsia" w:ascii="仿宋" w:hAnsi="仿宋" w:eastAsia="仿宋" w:cs="仿宋"/>
          <w:b/>
          <w:bCs w:val="0"/>
          <w:color w:val="auto"/>
          <w:sz w:val="32"/>
          <w:szCs w:val="32"/>
          <w:highlight w:val="none"/>
          <w:lang w:val="en-US" w:eastAsia="zh-CN"/>
        </w:rPr>
      </w:pPr>
    </w:p>
    <w:p>
      <w:pPr>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教工之家购书</w:t>
      </w:r>
    </w:p>
    <w:p>
      <w:pPr>
        <w:pStyle w:val="13"/>
        <w:rPr>
          <w:rFonts w:hint="eastAsia"/>
          <w:lang w:val="en-US" w:eastAsia="zh-CN"/>
        </w:rPr>
      </w:pPr>
    </w:p>
    <w:tbl>
      <w:tblPr>
        <w:tblStyle w:val="25"/>
        <w:tblW w:w="9651"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4"/>
        <w:gridCol w:w="1097"/>
        <w:gridCol w:w="81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书名</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中图分类</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（人物传记）隐蔽战线春秋书系·回忆录：白山黑水画人生·张梦实回忆录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（人物传记）隐蔽战线春秋书系·回忆录卷：长征前后回忆录·肖赤回忆录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（人物传记）隐蔽战线春秋书系·回忆录卷：风雨征程:毛齐华回忆录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（人物传记）隐蔽战线春秋书系·回忆录卷：纵横龙潭虎穴间·靖任秋回忆录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（人物传记）中共一大代表丛书：李达</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（人物传记）中共一大代表丛书：王尽美</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（人物传记）周恩来传（中国共产党成立100周年典藏纪念版）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（人物传记）皮波人物军政馆：周恩来传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（人物传记）邓小平传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人物传记：蒋介石的晚年岁月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人物传记：齐白石传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人物传记：苏轼·一蓑烟雨任平生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人物传记：梁启超传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（人物传记）谷文昌</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卢梭自传：一个孤独漫步者的遐思（名人传记）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毕淑敏心理咨询手记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别惹我 普京新传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布鲁克林有棵树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朝花夕拾 鲁迅著天津人民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从你的全世界路过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丁立梅作品 花未央，人未老（新版）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丁立梅作品 有美一朵，向晚生香</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丁立梅作品 愿全世界的花都好好地开（新版）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丁立梅作品 走着走着花就开了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东野圭吾 流星之绊  204新版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东野圭吾：大雪中的山庄</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东野圭吾：使命与魂的尽头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佛陀传 全世界影响力最大的佛陀传记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果麦图书 清单人生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火种——寻找中国复兴之路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贾平凹散文精选 人生从容</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蒋勋孤独三书 品味四讲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蒋勋孤独三书 生活十讲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朗达拜恩 秘密：终极奥秘</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林清玄散文精选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林清玄散文精选 人间有味是清欢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温故一九四二</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我不是潘金莲 （刘震云）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我不是潘金莲（典藏版）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我叫刘跃进</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一地鸡毛</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马伯庸笑翻    中国简史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马伯庸长篇历史小说 三国配角演义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马伯庸作品 风起陇西 长篇小说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茅盾文学奖第11届获奖作品  雪山大地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茅盾文学奖第11届获奖作品 宝水 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茅盾文学奖第11届获奖作品 本巴 (刘亮程) 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茅盾文学奖第11届获奖作品千里江山图 平装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茅盾文学奖获奖者刘亮程作品 虚土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名家散文典藏 朱自清散文精选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名家散文典藏彩插版 丁立梅散文精选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名家散文典藏彩插版 汪曾祺散文精选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名家散文鉴赏 毕淑敏散文选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名家散文鉴赏 史铁生散文精选（彩插版）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磨铁：第一人称单数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磨铁：金一南讲 世界大格局 中国有态度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磨铁：刘慈欣 流浪地球</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墨菲定律（精装纪念版）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诺贝尔文学奖得主莫言作品  红树林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诺贝尔文学奖得主莫言作品  檀香刑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皮波人物·军政馆 邓小平传 (图文珍藏版）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沈复作品：浮生六记（果麦）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史铁生 我的丁一之旅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王朔作品 看上去很美</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文献中的百年党史  （单色版）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一问一世界 杨澜著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余秋雨散文精选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与自己和解：治愈你内心的内在小孩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中国历史通俗读物：简读中国史 张宏杰著（聚焦规律与路径，拆解历史大问题）</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中国文脉  余秋雨</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中信出版 刘同  你的孤独  虽败犹荣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中信出版 我们只是讲道理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周国平散文精选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药补不如食补：吃对食物调好体质</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健康智慧生活丛书：这样吃全谷就对了（双色）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健康智慧生活丛书：调养体质更健康（双色）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彩色图解：肠胃病怎么吃（四色）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彩色图解：食物是最好的灵丹妙药（四色）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彩色图解：颈肩腰腿保健治疗全书（双色）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彩色图解：捏捏小手百病消儿童对症经络按摩刮痧速查全书（双色）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彩色图解：一用就灵中医疗法一本通（双色）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彩色图解：自己是最好的医生（四色）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健康中国·中医药防治肿瘤丛书：三师而行，远离淋巴瘤（四色）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写给失眠者的心理学：哈佛导师引你寻找失眠背后的自己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【精装】中医经典：汤头歌诀（四色）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【精装】中医经典：本草纲目（四色）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【精装】中医经典：千金方（四色）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【精装】中医经典：温病条辨（四色）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【精装】中医经典：金匮要略（四色）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你若不勇敢谁替你坚强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你的努力终将成就更好的自己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你不努力凭什么谈未来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胡适谈哲学与理想</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做人要稳做事要准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爱上情绪化的自己（四色）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男儿志兮天下事：梁启超励志文选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家训铸乾坤·中国古代励志家训</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忽然惊起卧龙愁：王阳明励志文选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不要让未来的你讨厌现在的自己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脾气没了便是晴天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内心强大的心理学：每天读点尼采智慧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努力到无能为力，坚持到感动自己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努力，是为了遇见更好的自己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唯有努力，不负光阴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善用幽默，全世界都会欢迎你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你若盛开，清风自来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努力，让自己更加出众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自我的重建·如何进行压力与情绪管理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原来懂比爱更重要</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成功之路：二十几岁必修的5堂失败课</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改变的勇气</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做人有格局，做事顾大局</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自我意识的形成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【精装】中国人的修养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做一个高情商的女子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做一个有气质的女子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研究社励志经典系列：做自己的国王</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做一个会说话会办事的人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【精装】中国人的精神</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【精装】胡适文集：容忍与自由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【精装】胡适文集：宽忍与自由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“青青子衿”传统文化书系：汉字魅力</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百年经典散文：励志修身</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【精装】跟着名家读经典6：明清文学名作欣赏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【精装】跟着名家读经典：隋唐五代文学名作欣赏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【精装】跟着名家读经典10：外国诗歌名作欣赏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时文精粹：因为热爱，所以奔跑·励志卷（双色）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胡适谈文学与历史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胡适谈社会与文明</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【精装】心若淡定，便是优雅（双色）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良药醒世笔为旗：鲁迅励志文选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传世励志经典：志节者万世之业·孙中山励志文选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穿过岁月握你的手：林徽因励志文选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养得胸中一段春：培根励志文选0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家书谱传承：中国古代励志家书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中国近现代励志散文：一半是现实，一半是梦想</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【精装】林徽因名家散文经典：生命中无意的宁静（四色）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彩书馆：你是人间四月天·林徽因文集和林徽因传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别让无效努力害了你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每一种勇敢都会被原谅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陌上花开，谁念缓归卷春深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【精装】林徽因文集：你是那人间四月天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【精装】林微因文集：若你安好，便是晴天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【精装】胡适文集：我们所应走的路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【精装】胡适文集：读书与做人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【精装】胡适文集：人生有何意义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【精装】傅雷谈艺系列：悦读精赏本·世界美术名作二十讲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【精装】傅雷谈艺系列：悦读精赏本·英国绘画（四色）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【精装】不被理解的玫瑰·十一位女性的率性人生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山不争高自成峰·曾国藩励志家书选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传世励志经典：逍遥的墨客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“青青子衿”传统文化书系：岁时节令</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【精装】林徽因文集：爱上一座城</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巴金激流三部曲 家</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巴金传世作品：秋</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红色经典小说 平原枪声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巴金激流三部曲：春  （精装）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鲁迅作品 故事新编</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巴金散文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茅盾文学奖获奖作品全集·典藏版：英雄时代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国史十六讲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中华经典藏书 世说新语</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中华经典藏书 论语</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中华经典藏书 诗经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论语译注</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黄仁宇作品系列：万历十五年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QMZ 卓有成效管理者的实践(纪念版)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F</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中国当代随笔作品集：人生不较劲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毛泽东传（名著珍藏版 插图本）</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中国哲学简史  冯友兰著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如何说孩子才会听、怎么听孩子才肯说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老舍经典小说集：四世同堂（精装）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新经典：白银时代  王小波经典之作</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茅盾文学奖获奖作品全集暗算 -精装（精装）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新经典：张爱玲全集05:小团圆精装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新经典：张爱玲全集02:红玫瑰与白玫瑰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新经典：张爱玲全集01:倾城之恋</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新经典文库王小波作品：爱你就像爱生命（精装）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新经典文库王小波作品：我的精神家园（精装）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 月光落在左手上 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新经典：张爱玲  流言</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新经典：传奇 张爱玲著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新经典：寻找无双（王小波 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李娟作品 羊道：春牧场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李娟作品 羊道 前山夏牧场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李娟作品 羊道：深山夏牧场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你要么出众要么出局  李尚龙著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卢思浩 你要去相信没有到不了的明天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中国当代故事作品集：让我留在你身边</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新经典：老舍 茶馆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新经典：你想活出怎样的人生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假如真有时光机（村上春树全新旅行随笔）</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万物简史（修订本）</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中国当代文学作品综合集：精神明亮的人  美文版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（医卫）临床外科疾病诊治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（医卫）临床心内科疾病诊治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（医卫）现代临床检验</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（医卫）眼科疾病临床实用技术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（医卫）临床内科疾病诊疗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（医卫）临床内科诊疗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（医卫）黄文镇临床经验集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（医卫）夏永潮医话医案集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（医卫）胃十二指肠病千问</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bl>
    <w:tbl>
      <w:tblPr>
        <w:tblStyle w:val="25"/>
        <w:tblpPr w:leftFromText="180" w:rightFromText="180" w:vertAnchor="text" w:horzAnchor="page" w:tblpX="1486" w:tblpY="273"/>
        <w:tblOverlap w:val="never"/>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723"/>
        <w:gridCol w:w="3120"/>
        <w:gridCol w:w="990"/>
        <w:gridCol w:w="94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3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i w:val="0"/>
                <w:iCs w:val="0"/>
                <w:color w:val="000000"/>
                <w:kern w:val="0"/>
                <w:sz w:val="32"/>
                <w:szCs w:val="32"/>
                <w:u w:val="none"/>
                <w:lang w:val="en-US" w:eastAsia="zh-CN" w:bidi="ar"/>
              </w:rPr>
              <w:t>民族文化体育用品采购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南狮头（含狮裤狮鞋）</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三号狮头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头</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48260</wp:posOffset>
                  </wp:positionH>
                  <wp:positionV relativeFrom="paragraph">
                    <wp:posOffset>22225</wp:posOffset>
                  </wp:positionV>
                  <wp:extent cx="625475" cy="598170"/>
                  <wp:effectExtent l="0" t="0" r="3175" b="11430"/>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22"/>
                          <a:stretch>
                            <a:fillRect/>
                          </a:stretch>
                        </pic:blipFill>
                        <pic:spPr>
                          <a:xfrm>
                            <a:off x="0" y="0"/>
                            <a:ext cx="625475" cy="5981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醒狮鼓</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12寸（含鼓架）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54610</wp:posOffset>
                  </wp:positionH>
                  <wp:positionV relativeFrom="paragraph">
                    <wp:posOffset>24765</wp:posOffset>
                  </wp:positionV>
                  <wp:extent cx="604520" cy="600075"/>
                  <wp:effectExtent l="0" t="0" r="5080" b="9525"/>
                  <wp:wrapNone/>
                  <wp:docPr id="26" name="图片_1_SpCnt_1"/>
                  <wp:cNvGraphicFramePr/>
                  <a:graphic xmlns:a="http://schemas.openxmlformats.org/drawingml/2006/main">
                    <a:graphicData uri="http://schemas.openxmlformats.org/drawingml/2006/picture">
                      <pic:pic xmlns:pic="http://schemas.openxmlformats.org/drawingml/2006/picture">
                        <pic:nvPicPr>
                          <pic:cNvPr id="26" name="图片_1_SpCnt_1"/>
                          <pic:cNvPicPr/>
                        </pic:nvPicPr>
                        <pic:blipFill>
                          <a:blip r:embed="rId23"/>
                          <a:stretch>
                            <a:fillRect/>
                          </a:stretch>
                        </pic:blipFill>
                        <pic:spPr>
                          <a:xfrm>
                            <a:off x="0" y="0"/>
                            <a:ext cx="604520" cy="6000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鼓棒</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长款实木刷漆（红梨木35厘米一对）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57150</wp:posOffset>
                  </wp:positionH>
                  <wp:positionV relativeFrom="paragraph">
                    <wp:posOffset>34925</wp:posOffset>
                  </wp:positionV>
                  <wp:extent cx="572770" cy="582930"/>
                  <wp:effectExtent l="0" t="0" r="17780" b="7620"/>
                  <wp:wrapNone/>
                  <wp:docPr id="27" name="图片_3"/>
                  <wp:cNvGraphicFramePr/>
                  <a:graphic xmlns:a="http://schemas.openxmlformats.org/drawingml/2006/main">
                    <a:graphicData uri="http://schemas.openxmlformats.org/drawingml/2006/picture">
                      <pic:pic xmlns:pic="http://schemas.openxmlformats.org/drawingml/2006/picture">
                        <pic:nvPicPr>
                          <pic:cNvPr id="27" name="图片_3"/>
                          <pic:cNvPicPr/>
                        </pic:nvPicPr>
                        <pic:blipFill>
                          <a:blip r:embed="rId24"/>
                          <a:stretch>
                            <a:fillRect/>
                          </a:stretch>
                        </pic:blipFill>
                        <pic:spPr>
                          <a:xfrm>
                            <a:off x="0" y="0"/>
                            <a:ext cx="572770" cy="5829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镲</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铜制（28公分）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57150</wp:posOffset>
                  </wp:positionH>
                  <wp:positionV relativeFrom="paragraph">
                    <wp:posOffset>14605</wp:posOffset>
                  </wp:positionV>
                  <wp:extent cx="561340" cy="581025"/>
                  <wp:effectExtent l="0" t="0" r="10160" b="9525"/>
                  <wp:wrapNone/>
                  <wp:docPr id="28" name="图片_4"/>
                  <wp:cNvGraphicFramePr/>
                  <a:graphic xmlns:a="http://schemas.openxmlformats.org/drawingml/2006/main">
                    <a:graphicData uri="http://schemas.openxmlformats.org/drawingml/2006/picture">
                      <pic:pic xmlns:pic="http://schemas.openxmlformats.org/drawingml/2006/picture">
                        <pic:nvPicPr>
                          <pic:cNvPr id="28" name="图片_4"/>
                          <pic:cNvPicPr/>
                        </pic:nvPicPr>
                        <pic:blipFill>
                          <a:blip r:embed="rId25"/>
                          <a:stretch>
                            <a:fillRect/>
                          </a:stretch>
                        </pic:blipFill>
                        <pic:spPr>
                          <a:xfrm>
                            <a:off x="0" y="0"/>
                            <a:ext cx="561340" cy="5810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醒狮腰带</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布制（红色300X25厘米）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66675</wp:posOffset>
                  </wp:positionH>
                  <wp:positionV relativeFrom="paragraph">
                    <wp:posOffset>19685</wp:posOffset>
                  </wp:positionV>
                  <wp:extent cx="586740" cy="588010"/>
                  <wp:effectExtent l="0" t="0" r="3810" b="2540"/>
                  <wp:wrapNone/>
                  <wp:docPr id="24" name="图片_5"/>
                  <wp:cNvGraphicFramePr/>
                  <a:graphic xmlns:a="http://schemas.openxmlformats.org/drawingml/2006/main">
                    <a:graphicData uri="http://schemas.openxmlformats.org/drawingml/2006/picture">
                      <pic:pic xmlns:pic="http://schemas.openxmlformats.org/drawingml/2006/picture">
                        <pic:nvPicPr>
                          <pic:cNvPr id="24" name="图片_5"/>
                          <pic:cNvPicPr/>
                        </pic:nvPicPr>
                        <pic:blipFill>
                          <a:blip r:embed="rId26"/>
                          <a:stretch>
                            <a:fillRect/>
                          </a:stretch>
                        </pic:blipFill>
                        <pic:spPr>
                          <a:xfrm>
                            <a:off x="0" y="0"/>
                            <a:ext cx="586740" cy="5880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高跷</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矮些，40cm左右也可以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48260</wp:posOffset>
                  </wp:positionH>
                  <wp:positionV relativeFrom="paragraph">
                    <wp:posOffset>34925</wp:posOffset>
                  </wp:positionV>
                  <wp:extent cx="591820" cy="585470"/>
                  <wp:effectExtent l="0" t="0" r="17780" b="5080"/>
                  <wp:wrapNone/>
                  <wp:docPr id="23" name="图片_6"/>
                  <wp:cNvGraphicFramePr/>
                  <a:graphic xmlns:a="http://schemas.openxmlformats.org/drawingml/2006/main">
                    <a:graphicData uri="http://schemas.openxmlformats.org/drawingml/2006/picture">
                      <pic:pic xmlns:pic="http://schemas.openxmlformats.org/drawingml/2006/picture">
                        <pic:nvPicPr>
                          <pic:cNvPr id="23" name="图片_6"/>
                          <pic:cNvPicPr/>
                        </pic:nvPicPr>
                        <pic:blipFill>
                          <a:blip r:embed="rId27"/>
                          <a:stretch>
                            <a:fillRect/>
                          </a:stretch>
                        </pic:blipFill>
                        <pic:spPr>
                          <a:xfrm>
                            <a:off x="0" y="0"/>
                            <a:ext cx="591820" cy="5854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烫金龙</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布制（红色18.9米长、9人舞龙一人戏珠）无灯光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48260</wp:posOffset>
                  </wp:positionH>
                  <wp:positionV relativeFrom="paragraph">
                    <wp:posOffset>19685</wp:posOffset>
                  </wp:positionV>
                  <wp:extent cx="632460" cy="580390"/>
                  <wp:effectExtent l="0" t="0" r="15240" b="10160"/>
                  <wp:wrapNone/>
                  <wp:docPr id="29" name="图片_7"/>
                  <wp:cNvGraphicFramePr/>
                  <a:graphic xmlns:a="http://schemas.openxmlformats.org/drawingml/2006/main">
                    <a:graphicData uri="http://schemas.openxmlformats.org/drawingml/2006/picture">
                      <pic:pic xmlns:pic="http://schemas.openxmlformats.org/drawingml/2006/picture">
                        <pic:nvPicPr>
                          <pic:cNvPr id="29" name="图片_7"/>
                          <pic:cNvPicPr/>
                        </pic:nvPicPr>
                        <pic:blipFill>
                          <a:blip r:embed="rId28"/>
                          <a:stretch>
                            <a:fillRect/>
                          </a:stretch>
                        </pic:blipFill>
                        <pic:spPr>
                          <a:xfrm>
                            <a:off x="0" y="0"/>
                            <a:ext cx="632460" cy="580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烫金龙服装</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180cm（无鞋子）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23495</wp:posOffset>
                  </wp:positionH>
                  <wp:positionV relativeFrom="paragraph">
                    <wp:posOffset>22225</wp:posOffset>
                  </wp:positionV>
                  <wp:extent cx="661035" cy="563245"/>
                  <wp:effectExtent l="0" t="0" r="5715" b="8255"/>
                  <wp:wrapNone/>
                  <wp:docPr id="30" name="图片_2"/>
                  <wp:cNvGraphicFramePr/>
                  <a:graphic xmlns:a="http://schemas.openxmlformats.org/drawingml/2006/main">
                    <a:graphicData uri="http://schemas.openxmlformats.org/drawingml/2006/picture">
                      <pic:pic xmlns:pic="http://schemas.openxmlformats.org/drawingml/2006/picture">
                        <pic:nvPicPr>
                          <pic:cNvPr id="30" name="图片_2"/>
                          <pic:cNvPicPr/>
                        </pic:nvPicPr>
                        <pic:blipFill>
                          <a:blip r:embed="rId29"/>
                          <a:stretch>
                            <a:fillRect/>
                          </a:stretch>
                        </pic:blipFill>
                        <pic:spPr>
                          <a:xfrm>
                            <a:off x="0" y="0"/>
                            <a:ext cx="661035" cy="563245"/>
                          </a:xfrm>
                          <a:prstGeom prst="rect">
                            <a:avLst/>
                          </a:prstGeom>
                          <a:noFill/>
                          <a:ln>
                            <a:noFill/>
                          </a:ln>
                        </pic:spPr>
                      </pic:pic>
                    </a:graphicData>
                  </a:graphic>
                </wp:anchor>
              </w:drawing>
            </w:r>
          </w:p>
        </w:tc>
      </w:tr>
    </w:tbl>
    <w:p/>
    <w:p>
      <w:pPr>
        <w:tabs>
          <w:tab w:val="center" w:pos="4708"/>
        </w:tabs>
        <w:rPr>
          <w:rFonts w:hint="eastAsia" w:ascii="仿宋" w:hAnsi="仿宋" w:eastAsia="仿宋" w:cs="仿宋"/>
          <w:b/>
          <w:bCs w:val="0"/>
          <w:color w:val="auto"/>
          <w:sz w:val="32"/>
          <w:szCs w:val="32"/>
          <w:highlight w:val="none"/>
          <w:lang w:val="en-US" w:eastAsia="zh-CN"/>
        </w:rPr>
      </w:pPr>
    </w:p>
    <w:p>
      <w:pPr>
        <w:tabs>
          <w:tab w:val="center" w:pos="4708"/>
        </w:tabs>
        <w:rPr>
          <w:rFonts w:hint="eastAsia" w:ascii="仿宋" w:hAnsi="仿宋" w:eastAsia="仿宋" w:cs="仿宋"/>
          <w:b/>
          <w:bCs w:val="0"/>
          <w:color w:val="auto"/>
          <w:sz w:val="32"/>
          <w:szCs w:val="32"/>
          <w:highlight w:val="none"/>
          <w:lang w:val="en-US" w:eastAsia="zh-CN"/>
        </w:rPr>
      </w:pPr>
    </w:p>
    <w:tbl>
      <w:tblPr>
        <w:tblStyle w:val="25"/>
        <w:tblW w:w="9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2224"/>
        <w:gridCol w:w="2070"/>
        <w:gridCol w:w="720"/>
        <w:gridCol w:w="855"/>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9320"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val="0"/>
                <w:color w:val="auto"/>
                <w:sz w:val="32"/>
                <w:szCs w:val="32"/>
                <w:highlight w:val="none"/>
                <w:lang w:val="en-US" w:eastAsia="zh-CN"/>
              </w:rPr>
              <w:t>来宾市卫生学校实训室内及室外走廊墙面文化建设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项目（设备名称）</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内容、工艺材料与备注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7.95</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5.25</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实训室室外走廊1.5PVC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实训室室外走廊1.5PVC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5.25</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实训室室外走廊1.5PVC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bl>
    <w:p>
      <w:pPr>
        <w:pStyle w:val="13"/>
        <w:rPr>
          <w:rFonts w:hint="eastAsia" w:ascii="仿宋" w:hAnsi="仿宋" w:eastAsia="仿宋" w:cs="仿宋"/>
          <w:b/>
          <w:bCs w:val="0"/>
          <w:color w:val="auto"/>
          <w:sz w:val="32"/>
          <w:szCs w:val="32"/>
          <w:highlight w:val="none"/>
          <w:lang w:val="en-US" w:eastAsia="zh-CN"/>
        </w:rPr>
      </w:pPr>
    </w:p>
    <w:tbl>
      <w:tblPr>
        <w:tblStyle w:val="25"/>
        <w:tblW w:w="93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005"/>
        <w:gridCol w:w="5296"/>
        <w:gridCol w:w="735"/>
        <w:gridCol w:w="644"/>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07" w:type="dxa"/>
            <w:gridSpan w:val="6"/>
            <w:tcBorders>
              <w:top w:val="nil"/>
              <w:left w:val="nil"/>
              <w:bottom w:val="nil"/>
              <w:right w:val="nil"/>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val="0"/>
                <w:color w:val="auto"/>
                <w:sz w:val="32"/>
                <w:szCs w:val="32"/>
                <w:highlight w:val="none"/>
                <w:lang w:val="en-US" w:eastAsia="zh-CN"/>
              </w:rPr>
              <w:t>体育活动设备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5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羽毛球气排球便携式移动两用网柱</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移动式，高度调节范围2240mm-2430mm；零部件全部采用优质金属结构件；排球柱立柱外管直径为89mm*2.75mm，内管直径为76mm*2.5mmM，支架顶部加一滑动滚轮，缓冲拉绳与支架间的摩擦，同时更好的操控球网的长度和高度。内侧对称配有相应高度的球网挂钩，用来固定排球网。</w:t>
            </w:r>
          </w:p>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2、排球柱升降灵活、底盘稳固，有配重箱、箱体上有小车轮，移动灵活。</w:t>
            </w:r>
          </w:p>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金属外表面均经酸洗、脱脂、磷化等初步处理后再打沙处理，并采用室外专用优质烤漆粉末，应有较强的抗氧化、抗紫外线能力，不褪色、附着力强、光泽度高、不含毒素，能适应潮湿和酸雨环境，不会出现脱落、锈蚀等现象。整体结构稳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kinsoku/>
              <w:wordWrap/>
              <w:overflowPunct/>
              <w:topLinePunct w:val="0"/>
              <w:autoSpaceDE w:val="0"/>
              <w:autoSpaceDN w:val="0"/>
              <w:bidi w:val="0"/>
              <w:adjustRightInd/>
              <w:snapToGrid/>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两用球网</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长9500mm-10000mm宽1000mm±25mm，尼龙编制绳网，穿钢丝绳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kinsoku/>
              <w:wordWrap/>
              <w:overflowPunct/>
              <w:topLinePunct w:val="0"/>
              <w:autoSpaceDE w:val="0"/>
              <w:autoSpaceDN w:val="0"/>
              <w:bidi w:val="0"/>
              <w:adjustRightInd/>
              <w:snapToGrid/>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室外乒乓球桌</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1、台面尺寸规格：≥2740mm×1525mm,台高≥760mm，配置铁制球网高150mm，长1530mm，符合标准要求。</w:t>
            </w:r>
          </w:p>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2、球台台面采用SMC材料，整体高温模压一次成型，球台台面四角为R型弧角，不能为直角，能有效防止运动员在使用中受到尖锐碰击。</w:t>
            </w:r>
          </w:p>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3、台面翻边高度48mm, 翻边厚度5mm；主加强筋高度25mm，厚度4mm。背面小方格内有对角加强筋，高3mm，宽5mm；台面与彩虹支腿连接处台面背面采用“井”字形，彩虹腿用圆管加固框连接</w:t>
            </w:r>
          </w:p>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4、台面能承受500N静载荷要求和冲击球冲击要求，稳定性好，耐气候性强、耐老化程度高，防腐、防晒、防雨、阻燃、不易变形等，保证在户外使用8年内不变形、不开裂、不损坏。</w:t>
            </w:r>
          </w:p>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5、底架采用彩虹腿设计结构，Φ60mm优质钢管，保证整体的稳定性；台腿外边距两端台边280mm，任何撑档离地大于230mm，保证使用者的运动安全。</w:t>
            </w:r>
          </w:p>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6、球台网及网架防锈、防松、防损坏；焊接严密牢固、无漏焊、虚焊、包渣、裂纹等缺陷。</w:t>
            </w:r>
          </w:p>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7、表面处理采用抛光工艺，除锈彻底，增大工件表面面积，增强塑粉附着力，外表面环保静电粉末。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644" w:type="dxa"/>
            <w:tcBorders>
              <w:top w:val="single" w:color="000000" w:sz="4" w:space="0"/>
              <w:left w:val="single" w:color="000000" w:sz="4" w:space="0"/>
              <w:bottom w:val="single" w:color="000000" w:sz="4" w:space="0"/>
              <w:right w:val="nil"/>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kinsoku/>
              <w:wordWrap/>
              <w:overflowPunct/>
              <w:topLinePunct w:val="0"/>
              <w:autoSpaceDE w:val="0"/>
              <w:autoSpaceDN w:val="0"/>
              <w:bidi w:val="0"/>
              <w:adjustRightInd/>
              <w:snapToGrid/>
              <w:spacing w:line="360" w:lineRule="auto"/>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乒乓球网架</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网架长153mm，网架高150mm，钢制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pageBreakBefore w:val="0"/>
              <w:kinsoku/>
              <w:wordWrap/>
              <w:overflowPunct/>
              <w:topLinePunct w:val="0"/>
              <w:autoSpaceDE w:val="0"/>
              <w:autoSpaceDN w:val="0"/>
              <w:bidi w:val="0"/>
              <w:adjustRightInd/>
              <w:snapToGrid/>
              <w:spacing w:line="360" w:lineRule="auto"/>
              <w:rPr>
                <w:rFonts w:hint="eastAsia" w:asciiTheme="minorEastAsia" w:hAnsiTheme="minorEastAsia" w:eastAsiaTheme="minorEastAsia" w:cstheme="minorEastAsia"/>
                <w:i w:val="0"/>
                <w:iCs w:val="0"/>
                <w:color w:val="000000"/>
                <w:sz w:val="21"/>
                <w:szCs w:val="21"/>
                <w:u w:val="none"/>
              </w:rPr>
            </w:pPr>
          </w:p>
        </w:tc>
      </w:tr>
    </w:tbl>
    <w:p>
      <w:pPr>
        <w:spacing w:line="360" w:lineRule="auto"/>
        <w:rPr>
          <w:rFonts w:hint="eastAsia"/>
          <w:sz w:val="24"/>
          <w:szCs w:val="24"/>
          <w:lang w:val="en-US" w:eastAsia="zh-CN"/>
        </w:rPr>
      </w:pPr>
    </w:p>
    <w:p>
      <w:pPr>
        <w:pStyle w:val="13"/>
        <w:spacing w:line="360" w:lineRule="auto"/>
        <w:rPr>
          <w:rFonts w:hint="eastAsia"/>
          <w:sz w:val="24"/>
          <w:szCs w:val="24"/>
          <w:lang w:val="en-US" w:eastAsia="zh-CN"/>
        </w:rPr>
      </w:pPr>
    </w:p>
    <w:tbl>
      <w:tblPr>
        <w:tblStyle w:val="25"/>
        <w:tblpPr w:leftFromText="180" w:rightFromText="180" w:vertAnchor="text" w:horzAnchor="page" w:tblpX="1486" w:tblpY="448"/>
        <w:tblOverlap w:val="neve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117"/>
        <w:gridCol w:w="5955"/>
        <w:gridCol w:w="570"/>
        <w:gridCol w:w="525"/>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45" w:type="dxa"/>
            <w:gridSpan w:val="6"/>
            <w:tcBorders>
              <w:top w:val="nil"/>
              <w:left w:val="nil"/>
              <w:bottom w:val="nil"/>
              <w:right w:val="nil"/>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i w:val="0"/>
                <w:iCs w:val="0"/>
                <w:color w:val="000000"/>
                <w:kern w:val="0"/>
                <w:sz w:val="32"/>
                <w:szCs w:val="32"/>
                <w:u w:val="none"/>
                <w:lang w:val="en-US" w:eastAsia="zh-CN" w:bidi="ar"/>
              </w:rPr>
              <w:t>来宾市卫生学校校园广播文化建设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1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59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网络多功能话筒</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1.采用话筒桌面式设计，带有显示屏，带触摸控制功能；显示屏自带数字键、功能键，支持通过触摸呼叫广播，支持呼叫分区及多个分区，呼叫全区广播；可支持≥8个按键自定义一键呼叫广播功能。</w:t>
            </w:r>
          </w:p>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2.内置≥1路网络硬件音频解码模块，具有≥1路RJ45网络接口，≥100Mbps传输速率。</w:t>
            </w:r>
          </w:p>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3.支持监听任意终端功能，内置≥2W全频扬声器，实现双向通话和网络监听。</w:t>
            </w:r>
          </w:p>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▲4.支持≥1路音频线路输入，支持采集播放功能；具有≥1路音频线路输出，可外接功率放大器。（提供设备线路输入与输出接口佐证图）</w:t>
            </w:r>
          </w:p>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5.支持直接操作呼叫或对讲任意终端，支持通过话筒广播呼叫功能，广播延时低于150毫秒。</w:t>
            </w:r>
          </w:p>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6.支持多种呼叫策略，包括无响应转移、占线转移、关机转移；自动接听、手动接听，支持自定义接听提示音，支持转移时间、无人接听时间、呼叫等待时间自定义。</w:t>
            </w:r>
          </w:p>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7.具有≥1个3.5耳机接口、≥1路3.5话筒输入接口。</w:t>
            </w:r>
          </w:p>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▲8.具有≥1路短路输出接口、≥1路短路输入接口。（提供设备短路输入与输出接口佐证图）                                   9.一个φ3.5耳机插座和一个φ3.5MIC输入插座，匹配市场上95%的耳机和便携式麦克风                            </w:t>
            </w:r>
          </w:p>
          <w:p>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▲10.支持全双工双向对讲功能，自带网络回声消除模块；IP终端之间实现两两双向对讲，延时低于100ms；同时网络回声啸叫彻底抑制（需提供第三方检测机构出具的检测报告作为该技术参数证明材料）    </w:t>
            </w:r>
          </w:p>
        </w:tc>
        <w:tc>
          <w:tcPr>
            <w:tcW w:w="57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1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宿舍广播无线话筒</w:t>
            </w:r>
          </w:p>
        </w:tc>
        <w:tc>
          <w:tcPr>
            <w:tcW w:w="5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1.防啸叫，不断频，50米以上有效距离；                    2.2通道UHF无线系统，每个通道100个频率可选；                              3.配有LCD液晶显示，实时反馈系统工作状态；                                4.采用最新红外线自动对频（IR）与自动选频（AFS）技术，设定和操作更简便；                                       5.2只话筒可互换使用，手持管使用金属外观，经久耐用，性能稳定，可选配手持/领夹式/头戴式话筒；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6、动态范围:  ≥80db；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7、最大偏移: ±45KHZ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8、音频频率响应: 40HZ-18KHZ(±2db)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9、综合信噪比: &gt;105db；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10、综合失真： ≤0.8%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一拖二（1台接收机，2只话筒）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教学楼广播无线话筒</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一、功能描述：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1、EIA标准1U的金属机箱和高档的步进音量调节旋钮；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2、4条天分集自动选讯接收，消除接收断音及避免点歌机，机顶盒，网络线，高清线等辐射干扰；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3、最稳定的PLL电路和独创的数字导频技术，大幅度降低谐波干扰，频宽56MHZ，便于选择更多互不干扰的频点，具有SQ可以调整接收灵敏度，增加接收距离或避免杂音干扰；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4、HDX压缩扩展器使其声音更加晶莹透彻，预设200个互不干扰的频道组合；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5、采用外线线频率同步技术，能自动、快速及精确的与无线发射器同频；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6、后面板设有635混合及XLR平衡输出插座，方便和各种音响设备连接。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二、技术参数：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1、频率范围  ：740-790MHz；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2、通道数目 ： 200；</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3、调制方式 ： 宽带 FM；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4、最大频偏 ： 60KHz；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5、频率响应 ： 70Hz-18KHz；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6、工作温度 ：     -10-55℃；</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7、频率稳定度：   ±0.005%；</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8、接收方式 ：超外差式，二次变频；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9、杂散抑制 ：   ≥80dB；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10、镜象抑制 ：    ≥80dB；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11、噪声系数 ：  ＞80dB；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12、T.H.D. ：  &lt;0.5%@1KHz；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13、信噪比   ：     105dB；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14、中频 ：110MHz,10.7MHz；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15、音频输出 ： XLR-3M 1V/600；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操场远距离拾音无线话筒，一拖二（1台接收机，2只话筒）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工作站（服务器）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一、硬件要求：</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1、CPU：intel 12代I5-12400或以上，睿频≥2.5GHz，缓存≥18M；</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▲2、主板：支持在操作系统桌面快速切换均衡与性能模式，带BIOS自动控制的可变速CPU风扇，配备智能散热系统，实现智能热保护功能，实时调节内部部件功耗及处理器风扇转速；</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3、内存：≥16GB DDR4 3200，≥4个内存插槽，最大支持128GB；</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▲4、硬盘：≥1T M.2 NVME 4.0 固态硬盘，支持硬盘加密及主动智能保护技术。具有硬盘防震保护架，取得国家发明专利证书，交货时需提供证书复印件；</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▲5、Raid:主板集成RAID功能，支持raid 0、1;</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6、GPU：不低于GTX1660S-6G显卡；</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7、网卡：主板集成千兆以太网卡，出厂可选1xPcie网卡；</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8、键鼠：同品牌USB键鼠；</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9、电源：≥500W节能电源，产品电源符合自适应交流输入电压100V至240V；</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▲10、I/O接口及扩展：≥9个USB 接口，其中前置1个USB 3.2 Type-C及4个USB 3.2接口，≥2个PCI-E接口，≥1个PCIx16接口，≥1个M.2固态接口；≥2个3.5寸硬盘位，≥1个串口，支持多合一读卡器；原厂同品牌主板集成2个DP+HDMI接口，不接受转接扩展显示接口；</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11、显示器：≥23.8寸显示器，分辨率不低于1920*1080；可视角度178°，显示器具有低蓝光护眼功能；</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12、标准塔式机箱≥17L，前置电源开关按键，支持智能电源管理功能；使用隐藏式散热格栅及二级进风口设计，散热更为有效；支持灵巧锁，防止外设被偷盗。</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13、操作系统：Windows11专业版；支持包含Windows Server 、 Ubuntu 20.04.x；Windows Server 2016；Cent OS 8.x; Redhat x.x; 麒麟V10及统信UOS</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Style w:val="66"/>
                <w:rFonts w:hint="eastAsia" w:asciiTheme="minorEastAsia" w:hAnsiTheme="minorEastAsia" w:eastAsiaTheme="minorEastAsia" w:cstheme="minorEastAsia"/>
                <w:sz w:val="21"/>
                <w:szCs w:val="21"/>
                <w:lang w:val="en-US" w:eastAsia="zh-CN" w:bidi="ar"/>
              </w:rPr>
              <w:t>▲14、安全性：</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、为响应国家网络安全法的政策要求，保障电脑主机信息安全，本项目需配备正版终端威胁防御系统，系统要求：</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、系统支持全中文界面，B/S架构，管理员只需通过浏览器登录控制中心，即可对系统进p行管理；</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、客户端支持WindowsXP、Windows7、Windows8、Windows10、Windows2003、Windows2008、Windows2012等32位/64位微软操作系统，同时应支持Centos、Redhat、Ubuntu等Linux操作系统以及中标麒麟、银河麒麟等国产操作系统；</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、客户端安装后占用小于30MB存储资源，病毒库小于3MB，日常内存占用小于10MB，有效节省PC或Server资源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投标文件中须提供</w:t>
            </w:r>
            <w:r>
              <w:rPr>
                <w:rFonts w:hint="eastAsia" w:ascii="宋体" w:hAnsi="宋体" w:eastAsia="宋体" w:cs="宋体"/>
                <w:color w:val="auto"/>
                <w:sz w:val="21"/>
                <w:szCs w:val="21"/>
                <w:highlight w:val="none"/>
                <w:lang w:eastAsia="zh-CN"/>
              </w:rPr>
              <w:t>包括但不限于清晰可辨的彩页、官网和</w:t>
            </w:r>
            <w:r>
              <w:rPr>
                <w:rFonts w:hint="eastAsia" w:ascii="宋体" w:hAnsi="宋体" w:eastAsia="宋体" w:cs="宋体"/>
                <w:color w:val="auto"/>
                <w:sz w:val="21"/>
                <w:szCs w:val="21"/>
                <w:highlight w:val="none"/>
              </w:rPr>
              <w:t>功能截图并加盖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CA证书签章，否则投标文件无效。</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、支持单个或多个客户端不同管理中心的平滑迁移，迁移过程自动完成，无需手动添加客户端；</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、控制中心支持全网、分组、标签等方式指定某些客户端定制特殊策略，特殊策略包括文件实时监控、恶意行为监控、下载保护、系统加固、软件安装拦截、浏览器保护、黑客入侵拦截、恶意网站拦截等；</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、支持网络准入功能，支持标准802.1x协议，通过与支持该协议的交换机联动，实现有线局域网网络准入；</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、支持敏感数据防泄漏，支持敏感信息检查，针对终端存储的word、pdf、Excel、文本文件等进行全盘关键字检查，对含有制定关键字的文档进行禁止发送、禁止打印、禁止拷贝等管控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投标文件中须提供</w:t>
            </w:r>
            <w:r>
              <w:rPr>
                <w:rFonts w:hint="eastAsia" w:ascii="宋体" w:hAnsi="宋体" w:eastAsia="宋体" w:cs="宋体"/>
                <w:color w:val="auto"/>
                <w:sz w:val="21"/>
                <w:szCs w:val="21"/>
                <w:highlight w:val="none"/>
                <w:lang w:eastAsia="zh-CN"/>
              </w:rPr>
              <w:t>包括但不限于清晰可辨的彩页、官网和</w:t>
            </w:r>
            <w:r>
              <w:rPr>
                <w:rFonts w:hint="eastAsia" w:ascii="宋体" w:hAnsi="宋体" w:eastAsia="宋体" w:cs="宋体"/>
                <w:color w:val="auto"/>
                <w:sz w:val="21"/>
                <w:szCs w:val="21"/>
                <w:highlight w:val="none"/>
              </w:rPr>
              <w:t>功能截图并加盖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CA证书签章，否则投标文件无效。</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、要求对流行病毒的检测能力必须超过98%的检出率，超过98%的清除率，小于0.1%的误报率，投标文件中须提供此功能的第三方检测机构</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rPr>
              <w:t>的检测报告</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CA证书签章，否则投标文件无效。</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、支持非法外联监控，实时检测内部网络用户通过调制解调器、ADSL、双网卡等任意连接设备非法外联互联网行为，支持报警、断开网络、自动重启等管控措施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投标文件中须提供</w:t>
            </w:r>
            <w:r>
              <w:rPr>
                <w:rFonts w:hint="eastAsia" w:ascii="宋体" w:hAnsi="宋体" w:eastAsia="宋体" w:cs="宋体"/>
                <w:color w:val="auto"/>
                <w:sz w:val="21"/>
                <w:szCs w:val="21"/>
                <w:highlight w:val="none"/>
                <w:lang w:eastAsia="zh-CN"/>
              </w:rPr>
              <w:t>包括但不限于清晰可辨的彩页、官网和</w:t>
            </w:r>
            <w:r>
              <w:rPr>
                <w:rFonts w:hint="eastAsia" w:ascii="宋体" w:hAnsi="宋体" w:eastAsia="宋体" w:cs="宋体"/>
                <w:color w:val="auto"/>
                <w:sz w:val="21"/>
                <w:szCs w:val="21"/>
                <w:highlight w:val="none"/>
              </w:rPr>
              <w:t>功能截图并加盖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CA证书签章，否则投标文件无效。</w:t>
            </w:r>
          </w:p>
          <w:p>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、支持终端防火墙功能，支持包括但不限于通过协议（TCP、UDP、ICMP、IGMP、GGP、PUP、IDP、ND、ESP、AH、RDP、GRE、SKIP、RAW），端口号，IP地址、进出口方向等控制规则对终端进行防护，从网络层保护终端安全；</w:t>
            </w:r>
          </w:p>
          <w:p>
            <w:pPr>
              <w:keepNext w:val="0"/>
              <w:keepLines w:val="0"/>
              <w:pageBreakBefore w:val="0"/>
              <w:widowControl/>
              <w:kinsoku/>
              <w:wordWrap/>
              <w:overflowPunct/>
              <w:topLinePunct w:val="0"/>
              <w:bidi w:val="0"/>
              <w:adjustRightInd w:val="0"/>
              <w:snapToGrid w:val="0"/>
              <w:spacing w:before="181" w:beforeLines="50" w:after="181" w:afterLines="50"/>
              <w:rPr>
                <w:rStyle w:val="66"/>
                <w:rFonts w:hint="eastAsia" w:asciiTheme="minorEastAsia" w:hAnsiTheme="minorEastAsia" w:eastAsiaTheme="minorEastAsia" w:cstheme="minorEastAsia"/>
                <w:sz w:val="21"/>
                <w:szCs w:val="21"/>
                <w:lang w:val="en-US" w:eastAsia="zh-CN" w:bidi="ar"/>
              </w:rPr>
            </w:pPr>
            <w:r>
              <w:rPr>
                <w:rFonts w:hint="eastAsia" w:ascii="宋体" w:hAnsi="宋体" w:eastAsia="宋体" w:cs="宋体"/>
                <w:color w:val="auto"/>
                <w:sz w:val="21"/>
                <w:szCs w:val="21"/>
                <w:highlight w:val="none"/>
                <w:lang w:val="en-US" w:eastAsia="zh-CN"/>
              </w:rPr>
              <w:t>▲15、应用管理：支持通用协议实现自动分析windows系统、linux系统等网络设备的IP4和IP6协议并生成网络拓扑图。通过管理服务端实现监控windows系统、linux系统的系统参数、网络接口、内存、CPU使用率、存储空间信息，并呈现出监</w:t>
            </w:r>
            <w:r>
              <w:rPr>
                <w:rStyle w:val="66"/>
                <w:rFonts w:hint="eastAsia" w:asciiTheme="minorEastAsia" w:hAnsiTheme="minorEastAsia" w:eastAsiaTheme="minorEastAsia" w:cstheme="minorEastAsia"/>
                <w:sz w:val="21"/>
                <w:szCs w:val="21"/>
                <w:lang w:val="en-US" w:eastAsia="zh-CN" w:bidi="ar"/>
              </w:rPr>
              <w:t xml:space="preserve">控图表等，至少三种图表；在安装控制客户端的设备上支持服务端远程控制关机重启网络唤醒功能；实时监控管理端用电情况，监控捕捉操作系统挂起时的视频显示内容，设置事件日志转发和自动通报；声音提醒警报功能；软件提供在软件监控端发现的警告、错误、提醒、主要、次要等事件发生时，使用报警声音功能并可以自定义声音，供货时需提供功能截图； </w:t>
            </w:r>
          </w:p>
          <w:p>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16、可靠性：生产厂商获得CCCS钻石五星认证；生产厂商通过ITSS信息技术服务运行维护认证，交货时需提供证书复印件；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FF0000"/>
                <w:sz w:val="21"/>
                <w:szCs w:val="21"/>
                <w:u w:val="none"/>
              </w:rPr>
            </w:pPr>
            <w:r>
              <w:rPr>
                <w:rStyle w:val="66"/>
                <w:rFonts w:hint="eastAsia" w:asciiTheme="minorEastAsia" w:hAnsiTheme="minorEastAsia" w:eastAsiaTheme="minorEastAsia" w:cstheme="minorEastAsia"/>
                <w:sz w:val="21"/>
                <w:szCs w:val="21"/>
                <w:lang w:val="en-US" w:eastAsia="zh-CN" w:bidi="ar"/>
              </w:rPr>
              <w:t xml:space="preserve">▲17、服务：原厂3年上门服务，支持原厂数据恢复服务，如机械故障、震荡、撞击等，导致数据损坏的情况。交货时需提供原厂售后服务承诺函，提供400呼叫中心7天×24小时免费技术支持服务，供货时需提供针对本项目的原厂售后服务承诺书。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监控屏幕</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异幕尺寸：50寸</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异幕类型：LED</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异幕比例：16:9</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亮度：400nit</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对比度：5000:1</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响应时间：5ms</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可视面积：1095.84x616.41 mm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可视角度：160度/170度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显示色彩：1.07B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清晰度：3840x2160 V-by-one 接口控制方法：面板、红外遛控翠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瑜入端口：HDMI.VGA，RCA视、音频输入音频输出：配立体声喇叭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电源：110-220V 50-60Hz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总功率：105W</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外壳：专业防火铁壳，塑科框菜（塑料底空）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产品外尺寸：1136.5mmx663.2mm×93mm，不包括脚高度（脚高40mm）安装方式：底座、壁挂产品净重：15.4kg</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单台包装尺寸：1162×140×690mm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单台毛 ：18kg</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問转箱尺寸：2台/箱，1195×165x725mm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冬台毛璽：39kg</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工作温度：0°C~50°C</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工作湿度：10%-90% RH</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存储温度：-20°C~60°C</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i w:val="0"/>
                <w:iCs w:val="0"/>
                <w:color w:val="000000"/>
                <w:sz w:val="21"/>
                <w:szCs w:val="21"/>
                <w:u w:val="none"/>
              </w:rPr>
            </w:pPr>
          </w:p>
        </w:tc>
      </w:tr>
    </w:tbl>
    <w:p>
      <w:pPr>
        <w:spacing w:line="360" w:lineRule="auto"/>
        <w:rPr>
          <w:rFonts w:hint="eastAsia"/>
          <w:sz w:val="24"/>
          <w:szCs w:val="24"/>
          <w:lang w:val="en-US" w:eastAsia="zh-CN"/>
        </w:rPr>
      </w:pPr>
    </w:p>
    <w:p>
      <w:pPr>
        <w:tabs>
          <w:tab w:val="center" w:pos="4708"/>
        </w:tabs>
        <w:rPr>
          <w:rFonts w:hint="eastAsia" w:ascii="仿宋" w:hAnsi="仿宋" w:eastAsia="仿宋" w:cs="仿宋"/>
          <w:b/>
          <w:bCs w:val="0"/>
          <w:color w:val="auto"/>
          <w:sz w:val="32"/>
          <w:szCs w:val="32"/>
          <w:highlight w:val="none"/>
          <w:lang w:val="en-US" w:eastAsia="zh-CN"/>
        </w:rPr>
      </w:pPr>
    </w:p>
    <w:tbl>
      <w:tblPr>
        <w:tblStyle w:val="25"/>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2350"/>
        <w:gridCol w:w="1304"/>
        <w:gridCol w:w="653"/>
        <w:gridCol w:w="788"/>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97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仿宋" w:hAnsi="仿宋" w:eastAsia="仿宋" w:cs="仿宋"/>
                <w:b/>
                <w:bCs/>
                <w:i w:val="0"/>
                <w:iCs w:val="0"/>
                <w:color w:val="000000"/>
                <w:kern w:val="0"/>
                <w:sz w:val="32"/>
                <w:szCs w:val="32"/>
                <w:u w:val="none"/>
                <w:lang w:val="en-US" w:eastAsia="zh-CN" w:bidi="ar"/>
              </w:rPr>
              <w:t>来宾市卫生学校校园文化建设采购需求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1、教工之家墙面文化建设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内容、工艺材料与备注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9×1.7m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2、技工楼二楼墙面文化建设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3、学生宿舍楼墙面文化建设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4、图书馆及机房墙面文化建设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bl>
    <w:p>
      <w:pPr>
        <w:tabs>
          <w:tab w:val="center" w:pos="4708"/>
        </w:tabs>
        <w:rPr>
          <w:rFonts w:hint="eastAsia" w:ascii="仿宋" w:hAnsi="仿宋" w:eastAsia="仿宋" w:cs="仿宋"/>
          <w:b/>
          <w:bCs w:val="0"/>
          <w:color w:val="auto"/>
          <w:sz w:val="32"/>
          <w:szCs w:val="32"/>
          <w:highlight w:val="none"/>
          <w:lang w:val="en-US" w:eastAsia="zh-CN"/>
        </w:rPr>
      </w:pPr>
    </w:p>
    <w:p>
      <w:pPr>
        <w:tabs>
          <w:tab w:val="center" w:pos="4708"/>
        </w:tabs>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3标段的采购需求</w:t>
      </w:r>
    </w:p>
    <w:p>
      <w:pPr>
        <w:tabs>
          <w:tab w:val="center" w:pos="4708"/>
        </w:tabs>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3标段的核心产品：物联网水控机</w:t>
      </w:r>
    </w:p>
    <w:tbl>
      <w:tblPr>
        <w:tblStyle w:val="25"/>
        <w:tblW w:w="97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115"/>
        <w:gridCol w:w="6657"/>
        <w:gridCol w:w="274"/>
        <w:gridCol w:w="600"/>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97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生活设施设备采购（多功能水控机）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665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详细技术参数</w:t>
            </w:r>
          </w:p>
        </w:tc>
        <w:tc>
          <w:tcPr>
            <w:tcW w:w="27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69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物联网水控机</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1、为一体型计量水控机。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▲2、通讯方式: 采用蓝牙技术和4G技术传输数据，双通道通讯，保证设备24小时在线，水控机无线联网。适配机型：Android、HarmonyOS、IOS 系统带蓝牙功能的智能手机。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▲3、支持微信、支付宝及卡片三种方式消费，手机扫码支付时可以直接扣微信钱包或银行卡的费用，用完水后多余的费用原路返还；用户可以预充值，也可以不预充值。</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4、▲可以启用先用后扣模式，用户先用水，后结账，用户不用先充值，避免账户有余额，产生退款操作。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5、刷卡模式下：读卡类型:符合ISO/ICE 14443A/B标准，Mifare1卡/CPU卡/金融IC卡。支持限制M1卡使用或完全限制卡片使用，避免卡片被复制。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6、工作电压:≥DC12V±3%。</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▲7、液晶LCD带背光显示，可显示当次预扣金额（随着用水量递减），阀开。阀关，4G和蓝牙在线情况，计量/计时标识。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▲8、支持防磁攻击防窃水功能，遇到磁铁吸附直接关阀，并结束当次订单。</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▲9、计费精度：≤0.01 元。</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▲费率更改：可以通过后台直接下发命令对水控机费率进行更改。</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▲通知下发：可以在管理平台下发各种通知、公告，可同步到每一位用户绑定的手机上面。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▲偷水报警：当水控机遇到非法手段偷水，水控机自动关闭阀门。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▲支付方式：微信、支付宝，使用方式：扫码、刷卡。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▲温度控制：水控机可以设置达到设定温度才扣费，温度达不到不扣费。</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▲流量精度：水控机检测水的流量精度误差≤±5%。</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▲手机查询：用户通过手机端，可以查询附近设备、最近使用设备、故障报修、充值记录、▲消费记录、退款记录、管理方推送的消息等。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▲信息管理：管理方可以登录手机端和电脑端，可按时间段查询用户充值信息、消费信息、▲用户报修等各类信息管理功能。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▲设备管理：管理方在管理平台可添加、删除不同的操作员，赋予操作员不同的权限，管理方可通过手机端和电脑端查询设备总的使用数量和设备预警数量，并查询预警设备的所在区域、地址、异常描述等。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▲以上功能需提供省级以上权威机构检验报告复印件并加盖公章，原件现场核查。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▲10、计量收费；控制器、流量计、阀门一体化封装，口径≥dn18。</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▲11、蓝牙模式下：支持设置刷卡费率和扫码用水费率为二种不一样费率。</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▲12、可以远程对水控下发指令、远程设置水控参数，包括不限于计费温度、计量金额等。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▲13、4G模式下：支持绑卡功能，可绑定任意卡的序列号使用，卡上数据与云平台数据一致。</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▲14、智能水控机使用环境有大量水雾，水控机需具有符合防水防护等级IP68要求的检验报告。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▲15、可设置限时时间段，限时时间不允许使用。（投标文件中须提供此功能的截图证明，否则投标文件无效）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▲16、可远程对水控机下发指令，远程设置水控机费率，包括开关阀等。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▲17、可限制每天用户的使用金额，超过金额不可用。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▲18、具备透支消费功能，可以在后台批量下发补助金额。（投标文件中须提供此功能的截图证明，否则投标文件无效）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▲19、生产厂家具有：环境管理体系认证证书ISO14001、质量管理体系认证证书ISO9001、职业健康安全管理体系认证证书ISO45001。水控机整机需具备蓝牙的无线电发射核准证书。以上证书原件备查                       ▲20、投标人须提供本项目厂家授权书、售后服务承诺书。</w:t>
            </w: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蓝牙扫码款+刷卡款，预充值型，一体阀体，配电源、防盗扣、胶垫、接头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云服务平台</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1、要求采购阿里云端数据存储，数据安全性高；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▲2、从安全角度考虑：软件登录，需要有双因子验证，需要手机验证码作为身份认证登录。软件具备操作权限分级功能。（投标文件中须提供此功能的截图证明，否则投标文件无效）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3、电脑端可显示设备在线/掉线时间，是否使用/空闲，是否正常/异常。显示IMEI和CCID信息，显示设备位置定位信息，方便管理员管理设备。</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4、平台支持在线报修功能，并且支持管理员通过报修功能跟学生交流；用户绑卡可绑定至少2张卡任意卡进行消费，丢卡余额可找回。</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▲5、实时采集消费明细，可按日/月/年的消费明细查询和汇总；（投标文件中须提供此功能的截图证明，否则投标文件无效）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6、系统支持扫码消费的费率和刷卡的费率不相同；</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▲7、系统可以发免费使用券促销活动，新注册用户可以领取一张免费使用券。（投标文件中须提供此功能的截图证明，否则投标文件无效）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8、平台支持发布消息功能，可将系统变更或者提示及时发送到用户手机上面。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9、平台支持购买VIP卡等营运手段。</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10、无需人工排除，设备故障具备自检，主动上报及学生手动上报故障设备功能；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11、可24小时实时监控水控机使用状态，并提供各种信息的录入、查询、计算、打印等。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▲12、管理方可进行成本进行录入配置和成本汇总分析，掌握整个系统盈亏状况。（投标文件中须提供此功能的截图证明，否则投标文件无效）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▲13、4G流量卡过期前，可在平台弹窗进行提醒续费。（投标文件中须提供此功能的截图证明，否则投标文件无效）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▲14、用户支付金额直接通过微信商户号自动转进学校对公账户，无手续费，也无需人工操作。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15、可添加删除不同的操作员，赋予操作员不同权限，方便管理相关人员；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16、可在管理平台下发各种通知、通告，同步传递到每一位学生手机上；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▲17、平台具备信息系统安全等级保护备案证明</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▲18、软件要具备软件产品登记测试报告，提供原件备查                             </w:t>
            </w:r>
          </w:p>
        </w:tc>
        <w:tc>
          <w:tcPr>
            <w:tcW w:w="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云服务器，小程序用户端和管理端（含微信小程序）</w:t>
            </w:r>
          </w:p>
        </w:tc>
      </w:tr>
    </w:tbl>
    <w:p>
      <w:pPr>
        <w:pStyle w:val="13"/>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4标段的采购需求</w:t>
      </w:r>
    </w:p>
    <w:p>
      <w:pPr>
        <w:rPr>
          <w:rFonts w:hint="default"/>
          <w:lang w:val="en-US" w:eastAsia="zh-CN"/>
        </w:rPr>
      </w:pPr>
      <w:r>
        <w:rPr>
          <w:rFonts w:hint="eastAsia" w:ascii="仿宋" w:hAnsi="仿宋" w:eastAsia="仿宋" w:cs="仿宋"/>
          <w:b/>
          <w:bCs w:val="0"/>
          <w:color w:val="auto"/>
          <w:sz w:val="32"/>
          <w:szCs w:val="32"/>
          <w:highlight w:val="none"/>
          <w:lang w:val="en-US" w:eastAsia="zh-CN"/>
        </w:rPr>
        <w:t>4标段的核心产品：药苗</w:t>
      </w:r>
    </w:p>
    <w:tbl>
      <w:tblPr>
        <w:tblStyle w:val="25"/>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2501"/>
        <w:gridCol w:w="2196"/>
        <w:gridCol w:w="944"/>
        <w:gridCol w:w="758"/>
        <w:gridCol w:w="2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来宾市卫生学校中药种植项目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一、药苗清单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名称</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上山虎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下山虎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入山虎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毛老虎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猛老虎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蓝九牛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紫九牛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橙九牛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大红钻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小红钻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铜钻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双钩钻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四方钻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六方钻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九龙钻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麻骨钻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葫芦钻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槟榔钻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大白背风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大接骨风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细接骨风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大散骨风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小散骨风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入骨风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扭骨风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追骨风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穿骨风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扁骨风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破骨风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浸骨风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麻骨风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冷骨风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暖骨风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保暖风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三角风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四季风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五指风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五爪风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穿心风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九季风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七爪风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鸡爪风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鹰爪风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金钱风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金线风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大肠风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小肠风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鸡肠风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鸭仔风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鸭脚风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独脚风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八角风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羊角风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来角风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过山风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过节风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过墙风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爬墙风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走血风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血风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牛耳风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牛膝风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半边风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半荷风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红顶风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白面风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急惊风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慢惊风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水浸风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石上风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竹叶风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粘手风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刺手风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阴阳风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走马风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南蛇风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鬼刺风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钻地风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倒丁风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假死风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酸吉风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糯米风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鹞鹰风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山豆根</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广西莪术</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鸡骨草</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罗汉果</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高度约100cm以上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八角</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高度约150cm以上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桂皮</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高度约150cm以上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龙眼树</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高度约150cm以上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两面针</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高度约100cm以上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鸡血藤</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高度约100cm以上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穿心莲</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肿节风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青蒿</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粉葛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五指毛桃</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山银花</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砂仁</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槐米</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广金钱草</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田七</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天冬</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钩藤</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橘红</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炮仗花</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爬藤植物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灵芝</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何首乌</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铁皮石斛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金花茶</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绞股蓝</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杜仲</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高度约100cm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扶芳藤</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金樱子</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功劳木</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百部</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广山药</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茉莉花</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姜黄</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益智仁</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06"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合计（元）</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二、种植土回（换）填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回填种植土和沃土</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三、平整场地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平整场地</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四、铺种草皮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草皮</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4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五、给水喷淋PPC管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给水喷淋PPC管</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六、透水砖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透水砖</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七、标识牌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标识牌</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30#不锈钢杆+0.7#不锈钢面板UV喷画（画面尺寸20*30）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100*20*30埋土安装，地面以上高度约75cm，预埋20-25公分，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八、宣传栏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宣传栏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（含喷绘）</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镀锌板烤漆工艺1.2厚</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油漆质保五年不退色不掉块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340*340埋土安装，地面以上高度约3米，预埋40-50公分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仿古雨棚宣传栏固定视窗直接贴画，单面看画视窗1.2*2.4米，40*60方管框,立柱120mm，眉头板20cm,横梁40*60mm</w:t>
            </w:r>
          </w:p>
        </w:tc>
      </w:tr>
    </w:tbl>
    <w:p>
      <w:pPr>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5标段的采购需求</w:t>
      </w:r>
    </w:p>
    <w:p>
      <w:pPr>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5标段的核心产品：</w:t>
      </w:r>
      <w:r>
        <w:rPr>
          <w:rFonts w:hint="eastAsia" w:ascii="宋体" w:hAnsi="宋体" w:eastAsia="宋体" w:cs="宋体"/>
          <w:i w:val="0"/>
          <w:iCs w:val="0"/>
          <w:color w:val="000000"/>
          <w:kern w:val="0"/>
          <w:sz w:val="24"/>
          <w:szCs w:val="24"/>
          <w:u w:val="none"/>
          <w:lang w:val="en-US" w:eastAsia="zh-CN" w:bidi="ar"/>
        </w:rPr>
        <w:t>移动式教学管理平台</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虚拟动脉穿刺系统</w:t>
      </w:r>
    </w:p>
    <w:tbl>
      <w:tblPr>
        <w:tblStyle w:val="26"/>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082"/>
        <w:gridCol w:w="7118"/>
        <w:gridCol w:w="57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85" w:type="dxa"/>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082" w:type="dxa"/>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设备名称</w:t>
            </w:r>
          </w:p>
        </w:tc>
        <w:tc>
          <w:tcPr>
            <w:tcW w:w="7118" w:type="dxa"/>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tc>
        <w:tc>
          <w:tcPr>
            <w:tcW w:w="573" w:type="dxa"/>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603" w:type="dxa"/>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虚拟动脉穿刺系统</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▲1.系统包含训练和考核两种操作模式，训练模式包含全程操作提示和智能纠错功能，考核模式全程无提示，训练与考核结束后均给予全面的操作评价，帮助学生实现自主训练和自主纠错；</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▲2.系统件将准备步骤详细分解为环境准备、患者准备、操作者准备和物品准备，考察学生对基础知识的掌握情况；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3.物品准备不仅进行所选物品是否正确的考察，还包括所选物品摆放区域是否正确的无菌观念的考察；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4.软件采取桡动脉穿刺的方式进行动脉穿刺，学生需选择正确的操作体位；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▲5.系统可使用标记笔进行穿刺点的标记，软件智能判断标记点所在区域是否正确；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6.需要使用碘伏棉签对穿刺点进行消毒，软件智能判断消毒方式是否正确，包括消毒方向、消毒面积和消毒起点的判定；</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▲7.可模拟穿刺过程，学生可使用键盘、鼠标完成针尖斜面确定、进针角度调整和进针深度调节等操作，软件智能检测上述操作是否正确；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8.穿刺步骤提供剖面图效果，学生在穿刺过程中可于剖面图中清晰看到针尖刺入过程；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▲9.术后包含手术物品分类整理、术后嘱咐等功能，重点考察学生的无菌观念和人文关怀能力；</w:t>
            </w:r>
          </w:p>
          <w:p>
            <w:pPr>
              <w:keepNext w:val="0"/>
              <w:keepLines w:val="0"/>
              <w:widowControl/>
              <w:suppressLineNumbers w:val="0"/>
              <w:spacing w:line="360" w:lineRule="auto"/>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▲10.操作完成后，系统从训练和考核两个角度对学生的操作全程进行评价，主要包括各步骤得分详情、各步骤错误率对比和各步骤正确操作建议等内容。（投标时提供功能截图证明）</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自动体外除颤器</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1.物理规格/性能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1.1设备具备便携把手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▲1.2抗冲击/跌落性能：机器六面均可承受≥1.5 m跌落冲击</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▲1.3防尘防水级别：防尘防水级别IP55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1.4工作温度范围满足-20℃～50℃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▲1.5工作湿度范围：0%～95%非冷凝</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1.6工作大气压力范围：570hPa～1062hPa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1.7运输、储存温度：-30℃～70℃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▲1.8符合EN1789急救车标准认证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2除颤性能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采用双相波技术，双相指数截断（BTE）波形，波形参数可根据病人阻抗进行自动补偿，输出能量：成人最大能量可支持360J，病人阻抗范围：20～300Ω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▲3.1在室温温度环境下，电池待机寿命不少于5年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▲3.2在适合条件下，至少可支持360次200J除颤治疗或210次360J除颤治疗</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3.3低电量报警后，至少还可持续30分钟工作时间和至少10次200J除颤充放电或至少6次360J除颤放电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4电极片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4.1自动识别成人、小儿电极片，根据电极片类型自动选择对应的除颤能量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4.2具有电极片有效期自检功能和电极片过期提示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4.3提供智能语音播报，智能提示急救人员除去病人的衣物、粘贴电极片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5操作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5.1可一键快速切换中文、英文或自定义多种语言</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5.2支持成人/小儿患者类型快速一键切换，可根据病人类型自动切换提示信息、除颤能量和CPR按压模式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 CPR按压模式支持配置30:2，15:2和仅按压模式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6数据传输和存储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▲6.1数据传输：支持内置WIFI/4G/5G无线数据传输功能，可将数据传输到AED管理平台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▲6.2数据管理：存储5h的ECG波形，可存储不少于1500份自检报告，支持1000条报警事件；可保存1h抢救现场录音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7维护与自检</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7.1具有用户自检和设备自检功能支持每日、每周、每月、每季度的设备自检</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7.2提供设备状态指示灯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8机箱要求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采用壁挂式机箱和立地式机柜，可定制外箱颜色和标语。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9AED智能管理系统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▲9.1系统功能：支持AED设备信息维护、监控（自检、定位、报警、预警、位移监测）、维护日志、权限管理、急救人员管理、急救实时反馈等功能。提供地图显示模式，在AED地图上显示相关信息。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系统反馈功能：设备运行状态显示，根据自检结果，正常/故障显示设备状态，故障时发出报警信息并发送消息到设备管理者；具有急救事件实时反馈功能，系统发送信息至设备绑定管理者或急救员，并自动显示所发生地位置信息。</w:t>
            </w:r>
          </w:p>
          <w:p>
            <w:pPr>
              <w:keepNext w:val="0"/>
              <w:keepLines w:val="0"/>
              <w:widowControl/>
              <w:suppressLineNumbers w:val="0"/>
              <w:spacing w:line="360" w:lineRule="auto"/>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▲9.3系统管理：要求提供采购人独立的授权管理账号，开放管理权限，支持采购人随时随地通过手机、平板、电脑自行监管查看，通过分级授权和权限管理实现统一在线管理。</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移动式教学管理平台</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一、一体化移动系统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1.需采用一体化台面结构设计，台面无缝隙，无液体渗漏风险；台面采用医用级抑菌ABS塑料材质，台面把手一体化，舒适手感；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2.伸缩式键盘托带阻尼，键盘托稳固性强；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3.工作台面和显示器可整体气动升降；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4.配置1套双节活动臂，可悬挂摄像机；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5.立柱使用航空铝合金新型复合材料,内部中空设计，可隐藏走线；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6.显示器固定架可以承受≥10kg, 可进行俯仰≥30度、左右≥90度的摆动，可满足不同视角角度需要；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7.底盘盖采用医用级抑菌ABS塑料材质，需造型美观；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8.车体底座采用≥4个4寸高强度防缠绕静音万向医疗轮，需带刹车；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二、硬件部分</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一体化嵌入式设计；Linux操作系统；主机厚度：1U；标准机架式设计，能够7*24小时稳定工作 ；主机供电：DC12V；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主机可在-30℃，湿度 85%的环境下稳定运行；</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主机集成录制、导播、直播、互动功能模块，不需要采用2台及以上的主机实现以上功能；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主机接口：提供主机接口图片；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①.HDMI输入接口：1路；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②.HDMI接口输出：2路；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③.音频输入1路；音频输出：1路；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④.USB接口：1路；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⑤.RG45网口：1路；RS485：1路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⑥.内置MSATA接口；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⑦.内置256G固态硬盘；</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三、软件部分</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▲1.支持每路通道选择录制，支持单通道、多通道同时录制；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可调节输入、输出音量；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直播功能：直播数量：100个点；直播码流：500Kbps-10Mbps可调；无需下载任何插件及播放器，通过IE浏览器就可实现直播观看；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直播支持开始，暂停，停止等操作；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视频转发功能： 同时支持两路不同的视频地址转发,同时支持RTSP,RTMP等多转流媒体协议转发；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恢复默认功能： 紧急情况下，可通过顶针长按主机背板小孔5-10s，达到主机恢复到出厂设置的状态；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可设置主机RTC时间；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可通过虚拟键盘、鼠标设置主机IP，掩码，网关，DNS，MAC等；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显示存储总空间、剩余空间；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 录像功能：具有“开始、停止”控制按钮，可以录制通用视频格式文件；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 录制覆盖功能: 可自动检测硬盘容量，在极限情况下，自动覆盖最早的录像文件，保证当前录制文件的完整性；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Web端支持账户密码登录；</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 Web端支持录像开始、停止功能，可通过“开始”，“停止”按钮进行实时配置；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Web端支持主通道预览，可实时观看到主播通道的画面；</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 Web端支持子通道预览，点击子通道可切换子通道画面到主播通道；</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 Web端支持播放主机通道声音；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 Web端支持下载录像文件，点击“下载”按钮可将选择的录制文件到本地电脑；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 Web端支持实时回放已录制的视频；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 Web端支持主机在线升级功能，点击“升级”按钮，选择升级文件，即可上传，重启升级；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 Web端支持重启主机功能，点击“确定并重启”按钮，可重启主机；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 支持设置录制分片时长；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 支持设置最长录制时间；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 支持设置直播分辨率及码流（1280*720-1920*1080，1M-4M）；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 支持设置录制分辨率及码流（1280*720-1920*1080，1M-4M）；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 支持开启、关闭抖动队列；</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▲26.录制进行课堂分析功能：课堂实录：语音文本化（投标时提供功能截图证明）</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▲27.视频切片分析图（投标时提供功能截图证明）</w:t>
            </w:r>
          </w:p>
          <w:p>
            <w:pPr>
              <w:keepNext w:val="0"/>
              <w:keepLines w:val="0"/>
              <w:widowControl/>
              <w:suppressLineNumbers w:val="0"/>
              <w:spacing w:line="360" w:lineRule="auto"/>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▲28.教学行为占比饼状图（投标时提供功能截图证明）</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精装静脉穿刺手臂（右手臂）</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1.模型为成人完整的右手臂，由6条模拟血管构成完整的手臂静脉系统，包括头静脉、贵要静脉、肘正中静脉、前臂正中静脉、副头静脉、手背静脉网等。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2.采用高分子材料，环保无污染，触感真实，具有明显的皮肤纹理和血管走向特征。                                                                                                                                                                                          3.可进行肘部静脉的穿刺、采血、输液操作训练，具有头静脉、肘正中静脉、贵要静脉可供穿刺等操作。                                                                           4.进行手背静脉穿刺和肘部静脉穿刺时，可以分别摆出正确体位。                                                                                                                  5.手背静脉网和肘部静脉穿刺部位可以进行操作前消毒，消毒痕迹操作后方便去除，不留痕迹。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6.手背静脉网和肘部静脉穿刺部位血管可以触摸到。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7.静脉穿刺：可选择不同类型的穿刺针进行训练，穿刺时有落空感，穿刺成功后可有回血，并可进行静脉注射、输液、采血、输血等多项护理操作。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8.肌内注射部位：三角肌部位。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9.皮下注射部位：三角肌下缘部位。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▲10.模拟血管内有支撑部件，可增加血管表面张力，可反复进行练习。                                                                                  ▲11.客户可通过“应用商店”自行下载手机ＡＰＰ。云平台服务：提供产品常见问题和解答，帮助用户自行处理简单问题，用户亦可向通过平台向厂家直接反馈产品问题。（投标时提供功能截图证明）</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▲12.产品符合欧盟环保标准并有相关的检测证明文件。</w:t>
            </w:r>
          </w:p>
          <w:p>
            <w:pPr>
              <w:keepNext w:val="0"/>
              <w:keepLines w:val="0"/>
              <w:widowControl/>
              <w:suppressLineNumbers w:val="0"/>
              <w:spacing w:line="360" w:lineRule="auto"/>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 投标产品经专业检测机构无毒无害，提供国家实验室认可的检测机构出具的SGS认证证书。（投标时提供功能截图证明）</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静脉输液仿真手臂（带泵）</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1.手臂上分布 8 条模拟血管构成完整的静脉系统、包括头静脉、贵要静脉、肘正中静脉、前臂正中静脉和手部静脉网等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2.解剖标志明显注意了每一个细节的制作、如手指的指纹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▲3.带有血液循环装置、内置模拟血液、调节不同血压强度、可模拟不同的回血程度。循环泵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控制器升级了液晶大屏数字显示功能，静脉血流速度清晰可调</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4.可反复进行练习、模拟血液均可更换且操作简单方便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5.静脉血管和皮肤的同一穿刺部位可以经受多次反复穿刺不渗漏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高级静脉穿刺手臂   一只</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替换手皮           一只</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模拟血粉           一份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控制器电源         一只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防尘防水垫         一块</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输液泵控制器       一只</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一次性输液器吊瓶   一只</w:t>
            </w:r>
          </w:p>
          <w:p>
            <w:pPr>
              <w:keepNext w:val="0"/>
              <w:keepLines w:val="0"/>
              <w:widowControl/>
              <w:suppressLineNumbers w:val="0"/>
              <w:spacing w:line="360" w:lineRule="auto"/>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说明书、合格证、保修卡  一套</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高级心肺复苏训练考核系统</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▲本产品是集教学、培训、考核和实际操作于一体，知识全面、交互式急救训练系统，执行标准最新《美国心脏协会心肺复苏与心血管急救指南》，可进行双人心肺复苏术的训练与考核。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一、模拟人特点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1.模拟人为成人整体人，胸骨、肋骨、乳头、剑突等体表标志明显，便于操作定位。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2.具有仿真的头颈部，头可左右摆动，可水平转动180 度，有利于清除异物。</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心肺复苏术：执行最新《美国心脏协会心肺复苏与心血管急救指南》，可行胸外按压，可行仰头举颏法、仰头抬颈法、双手抬颌法三种方法打开气道，可行口对口人工呼吸或者使用简易呼吸器辅助呼吸，有效人工呼吸可见胸廓起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▲4.可以满足双人心肺复苏术的操作要求，对整个流程进行实时检测，包括意识判断、颈动脉搏动、清除口腔异物、开放气道、瞳孔对光反射等操作，模型人均可感应，并通过软件进行记录、实时反馈。</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4.1可进行意识判断操作检测：拍打模拟人肩部进行意识判断操作，模拟人可监测。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4.2可进行颈动脉搏动操作检测：对心肺复苏前后按压颈动脉操作分别进行检测。抢救状态下，颈动脉搏动消失；抢救成功后，颈动脉搏动恢复。按压过程中，颈动脉被动搏动存在，频率与按压频率一致。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4.3可进行清除口腔异物操作检测：口腔内置清除异物传感器，可检测操作者是否按照规范要求操作，具有专利证书。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4.4可进行开放气道操作检测：只有在开放模拟人气道的情况下给模拟人供气才能显示吹气量。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可进行瞳孔对光反射操作检测：瞳孔随病情变化而自动发生变化(有缩小、正常、散大3种状态，双侧都可直接/间接对光反射)；抢救成功后，瞳孔对光反射恢复正常。可分别对左右眼进行瞳孔对光反射操作检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▲5.模拟人有两种供电方式，电源线或内置锂电池供电，电池连续工作可达8小时以上，满足不同的使用场景。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.匹配2023年中职国赛专用模拟除颤仪进行除颤术的训练与考核。</w:t>
            </w:r>
            <w:r>
              <w:rPr>
                <w:rFonts w:hint="eastAsia" w:ascii="宋体" w:hAnsi="宋体" w:eastAsia="宋体" w:cs="宋体"/>
                <w:i w:val="0"/>
                <w:iCs w:val="0"/>
                <w:color w:val="000000"/>
                <w:kern w:val="0"/>
                <w:sz w:val="21"/>
                <w:szCs w:val="21"/>
                <w:u w:val="none"/>
                <w:lang w:val="en-US" w:eastAsia="zh-CN" w:bidi="ar"/>
              </w:rPr>
              <w:t>模型与除颤仪教学机具有感应识别功能，能识别模型心率类型并根据除颤效果有心律波形的变化。（投标时提供功能截图证明）</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▲7.模拟人和计算机之间有两种通信方式可以选择：USB 通信；蓝牙通信，满足不同的使用场景。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8.模拟人手臂关节灵活，可进行搬运练习。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9.模拟人上臂可练习肌内注射。</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10.模拟人可用于模拟AED练习。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11.面皮与肺袋均可更换。</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12.模型配有带轮拉杆箱，方便搬运和储存。</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二、软件功能：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软件具有AHA成人标准一键设置功能，设置项包括：操作时间、循环次数、按压和吹气的正确比率（决定急救操作后的复活标准）、潮气量和按压深度的标准范围。老师也可调节和变更按压和通气的考核标准值,建立符合当次考核状态的心肺复苏标准，并可进行多语言切换。</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2.软件包含三种操作模式：单项训练是可单独练习CPR操作中任意一项；考核模式有语言引导，进行CPR全流程训练，可进行模拟考核；实战模式完全模拟竞赛现场。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实战模式下，进行“意识判断”、“脉搏检查”的操作，系统会自动检测判断正误，进行胸外按压，不启动倒计时、不显示波形、不统计数据。点击“开始计时”，从第一次按压开始启动倒计时、显示波形并统计数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▲4.可实时显示对模拟人的意识判断、脉搏检查、清除异物、开放气道、瞳孔对光反射（双侧）等操作，并对操作与否和操作顺序进行判断。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程实时电子监测多项指标，显示波形，统计数据。吹气部分监测吹气次数、吹气量、吹气时间。按压部分监测按压次数（多按、少按）、按压位置（正确、错误）、按压深度（过大、过小）、按压频率（正确、错误）、按压回弹、按压时间间隔过长。实时显示吹气操作波形，通过波形可判断吹气量、吹气周期和吹气时间。实时显示按压操作波形，通过波形可判断按压深度、按压频率、按压回弹情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▲6.用户管理与统计：用户管理专用帐号可进行院系、班级管理，记录每次练习数据并分类统计历史数据（饼图，柱状图）。（投标时提供功能截图证明）</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7.错误报警提示：操作错误时在错误的项目上会有红色警示，单次操作动作中存在的多项错误可以同时提示，同时有报警音“嘟”提示。在竞赛和考核状态下，报警音可关闭。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全面客观的成绩统计：成绩单所有操作结果数据以表格形式清晰显示。提供按压频率的实时显示图，并以描点成曲线的形式记录，该方法可以客观的记录按压频率的范围，判断每一次按压是否在标准频率范围内。以曲线的形式记录按压和吹气过程，使统计的结果更加直观，并可以记录每一个操作的细节。按压过程中若出现按压间隔过大的情况，其间隔时间将记录在按压曲线上。多个成绩以饼状图+柱状图形式以不同维度进行统计展示，形成分析报告。</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9.成绩单可按照日期、姓名查询，可连接通用打印机对成绩单进行单页、多页打印。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▲10.数据回放： 可实时回放操作数据，真实体现数据状态。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▲11.实时录像：连接摄像头可以对操作过程实时录像保存，并可查看视频记录。</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12.软件在Windows、安卓等多平台均可使用，客户使用手机、平板、电脑等设备均可控制模型操作。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▲13.远程云系统：可与医模云系统连接，远程查看记录。</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▲14.软件包客户可在云平台自行下载。软件发布新版本后，软件可以自动从医模云平台获取软件升级包，用户接收升级提示后选择安装升级即可，可第一时间感受软件带来的新功能和优质体验。</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15.可统计模型按压、吹气次数，提醒用户及时维护。                                                                                                                             ▲16.显示多项体征参数及波形：心电(ECG)、呼吸(RESP)、血氧饱和度(SpO2)、脉搏（PR）、无创血压(NIBP) 、体温(TEMP)。</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17.连接市场通用真实监护仪配件：心电导连线，血氧探头，血压袖带，体温探头等。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▲18.内置76种权威数据库真实心电病例，类型数量可扩充。（投标时提供功能截图证明）</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▲19.可手动设置各项体征参数及报警参数。（投标时提供功能截图证明）</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20.一体化设计，高清晰彩色触摸屏。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21.可配合模型人使用，搭建全仿真病房监护教学环境。</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22.大屏投影：设备可连接到大屏幕，方便教师课堂教学。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▲23.一机多用：可拆卸多参数监测模块，连接时可配合模拟人搭建全仿真床旁监护环境，拆下后主机可以作为随身平板进行独立教学。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24.移动便携：内置电池，可移动使用。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25.支持多种语言随意切换：中文、英文。                                                                                                            26.产品具有《计算机软件著作权登记证书》。</w:t>
            </w:r>
          </w:p>
          <w:p>
            <w:pPr>
              <w:keepNext w:val="0"/>
              <w:keepLines w:val="0"/>
              <w:widowControl/>
              <w:suppressLineNumbers w:val="0"/>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27.产品具有商标注册证书。                                                                                                                     </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一体机电脑</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一、硬件参数：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1、处理器：四核N5105处理器或以上；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2、内存：≥8G DDR4；</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▲4、硬盘：≥512GB M.2 NVME固态硬盘，支持M.2 SSD+ HDD双硬盘；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5、网卡：集成，可选无线网卡；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▲6、电源：≥60W适配器电源；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▲7、I/O接口：整机≥6个USB接口(其中不少于4个USB 3.2 G1接口)、HDMI+VGA输出接口，麦克风/音频复用口；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6、键鼠：≥抗菌防水键盘，USB抗菌光电鼠标；；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▲7、机身设计：支持旋转升降（升降高度125mm，倾斜角度-5~20，底座旋转角度 -30~+30），支持VESA壁挂，内置2个高音质音箱；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显示屏：≥23.8寸IPS窄边框设计显示屏，1920*1080全高清分辨率；配置200万磁吸式摄像头，可实现物理屏蔽；正面设计有电源开关键以及屏幕亮度调节按键（+/-），前置1个独立关屏键；屏幕支持旋转成竖屏模式；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二、配套同品牌终端管理软件要求：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1、网络同传：基于Windows操作环境下数据即时压缩克隆，提升网络克隆的速度，减少克隆时间，用户使用更直观，简单；</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3、UNDI传输方式：可实现在Windows操作系统上进行网络复制（在Windows上拷贝Windows），传输速度：950MB--1.2GB/Min；</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4、差异增量拷贝功能、资产时实监控管理功能，控制台界面中可列出客户端的进程信息，主机直接关闭客户端正在进行的可疑应用程序。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5、禁止使用USB：可禁用USB存储设备和光驱设备，禁用USB设备对USB鼠标键盘不会影响。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6、共享分区的保护功能：可设置共享分区定时每次，每天，每月，每周，还原，无需手动还原。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7、文件目录映射：可把保护分区下的一个目录转移到非保护分区，重启后这个目录将不被还原，可将每次还原的系統的资料夹转移到不还原的磁盘上。</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8、故障智能定位功能：可侦测客户端机器的硬盘读写速度及丢包率可以定位客户端机器网络环境异常，硬盘故障，方便用户及时定位故障。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▲三、产品可靠性要求：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1、要求产品具备高低温、湿热环境（工作湿度可承受最高93%）下正常工作能力；</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2、要求产品通过防火阻燃能力（印制板防火V-0级、外壳防火V-0级）试验；</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3、为降低噪声危害，要求产品通过低噪音试验，试验结果声功率级≤1.35Bel，声压级≤3.36dB；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4、为降低电磁危害，要求产品通过电磁兼容试验，电磁兼容结果B级，低于国家标准8dB或以上；</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5、投标时提供上述证书复印件并加盖品牌厂商公章；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四、供货证明及售后要求：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1、为避免虚假应标行为，签订合同前必须提供品牌厂商技术参数确认函核对技术参数；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3年整机保修，终身400呼叫中心热线7*24小时免费技术支持服务,可以通过机器序列号与原厂服务中心确认配置，供货时提供品牌厂商售后服务承诺书。</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人字型钢化玻璃支架白板</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产品尺寸(CM):90x120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适用：可办公教学家用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特点：隐形安装，颜色可选，铝合金边框</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人字型钢化玻璃支架白板</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产品尺寸(CM):120x180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适用：可办公教学家用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特点：隐形安装，颜色可选，铝合金边框</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台式血压计</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1.上臂式台式水银血压计血压表，袖带臂带绑带充气球牵引，气球套装环通用型配件，台式水银血压计，单用听诊器。</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皮下肌肉注射电子模型</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1.模型设计精巧，可佩带在学员或者模型人上臂。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2.解剖标志明显，可触及肩峰，便于操作定位。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▲3.电子监测系统，可监测注射部位以及进针深度，分别用有带颜色的灯以及声音进行报警、提示。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4.上臂肌内注射，允许注入模拟药液，药液可方便的排出。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5.皮下注射。</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6.可以使用不同规格的注射器穿刺，设有安全防护设置，防止练习时被扎伤。</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7.可反复进行练习。</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墙上置物架</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1.定制，墙上置物架</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桌面收纳篮子</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2.定制，桌面收纳篮子</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电蜡刀</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输入电源：交流100~240V50/60Hz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功率：20W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保险电流：2A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工作温度：50-200℃/122-392°F</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包装尺寸：27*24.5*8.5cm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重量：1kg</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电蜡刀线</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输入电源：交流100~240V50/60Hz</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握力测定仪</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1.测量范围：1-120kgf。</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2.测量精度：0.2%FS,全温度范围。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3.分辨率：0.1kgf。</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4.尺寸：19.5cm*12.5cm*2cm</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捏力测定仪</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用途：测试手指侧捏、对捏功能的力量大小。</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通用量角器</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1.整箱尺寸：350mm*170mm*50mm。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2.组件尺寸：肢体角度尺（大）：315mm*128mm*6mm，肢体角度尺（中）：210mm*90mm*6mm，肢体角度尺（小）：172mm*35.5mm*6mm，脊椎角度尺：192mm*44mm*9mm，手指角度尺：105mm*56.5mm*6mm。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重量：830G（含外箱）</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材料成分：透明亚克力</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多体位治疗床</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▲1.床面分为头板、背板和腿板三部分，且三部分角度能分别独立调节。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2.头板调节范围：-23°~+58°，便于治疗师调整患者头部的位置。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3.背板调节范围：-8°~+45°，便于治疗师调整患者躯干的位置。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4.大腿板调节范围：-8°~+40°；有利于治疗师对患者双侧大腿的操作。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5.床体最大承重：175kg，需提供由医疗器械质量监督检验所出具的检测报告。</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▲6.防进液等级：IPX4。</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7.电机数量：3个，床体电机负载：8000N。</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8.床面高度调节范围：0~350mm。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▲9.床面采用医用PVC皮革，需按GB/T 16886.10-2017《医疗器械生物学评价 第10部分：刺激与皮肤致敏试验》标准提供“皮肤刺激”项检测报告。</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10.符合YY0571-2013《医用电气设备 第2部分：医院电动床安全专用要求》标准电磁兼容有关要求，需提供省级或以上级别机构出具的检测报告。</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11.配有紧急开关，在紧急情况下按下可以停止设备工作。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▲12.采用中控式脚轮固定装置，一步操作即可锁定/解锁床体固定状态。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13.床体尺寸（L*W*H）：2150mm*660mm*（580~930）mm。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14.床体净重：75kg。</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15.电源：AC220V、50Hz，输入功率：500VA。</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中频电治疗仪(含电极若干)</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1.工作频率：2kHz～8kHz，允差±10%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2.电源要求：交流220V±10%、50Hz±2%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3.输出电流：在500Ω的负载电阻下频率≤1500Hz，为80mA(r.m.s)，频率＞1500Hz为100mA(r.m.s)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4.调制频率范围：低频调制中频电疗设备调制频率应在0～150Hz范围内</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5.调幅度：设有100%调幅度，允差±5%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6.差频频率范围：不窄于0Hz～100Hz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7.连续工作：不小于4H</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8.输出电流稳定度：不同负载下的输出电流变化率应不大于10%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▲9.调制波形：具有方波、正弦波、三角波、尖波、指数波、锯齿波</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10.单向波输出电压：输出电压最大值应不超过60V</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11.治疗时间：20min、30min，允差±0.5%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12.外形尺寸：400mmX300mmX90mm</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▲13.输出通道：双向波2路，离子导入2路</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壮瑶医药用植物标本（浸泡瓶装）</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1.天然壮瑶医药用植物浸制标本液浸渍浸泡中药材博物馆科普教学展示</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超声波清洗仪器</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1.超声功率420/180W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2.容量20L/6.5L</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3.加热功率300/150W(机械加热)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4.内胆材质不锈钢(SUS304)</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5.内胆尺寸330*300*200MM/300*150*150MM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6.外形尺寸400*330*330MM/375*200*275MM</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7.电源AC 100-120V;AC 220-240V</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400万像素2.5寸红外网络高清mini PTZ摄像机</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400万2.5寸4倍红外PTZ半球_PoE</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支持最大2560×1440@30fps高清画面输出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支持H.265高效压缩算法，可较大节省存储空间</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支持超低照度，0.005Lux/F1.5(彩色),0.001Lux/F1.5(黑白) ,0 Lux with IR</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支持4倍光学变倍，16倍数字变倍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采用高效红外阵列，低功耗，照射距离最远可达20m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支持区域入侵侦测、越界侦测、移动侦测等智能侦测功能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支持断网续传功能保证录像不丢失，配合Smart NVR实现事件录像的二次智能检索、分析和浓缩播放</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支持宽动态范围达120dB，适合逆光环境监控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支持3D数字降噪、强光抑制、SmartIR</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支持355°水平旋转，垂直方向0°-90°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支持300个预置位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支持定时抓图与事件抓图功能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支持区域曝光与区域聚焦功能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 PoE （802.3af）供电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内置麦克风，同时支持1路音频输入和1路音频输出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开放型网络视频接口 、ISAPI、GB/T28181、E家协议和萤石接入</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IP66，抗干扰能力强，适用于严酷的电磁环境，符合GB/T17626.2/3/4/5/6四级标准</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支持最大256GB的 Micro SD/Micro SDHC/Micro SDXC卡存储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传感器类型：1/2.8＂ progressive scan CMOS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最低照度：彩色：0.005Lux @ (F1.5，AGC ON)；黑白：0.001Lux @(F1.5，AGC ON) ；0 Lux with IR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变倍：4倍光学变倍，16倍数字变倍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焦距：2.8-12mm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视场角：97-32度(广角-望远)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补光灯类型：红外补光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补光灯距离：20m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防补光过曝：支持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红外波长范围：850nm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水平范围：0°-355°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垂直范围：0°-90°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水平速度：0.1°-100°/s,速度可设;水平预置点速度：100°/s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垂直速度：0.1°-100°/s,速度可设;垂直预置点速度：100°/s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主码流帧率分辨率：50 Hz:25 fps (2560×1440,1920×1080,1280×960,1280×720),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 Hz: 30 fps(2560×1440, 1920×1080,1280×960,1280×720)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视频压缩标准：H.265/H.264/MJPEG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宽动态：120dB超宽动态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网络接口：RJ45网口，自适应10M/100M网络数据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SD卡扩展：支持Micro SD/Micro SDHC/Micro SDXC卡,最大支持256GB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内置麦克风：1个内置麦克风，可清晰接收到半径5m以内的声音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音频：1路音频输入，音频峰值:2-2.4V[p-p]，输入阻抗:1KΩ±10%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1路音频输出，线性电平，阻抗:600Ω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恢复出厂设置：支持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电源输出：DC12V，电流≤60mA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电源：DC12 V，最大功耗：11.2 W，PoE（802.3af）</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尺寸：Φ130.7×101.7mm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重量：约530g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工作温湿度：-20℃-60℃；湿度小于90%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使用环境说明：1、请勿将设备使用在振动或冲击环境下，如车载、动车、船舶、港口塔吊、大型采矿机械上等；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2、请勿将设备使用在强腐蚀、强酸、高盐碱地区，如海上岛屿、海上平台、海上船舶、化工、熏蒸、海边（5公里以内）等特殊腐蚀环境；</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3、请勿将设备应用在强电磁干扰环境，如广播塔天线主发射方向、变电站合闸区、电网输电线近区、轨道受电弓、雷达、医用核磁共振、4G/5G/FM基站天线附近等强电磁干扰高频辐射环境；</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4、请勿将设备使用在极热、极冷、多尘或者长时间高湿度等环境下，参考工作温湿度要求； </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防护：IP66, 4000V 防雷、防浪涌、防突波，符合GB/T17626.5 四级标准       </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摄像机支架</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壁装支架</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拾音器</w:t>
            </w:r>
          </w:p>
        </w:tc>
        <w:tc>
          <w:tcPr>
            <w:tcW w:w="7118" w:type="dxa"/>
            <w:vAlign w:val="center"/>
          </w:tcPr>
          <w:p>
            <w:pPr>
              <w:keepNext w:val="0"/>
              <w:keepLines w:val="0"/>
              <w:widowControl/>
              <w:suppressLineNumbers w:val="0"/>
              <w:spacing w:line="360" w:lineRule="auto"/>
              <w:jc w:val="left"/>
              <w:textAlignment w:val="center"/>
              <w:rPr>
                <w:rStyle w:val="67"/>
                <w:rFonts w:hint="eastAsia" w:ascii="宋体" w:hAnsi="宋体" w:eastAsia="宋体" w:cs="宋体"/>
                <w:sz w:val="21"/>
                <w:szCs w:val="21"/>
                <w:lang w:val="en-US" w:eastAsia="zh-CN" w:bidi="ar"/>
              </w:rPr>
            </w:pPr>
            <w:r>
              <w:rPr>
                <w:rStyle w:val="67"/>
                <w:rFonts w:hint="eastAsia" w:ascii="宋体" w:hAnsi="宋体" w:eastAsia="宋体" w:cs="宋体"/>
                <w:sz w:val="21"/>
                <w:szCs w:val="21"/>
                <w:lang w:val="en-US" w:eastAsia="zh-CN" w:bidi="ar"/>
              </w:rPr>
              <w:t>采用ECM高感度麦克风，声音清晰、抗干扰能力强；dB音源SPL）40dB(10米40 dB 音源SPL)1KHz at 1 Paat Max dB SPL)SPL（1KHz，THD 3%）Air contact ESD、雷击保护、电源极性反接保护12V（9V-18V）</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Style w:val="67"/>
                <w:rFonts w:hint="eastAsia" w:ascii="宋体" w:hAnsi="宋体" w:eastAsia="宋体" w:cs="宋体"/>
                <w:sz w:val="21"/>
                <w:szCs w:val="21"/>
                <w:lang w:val="en-US" w:eastAsia="zh-CN" w:bidi="ar"/>
              </w:rPr>
              <w:t>电源电流：25mA</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Style w:val="6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082" w:type="dxa"/>
            <w:vAlign w:val="center"/>
          </w:tcPr>
          <w:p>
            <w:pPr>
              <w:keepNext w:val="0"/>
              <w:keepLines w:val="0"/>
              <w:widowControl/>
              <w:suppressLineNumbers w:val="0"/>
              <w:spacing w:line="360" w:lineRule="auto"/>
              <w:jc w:val="center"/>
              <w:textAlignment w:val="center"/>
              <w:rPr>
                <w:rStyle w:val="67"/>
                <w:rFonts w:hint="eastAsia" w:ascii="宋体" w:hAnsi="宋体" w:eastAsia="宋体" w:cs="宋体"/>
                <w:sz w:val="21"/>
                <w:szCs w:val="21"/>
                <w:lang w:val="en-US" w:eastAsia="zh-CN" w:bidi="ar"/>
              </w:rPr>
            </w:pPr>
            <w:r>
              <w:rPr>
                <w:rStyle w:val="67"/>
                <w:rFonts w:hint="eastAsia" w:ascii="宋体" w:hAnsi="宋体" w:eastAsia="宋体" w:cs="宋体"/>
                <w:sz w:val="21"/>
                <w:szCs w:val="21"/>
                <w:lang w:val="en-US" w:eastAsia="zh-CN" w:bidi="ar"/>
              </w:rPr>
              <w:t>显示器</w:t>
            </w:r>
          </w:p>
        </w:tc>
        <w:tc>
          <w:tcPr>
            <w:tcW w:w="7118" w:type="dxa"/>
            <w:vAlign w:val="center"/>
          </w:tcPr>
          <w:p>
            <w:pPr>
              <w:keepNext w:val="0"/>
              <w:keepLines w:val="0"/>
              <w:widowControl/>
              <w:suppressLineNumbers w:val="0"/>
              <w:spacing w:line="360" w:lineRule="auto"/>
              <w:jc w:val="left"/>
              <w:textAlignment w:val="center"/>
              <w:rPr>
                <w:rStyle w:val="67"/>
                <w:rFonts w:hint="eastAsia" w:ascii="宋体" w:hAnsi="宋体" w:eastAsia="宋体" w:cs="宋体"/>
                <w:sz w:val="21"/>
                <w:szCs w:val="21"/>
                <w:lang w:val="en-US" w:eastAsia="zh-CN" w:bidi="ar"/>
              </w:rPr>
            </w:pPr>
            <w:r>
              <w:rPr>
                <w:rStyle w:val="67"/>
                <w:rFonts w:hint="eastAsia" w:ascii="宋体" w:hAnsi="宋体" w:eastAsia="宋体" w:cs="宋体"/>
                <w:sz w:val="21"/>
                <w:szCs w:val="21"/>
                <w:lang w:val="en-US" w:eastAsia="zh-CN" w:bidi="ar"/>
              </w:rPr>
              <w:t>屏幕尺寸：22寸，最佳分辨率：1920x1080。屏幕比例 16:9（宽屏），高清标准 1080p（全高清）</w:t>
            </w:r>
          </w:p>
        </w:tc>
        <w:tc>
          <w:tcPr>
            <w:tcW w:w="573" w:type="dxa"/>
            <w:vAlign w:val="center"/>
          </w:tcPr>
          <w:p>
            <w:pPr>
              <w:keepNext w:val="0"/>
              <w:keepLines w:val="0"/>
              <w:widowControl/>
              <w:suppressLineNumbers w:val="0"/>
              <w:spacing w:line="360" w:lineRule="auto"/>
              <w:jc w:val="center"/>
              <w:textAlignment w:val="center"/>
              <w:rPr>
                <w:rStyle w:val="6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Style w:val="6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高清录像机（16路9盘位）</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2U标准机架式9盘位网络硬盘录像机，高性能ATX电源</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支持满配12TB硬盘（总容量可达108TB)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2个HDMI接口，2个VGA接口，异源输出，最大支持8K输出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2个10M/100M/1000Mbps网口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2个USB2.0接口，2个USB3.0接口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1个eSATA接口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报警IO接口：32路报警输入，4路报警输出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串行接口：1路全双工485接口，1路标准RS-232接口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【产品性能】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输入带宽：256Mbps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输出带宽：256Mbps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接入能力：32路H.264、H.265格式高清码流接入</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解码能力：最大支持24×1080P</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RAID模式：RAID0、RAID1、RAID5、RAID6、RAID10，支持全局热备盘</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（仅支持监控级AI盘或企业级硬盘启用RAID）</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监控专用硬盘</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POE交换机</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二层网管交换机，交换容量336Gbps，包转发率42Mpps，24个10/100/1000Mbps自适应电口交换机(支持POE/POE+，POE功率370W)，固化4个SFP千兆光口，支持VLAN、ACL、端口镜像、端口聚合等功能，支持睿易APP和MACC云平台统一管理。</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音箱</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2路双功放有源工作室监听音箱</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频率响应：54Hz-30kHz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分频点：2kHz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低音：5"锥面</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高音：1"半球形</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输出功率：70W</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电缆芯数×截面（mm2）2×1.5mm2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导体结构2×350/0.12（350根0.12的铜丝分7股绞合而成）</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芯线根数2（一个铜丝，一根镀锡丝）</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单线铜丝根数350根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单丝直径0.12mm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绝缘厚度1.2mm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绝缘最薄厚度1.0mm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外形尺寸6.0x12.0±0.2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标志耐擦性耐擦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导体电阻4.63（镀锡铜），4.23（纯铜）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产品电压试验2000V不击穿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绝缘电阻70℃0.086MΩ.Km</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芯线材质纯无氧铜</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产品标准：ISO_IEC11801-A1-2008、TIA/EIA-568、YD/T 926.2-2009和YD/T1019-2013       </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产品特性：传输带宽≥250MHz，满足1000兆数据传输；铝箔总屏蔽结构，具有全方位抗电磁干扰性；排流线为圆型镀锡铜线；铜芯材料采用优质实芯裸铜导体，线芯直径≥0.58mm，满足线规23AWG；绝缘材料采用优质高密度聚乙烯（HDPE）厚度≥0.295mm，护套材料采用优质PVC料，厚度为0.6mm,防火级别为CM，铜缆外径为8.1mm。工作温度范围：-20 至 75度。</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线管及辅材</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国产标准，根据现场定制线管及辅材</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理线架</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24口理线架</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双联操作台（放硬盘录像机、交换机）</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双联操作台带两张操作椅子</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网络吸顶喇叭</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POE主箱</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一、功能特性：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1.支持网络实时播放；</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2.支持网络定时播放；</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3.支持单播、组播功能；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4.支持被寻呼，可接收系统中其他终端发起的广播；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5.支持终端程序远程在线升级；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6.支持跨网段和跨路由，作为广域网的Internet终端，支持DHCP；</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7.支持网络环境自适应，当网络情况比较差的时候，可启动缓冲和丢包重传；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8.扩展接口，即短路输入、可控5V/6mA的电源输出接口，可以扩展为一键呼叫及呼叫状态指示功能。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二、技术参数：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1.网络接口：标准RJ45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2.电源：DC 12V/1.5A或POE供电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3.功放额定功率：2*4W （4Ω）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4.频率响应：40Hz～18KHz（+1dB/-3dB）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5.信噪比：≥75dB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6.总谐波失真：≤0.3%(@1W)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7.POE标准：支持IEEE802.3af</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8.支持协议：ARP、UDP、TCP/IP、ICMP、IGMP(组播)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9.音频位率：8Kbps～320Kbps自适应</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10.尺寸：直径200mm * 100mm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11.开孔尺寸：直径165mm</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12.重量： 0.6kg</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智能寻呼站</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一、功能特点：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1.桌面话筒式设计，精致美观，工艺考究，现代感十足；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2.带7寸彩色LCD显示电阻触屏，人性化操作界面，无操作进入休眠，低功耗省电；</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3.可与各双向终端、寻呼话筒等实现全双工双向对讲功能，也可对点、分区、全区进行广播和文件播放功能；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4.支持一键实现寻呼对讲、广播任意终端功能，可自定义功能键数量（支持30个快捷键设置）；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5.具有监听功能，用于监听其他终端采集到的环境声音。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6.具有USB接口，并支持点播或广播U盘的音频文件，将音频文件转播到指定广播终端。</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7.具有1个10/100MRJ45网络接口，支持DHCP自动获取IP地址功能。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8.内置3W全频扬声器，可播放本地音频和接收远程音频信号进行本地播放，同时还可实现监听功能；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9.具有1路线路输入、1路线路输出及1路MIC输入，支持外接耳机、便携式麦克风或有音源音箱进行外放功能；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10.能接收多个对讲呼叫功能，并自动进行排队，同时支持未接来电提醒和快捷回拨功能；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11.可网络在线升级。</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12.具有转播功能，可用于一般的考试或者电台转播的需要。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13.支持U-KEY验证功能，通过U-KEY实现用户安全登陆。（选配）</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二、技术参数：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1.电源：DC12V/2A；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2.网络接口：1组RJ45；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3.传输速率：10/100Mbps；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4.支持协议：ARP、UDP、TCP/IP、ICMP、IGMP(组播)；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5.显示屏：7寸电阻触摸屏；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6.采样率：8kHz～48kHz；</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7.Line In输入电平：400mV（标准3.5mm音频接口）；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8.Line Out输出电平：0.775V（标准3.5mm音频接口）；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9.待机功耗：＜5W；</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10.频率响应：40Hz～20KHz(±3dB)；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11.总谐波失真（THD@1W）：≤1%；</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12.信噪比：＞80dB；</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13.工作温度：0℃～50℃；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14.尺寸(L*W*H)：240*150*56mm。</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15.重量：1.45KG</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IP工控系统主机</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功能特点：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1.高档7U铝合金黑色（白色）拉丝面板，美观大方。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2.嵌入触摸屏和键鼠触摸板一体数字矩阵工业键盘。</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3.工业级机柜式机箱设计，耐指纹电解锌钢板，有较高的防磁、防尘、防冲击的能力。</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4.强大的兼容性，兼容支持Windows、LINUX等操作系统。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5.防震抗干扰，节能静音，耐高低温，适应各种环境</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6.支持7*24小时不间断运行。</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7.支持网络唤醒，定时开关机，支持上电开机等。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8.安装方式：支持机架安装方式，桌面放置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1.处理器：Core I5 双核四线程（主频2.5G）。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2.显示屏：17.3寸高分辨率液晶显示屏（1600*900）。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3.内存：8G  支持单双通道 1600/1333MHz DDR3 内存，最大支持16G。</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4.硬盘：板载128G SSD固态硬盘，mSATA接口。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5.板载 ALC897 6 声道高保真音频控制器，支持    MIC/Line-out，功放（可内置监听喇叭）。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6.电源类型:100W工业开关电源。</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7.触摸屏:电容式触摸屏。</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8.主板扩展接口：可支持 1 个Mini-PCIe（WIFI/4G）和 1 个MSATA。</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9.显示接口:1个VGA接口，1个HDMI。</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10.网口：2个千兆网口，支持10/100/1000Mbps。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11.串口：6 个串口，4个RS232，可支持2个RS485。</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12.USB : 3.0USB*2个，2.0USB*4个。</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13.线路输入：7路独立音量调节，3路话筒输入，4路线 路输入，3路辅助输出，带有高低音音量调节。</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14.线路接口：1个3.5话筒输入接口，1个3.5音频输出接口，3个6.35话筒输入接口，4组莲花输入接口，2组莲花输出接。</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15.并行端口：1组标准LPT 打印口。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16.电源接口:三位凤尾插接口。</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17.尺寸规格:485mm（D)*300mm(W)*310mm(H)不含机脚。</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18.工作环境:-20℃~80℃。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19.存储温度:-10℃~60℃。</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20.相对湿度:5%~95%，非凝结状态。</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21. 重量：净重13kg。含航空箱重18KG。</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智能网路广播软件</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1.采用B/S架构，用户可随时通过web客户端访问，无需安装专用客户端，安全灵活。</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2.平台显示终端的：设备ID、设备名称、网络信息及在线状态、通话编码、默认音量和设置图标，平台可随时监测和查询各终端即时工作状态。</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3.支持Android操作系统手机APP管理和操作，简单方便；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4.支持单点播放：可以对任意单点、组群、分区或全部广播。系统可以在同一时间设定任意多个组播放制定的音频节目，或对任意指定的区域进行广播讲话。</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5.支持自动音乐打铃：支持多套定时打铃方案同时运行，能够设置个性化的音乐铃声，自动按照编排好的作息时间表播放铃声。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6.远程分控讲话：无需到广播中心，通过与服务器连接的任意一台电脑，便可以实现广播的远程控制;从而实现领导通过电脑远程对全区、分区、分组讲话。</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7.音频实时采播：能够将自用电台、录音机卡座、CD播放器、MP3播放器、麦克风等节目实时采播实时压缩成高音质数据流，并可按要求同时转播到指定的广播终端，用于播放外接设备广播及广播通知等。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8.分区自由点播：可控制分布在每个广播点的广播终端完成服务器中资料库的任意点播。</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9.定时节目播放：每个广播终端可以单独接收服务器的个性化定时播放节目，也可以通过电脑在网上远程设置。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10.支持一键呼叫、一键对讲、一键求助、一键报警等通话模式，支持自动接听、手动接听，支持自定义接听提示音。</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11.广播监听：在广播管理中心或者领导办公室，可以实时监听到所有的广播节目。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12.本地扩音：广播点内IP广播、本地扩音共用音箱，实现广播点内声音的智能切换。</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13.报警联动：结合网络报警主机接收报警信号，在服务器软件上预先设置报警模式，即可进行报警联动功能。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▲14.支持多种呼叫策略，包括呼叫等待、无人接听提醒，支持时间策略。支持设置对讲终端呼叫策略，可自定义通话时间，可选择是否自动接听，支持自定义选择来电铃声与等待铃声。</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16.站点无限，扩容简便：基于IP数据网络每个终端都有独立的IP地址，只需将分控电脑或网络终端接入IP数据网络，就成功扩容了新的站点。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17.支持大比特率播放：音质达到CD级(音频文件位速为128kbps)并能播放高音质发烧级别的音频文件（音频文件位速320kbps）；</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▲18.管理员可对系统当前正在执行的任务进行管理。（任务监听，任务查看，任务控制）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19.软件注册，支持序列号、加密狗方式对系统进行授权使用。</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20.用户管理，管理员可以对系统下辖账号的管理，终端授权，优先级设置。</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▲21.考试模式，针对校园使用场景，优化广播备份的切换方式；在300ms内由网络切换到100v定压备份。</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22.系统备份，备份系统数据，进行本地保存，提高系统的容错。在系统发生不可逆问题时，恢复备份数据，快速修复系统。</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23.系统日志，实时记录系统的操作和任务执行，同时记录对讲和呼叫任务的通话记录，便于管理人员的维护和数据调取。</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手持无线话筒</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单通道双天线接收，使信号更稳定，不掉频：</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适用于课室、培训室、小型会议室；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一个通道对应一支手持，手持直接调频，无需额外对频，简易方便；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全金属管体结构,高档耐用.接收机双显示屏,大方时尚</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使用UHF640-690频段，超强的穿透能力,适用于学校教学等场所</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采用全球最新的UHF波段无线音频发射芯片模块IC. 具有优越的RF性能和音频性能，为客户提供专业级的音质体验</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高效的电池能耗设计，使话筒能够连续使用10小时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接收机配备LCD显示，信号强度，音频动态，工作频率等一目了然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标准的19英寸安装尺寸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适用于学校教学，培训，演讲等</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能轻松叠机5套</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频率范围</w:t>
            </w:r>
            <w:r>
              <w:rPr>
                <w:rStyle w:val="64"/>
                <w:rFonts w:hint="eastAsia" w:ascii="宋体" w:hAnsi="宋体" w:eastAsia="宋体" w:cs="宋体"/>
                <w:color w:val="auto"/>
                <w:sz w:val="21"/>
                <w:szCs w:val="21"/>
                <w:lang w:val="en-US" w:eastAsia="zh-CN" w:bidi="ar"/>
              </w:rPr>
              <w:t>: UHF640-690MHz</w:t>
            </w:r>
          </w:p>
          <w:p>
            <w:pPr>
              <w:keepNext w:val="0"/>
              <w:keepLines w:val="0"/>
              <w:widowControl/>
              <w:suppressLineNumbers w:val="0"/>
              <w:spacing w:line="360" w:lineRule="auto"/>
              <w:jc w:val="left"/>
              <w:textAlignment w:val="center"/>
              <w:rPr>
                <w:rStyle w:val="68"/>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频率稳定度</w:t>
            </w:r>
            <w:r>
              <w:rPr>
                <w:rStyle w:val="64"/>
                <w:rFonts w:hint="eastAsia" w:ascii="宋体" w:hAnsi="宋体" w:eastAsia="宋体" w:cs="宋体"/>
                <w:color w:val="auto"/>
                <w:sz w:val="21"/>
                <w:szCs w:val="21"/>
                <w:lang w:val="en-US" w:eastAsia="zh-CN" w:bidi="ar"/>
              </w:rPr>
              <w:t>: ±0.05</w:t>
            </w:r>
            <w:r>
              <w:rPr>
                <w:rStyle w:val="68"/>
                <w:rFonts w:hint="eastAsia" w:ascii="宋体" w:hAnsi="宋体" w:eastAsia="宋体" w:cs="宋体"/>
                <w:color w:val="auto"/>
                <w:sz w:val="21"/>
                <w:szCs w:val="21"/>
                <w:lang w:val="en-US" w:eastAsia="zh-CN" w:bidi="ar"/>
              </w:rPr>
              <w:t>﹪</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动态范围</w:t>
            </w:r>
            <w:r>
              <w:rPr>
                <w:rStyle w:val="64"/>
                <w:rFonts w:hint="eastAsia" w:ascii="宋体" w:hAnsi="宋体" w:eastAsia="宋体" w:cs="宋体"/>
                <w:color w:val="auto"/>
                <w:sz w:val="21"/>
                <w:szCs w:val="21"/>
                <w:lang w:val="en-US" w:eastAsia="zh-CN" w:bidi="ar"/>
              </w:rPr>
              <w:t xml:space="preserve">: </w:t>
            </w:r>
            <w:r>
              <w:rPr>
                <w:rStyle w:val="68"/>
                <w:rFonts w:hint="eastAsia" w:ascii="宋体" w:hAnsi="宋体" w:eastAsia="宋体" w:cs="宋体"/>
                <w:color w:val="auto"/>
                <w:sz w:val="21"/>
                <w:szCs w:val="21"/>
                <w:lang w:val="en-US" w:eastAsia="zh-CN" w:bidi="ar"/>
              </w:rPr>
              <w:t>﹥</w:t>
            </w:r>
            <w:r>
              <w:rPr>
                <w:rStyle w:val="64"/>
                <w:rFonts w:hint="eastAsia" w:ascii="宋体" w:hAnsi="宋体" w:eastAsia="宋体" w:cs="宋体"/>
                <w:color w:val="auto"/>
                <w:sz w:val="21"/>
                <w:szCs w:val="21"/>
                <w:lang w:val="en-US" w:eastAsia="zh-CN" w:bidi="ar"/>
              </w:rPr>
              <w:t>80dB</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调制方</w:t>
            </w:r>
            <w:r>
              <w:rPr>
                <w:rStyle w:val="64"/>
                <w:rFonts w:hint="eastAsia" w:ascii="宋体" w:hAnsi="宋体" w:eastAsia="宋体" w:cs="宋体"/>
                <w:color w:val="auto"/>
                <w:sz w:val="21"/>
                <w:szCs w:val="21"/>
                <w:lang w:val="en-US" w:eastAsia="zh-CN" w:bidi="ar"/>
              </w:rPr>
              <w:t>: FM</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频率响应</w:t>
            </w:r>
            <w:r>
              <w:rPr>
                <w:rStyle w:val="64"/>
                <w:rFonts w:hint="eastAsia" w:ascii="宋体" w:hAnsi="宋体" w:eastAsia="宋体" w:cs="宋体"/>
                <w:color w:val="auto"/>
                <w:sz w:val="21"/>
                <w:szCs w:val="21"/>
                <w:lang w:val="en-US" w:eastAsia="zh-CN" w:bidi="ar"/>
              </w:rPr>
              <w:t>: 60Hz-14KHz</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信噪比</w:t>
            </w:r>
            <w:r>
              <w:rPr>
                <w:rStyle w:val="64"/>
                <w:rFonts w:hint="eastAsia" w:ascii="宋体" w:hAnsi="宋体" w:eastAsia="宋体" w:cs="宋体"/>
                <w:color w:val="auto"/>
                <w:sz w:val="21"/>
                <w:szCs w:val="21"/>
                <w:lang w:val="en-US" w:eastAsia="zh-CN" w:bidi="ar"/>
              </w:rPr>
              <w:t>: ≥80dB</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邻频干扰比</w:t>
            </w:r>
            <w:r>
              <w:rPr>
                <w:rStyle w:val="64"/>
                <w:rFonts w:hint="eastAsia" w:ascii="宋体" w:hAnsi="宋体" w:eastAsia="宋体" w:cs="宋体"/>
                <w:color w:val="auto"/>
                <w:sz w:val="21"/>
                <w:szCs w:val="21"/>
                <w:lang w:val="en-US" w:eastAsia="zh-CN" w:bidi="ar"/>
              </w:rPr>
              <w:t>: ≥80dB</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镜像干扰比</w:t>
            </w:r>
            <w:r>
              <w:rPr>
                <w:rStyle w:val="64"/>
                <w:rFonts w:hint="eastAsia" w:ascii="宋体" w:hAnsi="宋体" w:eastAsia="宋体" w:cs="宋体"/>
                <w:color w:val="auto"/>
                <w:sz w:val="21"/>
                <w:szCs w:val="21"/>
                <w:lang w:val="en-US" w:eastAsia="zh-CN" w:bidi="ar"/>
              </w:rPr>
              <w:t>: ≥80dB</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使用范围</w:t>
            </w:r>
            <w:r>
              <w:rPr>
                <w:rStyle w:val="64"/>
                <w:rFonts w:hint="eastAsia" w:ascii="宋体" w:hAnsi="宋体" w:eastAsia="宋体" w:cs="宋体"/>
                <w:color w:val="auto"/>
                <w:sz w:val="21"/>
                <w:szCs w:val="21"/>
                <w:lang w:val="en-US" w:eastAsia="zh-CN" w:bidi="ar"/>
              </w:rPr>
              <w:t>: ≥50</w:t>
            </w:r>
            <w:r>
              <w:rPr>
                <w:rStyle w:val="68"/>
                <w:rFonts w:hint="eastAsia" w:ascii="宋体" w:hAnsi="宋体" w:eastAsia="宋体" w:cs="宋体"/>
                <w:color w:val="auto"/>
                <w:sz w:val="21"/>
                <w:szCs w:val="21"/>
                <w:lang w:val="en-US" w:eastAsia="zh-CN" w:bidi="ar"/>
              </w:rPr>
              <w:t>米</w:t>
            </w:r>
            <w:r>
              <w:rPr>
                <w:rStyle w:val="64"/>
                <w:rFonts w:hint="eastAsia" w:ascii="宋体" w:hAnsi="宋体" w:eastAsia="宋体" w:cs="宋体"/>
                <w:color w:val="auto"/>
                <w:sz w:val="21"/>
                <w:szCs w:val="21"/>
                <w:lang w:val="en-US" w:eastAsia="zh-CN" w:bidi="ar"/>
              </w:rPr>
              <w:t xml:space="preserve"> Meters(</w:t>
            </w:r>
            <w:r>
              <w:rPr>
                <w:rStyle w:val="68"/>
                <w:rFonts w:hint="eastAsia" w:ascii="宋体" w:hAnsi="宋体" w:eastAsia="宋体" w:cs="宋体"/>
                <w:color w:val="auto"/>
                <w:sz w:val="21"/>
                <w:szCs w:val="21"/>
                <w:lang w:val="en-US" w:eastAsia="zh-CN" w:bidi="ar"/>
              </w:rPr>
              <w:t>开阔地</w:t>
            </w:r>
            <w:r>
              <w:rPr>
                <w:rStyle w:val="64"/>
                <w:rFonts w:hint="eastAsia" w:ascii="宋体" w:hAnsi="宋体" w:eastAsia="宋体" w:cs="宋体"/>
                <w:color w:val="auto"/>
                <w:sz w:val="21"/>
                <w:szCs w:val="21"/>
                <w:lang w:val="en-US" w:eastAsia="zh-CN" w:bidi="ar"/>
              </w:rPr>
              <w:t>)</w:t>
            </w:r>
          </w:p>
          <w:p>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接收机供电</w:t>
            </w:r>
            <w:r>
              <w:rPr>
                <w:rStyle w:val="64"/>
                <w:rFonts w:hint="eastAsia" w:ascii="宋体" w:hAnsi="宋体" w:eastAsia="宋体" w:cs="宋体"/>
                <w:color w:val="auto"/>
                <w:sz w:val="21"/>
                <w:szCs w:val="21"/>
                <w:lang w:val="en-US" w:eastAsia="zh-CN" w:bidi="ar"/>
              </w:rPr>
              <w:t>: DC13-15V</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Style w:val="68"/>
                <w:rFonts w:hint="eastAsia" w:ascii="宋体" w:hAnsi="宋体" w:eastAsia="宋体" w:cs="宋体"/>
                <w:color w:val="auto"/>
                <w:sz w:val="21"/>
                <w:szCs w:val="21"/>
                <w:lang w:val="en-US" w:eastAsia="zh-CN" w:bidi="ar"/>
              </w:rPr>
              <w:t>发射器供电</w:t>
            </w:r>
            <w:r>
              <w:rPr>
                <w:rStyle w:val="64"/>
                <w:rFonts w:hint="eastAsia" w:ascii="宋体" w:hAnsi="宋体" w:eastAsia="宋体" w:cs="宋体"/>
                <w:color w:val="auto"/>
                <w:sz w:val="21"/>
                <w:szCs w:val="21"/>
                <w:lang w:val="en-US" w:eastAsia="zh-CN" w:bidi="ar"/>
              </w:rPr>
              <w:t>: 1.5V</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网络交换机</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三层网管交换机，交换容量336Gbps，包转发率108Mpps，24个10/100/1000Mbps自适应电口交换机，固化4个SFP+万兆光口，支持静态路由、三层聚合口、ACL、端口镜像等功能，支持睿易APP和MACC云平台统一管理。</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电缆芯数×截面（mm2）2×1.5mm2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导体结构2×350/0.12（350根0.12的铜丝分7股绞合而成）</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芯线根数2（一个铜丝，一根镀锡丝）</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单线铜丝根数350根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单丝直径0.12mm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绝缘厚度1.2mm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绝缘最薄厚度1.0mm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外形尺寸6.0x12.0±0.2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标志耐擦性耐擦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导体电阻4.63（镀锡铜），4.23（纯铜）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产品电压试验2000V不击穿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绝缘电阻70℃0.086MΩ.Km</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芯线材质纯无氧铜</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线管及辅材</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产品标准：ISO_IEC11801-A1-2008、TIA/EIA-568、YD/T 926.2-2009和YD/T1019-2013       </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产品特性：传输带宽≥250MHz，满足1000兆数据传输；铝箔总屏蔽结构，具有全方位抗电磁干扰性；排流线为圆型镀锡铜线；铜芯材料采用优质实芯裸铜导体，线芯直径≥0.58mm，满足线规23AWG；绝缘材料采用优质高密度聚乙烯（HDPE）厚度≥0.295mm，护套材料采用优质PVC料，厚度为0.6mm,防火级别为CM，铜缆外径为8.1mm。工作温度范围：-20 至 75度。</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机柜（放硬盘录像机、交换机）</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国产标准，根据现场环境定制</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理线架</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24口理线架</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无线AP</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1167M双频千兆吸顶AP，1000Mbs网口上联，内置天线，支持2.4GHz/5GHz双频通信，支持802.11a/b/g/n/ac Wave1/Wave2协议。支持AP与路由两种工作模式，支持二层漫游，支持睿易一体化组网，支持睿易APP管理。支持PoE供电和本地供电</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网络交换机</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三层网管交换机，交换容量336Gbps，包转发率108Mpps，24个10/100/1000Mbps自适应电口交换机，固化4个SFP+万兆光口，支持静态路由、三层聚合口、ACL、端口镜像等功能，支持睿易APP和MACC云平台统一管理。</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POE交换机</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二层网管交换机，交换容量336Gbps，包转发率42Mpps，24个10/100/1000Mbps自适应电口交换机(支持POE/POE+，POE功率370W)，固化4个SFP千兆光口，支持VLAN、ACL、端口镜像、端口聚合等功能，支持睿易APP和MACC云平台统一管理。</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融合网关</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固化8个千兆电口，固化2个千兆光口，可选配置1T硬盘(即插即用)，内置AC功能可管理32个RAP或64个WALL AP（应用及URL特征库免费升级，IPSec/SSL VPN免费）。推荐带机量500台终端，推荐带宽500M-1.5G。</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电缆芯数×截面（mm2）2×1.5mm2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导体结构2×350/0.12（350根0.12的铜丝分7股绞合而成）</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芯线根数2（一个铜丝，一根镀锡丝）</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单线铜丝根数350根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单丝直径0.12mm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绝缘厚度1.2mm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绝缘最薄厚度1.0mm</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外形尺寸6.0x12.0±0.2</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标志耐擦性耐擦</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导体电阻4.63（镀锡铜），4.23（纯铜）</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产品电压试验2000V不击穿</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绝缘电阻70℃0.086MΩ.Km</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芯线材质纯无氧铜</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线管及辅材</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产品标准：ISO_IEC11801-A1-2008、TIA/EIA-568、YD/T 926.2-2009和YD/T1019-2013       </w:t>
            </w:r>
          </w:p>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产品特性：传输带宽≥250MHz，满足1000兆数据传输；铝箔总屏蔽结构，具有全方位抗电磁干扰性；排流线为圆型镀锡铜线；铜芯材料采用优质实芯裸铜导体，线芯直径≥0.58mm，满足线规23AWG；绝缘材料采用优质高密度聚乙烯（HDPE）厚度≥0.295mm，护套材料采用优质PVC料，厚度为0.6mm,防火级别为CM，铜缆外径为8.1mm。工作温度范围：-20 至 75度。</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0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人工安装调试</w:t>
            </w:r>
          </w:p>
        </w:tc>
        <w:tc>
          <w:tcPr>
            <w:tcW w:w="7118"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根据现场实际定制</w:t>
            </w:r>
          </w:p>
        </w:tc>
        <w:tc>
          <w:tcPr>
            <w:tcW w:w="57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03"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pPr>
        <w:pStyle w:val="13"/>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pStyle w:val="13"/>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6标段的采购需求</w:t>
      </w:r>
    </w:p>
    <w:p>
      <w:pPr>
        <w:rPr>
          <w:rFonts w:hint="default"/>
          <w:lang w:val="en-US" w:eastAsia="zh-CN"/>
        </w:rPr>
      </w:pPr>
      <w:r>
        <w:rPr>
          <w:rFonts w:hint="eastAsia" w:ascii="仿宋" w:hAnsi="仿宋" w:eastAsia="仿宋" w:cs="仿宋"/>
          <w:b/>
          <w:bCs w:val="0"/>
          <w:color w:val="auto"/>
          <w:sz w:val="32"/>
          <w:szCs w:val="32"/>
          <w:highlight w:val="none"/>
          <w:lang w:val="en-US" w:eastAsia="zh-CN"/>
        </w:rPr>
        <w:t>6标段的核心产品：</w:t>
      </w:r>
    </w:p>
    <w:tbl>
      <w:tblPr>
        <w:tblStyle w:val="26"/>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26"/>
        <w:gridCol w:w="6117"/>
        <w:gridCol w:w="600"/>
        <w:gridCol w:w="59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926" w:type="dxa"/>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设备名称</w:t>
            </w:r>
          </w:p>
        </w:tc>
        <w:tc>
          <w:tcPr>
            <w:tcW w:w="6117" w:type="dxa"/>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技术参数</w:t>
            </w:r>
          </w:p>
        </w:tc>
        <w:tc>
          <w:tcPr>
            <w:tcW w:w="600" w:type="dxa"/>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591" w:type="dxa"/>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641" w:type="dxa"/>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教学资源综合应用系统软件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1、信息管理：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①、能够与校平台进行对接，进行多级管理；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②、具有账号的单个新增、批量导入、单个删除、批量删除功能，并能进行搜索、导出、重置密码；</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③、用户能自定义平台名称、上传平台logo、平台海报图片的人性化操作，用户能自定义隐藏/显示首页展示的各个功能模块及排序；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④、用户能自定义学科名称；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⑤、用户能自定义年级信息；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⑥、用户能自定义课次安排；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⑦、用户能发布文字、图片及外部链接公告；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⑧、能对不同身份用户赋予不同权限，权限需细化三级以下；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2、个人中心：</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①、能设置和修改个人头像、联系方式、密码；</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②、教师能对个人的视频课程、个人专辑进行编辑、删除下载；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③、教师能上传本地视频到个人空间；</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④、教师个人空间查看课程观看记录，督导记录、教研参加记录及评分结果的情况；</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⑤、学生能查看自己学习记录，能对自己的个人收藏进行删除操作；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⑥、能够选择本校人员自定义小组功能；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⑦、有活动日历功能，以日历的显示展示每个活动的开始时间；</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⑧、有活动数据统计功能，显示创建的每个活动参与人数，点评人数，播放次数；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⑨、视频具有下载、上传、编辑、管理；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⑩、能对视频进行编辑操作，且不破坏视频原来的完整性，不下载视频即能进行切片，能对切片完成的视频进行合并重组形成全新视频；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Style w:val="66"/>
                <w:rFonts w:hint="eastAsia" w:asciiTheme="minorEastAsia" w:hAnsiTheme="minorEastAsia" w:eastAsiaTheme="minorEastAsia" w:cstheme="minorEastAsia"/>
                <w:sz w:val="21"/>
                <w:szCs w:val="21"/>
                <w:lang w:val="en-US" w:eastAsia="zh-CN" w:bidi="ar"/>
              </w:rPr>
              <w:t>⑪</w:t>
            </w:r>
            <w:r>
              <w:rPr>
                <w:rFonts w:hint="eastAsia" w:asciiTheme="minorEastAsia" w:hAnsiTheme="minorEastAsia" w:eastAsiaTheme="minorEastAsia" w:cstheme="minorEastAsia"/>
                <w:i w:val="0"/>
                <w:iCs w:val="0"/>
                <w:color w:val="000000"/>
                <w:kern w:val="0"/>
                <w:sz w:val="21"/>
                <w:szCs w:val="21"/>
                <w:u w:val="none"/>
                <w:lang w:val="en-US" w:eastAsia="zh-CN" w:bidi="ar"/>
              </w:rPr>
              <w:t>、具有关键字搜索功能，用户能直接在资源管理平台的页面搜索框输入关键字，对某个视频标题进行搜索；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Style w:val="66"/>
                <w:rFonts w:hint="eastAsia" w:asciiTheme="minorEastAsia" w:hAnsiTheme="minorEastAsia" w:eastAsiaTheme="minorEastAsia" w:cstheme="minorEastAsia"/>
                <w:sz w:val="21"/>
                <w:szCs w:val="21"/>
                <w:lang w:val="en-US" w:eastAsia="zh-CN" w:bidi="ar"/>
              </w:rPr>
              <w:t>⑫</w:t>
            </w:r>
            <w:r>
              <w:rPr>
                <w:rFonts w:hint="eastAsia" w:asciiTheme="minorEastAsia" w:hAnsiTheme="minorEastAsia" w:eastAsiaTheme="minorEastAsia" w:cstheme="minorEastAsia"/>
                <w:i w:val="0"/>
                <w:iCs w:val="0"/>
                <w:color w:val="000000"/>
                <w:kern w:val="0"/>
                <w:sz w:val="21"/>
                <w:szCs w:val="21"/>
                <w:u w:val="none"/>
                <w:lang w:val="en-US" w:eastAsia="zh-CN" w:bidi="ar"/>
              </w:rPr>
              <w:t>、教师能将资源对外发布，发布后管理员即能审核；</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3、直播管理：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①、能使用Windows、Android、IOS观看直播、点播；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②、无需安装任何客户端即能进行视频直播、点播观看；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③、用户能查询直播列表，提供直播预告功能，能查看到未直播、直播中的直播间信息；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④、观看直播过程中能进行交流，用户能对直播进行评论；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⑤、学科资源；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⑥、能够进行视频资源多维度分类，能按学段（小学、初中、高中）、年级、学科进行分类管理，用户能自定义分类类型；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⑦、能自定义每个视频的简介和封面，以人性化方式呈现每个视频的个性化展示；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⑧、具有文字互动功能；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⑨、用户能灵活创建各种专辑，并自定义专辑类型，能将一同课程的视频进行归类，同时具有视频上传功能，便于视频的收集归整和便捷查询；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⑩、附件能够上传教案、课件，附件能与视频进行绑定。格式支持word、excel、ppt、PDF、jpeg。用户在点播视频时能够下载附件；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4、微课资源：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①、提供微课管理模块，能够按学段、学科进行自动归类整理；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②、具有评论功能，同时平台会记录评论在视频中的具体时间，能屏蔽不良评论，确保平台环境健康；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③、用户观看微课资源时还能下载相关资源资料；</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5、研修课堂：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①、能创建各个学段、各学科的网络研修活动，并按学段、学科对网络教研活动进行分类管理和展示；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②、能自定义每个网络研修活动的主题、内容，能上传相关的视频、文档附件；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③、能自定义设定活动的教研员；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④、创建网络主题教研能自定义活动的开展时间，在活动时间内各组员能自由进行教研活动，活动时间截止后，活动结束，各组员无法进行操作；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⑤、创建主题教研后，各教师能登录教研互动页面提出加入申请。成功参加主题研修的老师能在个人空间查看到各自参与的网络主题研修活动；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⑥、各组员能在 “个人中心”或活动界面查看并进入各自参加网络主题研修。研修过程中，各组员能观看研修视频并下载各研修附件；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⑦、各参与研修的组员能对研修活动发表观点，对主题进行讨论；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⑧、教研员能对各参加研修活动的视频进行评分，组长在研修结束后能上传研修总结；</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6、在线督导：</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①、能添加、删除和修改督导方案，预览督导方案评价及相关系数；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②、能添加、删除督导员，并制定督导员任务；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③、在线督导区分日常督导及任务督导；</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④、督导能根据课程名称、教师、教室、学科、学段进行组合查询；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⑤、能够查看教室的老师和学生的视频画面；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⑥、用户能根据制定的评价要素，对课程进行评分，添加备注，输入督导建议；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⑦、具有督导人员在线文字交流功能；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⑧、能查看已经督导过的课程结果，提交已经督导审批并未提交的课程，查看已督导过课程对应的项目内容及评分；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7、同步课堂：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①、能够查询课程列表多维度分类，能按学段（小学、初中、高中）、年级、学科进行分类管理，用户能自定义分类类型；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②、能自定义每个视频的简介和封面，以人性化方式呈现每个视频的个性化展示；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③、提供“最新”、“最热”榜单，便于学生、老师快速查看到优质的课程视频；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④、用户能用文字进行评论；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⑤、用户能灵活创建各种专辑，并自定义专辑类型，能将一同课程的视频进行归类，同时具有视频上传功能，便于视频的收集归整和便捷查询；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⑥、附件能上传教案、课件，附件能与视频进行绑定。格式支持word、excel、ppt、PDF、jpg。用户在观看时能下载附件；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⑦、能上传作业，作业与视频进行绑定。格式支持word、PDF、jpg。用户能选择下载；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8、自定活动功能：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①、能够将点播、评论、问答、附件、外链、文本、直播、量化表6个不同的模块组装成不同类型的活动；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②、能够自定义活动的开始，结束时间，并且在日历上进行显示；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③、能够自定义活动的参加小组，只有参与人员才能看到相关活动；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9、具备教学资源综合应用系统软件著作权。</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AI教研数据分析系统</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1、仪表盘可显示教师数量、课程数据、点评数据、指标数量等数据；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2、可呈现七日内课程流量及点评流量、点评类型、指标类型等数据；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3、用户管理支持批量导入、导出、删除成员支持与云平台关联、调整用户角色；</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4、支持对用户授权管理，可按角色设定不同权限，权限包含仪表盘、用户管理、课例中心、议课记录、指标管理、标签管理、设备管理、议课记录等权限；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5、可透过设备管理功能，查询目前所有终端运行状态，包含位置资料、在线与否等功能、支持通过主机ip、位置、在线情况等进行筛选查询；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6、平台视频可根据点评资讯进行快速检索，视频时间轴一键匹配至当条点评讯息的时间节点方便老师能客观了解自己和他人的教学过程情况；</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7、支持修改新增学科信息、课程类型；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8、可设置单一视频录制最长时长，避免照成忘记关闭设备造成设备损坏、空间资源浪费等情况；</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9、课例中心支持课程列表及课程表格方式查看课例、支持通过标题、授课教师、学科、上课信息等字段进行查询所需课例；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10、课例查看页面支持切换黑色主题或白色主题；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11、支持显示各课例的浏览次数、设备型号、不同标记类型数量、标记数量；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12、平台支持显示议课指标数据分析统计、课程名称、授课教师、时间、时长、互动数量、评课数量、教学模式等信息；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13、支持导出指定课例中的观议课记录表；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14、支持根据时间先后顺序排序，根据标记人、标记类型进行筛选；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15、支持搜索点评教师名称查询或导出改教师对各课例的点评数据；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16、专家及教研老师在课后登录平台，通过观看录制的教师上课视频进行点评，并支持点评内容为图片；</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17、支持AI分析课堂数据后自动生成课堂总结，帮助老师更好了解课堂情况；</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18、支持通过课堂音频分析自动生成授课教师常用口头语；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19、支持AI分析课堂数据生成知识图谱；</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20、支持切换教学统计页面与点评信息页面；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21、显示课堂统计数据，更加弗兰德斯互动分析法生成教师行为及学生行为比例统计图；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22、可根据弗兰德斯互动分析法则结合课堂中师生语言互动过程数据分析生成分析图表；（提供产品截图）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▲23、支持通过课堂数据采集分析后根据布鲁姆的认知层次理论生成议课指标分析表；（提供产品截图）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▲24、支持通过课堂数据采集分析后通过S-T教学分析法呈现师生课堂时间占比；（提供产品截图）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▲25、支持通过课堂数据采集分析后结合S-T教学分析法得到的数据并通过RT-CH公式得出教师授课模式，主要模式有：对话性、练习型、平衡型、模块型、讲授型；（提供产品截图）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▲26、支持透过课堂数据采集并通过各种教学分析法生成课堂总结，提供教师了解课堂现状、优点、可提升点等信息；（提供产品截图）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27、支持多人同时参与评课，评课数据自动汇总，汇总后的数据可一键下载；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28、教研人员查看每位老师的课堂实录时可显示教学行为分析报告，教学行为分析报告包含老师提问、学生提问、板书、师生互动、使用大屏等数据的时间分布图和次数统计；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29、支持教研人员对单节课进行主观评价，以便教师通过主观评价和客观数据来调整自己的教学模式；</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高清录播主机（含智慧教室系统软件）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 Linux操作系统；主机供电：DC12V（需提供国家检测机构出具的测试报告证明，报告中须呈现该功能数据，并加盖公章）；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2、主机可在-30℃，湿度 85%的环境下稳定运行；</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3、主机集成录制、导播、直播、互动功能模块，不接受采用2台及以上的主机实现以上功能（需提供国家检测机构出具的测试报告证明，报告中须呈现该功能数据，并加盖公章）；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4、录播一体机接口：（提供产品截图，盖原厂公章）；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①、视频输入接口：4路HD-SDI接口，2路HDMI接口；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②、视频输出：2路HDMI接口；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③、音频接口：1路输入、1路输出；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④、USB接口：2路USB2.0接口；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⑤、网口：1路千兆网口；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⑥、控制接口：1路RS485，1路RS232；</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5、硬盘容量：1T；要求能够进行网络存储，必须同时进行本地高码流录制存储和网络低码流录制存储；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6、通道窗口预览功能：能实时查看源通道的视频画面，方便预览和切换；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7、通道能够加载http,rtsp,rtmp,ts,tc，http-flv格式的网络视频流（需提供国家检测机构出具的测试报告证明，报告中须呈现该功能数据，并加盖公章）；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8、通道能够加载1280*720-1920*1080分辨率的信号；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9、能录制1920*1080分辨率的视频文件；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10、通道能加载HDMI信号，分辨率支持 1920*1080；</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11、输入分辨率自适配功能：能根据输入源自适应输入源的分辨率；</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12、具有“手动、自动”控制按钮，在手动模式下，能进行通道按钮的手动切换控制；在自动模式下，能进行6路通道视频的自动导播切换；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13、能加载8录通道画面；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14、每路通道能选择录制，能选择单通道、多通道同时录制（需提供国家检测机构出具的测试报告证明，报告中须呈现该功能数据，并加盖公章）；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15、互动通道能切换全屏显示和布局显示；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16、能使用备播，主播双画面显示；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17、能进行通道画面先切入备播，进行布局后再切入主播；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18、具有双画面，三画面到七画面布局模式；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19、能选择手动、自动备播切入主播；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20、能进行输入，输出音量监视；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21、输入、输出音量能进行手动调节（需提供国家检测机构出具的测试报告证明，报告中须呈现该功能数据，并加盖公章）；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22、直播功能：直播数量：80个点；直播码流：1Mbps-8Mbps可调；无需下载任何插件及播放器，通过IE浏览器就能直播观看（需提供国家检测机构出具的测试报告证明，报告中须呈现该功能数据，并加盖公章）；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23、直播能进行开始，暂停，停止操作；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24、视频转发功能：同时能进行两路不同的视频地址转发,转发流媒体协议支持RTSP,RTMP；</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25、恢复默认功能：紧急情况下能够使主机恢复到出厂设置的状态；</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26、录像管理具有列表，删除，U盘下载功能；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27、能设置主机RTC时间；</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28、能设置主机IP，掩码，网关，DNS，MAC；</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29、能使用虚拟键盘输入操作；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30、能使用外接鼠标操作；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31、显示IP地址，存储剩余空间，当前主机时间；</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32、录像功能：具有“开始、停止”控制按钮，且录制成通用格式视频；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33、视频输入源适配功能：能配置网络视频源或者接口输入视频源2种方式；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34、录制覆盖功能: 能自动检测硬盘容量，在极限情况下，自动覆盖最早的录像文件，保证当前录制文件的完整性；</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35、Web端能预览显示直播；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36、Web端账户能使用密码登录；</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37、Web端能使用录制码率、录制帧率、录制时间、剩余空间信息显示；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38、Web端具有录像开始、停止功能，能通过“开始”，“停止”按钮进行实时配置；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39、Web端能够下载录像文件，点击“下载”按钮能将选择的录制文件到本地电脑；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40、Web端能实时回放已录制的视频；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41、具备智慧教室系统软件著作权；</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42、具备国家cqc认证，提供复印件加盖公章。</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云台摄像机（含教师跟踪系统软件）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1、1/2.8英寸CMOS传感器；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2、视频信号：1080P60/50/30/25，200万有效像素；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3、镜头：10倍光学变焦，f=3.9～46.8mm，8倍数字变倍；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4、视角：6.3°（窄角）-72.5°（广角），光圈F1.8–F2.4；</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5、能使用2D和3D数字降噪，信噪比&gt;55dB，低照度0.5Lux(F1.8, AGC ON)；</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6、视频调节具有：亮度、色度、饱和度、对比度、锐度、黑白模式、伽马曲线功能；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7、视频支持SDI.HDMI.LAN网口三路输出，带1路音频输入口，1路RS232控制口，1路485控制口；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8、支持H.265/H.264视频压缩；支持VISCA.PELCO-P/D协议，支持自动识别协议；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9、支持AAC.MP3.G.711A 音频压缩，音频输入口为双声道3.5mm线性输入；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10、支持Onvif，GB/T28181，RTSP，RTMP协议，同时支持RTMP推送模式；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11、云台支持255个预置位，水平速度：60°/秒，俯仰速度：30°/秒；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12、水平转动角度±170度，垂直-30度～90度；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13、转动速度：水平0.1 ～60°/秒，垂直0.1～30°/秒；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14、支持RTP组播模式，支持网络全命令VISCA控制协议；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15、网络口能够远程升级，远程重启，远程复位；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16、教师跟踪系统软件：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①、系统采用跟踪技术，同步进行教师跟踪；</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②、与摄像机高度集成，在无需外接辅助设备（辅助分析摄像头、跟踪主机）情况下，就能够进行跟踪定位；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具备较强的跟踪控制功能，当教师在讲台区域活动时，能够始终拍摄教师的跟踪画面，当教师运动速度较快时，自动切换到教师全景画面；授课老师身高自适应功能：根据授课老师身高的不同，自动调整所拍摄的老师画面，使老师在画面中始终处于最合理的位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▲④、具备教师跟踪系统软件著作权；</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云台摄像机（含学生定位系统软件）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1、1/2.8英寸CMOS传感器；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2、视频信号：1080P60/50/30/25，200万有效像素；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 镜头：10倍光学变焦，f=3.9～46.8mm，8倍数字变倍；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4、视角：6.3°（窄角）-72.5°（广角），光圈F1.8–F2.4；</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5、能使用2D和3D数字降噪，信噪比&gt;55dB，低照度0.5Lux(F1.8, AGC ON)；</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6、视频调节具有：亮度、色度、饱和度、对比度、锐度、黑白模式、伽马曲线功能；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7、视频支持SDI.HDMI.LAN网口三路输出，带1路音频输入口，1路RS232控制口，1路485控制口；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8、支持H.265/H.264视频压缩；支持VISCA.PELCO-P/D协议，支持自动识别协议；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9、支持AAC.MP3.G.711A 音频压缩，音频输入口为双声道3.5mm线性输入；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10、支持Onvif，GB/T28181，RTSP，RTMP协议，同时支持RTMP推送模式；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11、云台支持255个预置位，水平速度：60°/秒，俯仰速度：30°/秒；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12、水平转动角度±170度，垂直-30度～90度；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13、转动速度：水平0.1 ～60°/秒，垂直0.1～30°/秒；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14、支持RTP组播模式，支持网络全命令VISCA控制协议；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15、网络口能进行远程升级，远程重启，远程复位；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16、学生定位系统软件：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①、系统采用跟踪技术，同步进行学生定位；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②、与摄像机高度集成，在无需辅助分析摄像头、跟踪主机的情况下，就能够进行跟踪定位；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③、当学生站立时，先拍学生全景画面，再拍学生特写画面，当有两个或两个以上学生站立时，画面切换到两个学生的局部全景画面，当有一个人坐下后，画面自动切换到另外一个站立的学生；</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④、具备学生定位系统软件著作权；</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云台摄像机（含板书分析系统软件）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1、1/2.8英寸CMOS传感器；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2、视频信号：1080P60/50/30/25，200万有效像素；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3、镜头：10倍光学变焦，f=3.9～46.8mm，8倍数字变倍；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4、视角：6.3°（窄角）-72.5°（广角），光圈F1.8–F2.4；</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5、能使用2D和3D数字降噪，信噪比&gt;55dB，低照度0.5Lux(F1.8, AGC ON)；</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6、视频调节具有：亮度、色度、饱和度、对比度、锐度、黑白模式、伽马曲线功能；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7、视频支持SDI.HDMI.LAN网口三路输出，带1路音频输入口，1路RS232控制口，1路485控制口；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8、支持H.265/H.264视频压缩；支持VISCA.PELCO-P/D协议，支持自动识别协议；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9、支持AAC.MP3.G.711A 音频压缩，音频输入口为双声道3.5mm线性输入；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10、支持Onvif，GB/T28181，RTSP，RTMP协议，同时支持RTMP推送模式；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11、云台支持255个预置位，水平速度：60°/秒，俯仰速度：30°/秒；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12、水平转动角度±170度，垂直-30度～90度；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13、转动速度：水平0.1 ～60°/秒，垂直0.1～30°/秒；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14、支持RTP组播模式，支持网络全命令VISCA控制协议；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15、网络口能远程升级，远程重启，远程复位；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16、板书分析系统软件；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①、具有板书区域设置，教师走动不干扰板书检测；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②、能设置讲台区域，检测老师上下讲台状态；</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③、能框选设置检测区域和屏蔽区域设置，方便快捷；</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音频处理器</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1、采用工业级嵌入式架构，采用专用芯片和嵌入式操作系统，稳定可靠；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2、集成自动噪音抑制技术，（去除包含空调、排气扇的噪音干扰）保证声音质量；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 能通过网络进行远程监听，软件升级和参数配置；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 8路差分输入，支持软硬件48V幻象供电开启关闭；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5、4路单声道Line-IN输入,分别为：1—远程音频输入；2&amp;4—课件；3—无线麦；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6、4路平衡输出，具体定义为：1，输出至远程（包含无线麦、吊麦、课件）；2，录音（包含无线麦、吊麦、课件、远程音频输入）；.3&amp;4，输出至音箱（包含无线麦、课件、远程音频输入）。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 8路平衡输入能做16段EQ处理（其他输入、输出不作EQ处理）；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8、智能混音功能（8路平衡输入能任意组合）；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9、能使用手拉手麦克风输入，每路能带6个从设备；</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 NOMA 功能：根据开启的MIC 数量自动调整系统的输出电平，不会因为输入电平的叠加而使系统的输出增益提高，有效地抑制声反馈的形成；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11、语音抗混响功能，避免多路语音互相干扰，突出重要语音信号；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12、回声消除功能：无线麦克风、吊麦的混音需要进行AEC处理，参考信号为远程音频信号；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13、具有AGC功能，防止多人大声说话时破音；</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14、除网口外，还能通过RS485接口进行软件升级和参数配置输入/输出增益、EQ、AGC、降噪等级的参数；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15、内置声场检测功能，能测试混响时间、环境噪声、频率响应和语音传输指数STI；</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16、远程回声消除： 处理回声延迟能力：128ms，256ms，512ms；</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17、回声抑制比： ＞60dB；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18、采样率： 32K；</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19、采样位数： 16位；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20、动态范围： 90db；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21、环境噪声消除：  稳态噪声消除比：30dB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22、频率响应 ： 20Hz-16KHz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23、最大增益 ： 59dB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24、电源电压 ： DC 12V/2A。</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▲25、为确保整体系统的兼容性要求与主机为同一品牌，并出具相关证明材料加盖原厂公章；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▲26、具备国家cqc认证，提供复印件加盖公章。</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吊麦（含支架）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1、频率响应： 100Hz～18KHz；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2、灵敏度： -40dB±3 dB （re 0dB=1V/Pa@1kHz）；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3、指向特性： 超心型 ≤135°；</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4、输出阻抗： 200Ω±30%；</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5、输出幅度： Max 300mV；</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6、最大承受声压： 110dB SPL（A计权@1KHz，THD≤1%）；</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7、动态范围； 76dB（A）；</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8、信噪比： 60dB（A)（re 94dBSPL=1Pa@1KHz)；</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9、幻象供电： 直流48V；</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10、输出连接器： 外置式3针卡侬公头XLR-3-12C。</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导播控制台（含控制软件）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1、能切换控制多台摄像机，并同时操控多个摄像机进行特写拍摄；</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2、能控制摄像机上下左右云台转动，进行拉近拉远对拉焦、聚焦操作；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3、能为多台摄像机设置/调用/清除6种不同预置位；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4、能进行3种特效切换；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5、能设置“自动/手动”模式将嵌入式主机备播通道内容以“自动/手动”模式切换到主播通道；</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6、能设置嵌入式主机自动导播模式及手动导播模式；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7、能通过按钮控制主机“老师特写”“学生特写”“老师全景” “学生全景” “板书”“PC桌面”6种画面的实时切换；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8、能通过“开始录制”“暂停录制”“停止录制”按钮控制嵌入式主机单通道及多通道的视频录制操作；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9、支持RS485/RS232协议；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10、能使用摇杆操作控制摄像机；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11、能通过usb接口链接电脑进行调试及码值校验。</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智能触摸控制屏</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1、核心处理器：400MHz 32位双核处理器；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2、操作系统：嵌入式实时操作系统（FreeRTOS）；</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3、协议类型：能配置运行MODBUS RTU、XGUS协议；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4、安装方向：能使用0、90、180和270度旋转安装显示；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5、颜色：65K色，16位RGB；</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6、电压：5-36V(误差±0.2V)；</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7、通讯方式：RS485；</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8、通讯波特率：RS485:1200～115200bps，典型波特率：9600bps；</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9、智能触摸控制屏软件：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①、一键式发送录制、停止信号；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②、本地录播能全自动的开启、关闭控制。</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电源管理器</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1、最大输入电流:80A,单路最大输出电流:30A,工作电压:220V-240V/50-60Hz,每一路功率:可达4500W,机箱高度:1.5U（符合机柜按照标准）；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2、输入与输出电压:AC输入电压=AC输出电压；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3、输出电源插座:万用插座，符合欧美标准；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4、后面板8个受控万用插座，前面2个万用插,插座材质:每个插座材质磷铜，均通过检验才安装,每一路开关间隔时间:1秒，每一路带开关指示灯，后端配置一个保险开关按钮（BYPASS）；</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5、继电器:电路板线路:采用60%高纯度锡，高端分流技术,经强化加粗处理；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6、变压器:内置电源线:3*6平方的电源线，线材配置长度为1.5米；</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7、电压显示表:二极管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8、数字显示电压表,开关:船形开关, 受控功能:（每通道可以单独受控）带232接口，可受中控设备控制,联机方式:（可支持8台设备同时联机使用）联机端口：6.5插口 ,滤波器:电容滤波器</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高清录播系统控制管理软件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1、能够进行多台客户端列表管理；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2、具有设备搜索功能；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3、能设置老师跟踪、学生定位的跟踪区域、屏蔽区域、跟踪速度；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4、能控制摄像机云台转动；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5、能够隐藏通道画面，全屏显示主播画面；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6、能够开启、关闭本地声音输出；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7、具有在教室端对云录播的录播控制功能；能在局域网任意电脑实现对云录播教室的管控；</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8、能够实时监看6路输入通道，实时显示录制时间，能进行对录制显示状态的实时预览；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9、能进行对教室跟踪定位的远程调试功能，并能够根据教室情况对跟踪、定位、云台进行调试；</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10、导播手动控制功能，能实现VGA、学生全景、教师全景、教师近景、学生近景的手动干预控制；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11、具备“自动、手动”控制按钮，进行对录播的自动/手动控制；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12、具备本地课件下载/删除按钮，能进行云录播教室在本机的存储。</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互动教学系统软件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1、互动双方能直接通过本地控制拨号呼叫；</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2、具备录播模式和互动模式两种工作模式；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3、互动模式下，能够实时预览本地互动录播教室的互动画面，能够实时进行本地教师信号、学生信号以及电脑信号的自动切换并传送至远端；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4、录播主机双向互动过程中，能实现1080P画质，在系统总丢包率≤20%的网络环境下，视频清晰无破损，语音清晰连贯；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▲5、具有双屏双流显示功能，一路视频输出听课互动课堂视频画面，一路视频输出主讲教室课件画面（需提供国家检测机构出具的测试报告证明，报告中须呈现该功能数据，并加盖公章）；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6、具有多方互动融合为一路画面进行远程直播及本地/云录制功能；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7、具有账号自动登录功能，无需在互动录播主机上重复输入账号密码即能登录；</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8、能够进行呼叫模式和课堂模式互动；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9、呼叫模式下能能够进行1对3进行互动；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10、课堂模式下最少能够进行1对16进行互动；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课堂模式下能够进行多画面融合，多画面只占用一路网络带宽，能选择模板；能使用自动融合、手动融合的视频融合方式（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12、能够进行多级课堂列表展示；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13、能和宝利通，华为进行软件视频会议对接；</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14、互动过程中，用户能在显示屏幕上观看互动教室画面，还能查看本地教室画面；同时具有一键放大主画面的功能，满足用户多场景使用需求；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15、互动系统具备回声消除功能，在主讲教室与听讲教室同时发言的情况下，保证双方语音清晰，双方体验良好；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16、互动系统具备噪声抑制功能，提高信噪比同时不损伤语音音质；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17、根据应用场景进行码率和帧率的智能调节，保障画质和流畅性的平衡效果；</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18、要求不增加其他互动硬件及其他辅助软件的情况下；进行本地教室与远端教室的实时音视频交互；</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 能通过mcu集群级联进行互动组网（需提供国家检测机构出具的测试报告证明，报告中须呈现该功能数据，并加盖公章）；</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 能将教室信息采集成视频监控列表；能将视频监控图像拖入互动画面中进行打开广播（需提供国家检测机构出具的测试报告证明，报告中须呈现该功能数据，并加盖公章）；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视频质量诊断：能够对视频的视频清晰度异常、视频信号缺失、视频条纹干扰、视频雪花干扰、视频偏色、画面冻结、场景变换、打开异常、视频码流、解码异常、视频遮挡、视频模糊、画面抖动进行诊断（需提供国家检测机构出具的测试报告证明，报告中须呈现该功能数据，并加盖公章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▲22、视频故障诊断：能够对视频的网络连接异常、视频丢失、码流获取异常进行诊断（需提供国家检测机构出具的测试报告证明，报告中须呈现该功能数据，并加盖公章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诊断分析：系统根据诊断结果，逐步排查分析故障的原因，对视频图像质量、视频编解码设备、业务服务器以及网络传输设备的故障原因进行智能监测分析，逐步筛查设备链路上所有相关设备的故障发生的精确环节，为用户及时提供详尽的故障原因信息、故障处理的建议与方案；</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▲24、报警管理：能够对视频诊断结果和故障进行报警设置，并能够联动触发相关操作（需提供国家检测机构出具的测试报告证明，报告中须呈现该功能数据，并加盖公章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 集成运维保障管理系统：将诊断结果和故障设置经相关人员审核并自动发送给相关用户，并跟踪维修进度，完成维修后填写维修结果并记录保存；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▲26、具备嵌入式互动教学系统软件著作权（加盖公章）。</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双拼交互智慧屏（含多媒体音箱）</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一、硬件要求：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1、整机屏幕采用双86英寸UHD超高清液晶屏，显示比例16:9，分辨率3840*2160，可视角度≥178°，整机外观简洁无任何可见内部功能模块连接线。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2、整机采用红外触控技术，支持Windows系统中进行不低于20点触控，支持在Android系统中进行20点或以上触控。触摸响应时间≤4ms。</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▲3、双整机画面对比度及色彩还原真实，画面细节及Gamma无损失，确保师生观看画面不会因显示损耗导致视觉偏差。（提供国家级相关机构出具的技术证明文件或第三方检测机构权威检测报告）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▲4、双整机支持全通道4K高清显示，全通道OSD菜单及整机内置系统均支持4K图像显示。（提供国家级相关机构出具的技术证明文件或第三方检测机构权威检测报告）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▲5、双整机屏幕采用直流背光源，保证显示画面无频闪，有效避免视觉疲劳，呵护师生用眼健康。（提供国家级相关机构出具的技术证明文件或第三方检测机构权威检测报告）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6、双整机最大屏幕亮度≥300cd/m²，使用时屏幕亮度不大于400cd/m²，符合国家GB40070-2021《儿童青少年学习用品近视防控卫生要求》。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7、双整机采用硬件低蓝光背光技术，在源头减少有害蓝光波段能量，蓝光占比（有害蓝光415～455nm能量综合）/（整体蓝光400～500能量综合）＜50%，低蓝光保护显示不偏色、不泛黄。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▲8、屏幕结合光感调节，屏幕亮度与环境亮度的匹配曲线更加合理，能有效减轻视疲劳。（提供国家级相关机构出具的技术证明文件或第三方检测机构权威检测报告）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9、双整机支持多种智能护眼功能，可通过两侧触控按键及前置物理按键进行护眼模式切换，护眼模式下，整机显示画面更加柔和，有效保护视力。</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▲10、通过由中国标准化研究院制定的视觉舒适度（VICO）评价体系测试，并达到视觉舒适度A+级或以上标准。（提供中国标准化研究院出具的检测结果复印件）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11、双整机支持纸质护眼模式，可以在任意通道任意画面任意软件所有显示内容下实现画面纹理的实时调整；支持纸质纹理：牛皮纸、素描纸、水彩纸、水纹纸、宣纸；支持透明度调节；支持色温调节。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12、双整机采用全物理钢化玻璃，钢化玻璃表面硬度≥9H，有效保护屏幕显示画面。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双整机表面采用全物理防眩光钢化玻璃，钢化玻璃采用低反射防眩光（AGLR）技术，吸光率7%，有效防止眩光的同时还能吸收部分环境光，进一步降低环境光对显示的干扰，保障在明亮教室中暗场画面的清晰显示。（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14、双整机具备至少6个前置物理按键，包括三合一电源按键，设置、音量加、音量减、录屏、护眼，其中含2个可自定义功能按键。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▲15、双整机支持在节能状态下通过长按电源键进入还原界面，可点击屏幕选择安卓系统还原、OPS还原以及正常启动选项，还原操作时需通过密码验证，有效避免误操作。（提供第三方检测机构权威检测报告）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16、双整机前置3路USB输入接口（包含1路Type-C、2路USB），前置USB接口支持Android、Windows双系统读取外接移动存储设备，接口具备明显的丝印标识。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▲17、前置Type-C接口支持65W快充，可以给教学平板、教学笔记本、手机等进行快速充电。（提供第三方检测机构权威检测报告）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18、双整机内置1300万非独立的高清摄像头，摄像头与整机采用一体化设计，无任何可见外接线材及模块化拼接痕迹，未占用整机设备端口，对角角度≥135度，可用于远程巡课、二维码扫描等功能。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▲19、双整机内置8阵列麦克风，拾音距离≥12米，麦克风采用非独立扩展形式，不占用整机设备端口，可用于对教室环境音频进行采集。（提供第三方检测机构权威检测报告）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20、双整机内置2.2声道音响系统，整机扩声系统总功率不低于60W，有效满足课堂视听需求。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▲21、双整机内置的蓝牙及Wi-Fi模块支持便捷拆除及恢复，确保特殊应用场景下的信息安全。（提供第三方检测机构权威检测报告）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22、部署单根网线可实现Android、Windows双系统有线网络连通。</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双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▲24、双整机支持通过物理按键、手势及触摸快捷按键等方式快捷调用半屏模式，具备分级降屏（1/3、1/2）功能，用户可以根据使用情况自行选择降1/3或者1/2屏。（提供第三方检测机构权威检测报告）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25、双整机设备开机启动后，自动进入教学桌面，支持账号登录、退出，自动获取个人云端教学课件列表。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▲27、双整机教学桌面支持画报轮播功能，通过主页快捷入口可自定义轮播内容、轮播间隔、播放时间等，助力校园文化建设。（提供第三方检测机构权威检测报告）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▲28、双整机嵌入式安卓系统版本不低于Android 11，内存≥3GB，存储空间≥16GB。（提供第三方检测机构权威检测报告）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▲29、双整机嵌入式安卓系统下主界面、菜单、图标、文字均为4K超高清显示，显示细腻、清晰度高。（提供具有CMA或CNAS认证标识的第三方检测机构权威检测报告）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▲30、嵌入式Android操作系统下，内置电子视力表软件，支持通过触摸方式进行视力检测，助力校园近视防控工作开展。（提供第三方检测机构权威检测报告）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二、电脑配置：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1、采用Intel通用标准80pin接口，即插即用，易于维护。</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2、主板搭载不低于第十二代Intel  i5系列CPU</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3、内存：8 GB DDR4笔记本内存或以上配置。硬盘：不低于256G固态硬盘。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4、机身采用智能风扇低噪音散热设计，确保封闭空间内有效散热。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5、PC模块可抽拉式插入整机，可实现无单独接线的插拔。</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6、采用手拧螺丝卡扣，确保PC模块安装固定到位，同时无需工具就可快速拆卸电脑模。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7、具有独立非外扩展的视频输出接口：≥1路HDMI，≥1路DP。</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8、具有独立非外扩展的电脑USB接口：≥3路USB3.0，≥1路USB2.0。</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9、具有PC防盗锁功能，确保电脑模块安全防盗。</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10、为便于设备维护，插拔电脑模块具有一键还原和系统保护功能，有效保证用户使用安全。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11、PC模块支持不断电情况下热插拔，以便快速维护或替换模块。</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▲12、为保障与整机的兼容性，电脑模块与整机为同一制造商。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三、软件要求：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（一）备授课一体化中心</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1、备课空间：提供教师个人备课网盘，个人空间不少于50G，并可按课件、微课等内容进行归类；</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智能备课插件：提供基于原生PPT与WPS的智能备课插件，非自有格式或嵌套式的备课工具，课件默认输出格式为PPT与WPS的默认格式，非专有格式，不改变教师传统备课习惯；提供与采购需求相适应的数据资产与教学决策的省级或以上科学技术部门认证的科技成果登记证书扫描件证明满足该项参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3、资源导入：支持备课资源与智能备课插件的无缝结合，方便将图片、视频、互动微件、3D素材、题库资源等一键插入到原生PPT、WPS内,并能按学段、学科、资源类型、知识点、关键字等关键信息搜索资源；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4、网络资源：原生PPT、WPS等支持一键引入互联网链接资源，搜索链接后可一键将页面插入至PPT、WPS等内，并能够在ppt、WPS等播放状态下进行页面二次跳转；</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课堂活动：如趣味分类、超级分类、翻翻卡、双人PK、连线题、猜词游戏、趣味素材、选词填空、选择题、判断题、比较大小、趣味检测、趣味拼词、思维导图（思维导图支持多类型模板，如经典思维、逻辑结构、彩色枝丫、鱼尾逻辑、发散思维、组织结构、目录组织、鱼骨图、天盘图，支持插入链接、图片、音视频、总结，导出为本地文件）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白板授课：提供多学科主题模板(拼音田字格、田字格、米字格、四线格、坐标系、小方格、日字格、五线谱、篮球场、足球场、白板等),支持自定义白板主题，并可在白板任意位置进行原笔迹书写、批注、擦除、拖动等；插入图片或截图等功能到白板中，支持切换图片的锁定状态，即拖动板书内容时图片可以和板书同步移动或缩放，也可以图片位置和大小固定，板书内容移动或缩放；支持多个图片同时分别处于锁定和解锁状态；</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8、课件授课：支持一键调取本机、个人网盘与学校网盘内的教学课件，并实现教学课件文档的手势识别(滑动翻页、缩略图等)，播放过程中可实现自由批注与笔迹内容同步保存；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教学决策：提供数据分析功能，满足教师在备课时进行教学决策，并逐步形成教学数据资产，支持教师将备课内容（课件、微课、板书、GGB等交互式资源等）一键分享至校本资源库、其他教师与学生，并即时查看学生预习情况，包括已学习人数与名单、未学习人数与名单、平均学习率、平均看懂率、平均学习次数、平均学习时长、看懂人数、未懂人数、未反馈人数等，提供与采购需求相适应的数据资产与教学决策的省级或以上科学技术部门认证的科技成果登记证书扫描件证明满足该项参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(二)教学应用工具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1、教学书写：支持任意教学环境下(白板讲解、PPT讲解、视频播放等)进行全屏原笔迹书写，支持无限板书，无需二次点击、翻页或跳转，在当前白板页面可通过双指拖动实现无限板书，并对板书进行自由缩放；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讲解助手：提供画笔、板书图章、板擦(区域擦除、撤销、清笔迹等，板擦大小可自由调整等)、聚焦、放大镜、计时、录制视频、幕布、计时器等基础教学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基础学科工具：提供多学科的学科工具，如平面图形、立体图形、尺规、量角器、函数工具、英文词典、算盘、计数器、数学动图、诗词卡片、仿真实验、构图助手、立体截面等，其中尺规和平面图形支持角度和长度的数字标注，化学仪器包括加热、计量、分离、收集、干燥等，物理仪器包括磁学、电学、光学、力学、热学、声学等，立体图形有已填充图形和未填充图形，已填充图形支持多类型展开、旋转、填充、删除等，未填充图形支持支持多种展开、自由调整展开幅度、边框四色调节、复制、删除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学科资源应用：支持一键调取学科可视化资源，资源总数不低于1000个，包括但不限于以下知识点：高中数学(集合与常用逻辑用语、不等式、函数、导数、积分、三角函数与解三角形、平面向量、数列、立体几何、平面解析几何、计数原理与统计概率等)、高中物理(力与运动、电与磁、原子物理、动量与能量等)、高中化学(无机化学、实验化学、结构化学、化学反应原理、有机化学等)、高中地理(自然地理、人文地理、区域地理等)、高中生物(分子与细胞、遗传与进化、稳态与调节、生物与环境、生物技术与工程)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智能云白板：支持将教师板书同步保存至云端，并按时间、班级、来源等条件进行归档，支持跨终端调取复用以及二次编辑修改（非JPG格式与PDF格式）；支持将板书内容同步分享至设备终端或微信小程序端，支持将板书分享学科组老师、校本资源，支持一键生成分享二维码、链接，分享至微信、QQ等，所分享的板书不仅支持查看其内容，同时云端调取的云白板可打开查看插入的文档、视频等富媒体资源；云端存储的板书内容可同步删除或批量导出至本地；支持导入图片格式文件至云白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6、智能工具板：基于即时手写智能识别的智能工具板，可实现中英文智能转写、智能搜索、图形识别与函数识别等功能，智能工具板内的所有板书记录可同步保存至智能云白板；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(1)中英文智能转写：支持将手写的中英文字词自动识别并转写为标准印刷体，字体大小可无级放大；支持对中文生字的手写识别并可实现读音、笔顺、笔画、偏旁部首、组词等；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(2)中英文智能识别：支持画圈搜索手写的中英文字词，实时搜索互联网资源；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(3)图形识别：支持将教师手写的图形自动识别为标准规范图形，相关图形能够自由调整大小、角度等，并支持填色、复制、删除等功能；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(4)函数识别：支持将教师手写的函数公式(非键盘输入)自动识别并转换为匹配的函数图形，并可通过手势划词直接进行删除与修改，支持将相应的函数图形直接插入到智能工具板内；</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课堂实录：支持基于任意授课场景、界面下进行课堂实录，录制过程中可随时预览、暂停、结束，可以收起录制按钮，也可对视频、音频、导出、存储四个方面进行设置，视频设置包括但不限于录制范围、画质选择、时间提示、视频水印、鼠标显示、画中画；音频设置包括声音来源、录制准备；导出设置包括视频剪辑；存储设置包括视频存放地址；录制结束后生成MP4格式视频文件，一键保存到本地和网盘，并分享到班级和学生；</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智适应学习与推送：支持教师将包括但不限于趣味分类、超级分类、翻翻卡、连线题、猜词游戏、趣味素材、选词填空、选择题、判断题、比较大小等交互式资源一键分享，可实现探究式、体验式学习，实时判断对错，并进行闯关答题，提供与采购需求相适应的智适应学习与推送的省级或以上科学技术部门认证的科技成果登记证书扫描件证明满足该项参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(三)系统管理中心</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授课登录：支持教师通过个人账号、微信授权或二维码等方式进行身份识别快速登录授课；登录后，即时进入上课模式，并自动获取云端课件；支持课件云同步功能，课件上的所有修改、操作均可同步保存至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2、班级管理：支持教师设置班级信息，包括学段、年级、班级名称；支持设置学生信息，包括学生姓名、学生所属分组等信息；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3、智能连接与可视化管理：支持与教室内的各类终端与应用（交互式一体机、音频设备、常态化录播设备、教师PC、其他资源、第三方教学应用）等实现场景化的深度融合，并实现可视化的终端管理与控制；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4、支持设置是否开启多人书写、板书美颜级别(低、中、高)、是否开启手势板擦等；支持设置节能模式，可自由设置设定时间内无人操作自动关机等功能。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▲四、搭载Office协同办公套件：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1、基本要求：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▲办公软件：提供正版办公软件及厂家授权（客户端）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▲授权期限：1年</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▲协助开展软件正版化工作核查，提供软件正版化核查技术服务等内容；</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▲提供正版办公软件使用培训服务。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▲支持企业级云盘服务，支持全格式的文件的上传下载，灵活细化的权限管理。（提供截图证明）</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五、其它要求：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1、整机保修三年，上门。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2、产品通过强制性产品认证（即CCC认证），需提供3C证书。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为保证产品质量供货时需提供生产厂家售后服务承诺书。</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86寸一体机（含支架）</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一、硬件要求：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1、整机屏幕采用86英寸UHD超高清液晶屏，显示比例16:9，分辨率3840*2160，可视角度≥178°，整机外观简洁无任何可见内部功能模块连接线。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2、整机采用红外触控技术，支持Windows系统中进行不低于20点触控，支持在Android系统中进行20点或以上触控。触摸响应时间≤4ms。</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▲3、整机画面对比度及色彩还原真实，画面细节及Gamma无损失，确保师生观看画面不会因显示损耗导致视觉偏差。（提供国家级相关机构出具的技术证明文件或第三方检测机构权威检测报告）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▲4、整机支持全通道4K高清显示，全通道OSD菜单及整机内置系统均支持4K图像显示。（提供国家级相关机构出具的技术证明文件或第三方检测机构权威检测报告）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▲5、整机屏幕采用直流背光源，保证显示画面无频闪，有效避免视觉疲劳，呵护师生用眼健康。（提供国家级相关机构出具的技术证明文件或第三方检测机构权威检测报告）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6、整机最大屏幕亮度≥300cd/m</w:t>
            </w:r>
            <w:r>
              <w:rPr>
                <w:rStyle w:val="66"/>
                <w:rFonts w:hint="eastAsia" w:asciiTheme="minorEastAsia" w:hAnsiTheme="minorEastAsia" w:eastAsiaTheme="minorEastAsia" w:cstheme="minorEastAsia"/>
                <w:sz w:val="21"/>
                <w:szCs w:val="21"/>
                <w:lang w:val="en-US" w:eastAsia="zh-CN" w:bidi="ar"/>
              </w:rPr>
              <w:t>²</w:t>
            </w:r>
            <w:r>
              <w:rPr>
                <w:rFonts w:hint="eastAsia" w:asciiTheme="minorEastAsia" w:hAnsiTheme="minorEastAsia" w:eastAsiaTheme="minorEastAsia" w:cstheme="minorEastAsia"/>
                <w:i w:val="0"/>
                <w:iCs w:val="0"/>
                <w:color w:val="000000"/>
                <w:kern w:val="0"/>
                <w:sz w:val="21"/>
                <w:szCs w:val="21"/>
                <w:u w:val="none"/>
                <w:lang w:val="en-US" w:eastAsia="zh-CN" w:bidi="ar"/>
              </w:rPr>
              <w:t>，使用时屏幕亮度不大于400cd/m</w:t>
            </w:r>
            <w:r>
              <w:rPr>
                <w:rStyle w:val="66"/>
                <w:rFonts w:hint="eastAsia" w:asciiTheme="minorEastAsia" w:hAnsiTheme="minorEastAsia" w:eastAsiaTheme="minorEastAsia" w:cstheme="minorEastAsia"/>
                <w:sz w:val="21"/>
                <w:szCs w:val="21"/>
                <w:lang w:val="en-US" w:eastAsia="zh-CN" w:bidi="ar"/>
              </w:rPr>
              <w:t>²</w:t>
            </w:r>
            <w:r>
              <w:rPr>
                <w:rFonts w:hint="eastAsia" w:asciiTheme="minorEastAsia" w:hAnsiTheme="minorEastAsia" w:eastAsiaTheme="minorEastAsia" w:cstheme="minorEastAsia"/>
                <w:i w:val="0"/>
                <w:iCs w:val="0"/>
                <w:color w:val="000000"/>
                <w:kern w:val="0"/>
                <w:sz w:val="21"/>
                <w:szCs w:val="21"/>
                <w:u w:val="none"/>
                <w:lang w:val="en-US" w:eastAsia="zh-CN" w:bidi="ar"/>
              </w:rPr>
              <w:t>，符合国家GB40070-2021《儿童青少年学习用品近视防控卫生要求》。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▲8、屏幕结合光感调节，屏幕亮度与环境亮度的匹配曲线更加合理，能有效减轻视疲劳。（提供国家级相关机构出具的技术证明文件或第三方检测机构权威检测报告）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9、整机支持多种智能护眼功能，可通过两侧触控按键及前置物理按键进行护眼模式切换，护眼模式下，整机显示画面更加柔和，有效保护视力。</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▲10、通过由中国标准化研究院制定的视觉舒适度（VICO）评价体系测试，并达到视觉舒适度A+级或以上标准。（提供中国标准化研究院出具的检测结果复印件）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11、整机支持纸质护眼模式，可以在任意通道任意画面任意软件所有显示内容下实现画面纹理的实时调整；支持纸质纹理：牛皮纸、素描纸、水彩纸、水纹纸、宣纸；支持透明度调节；支持色温调节。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12、整机采用全物理钢化玻璃，钢化玻璃表面硬度≥9H，有效保护屏幕显示画面。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整机表面采用全物理防眩光钢化玻璃，钢化玻璃采用低反射防眩光（AGLR）技术，吸光率7%，有效防止眩光的同时还能吸收部分环境光，进一步降低环境光对显示的干扰，保障在明亮教室中暗场画面的清晰显示。（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14、整机具备至少6个前置物理按键，包括三合一电源按键，设置、音量加、音量减、录屏、护眼，其中含2个可自定义功能按键。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▲15、整机支持在节能状态下通过长按电源键进入还原界面，可点击屏幕选择安卓系统还原、OPS还原以及正常启动选项，还原操作时需通过密码验证，有效避免误操作。（提供第三方检测机构权威检测报告）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16、整机前置3路USB输入接口（包含1路Type-C、2路USB），前置USB接口支持Android、Windows双系统读取外接移动存储设备，接口具备明显的丝印标识。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▲17、前置Type-C接口支持65W快充，可以给教学平板、教学笔记本、手机等进行快速充电。（提供第三方检测机构权威检测报告）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18、整机内置1300万非独立的高清摄像头，摄像头与整机采用一体化设计，无任何可见外接线材及模块化拼接痕迹，未占用整机设备端口，对角角度≥135度，可用于远程巡课、二维码扫描等功能。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▲19、整机内置8阵列麦克风，拾音距离≥12米，麦克风采用非独立扩展形式，不占用整机设备端口，可用于对教室环境音频进行采集。（提供第三方检测机构权威检测报告）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20、整机内置2.2声道音响系统，整机扩声系统总功率不低于60W，有效满足课堂视听需求。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▲21、整机内置的蓝牙及Wi-Fi模块支持便捷拆除及恢复，确保特殊应用场景下的信息安全。（提供第三方检测机构权威检测报告）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22、部署单根网线可实现Android、Windows双系统有线网络连通。</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▲24、整机支持通过物理按键、手势及触摸快捷按键等方式快捷调用半屏模式，具备分级降屏（1/3、1/2）功能，用户可以根据使用情况自行选择降1/3或者1/2屏。（提供第三方检测机构权威检测报告）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25、整机设备开机启动后，自动进入教学桌面，支持账号登录、退出，自动获取个人云端教学课件列表。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▲27、整机教学桌面支持画报轮播功能，通过主页快捷入口可自定义轮播内容、轮播间隔、播放时间等，助力校园文化建设。（提供第三方检测机构权威检测报告）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▲28、整机嵌入式安卓系统版本不低于Android</w:t>
            </w:r>
            <w:r>
              <w:rPr>
                <w:rStyle w:val="65"/>
                <w:rFonts w:hint="eastAsia" w:asciiTheme="minorEastAsia" w:hAnsiTheme="minorEastAsia" w:eastAsiaTheme="minorEastAsia" w:cstheme="minorEastAsia"/>
                <w:sz w:val="21"/>
                <w:szCs w:val="21"/>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t>11，内存≥3GB，存储空间≥16GB。（提供第三方检测机构权威检测报告）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▲29、整机嵌入式安卓系统下主界面、菜单、图标、文字均为4K超高清显示，显示细腻、清晰度高。（提供具有CMA或CNAS认证标识的第三方检测机构权威检测报告）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▲30、嵌入式Android操作系统下，内置电子视力表软件，支持通过触摸方式进行视力检测，助力校园近视防控工作开展。（提供第三方检测机构权威检测报告）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二、电脑配置：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1、采用Intel通用标准80pin接口，即插即用，易于维护。</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2、主板搭载不低于第十二代Intel  i5系列CPU</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3、内存：8 GB DDR4笔记本内存或以上配置。硬盘：不低于256G固态硬盘。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4、机身采用智能风扇低噪音散热设计，确保封闭空间内有效散热。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5、PC模块可抽拉式插入整机，可实现无单独接线的插拔。</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6、采用手拧螺丝卡扣，确保PC模块安装固定到位，同时无需工具就可快速拆卸电脑模。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7、具有独立非外扩展的视频输出接口：≥1路HDMI，≥1路DP。</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8、具有独立非外扩展的电脑USB接口：≥3路USB3.0，≥1路USB2.0。</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9、具有PC防盗锁功能，确保电脑模块安全防盗。</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10、为便于设备维护，插拔电脑模块具有一键还原和系统保护功能，有效保证用户使用安全。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11、PC模块支持不断电情况下热插拔，以便快速维护或替换模块。</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▲12、为保障与整机的兼容性，电脑模块与整机为同一制造商。</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三、软件要求：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（一）备授课一体化中心</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1、备课空间：提供教师个人备课网盘，个人空间不少于50G，并可按课件、微课等内容进行归类；</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智能备课插件：提供基于原生PPT与WPS的智能备课插件，非自有格式或嵌套式的备课工具，课件默认输出格式为PPT与WPS的默认格式，非专有格式，不改变教师传统备课习惯；提供与采购需求相适应的数据资产与教学决策的省级或以上科学技术部门认证的科技成果登记证书扫描件证明满足该项参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3、资源导入：支持备课资源与智能备课插件的无缝结合，方便将图片、视频、互动微件、3D素材、题库资源等一键插入到原生PPT、WPS内,并能按学段、学科、资源类型、知识点、关键字等关键信息搜索资源；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4、网络资源：原生PPT、WPS等支持一键引入互联网链接资源，搜索链接后可一键将页面插入至PPT、WPS等内，并能够在ppt、WPS等播放状态下进行页面二次跳转；</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课堂活动：如趣味分类、超级分类、翻翻卡、双人PK、连线题、猜词游戏、趣味素材、选词填空、选择题、判断题、比较大小、趣味检测、趣味拼词、思维导图（思维导图支持多类型模板，如经典思维、逻辑结构、彩色枝丫、鱼尾逻辑、发散思维、组织结构、目录组织、鱼骨图、天盘图，支持插入链接、图片、音视频、总结，导出为本地文件）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白板授课：提供多学科主题模板(拼音田字格、田字格、米字格、四线格、坐标系、小方格、日字格、五线谱、篮球场、足球场、白板等),支持自定义白板主题，并可在白板任意位置进行原笔迹书写、批注、擦除、拖动等；插入图片或截图等功能到白板中，支持切换图片的锁定状态，即拖动板书内容时图片可以和板书同步移动或缩放，也可以图片位置和大小固定，板书内容移动或缩放；支持多个图片同时分别处于锁定和解锁状态；</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8、课件授课：支持一键调取本机、个人网盘与学校网盘内的教学课件，并实现教学课件文档的手势识别(滑动翻页、缩略图等)，播放过程中可实现自由批注与笔迹内容同步保存；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教学决策：提供数据分析功能，满足教师在备课时进行教学决策，并逐步形成教学数据资产，支持教师将备课内容（课件、微课、板书、GGB等交互式资源等）一键分享至校本资源库、其他教师与学生，并即时查看学生预习情况，包括已学习人数与名单、未学习人数与名单、平均学习率、平均看懂率、平均学习次数、平均学习时长、看懂人数、未懂人数、未反馈人数等，提供与采购需求相适应的数据资产与教学决策的省级或以上科学技术部门认证的科技成果登记证书扫描件证明满足该项参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(二)教学应用工具</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1、教学书写：支持任意教学环境下(白板讲解、PPT讲解、视频播放等)进行全屏原笔迹书写，支持无限板书，无需二次点击、翻页或跳转，在当前白板页面可通过双指拖动实现无限板书，并对板书进行自由缩放；</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讲解助手：提供画笔、板书图章、板擦(区域擦除、撤销、清笔迹等，板擦大小可自由调整等)、聚焦、放大镜、计时、录制视频、幕布、计时器等基础教学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基础学科工具：提供多学科的学科工具，如平面图形、立体图形、尺规、量角器、函数工具、英文词典、算盘、计数器、数学动图、诗词卡片、仿真实验、构图助手、立体截面等，其中尺规和平面图形支持角度和长度的数字标注，化学仪器包括加热、计量、分离、收集、干燥等，物理仪器包括磁学、电学、光学、力学、热学、声学等，立体图形有已填充图形和未填充图形，已填充图形支持多类型展开、旋转、填充、删除等，未填充图形支持支持多种展开、自由调整展开幅度、边框四色调节、复制、删除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学科资源应用：支持一键调取学科可视化资源，资源总数不低于1000个，包括但不限于以下知识点：高中数学(集合与常用逻辑用语、不等式、函数、导数、积分、三角函数与解三角形、平面向量、数列、立体几何、平面解析几何、计数原理与统计概率等)、高中物理(力与运动、电与磁、原子物理、动量与能量等)、高中化学(无机化学、实验化学、结构化学、化学反应原理、有机化学等)、高中地理(自然地理、人文地理、区域地理等)、高中生物(分子与细胞、遗传与进化、稳态与调节、生物与环境、生物技术与工程)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智能云白板：支持将教师板书同步保存至云端，并按时间、班级、来源等条件进行归档，支持跨终端调取复用以及二次编辑修改（非JPG格式与PDF格式）；支持将板书内容同步分享至设备终端或微信小程序端，支持将板书分享学科组老师、校本资源，支持一键生成分享二维码、链接，分享至微信、QQ等，所分享的板书不仅支持查看其内容，同时云端调取的云白板可打开查看插入的文档、视频等富媒体资源；云端存储的板书内容可同步删除或批量导出至本地；支持导入图片格式文件至云白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6、智能工具板：基于即时手写智能识别的智能工具板，可实现中英文智能转写、智能搜索、图形识别与函数识别等功能，智能工具板内的所有板书记录可同步保存至智能云白板；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(1)中英文智能转写：支持将手写的中英文字词自动识别并转写为标准印刷体，字体大小可无级放大；支持对中文生字的手写识别并可实现读音、笔顺、笔画、偏旁部首、组词等；</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(2)中英文智能识别：支持画圈搜索手写的中英文字词，实时搜索互联网资源；</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(3)图形识别：支持将教师手写的图形自动识别为标准规范图形，相关图形能够自由调整大小、角度等，并支持填色、复制、删除等功能；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(4)函数识别：支持将教师手写的函数公式(非键盘输入)自动识别并转换为匹配的函数图形，并可通过手势划词直接进行删除与修改，支持将相应的函数图形直接插入到智能工具板内；</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课堂实录：支持基于任意授课场景、界面下进行课堂实录，录制过程中可随时预览、暂停、结束，可以收起录制按钮，也可对视频、音频、导出、存储四个方面进行设置，视频设置包括但不限于录制范围、画质选择、时间提示、视频水印、鼠标显示、画中画；音频设置包括声音来源、录制准备；导出设置包括视频剪辑；存储设置包括视频存放地址；录制结束后生成MP4格式视频文件，一键保存到本地和网盘，并分享到班级和学生；</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智适应学习与推送：支持教师将包括但不限于趣味分类、超级分类、翻翻卡、连线题、猜词游戏、趣味素材、选词填空、选择题、判断题、比较大小等交互式资源一键分享，可实现探究式、体验式学习，实时判断对错，并进行闯关答题，提供与采购需求相适应的智适应学习与推送的省级或以上科学技术部门认证的科技成果登记证书扫描件证明满足该项参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(三)系统管理中心</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授课登录：支持教师通过个人账号、微信授权或二维码等方式进行身份识别快速登录授课；登录后，即时进入上课模式，并自动获取云端课件；支持课件云同步功能，课件上的所有修改、操作均可同步保存至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2、班级管理：支持教师设置班级信息，包括学段、年级、班级名称；支持设置学生信息，包括学生姓名、学生所属分组等信息；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3、智能连接与可视化管理：支持与教室内的各类终端与应用（交互式一体机、音频设备、常态化录播设备、教师PC、其他资源、第三方教学应用）等实现场景化的深度融合，并实现可视化的终端管理与控制；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4、支持设置是否开启多人书写、板书美颜级别(低、中、高)、是否开启手势板擦等；支持设置节能模式，可自由设置设定时间内无人操作自动关机等功能。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▲四、搭载Office协同办公套件：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1、基本要求：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▲办公软件：提供正版办公软件及厂家授权（客户端）</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▲授权期限：1年</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▲协助开展软件正版化工作核查，提供软件正版化核查技术服务等内容；</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▲提供正版办公软件使用培训服务。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▲支持企业级云盘服务，支持全格式的文件的上传下载，灵活细化的权限管理。（提供截图证明）</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五、其它要求：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1、整机保修三年，上门。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2、产品通过强制性产品认证（即CCC认证），需提供3C证书。</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为保证产品质量供货时需提供生产厂家售后服务承诺书。</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分组研讨系统</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▲1、可支持windows、Android、linux、macos、iso、麒麟、统信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▲2、可在局域网内进行有线或无线多画面投屏。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3、老师可以方便地共享教师材料，主画面上的所有图像都能够以全屏的方式显示在小组的大屏幕上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▲4、任何学生都可以轻松把他们自带的设备内容到对应分组大屏幕和其他同学电脑上；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5、老师可以选择分享任一学生的桌面到其他小组的大屏和学生电脑上。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6、可在Windows 7、Windows 10及Mac OS 10.5等多个操作系 统上进行投屏。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老师登录教室账号，分组屏登录分组账号，学生通过教室号登录。教师广播学生的画面默认全屏，如果打开了多个学生的桌面，支持9画面对比，可以关闭全屏，就可以同时对比多个学生的课题内容，全屏和关闭全屏是同步教室里其他学生的，也可以在设置里设置不同步全屏。学生可以单独关闭自己观看的某个人的分享画面，也可以单独关闭全屏，但不影响其他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▲8、可同时存在多个桌面。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▲9、学生只能投屏到自己分组，老师可以拉任何一个人广播。</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10、老师可对传屏画面进行实时批注。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11、可选择笔写字时的颜色，可选蓝色或者红色。</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12、可对批注内容进行擦除。</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13、可关闭批注功能，并返回主页。</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14、老师可以打开白板让学生在自己分组屏上同步标注和书写自己的见解</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15、可以配置大屏开机启动自动登录，傻瓜式大屏开机使用。</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16、可以分享整个屏幕也可以只分享单个文档的窗口界面</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17、群聊</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18、白板可以共享pdf文档和图片</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钢制讲台</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1、讲台整体采用分体式结构，根据现场定制尺寸。</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2、采用≥1.2mm优质冷轧钢板液压拉伸成型；桌面两侧配备木扶手。</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3、颜色为哑光灰白色， LOGO装饰板可选配木纹色或深蓝色； 表面经酸洗、磷化、静电喷涂、高温固化处理而成，静电喷涂选用优质塑粉，不含溶剂。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4、显示器在上桌体左侧为翻盖式结构，可容纳17-22寸不同液晶规格，液晶固定板为升降式结构；一把钥匙控制整个讲台。</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5、键盘采用翻启式操作，可容纳480*165mm的键盘。</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6、键盘盒下方为中控，两者间距65mm，可放置260x160mm中控。</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7、桌面右侧为隐藏式抽屉，容纳视频展台550x460x200mm，承载重量≥12kg。</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8、下箱体内部采用卡扣式设计结构，可放置主机、中控等设备。</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9、讲台下箱体左右均开有散热孔。</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10、抽屉选配全隐藏式消声三节精密钢珠滑轨、锁扣、合页等都采用高品质产品。</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11、所有布线孔均采用绝缘品装置隔离电源线，强弱电分离。</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 xml:space="preserve">12、全部的加工件均为模具冲压成型，采用先进的工装夹具、配合全自动焊接工艺。  </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13、独立包装，运输轻便。</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笔记本电脑</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内存容量：8+16G；硬盘容量：2T固态；操作系统：Windows 11；屏幕分辨率：2160x1440像素；屏幕刷新率：60Hz；厚度：15.0mm(含)-18.0mm(不含)；屏幕尺寸：14英寸锂电池电芯数量：3芯锂电池；重量：1.5kg(含)-2kg(不含)</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导播操作台</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1、钢制2位</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2、柜体为优质冷轧钢板表面静电喷塑，</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3、桌面为中密度板刷环保漆,柜体为标准19英寸机架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4、产品尺寸：1800mm*800mm*750mm</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2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吸音处理</w:t>
            </w:r>
          </w:p>
        </w:tc>
        <w:tc>
          <w:tcPr>
            <w:tcW w:w="6117"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轻钢龙骨+烤漆龙骨+吸音板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1.吸音板：环保吸音吸音板，防火性能：产品为不燃材料，满足GB8624-1999为A级材料。防潮性能：符合JC/T670-2005标准规定。 符合JC/T670-2005标准规定  防潮板质量要求（15mm、18mm）。环保性能：甲醛释放量&lt;0.1mg/L。无放射性，满足GB6566-2001A类装修材料要求吸声性能：满足标准JC/T670-2005相关规定要求</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2.龙骨规格：一般常用主骨32*24*3000mm 38*24*3000mm，副骨26*24*600mm，边骨22*22*3000mm，槽形有黑色、白色可供选择，层次感强</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吸音板吊顶施工流程是：基层清理一—弹线一一安装吊杆一一安装主龙骨一一安装次龙骨一一安装边龙骨一—隐蔽检查一一安装吸音板一一验收</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1、基层清理：拆除原有吊顶。基层要求平整、无杂质，主要是针对所有可能影响吸音板吊顶施工的安装物</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2、弹线：根据吸音板吊顶设计标高弹吊顶线作为吸音板吊顶安装的标准线</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3、安装吊杆：根据需要确定吊杆位置，安装吊杆预埋件，刷防锈漆，吊杆用直径为8的钢筋制作，吊点间距900mm-1200mm。安装时上端与预埋件焊接，下端套丝后与吊件连接。安装完的吊杆端头外露长度不小于3mm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安装主龙骨：安装主龙骨时，应将主龙骨吊挂件连接在主龙骨上，拧紧螺丝，并根据要求吊顶起拱1/200，随时检查龙骨平整度。房间主龙骨沿灯具长方向排布，注意避开灯具位置；走廊内主龙骨则沿走廊短方向排布</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5、安装次龙骨：配套次龙骨一般选用烤漆T型龙骨，间距与板横向规格相同，将次龙骨通过挂件吊挂在大龙骨上。在与主龙骨平行方向安装600mm的横撑龙骨，间距为600mm或1200mm</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6、安装边龙骨：采用L型边龙骨，与墙体用塑料胀管或自攻螺钉固定，固定间距应为200mm。安装边龙骨前墙面应用腻子找平，可避免将来墙面刮腻子时出现污染和不易找平的情况</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7、隐蔽检查：在电安装完毕后，应对龙骨进行隐蔽检查，待检查合格后方可进入下一道工序</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安装吸音板：吸音板的规格、厚度应根据具体的要求确定，一般为600*600*15mm。安装吸音板时操作工人须戴白手套，以免造成污染。安装时，应注意花样、图案的整体性；饰面板上的灯具、烟感器、喷淋头、风口筐子等设备的位置应合理、美观，与饰面的交接应咖合亚缩</w:t>
            </w:r>
          </w:p>
        </w:tc>
        <w:tc>
          <w:tcPr>
            <w:tcW w:w="600"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59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7标段的采购需求</w:t>
      </w:r>
    </w:p>
    <w:p>
      <w:pPr>
        <w:bidi w:val="0"/>
        <w:spacing w:line="360" w:lineRule="auto"/>
        <w:rPr>
          <w:rFonts w:hint="eastAsia"/>
          <w:sz w:val="22"/>
          <w:szCs w:val="22"/>
          <w:lang w:val="en-US"/>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为深入学习贯彻习近平新时代中国特色社会主义思想和党的二十大精神，贯彻落实习近平总书记关于教育的重要论述，根据</w:t>
      </w:r>
      <w:r>
        <w:rPr>
          <w:rFonts w:hint="eastAsia"/>
          <w:sz w:val="24"/>
          <w:szCs w:val="24"/>
        </w:rPr>
        <w:t>《关于推动现代职业教育高质量发展的意见》《关于深化现代职业教育体系建设改革的意见》（国务院公报2023年第1号）</w:t>
      </w:r>
      <w:r>
        <w:rPr>
          <w:rFonts w:hint="eastAsia"/>
          <w:sz w:val="24"/>
          <w:szCs w:val="24"/>
          <w:lang w:val="en-US" w:eastAsia="zh-CN"/>
        </w:rPr>
        <w:t>等文件精神，提升学校骨干教师素质能力，</w:t>
      </w:r>
      <w:r>
        <w:rPr>
          <w:rFonts w:hint="eastAsia"/>
          <w:sz w:val="24"/>
          <w:szCs w:val="24"/>
        </w:rPr>
        <w:t>培养教师团队意识，使教师迅速成长，</w:t>
      </w:r>
      <w:r>
        <w:rPr>
          <w:rFonts w:hint="eastAsia"/>
          <w:sz w:val="24"/>
          <w:szCs w:val="24"/>
          <w:lang w:val="en-US" w:eastAsia="zh-CN"/>
        </w:rPr>
        <w:t>我校拟委托第三方举办来宾市卫生学校2024年骨干教师能力提升培训方案。为确保培训工作的顺利实施，特制定本培训方案。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1" w:name="_Toc31162"/>
      <w:bookmarkStart w:id="12" w:name="_Toc16073"/>
      <w:bookmarkStart w:id="13" w:name="_Toc25273"/>
      <w:bookmarkStart w:id="14" w:name="_Toc22171"/>
      <w:bookmarkStart w:id="15" w:name="_Toc19561"/>
      <w:r>
        <w:rPr>
          <w:rFonts w:hint="eastAsia"/>
          <w:sz w:val="24"/>
          <w:szCs w:val="24"/>
          <w:lang w:val="en-US" w:eastAsia="zh-CN"/>
        </w:rPr>
        <w:t>一、培训目标</w:t>
      </w:r>
      <w:bookmarkEnd w:id="11"/>
      <w:bookmarkEnd w:id="12"/>
      <w:bookmarkEnd w:id="13"/>
      <w:bookmarkEnd w:id="14"/>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培训以习近平新时代中国特色社会主义思想为指导，大力弘扬教育家精神，着力培育工匠精神，深入领会职业教育的新理念和新要求，推进骨干教师队伍建设，推动造就“良匠之师”，提升技术技能人才培养水平，赋能我校现代职业教育体系建设改革，助力教育强校建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二、培训内容及安排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一校外培训。副高级职称及以上的专家授课。主要设置基于教师核心素养与工作规范、教学创新团队建设与名师工作室培育、教学实施报告撰写技巧与案例分析、课程标准内涵解析与教学设计、“1+X”制度视域下“课证融合”课程设计路径研究、强化班主任的实践与经验学习能力等专题学习，共计36课时。课程表见附件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模块二教学成果培育。副高级职称及以上的专家授课。主要培育2025年区级、2026年国家级教学成果奖，包括教学成果奖申报材料实践指导、项目团队培育、成果培育与凝练等。共计24课时。课程表见附件2。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模块三中德专家培训。中方专家和德方专家授课。主要设置基于德国双元制职业教育、</w:t>
      </w:r>
      <w:r>
        <w:rPr>
          <w:rFonts w:hint="default"/>
          <w:sz w:val="24"/>
          <w:szCs w:val="24"/>
          <w:lang w:val="en-US" w:eastAsia="zh-CN"/>
        </w:rPr>
        <w:t>数字化</w:t>
      </w:r>
      <w:r>
        <w:rPr>
          <w:rFonts w:hint="eastAsia"/>
          <w:sz w:val="24"/>
          <w:szCs w:val="24"/>
          <w:lang w:val="en-US" w:eastAsia="zh-CN"/>
        </w:rPr>
        <w:t>技能、</w:t>
      </w:r>
      <w:r>
        <w:rPr>
          <w:rFonts w:hint="default"/>
          <w:sz w:val="24"/>
          <w:szCs w:val="24"/>
          <w:lang w:val="en-US" w:eastAsia="zh-CN"/>
        </w:rPr>
        <w:t>职业行动能力为导向的过程评价与考试设计</w:t>
      </w:r>
      <w:r>
        <w:rPr>
          <w:rFonts w:hint="eastAsia"/>
          <w:sz w:val="24"/>
          <w:szCs w:val="24"/>
          <w:lang w:val="en-US" w:eastAsia="zh-CN"/>
        </w:rPr>
        <w:t>、</w:t>
      </w:r>
      <w:r>
        <w:rPr>
          <w:rFonts w:hint="default"/>
          <w:sz w:val="24"/>
          <w:szCs w:val="24"/>
          <w:lang w:val="en-US" w:eastAsia="zh-CN"/>
        </w:rPr>
        <w:t>技能型人才培养</w:t>
      </w:r>
      <w:r>
        <w:rPr>
          <w:rFonts w:hint="eastAsia"/>
          <w:sz w:val="24"/>
          <w:szCs w:val="24"/>
          <w:lang w:val="en-US" w:eastAsia="zh-CN"/>
        </w:rPr>
        <w:t>专题学习，共计30课时。课程表见附件3。</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三、培训时间与地点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（一）校外</w:t>
      </w:r>
      <w:r>
        <w:rPr>
          <w:rFonts w:hint="default"/>
          <w:sz w:val="24"/>
          <w:szCs w:val="24"/>
          <w:lang w:val="en-US" w:eastAsia="zh-CN"/>
        </w:rPr>
        <w:t>培训时间</w:t>
      </w:r>
      <w:r>
        <w:rPr>
          <w:rFonts w:hint="eastAsia"/>
          <w:sz w:val="24"/>
          <w:szCs w:val="24"/>
          <w:lang w:val="en-US" w:eastAsia="zh-CN"/>
        </w:rPr>
        <w:t>及地点</w:t>
      </w:r>
      <w:r>
        <w:rPr>
          <w:rFonts w:hint="default"/>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时间：待定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地点：南京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6" w:name="OLE_LINK6"/>
      <w:r>
        <w:rPr>
          <w:rFonts w:hint="eastAsia"/>
          <w:sz w:val="24"/>
          <w:szCs w:val="24"/>
          <w:lang w:val="en-US" w:eastAsia="zh-CN"/>
        </w:rPr>
        <w:t>（二）教学成果培育</w:t>
      </w:r>
      <w:bookmarkEnd w:id="16"/>
      <w:bookmarkStart w:id="17" w:name="OLE_LINK2"/>
      <w:r>
        <w:rPr>
          <w:rFonts w:hint="eastAsia"/>
          <w:sz w:val="24"/>
          <w:szCs w:val="24"/>
          <w:lang w:val="en-US" w:eastAsia="zh-CN"/>
        </w:rPr>
        <w:t>时间及地点：</w:t>
      </w:r>
      <w:bookmarkEnd w:id="1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bookmarkStart w:id="18" w:name="OLE_LINK3"/>
      <w:r>
        <w:rPr>
          <w:rFonts w:hint="eastAsia"/>
          <w:sz w:val="24"/>
          <w:szCs w:val="24"/>
          <w:lang w:val="en-US" w:eastAsia="zh-CN"/>
        </w:rPr>
        <w:t>2024年7月下旬-9月下旬、线上及线下，地点待定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（三）中德专家培训时间及地点：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2024年7月-9月，线上</w:t>
      </w:r>
    </w:p>
    <w:bookmarkEnd w:id="18"/>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四、培训人员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学校领导、骨干教师、</w:t>
      </w:r>
      <w:r>
        <w:rPr>
          <w:rFonts w:hint="eastAsia"/>
          <w:sz w:val="24"/>
          <w:szCs w:val="24"/>
          <w:lang w:val="en-US" w:eastAsia="zh-CN"/>
        </w:rPr>
        <w:t>从事科研工作教师：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（一）校外</w:t>
      </w:r>
      <w:r>
        <w:rPr>
          <w:rFonts w:hint="default"/>
          <w:sz w:val="24"/>
          <w:szCs w:val="24"/>
          <w:lang w:val="en-US" w:eastAsia="zh-CN"/>
        </w:rPr>
        <w:t>培训</w:t>
      </w:r>
      <w:r>
        <w:rPr>
          <w:rFonts w:hint="eastAsia"/>
          <w:sz w:val="24"/>
          <w:szCs w:val="24"/>
          <w:lang w:val="en-US" w:eastAsia="zh-CN"/>
        </w:rPr>
        <w:t>人数：50人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（二）教学成果奖培育人次：50人次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（三）中德专家培训人数：20人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五、培训要求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为提高培训效果，确保培训质量，学校对本次培训的学员提出以下要求：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外出教师必须遵守培训单位的活动安排，认真学习，完成培训任务及作业，做好培训记录，积极参与交流讨论，领取并妥善保管好下发的资料，培训结束，上交培训总结一份到教务科存档，在教师间开展心得体会分享活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（二）所有参训学员必须服从带队领导和组长的安排；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（三）严格执行考勤制度，严格遵守活动纪律，不得擅自外出办私事、观光、带家属等，不得迟到、早退，在培训期间如有特殊情况需要请假，需报带队领导审批；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（四）仪表端庄、举止文明、虚心好学，遵守社会公德，维护学校声誉，处处为人师表；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（五）统一出发，培训结束后，统一返校，注意安全。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六、培训经费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培训经费来源是自治区财政经费《广西壮族自治区教育厅关于提前下达2024年中央现代职业教育质量提升计划经费》的中等职业学校办学条件达标建设经费。</w:t>
      </w:r>
    </w:p>
    <w:tbl>
      <w:tblPr>
        <w:tblStyle w:val="26"/>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22"/>
        <w:gridCol w:w="1116"/>
        <w:gridCol w:w="1137"/>
        <w:gridCol w:w="2045"/>
        <w:gridCol w:w="132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98" w:type="dxa"/>
            <w:gridSpan w:val="6"/>
            <w:vAlign w:val="center"/>
          </w:tcPr>
          <w:p>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经费项目</w:t>
            </w:r>
          </w:p>
        </w:tc>
        <w:tc>
          <w:tcPr>
            <w:tcW w:w="2023" w:type="dxa"/>
            <w:vAlign w:val="center"/>
          </w:tcPr>
          <w:p>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校外</w:t>
            </w:r>
          </w:p>
        </w:tc>
        <w:tc>
          <w:tcPr>
            <w:tcW w:w="822" w:type="dxa"/>
            <w:vMerge w:val="restart"/>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培训天数（天）</w:t>
            </w:r>
          </w:p>
        </w:tc>
        <w:tc>
          <w:tcPr>
            <w:tcW w:w="2045"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培训标准</w:t>
            </w:r>
          </w:p>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550元/人.天）</w:t>
            </w:r>
          </w:p>
        </w:tc>
        <w:tc>
          <w:tcPr>
            <w:tcW w:w="1323"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 </w:t>
            </w:r>
          </w:p>
        </w:tc>
        <w:tc>
          <w:tcPr>
            <w:tcW w:w="20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550.00 </w:t>
            </w:r>
          </w:p>
        </w:tc>
        <w:tc>
          <w:tcPr>
            <w:tcW w:w="13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192500.00 </w:t>
            </w:r>
          </w:p>
        </w:tc>
        <w:tc>
          <w:tcPr>
            <w:tcW w:w="20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具体预算见附件4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5" w:type="dxa"/>
            <w:vMerge w:val="continu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restart"/>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交通费</w:t>
            </w:r>
          </w:p>
        </w:tc>
        <w:tc>
          <w:tcPr>
            <w:tcW w:w="111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次数（趟</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2045"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val="en-US" w:eastAsia="zh-CN"/>
              </w:rPr>
              <w:t>单程</w:t>
            </w:r>
            <w:r>
              <w:rPr>
                <w:rFonts w:hint="eastAsia" w:asciiTheme="minorEastAsia" w:hAnsiTheme="minorEastAsia" w:eastAsiaTheme="minorEastAsia" w:cstheme="minorEastAsia"/>
                <w:b/>
                <w:bCs/>
                <w:i w:val="0"/>
                <w:color w:val="auto"/>
                <w:sz w:val="21"/>
                <w:szCs w:val="21"/>
                <w:highlight w:val="none"/>
                <w:u w:val="none"/>
                <w:lang w:eastAsia="zh-CN"/>
              </w:rPr>
              <w:t>标准（</w:t>
            </w:r>
            <w:r>
              <w:rPr>
                <w:rFonts w:hint="eastAsia" w:asciiTheme="minorEastAsia" w:hAnsiTheme="minorEastAsia" w:eastAsiaTheme="minorEastAsia" w:cstheme="minorEastAsia"/>
                <w:b/>
                <w:bCs/>
                <w:i w:val="0"/>
                <w:color w:val="auto"/>
                <w:sz w:val="21"/>
                <w:szCs w:val="21"/>
                <w:highlight w:val="none"/>
                <w:u w:val="none"/>
                <w:lang w:val="en-US" w:eastAsia="zh-CN"/>
              </w:rPr>
              <w:t>人/车次</w:t>
            </w:r>
            <w:r>
              <w:rPr>
                <w:rFonts w:hint="eastAsia" w:asciiTheme="minorEastAsia" w:hAnsiTheme="minorEastAsia" w:eastAsiaTheme="minorEastAsia" w:cstheme="minorEastAsia"/>
                <w:b/>
                <w:bCs/>
                <w:i w:val="0"/>
                <w:color w:val="auto"/>
                <w:sz w:val="21"/>
                <w:szCs w:val="21"/>
                <w:highlight w:val="none"/>
                <w:u w:val="none"/>
                <w:lang w:eastAsia="zh-CN"/>
              </w:rPr>
              <w:t>）</w:t>
            </w:r>
          </w:p>
        </w:tc>
        <w:tc>
          <w:tcPr>
            <w:tcW w:w="1323"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5" w:type="dxa"/>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0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 </w:t>
            </w:r>
          </w:p>
        </w:tc>
        <w:tc>
          <w:tcPr>
            <w:tcW w:w="13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68000.00 </w:t>
            </w:r>
          </w:p>
        </w:tc>
        <w:tc>
          <w:tcPr>
            <w:tcW w:w="2023"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以实时车票票价为准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restart"/>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差旅费</w:t>
            </w:r>
          </w:p>
        </w:tc>
        <w:tc>
          <w:tcPr>
            <w:tcW w:w="1116"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3182" w:type="dxa"/>
            <w:gridSpan w:val="2"/>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标准</w:t>
            </w:r>
          </w:p>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180元/人）（往返两天）</w:t>
            </w:r>
          </w:p>
        </w:tc>
        <w:tc>
          <w:tcPr>
            <w:tcW w:w="1323"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5" w:type="dxa"/>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318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360.00 </w:t>
            </w:r>
          </w:p>
        </w:tc>
        <w:tc>
          <w:tcPr>
            <w:tcW w:w="13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18000.00 </w:t>
            </w:r>
          </w:p>
        </w:tc>
        <w:tc>
          <w:tcPr>
            <w:tcW w:w="20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成果奖培育</w:t>
            </w:r>
          </w:p>
        </w:tc>
        <w:tc>
          <w:tcPr>
            <w:tcW w:w="822"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合计50人次</w:t>
            </w:r>
          </w:p>
        </w:tc>
        <w:tc>
          <w:tcPr>
            <w:tcW w:w="3182" w:type="dxa"/>
            <w:gridSpan w:val="2"/>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90780.00</w:t>
            </w:r>
          </w:p>
        </w:tc>
        <w:tc>
          <w:tcPr>
            <w:tcW w:w="20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中德专家培训</w:t>
            </w:r>
          </w:p>
        </w:tc>
        <w:tc>
          <w:tcPr>
            <w:tcW w:w="822"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20人</w:t>
            </w:r>
          </w:p>
        </w:tc>
        <w:tc>
          <w:tcPr>
            <w:tcW w:w="3182" w:type="dxa"/>
            <w:gridSpan w:val="2"/>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t>30720</w:t>
            </w:r>
            <w:r>
              <w:rPr>
                <w:rFonts w:hint="eastAsia" w:asciiTheme="minorEastAsia" w:hAnsiTheme="minorEastAsia" w:eastAsiaTheme="minorEastAsia" w:cstheme="minorEastAsia"/>
                <w:color w:val="auto"/>
                <w:kern w:val="2"/>
                <w:sz w:val="21"/>
                <w:szCs w:val="21"/>
                <w:highlight w:val="none"/>
                <w:vertAlign w:val="baseline"/>
                <w:lang w:val="en-US" w:eastAsia="zh-CN" w:bidi="ar-SA"/>
              </w:rPr>
              <w:t>.00</w:t>
            </w:r>
          </w:p>
        </w:tc>
        <w:tc>
          <w:tcPr>
            <w:tcW w:w="20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75" w:type="dxa"/>
            <w:gridSpan w:val="5"/>
            <w:vAlign w:val="center"/>
          </w:tcPr>
          <w:p>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总计</w:t>
            </w:r>
          </w:p>
        </w:tc>
        <w:tc>
          <w:tcPr>
            <w:tcW w:w="3346"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400000.00</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kern w:val="0"/>
          <w:sz w:val="44"/>
          <w:szCs w:val="44"/>
          <w:highlight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附件1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来宾市卫生学校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kern w:val="0"/>
          <w:sz w:val="32"/>
          <w:szCs w:val="32"/>
          <w:highlight w:val="none"/>
          <w:lang w:val="en-US" w:eastAsia="zh-CN" w:bidi="zh-CN"/>
        </w:rPr>
        <w:t>2024年骨干教师</w:t>
      </w:r>
      <w:r>
        <w:rPr>
          <w:rFonts w:hint="eastAsia" w:ascii="宋体" w:hAnsi="宋体" w:eastAsia="宋体" w:cs="宋体"/>
          <w:b/>
          <w:bCs/>
          <w:color w:val="auto"/>
          <w:kern w:val="0"/>
          <w:sz w:val="32"/>
          <w:szCs w:val="32"/>
          <w:highlight w:val="none"/>
          <w:lang w:val="zh-CN" w:eastAsia="zh-CN" w:bidi="zh-CN"/>
        </w:rPr>
        <w:t>能力提升</w:t>
      </w:r>
      <w:r>
        <w:rPr>
          <w:rFonts w:hint="eastAsia" w:ascii="宋体" w:hAnsi="宋体" w:eastAsia="宋体" w:cs="宋体"/>
          <w:b/>
          <w:bCs/>
          <w:color w:val="000000" w:themeColor="text1"/>
          <w:sz w:val="32"/>
          <w:szCs w:val="32"/>
          <w:highlight w:val="none"/>
          <w14:textFill>
            <w14:solidFill>
              <w14:schemeClr w14:val="tx1"/>
            </w14:solidFill>
          </w14:textFill>
        </w:rPr>
        <w:t>培训</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班</w:t>
      </w:r>
      <w:r>
        <w:rPr>
          <w:rFonts w:hint="eastAsia" w:ascii="宋体" w:hAnsi="宋体" w:eastAsia="宋体" w:cs="宋体"/>
          <w:b/>
          <w:bCs/>
          <w:color w:val="000000" w:themeColor="text1"/>
          <w:sz w:val="32"/>
          <w:szCs w:val="32"/>
          <w:highlight w:val="none"/>
          <w14:textFill>
            <w14:solidFill>
              <w14:schemeClr w14:val="tx1"/>
            </w14:solidFill>
          </w14:textFill>
        </w:rPr>
        <w:t>课程表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977"/>
        <w:gridCol w:w="1909"/>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gridSpan w:val="2"/>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课程</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时间</w:t>
            </w:r>
          </w:p>
        </w:tc>
        <w:tc>
          <w:tcPr>
            <w:tcW w:w="3309" w:type="pct"/>
            <w:gridSpan w:val="2"/>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第一天</w:t>
            </w: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全天</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学员报到</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报到接待、食宿安排、班委会第一次会议、明确培训学习及纪律要求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开班仪式</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领导讲话、方案解读、布置培训任务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9:00-11:30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教师素养</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教师的核心素养与工作规范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师资队伍</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职业教育教学理念述要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科研教学</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1+X证书制度视域下“课证融合”课程设计路径研究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红色教育</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参观红色教育阵地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Merge w:val="restar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班主任能力比赛备赛技巧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班主任日常工作的互通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第五天</w:t>
            </w: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基地研修</w:t>
            </w:r>
          </w:p>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1"/>
                <w:highlight w:val="none"/>
              </w:rPr>
              <w:t>教学能力提升实操模块</w:t>
            </w:r>
          </w:p>
        </w:tc>
        <w:tc>
          <w:tcPr>
            <w:tcW w:w="2280"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南京市卫生学校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师资队伍</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教学创新团队建设与名师工作室培育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第六天</w:t>
            </w: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专题讲座</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德国职业教育专业与课程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课程标准内涵解析与教学设计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17:40-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结班仪式</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结班仪式，分小组汇报返岗实践计划，颁发结业证书和优秀学员荣誉证书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5" w:type="pct"/>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第七天</w:t>
            </w:r>
          </w:p>
        </w:tc>
        <w:tc>
          <w:tcPr>
            <w:tcW w:w="1064"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离会返程</w:t>
            </w:r>
          </w:p>
        </w:tc>
        <w:tc>
          <w:tcPr>
            <w:tcW w:w="2280"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强调返程安全事项，学员离会返程</w:t>
            </w:r>
          </w:p>
        </w:tc>
      </w:tr>
    </w:tbl>
    <w:p>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来宾市卫生学校2024年教学成果培育课程表</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1994"/>
        <w:gridCol w:w="5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blHeader/>
        </w:trPr>
        <w:tc>
          <w:tcPr>
            <w:tcW w:w="1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课程时间</w:t>
            </w:r>
          </w:p>
        </w:tc>
        <w:tc>
          <w:tcPr>
            <w:tcW w:w="3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both"/>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1.解读区级国家级职业教育教学成果奖申报文件精神</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2.研讨教学成果奖申报思路、工作要求及分工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1.根据成果素材清单，撰写内容概要并罗列标志性成果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研讨内容概要和标志性成果</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深入挖掘成果的特色与亮点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1.指导成果推荐书（申报书），初步确定框架和提纲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第三天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1.指导成果推荐书（申报书），打磨内容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2.指导佐证材料目录，初步确定框架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1.指导成果推荐书（申报书），进一步打磨内容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2.指导佐证材料目录，打磨内容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sz w:val="21"/>
                <w:szCs w:val="21"/>
                <w:highlight w:val="none"/>
                <w:u w:val="none"/>
                <w:lang w:val="en-US" w:eastAsia="zh-CN"/>
              </w:rPr>
              <w:t>第四天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指导成果总结报告，初步确定提纲和主要内容</w:t>
            </w:r>
          </w:p>
          <w:p>
            <w:pPr>
              <w:keepNext w:val="0"/>
              <w:keepLines w:val="0"/>
              <w:pageBreakBefore w:val="0"/>
              <w:widowControl/>
              <w:numPr>
                <w:ilvl w:val="0"/>
                <w:numId w:val="4"/>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梳理成果的背景、历史脉络和大事记</w:t>
            </w:r>
          </w:p>
          <w:p>
            <w:pPr>
              <w:keepNext w:val="0"/>
              <w:keepLines w:val="0"/>
              <w:pageBreakBefore w:val="0"/>
              <w:widowControl/>
              <w:numPr>
                <w:ilvl w:val="0"/>
                <w:numId w:val="4"/>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指导成果简介，初步确定提纲和主要内容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指导成果推荐书（申报书），提炼内容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2.指导佐证材料目录，进一步打磨内容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3.指导成果总结报告，打磨内容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4.指导成果简介，打磨内容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5.学校团队内部进行讨论后，与专家团队进行沟通，探讨下一步的工作思路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6.专家团队进行本次研讨会小结</w:t>
            </w:r>
          </w:p>
        </w:tc>
      </w:tr>
    </w:tbl>
    <w:p>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pPr>
        <w:rPr>
          <w:rFonts w:hint="eastAsia"/>
          <w:highlight w:val="none"/>
          <w:lang w:val="en-US" w:eastAsia="zh-CN"/>
        </w:rPr>
        <w:sectPr>
          <w:pgSz w:w="11906" w:h="16838"/>
          <w:pgMar w:top="1440" w:right="1417" w:bottom="1440" w:left="1417" w:header="851" w:footer="992" w:gutter="0"/>
          <w:cols w:space="425" w:num="1"/>
          <w:docGrid w:type="lines" w:linePitch="312" w:charSpace="0"/>
        </w:sectPr>
      </w:pPr>
    </w:p>
    <w:p>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附件3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0"/>
          <w:sz w:val="32"/>
          <w:szCs w:val="32"/>
          <w:highlight w:val="none"/>
          <w:lang w:val="en-US" w:eastAsia="zh-CN" w:bidi="zh-CN"/>
        </w:rPr>
      </w:pPr>
      <w:r>
        <w:rPr>
          <w:rFonts w:hint="eastAsia" w:ascii="仿宋" w:hAnsi="仿宋" w:eastAsia="仿宋" w:cs="仿宋"/>
          <w:b/>
          <w:bCs/>
          <w:w w:val="90"/>
          <w:kern w:val="0"/>
          <w:sz w:val="32"/>
          <w:szCs w:val="32"/>
          <w:highlight w:val="none"/>
          <w:lang w:val="en-US" w:eastAsia="zh-CN" w:bidi="zh-CN"/>
        </w:rPr>
        <w:t>2024年中德职业教育精英师资提升培训班课程表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854"/>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4"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时间</w:t>
            </w:r>
          </w:p>
        </w:tc>
        <w:tc>
          <w:tcPr>
            <w:tcW w:w="4225" w:type="pct"/>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第一天</w:t>
            </w:r>
          </w:p>
        </w:tc>
        <w:tc>
          <w:tcPr>
            <w:tcW w:w="998" w:type="pct"/>
            <w:vMerge w:val="restar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中方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职业教育教学成果奖培育与申报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鲁班工坊实践与中国“职教出海”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信息化背景下职业教育（学校、学生）的发展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支撑职业院校数字化转型产教融合数字教材创作与应用实务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以赛促改 以赛促研 提升教师教学能力 提高课堂教学质量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restar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如何识别数字化与创新产业对未来人才的技能要求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以职业行动能力为导向的过程评价与考试设计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德国职业院校质量标准(2024)解读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如何将工匠精神渗透在人才培养的全过程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工业 4.0 背景下的技能型人才培养</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sectPr>
          <w:pgSz w:w="11906" w:h="16838"/>
          <w:pgMar w:top="1440" w:right="1417" w:bottom="1440" w:left="1417" w:header="851" w:footer="992" w:gutter="0"/>
          <w:cols w:space="425" w:num="1"/>
          <w:docGrid w:type="lines" w:linePitch="312" w:charSpace="0"/>
        </w:sectPr>
      </w:pPr>
    </w:p>
    <w:p>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附件4 </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kern w:val="0"/>
          <w:sz w:val="32"/>
          <w:szCs w:val="32"/>
          <w:highlight w:val="none"/>
          <w:lang w:val="en-US" w:eastAsia="zh-CN" w:bidi="zh-CN"/>
        </w:rPr>
        <w:t>2024年骨干教师</w:t>
      </w:r>
      <w:r>
        <w:rPr>
          <w:rFonts w:hint="eastAsia" w:ascii="仿宋" w:hAnsi="仿宋" w:eastAsia="仿宋" w:cs="仿宋"/>
          <w:b/>
          <w:bCs/>
          <w:color w:val="auto"/>
          <w:kern w:val="0"/>
          <w:sz w:val="32"/>
          <w:szCs w:val="32"/>
          <w:highlight w:val="none"/>
          <w:lang w:val="zh-CN" w:eastAsia="zh-CN" w:bidi="zh-CN"/>
        </w:rPr>
        <w:t>能力提升</w:t>
      </w:r>
      <w:r>
        <w:rPr>
          <w:rFonts w:hint="eastAsia" w:ascii="仿宋" w:hAnsi="仿宋" w:eastAsia="仿宋" w:cs="仿宋"/>
          <w:b/>
          <w:bCs/>
          <w:color w:val="000000" w:themeColor="text1"/>
          <w:sz w:val="32"/>
          <w:szCs w:val="32"/>
          <w:highlight w:val="none"/>
          <w14:textFill>
            <w14:solidFill>
              <w14:schemeClr w14:val="tx1"/>
            </w14:solidFill>
          </w14:textFill>
        </w:rPr>
        <w:t>培训</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班经费预算表</w:t>
      </w:r>
    </w:p>
    <w:p>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1.校外培训</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6"/>
        <w:gridCol w:w="1621"/>
        <w:gridCol w:w="982"/>
        <w:gridCol w:w="1101"/>
        <w:gridCol w:w="1255"/>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款项</w:t>
            </w:r>
          </w:p>
        </w:tc>
        <w:tc>
          <w:tcPr>
            <w:tcW w:w="8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单价</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次</w:t>
            </w:r>
          </w:p>
        </w:tc>
        <w:tc>
          <w:tcPr>
            <w:tcW w:w="5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w:t>
            </w:r>
          </w:p>
        </w:tc>
        <w:tc>
          <w:tcPr>
            <w:tcW w:w="65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人</w:t>
            </w:r>
          </w:p>
        </w:tc>
        <w:tc>
          <w:tcPr>
            <w:tcW w:w="8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专家费</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专家差旅费</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培训服务费</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住宿费</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205.00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餐费</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差旅费用（大巴）</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培训场地租赁费</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学校调研费</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4250.00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意外保险费用</w:t>
            </w:r>
          </w:p>
        </w:tc>
        <w:tc>
          <w:tcPr>
            <w:tcW w:w="15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c>
          <w:tcPr>
            <w:tcW w:w="94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06"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合计（元）</w:t>
            </w:r>
          </w:p>
        </w:tc>
        <w:tc>
          <w:tcPr>
            <w:tcW w:w="89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192500.00</w:t>
            </w:r>
          </w:p>
        </w:tc>
      </w:tr>
    </w:tbl>
    <w:p>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9" w:name="_Toc45394811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另外：</w:t>
      </w:r>
    </w:p>
    <w:tbl>
      <w:tblPr>
        <w:tblStyle w:val="25"/>
        <w:tblW w:w="5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44"/>
        <w:gridCol w:w="125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244" w:type="dxa"/>
            <w:tcMar>
              <w:top w:w="60" w:type="dxa"/>
              <w:left w:w="120" w:type="dxa"/>
              <w:bottom w:w="60" w:type="dxa"/>
              <w:right w:w="120" w:type="dxa"/>
            </w:tcMar>
            <w:vAlign w:val="center"/>
          </w:tcPr>
          <w:p>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交通：680×2×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68000.00</w:t>
            </w:r>
          </w:p>
        </w:tc>
        <w:tc>
          <w:tcPr>
            <w:tcW w:w="1350" w:type="dxa"/>
            <w:vMerge w:val="restart"/>
            <w:tcMar>
              <w:top w:w="60" w:type="dxa"/>
              <w:left w:w="120" w:type="dxa"/>
              <w:bottom w:w="60" w:type="dxa"/>
              <w:right w:w="120" w:type="dxa"/>
            </w:tcMar>
            <w:vAlign w:val="center"/>
          </w:tcPr>
          <w:p>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86000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244" w:type="dxa"/>
            <w:tcMar>
              <w:top w:w="60" w:type="dxa"/>
              <w:left w:w="120" w:type="dxa"/>
              <w:bottom w:w="60" w:type="dxa"/>
              <w:right w:w="120" w:type="dxa"/>
            </w:tcMar>
            <w:vAlign w:val="center"/>
          </w:tcPr>
          <w:p>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差旅：180×2×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18000.00</w:t>
            </w:r>
          </w:p>
        </w:tc>
        <w:tc>
          <w:tcPr>
            <w:tcW w:w="1350" w:type="dxa"/>
            <w:vMerge w:val="continue"/>
            <w:vAlign w:val="center"/>
          </w:tcPr>
          <w:p>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bl>
    <w:p>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校外培训总额：278500.00元</w:t>
      </w:r>
    </w:p>
    <w:p>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2.成果奖培育：</w:t>
      </w:r>
      <w:r>
        <w:rPr>
          <w:rFonts w:hint="eastAsia" w:asciiTheme="minorEastAsia" w:hAnsiTheme="minorEastAsia" w:eastAsiaTheme="minorEastAsia" w:cstheme="minorEastAsia"/>
          <w:sz w:val="24"/>
          <w:szCs w:val="24"/>
          <w:highlight w:val="none"/>
          <w:lang w:val="en-US" w:eastAsia="zh-CN" w:bidi="ar"/>
        </w:rPr>
        <w:t>90780.00元</w:t>
      </w:r>
    </w:p>
    <w:p>
      <w:p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p>
    <w:p>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3.中德专家培训：</w:t>
      </w:r>
      <w:r>
        <w:rPr>
          <w:rFonts w:hint="eastAsia" w:asciiTheme="minorEastAsia" w:hAnsiTheme="minorEastAsia" w:cstheme="minorEastAsia"/>
          <w:sz w:val="24"/>
          <w:szCs w:val="24"/>
          <w:highlight w:val="none"/>
          <w:lang w:val="en-US" w:eastAsia="zh-CN" w:bidi="ar"/>
        </w:rPr>
        <w:t>30720</w:t>
      </w:r>
      <w:r>
        <w:rPr>
          <w:rFonts w:hint="eastAsia" w:asciiTheme="minorEastAsia" w:hAnsiTheme="minorEastAsia" w:eastAsiaTheme="minorEastAsia" w:cstheme="minorEastAsia"/>
          <w:sz w:val="24"/>
          <w:szCs w:val="24"/>
          <w:highlight w:val="none"/>
          <w:lang w:val="en-US" w:eastAsia="zh-CN" w:bidi="ar"/>
        </w:rPr>
        <w:t>.00元</w:t>
      </w:r>
    </w:p>
    <w:p>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bookmarkEnd w:id="19"/>
    </w:p>
    <w:p>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pPr>
        <w:jc w:val="both"/>
        <w:rPr>
          <w:rFonts w:hint="default"/>
          <w:highlight w:val="none"/>
          <w:lang w:val="en-US" w:eastAsia="zh-CN"/>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附件5</w:t>
      </w:r>
    </w:p>
    <w:p>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来宾市卫生学校2024年骨干教师能力提升培训班参训学员名单</w:t>
      </w:r>
    </w:p>
    <w:p>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（50人，待定）</w:t>
      </w:r>
    </w:p>
    <w:p>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pPr>
        <w:jc w:val="center"/>
        <w:rPr>
          <w:rFonts w:hint="eastAsia"/>
          <w:highlight w:val="none"/>
          <w:lang w:val="en-US" w:eastAsia="zh-CN"/>
        </w:rPr>
      </w:pPr>
    </w:p>
    <w:p>
      <w:pPr>
        <w:rPr>
          <w:rFonts w:hint="eastAsia"/>
          <w:highlight w:val="none"/>
          <w:lang w:val="en-US" w:eastAsia="zh-CN"/>
        </w:rPr>
      </w:pPr>
    </w:p>
    <w:p>
      <w:pPr>
        <w:bidi w:val="0"/>
        <w:rPr>
          <w:rFonts w:hint="eastAsia"/>
          <w:lang w:val="en-US" w:eastAsia="zh-CN"/>
        </w:rPr>
      </w:pPr>
    </w:p>
    <w:p>
      <w:pPr>
        <w:pStyle w:val="13"/>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8标段的采购需求</w:t>
      </w:r>
    </w:p>
    <w:tbl>
      <w:tblPr>
        <w:tblStyle w:val="26"/>
        <w:tblW w:w="48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6"/>
        <w:gridCol w:w="95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0" w:type="pct"/>
            <w:vAlign w:val="center"/>
          </w:tcPr>
          <w:p>
            <w:pPr>
              <w:keepNext/>
              <w:jc w:val="center"/>
              <w:rPr>
                <w:rFonts w:hint="eastAsia" w:asciiTheme="minorEastAsia" w:hAnsiTheme="minorEastAsia" w:eastAsiaTheme="minorEastAsia" w:cstheme="minorEastAsia"/>
                <w:b/>
                <w:bCs/>
                <w:sz w:val="21"/>
                <w:szCs w:val="21"/>
                <w:lang w:eastAsia="zh"/>
              </w:rPr>
            </w:pPr>
            <w:r>
              <w:rPr>
                <w:rFonts w:hint="eastAsia" w:asciiTheme="minorEastAsia" w:hAnsiTheme="minorEastAsia" w:eastAsiaTheme="minorEastAsia" w:cstheme="minorEastAsia"/>
                <w:b/>
                <w:bCs/>
                <w:sz w:val="21"/>
                <w:szCs w:val="21"/>
                <w:lang w:eastAsia="zh"/>
              </w:rPr>
              <w:t>建设内容</w:t>
            </w:r>
          </w:p>
        </w:tc>
        <w:tc>
          <w:tcPr>
            <w:tcW w:w="514" w:type="pct"/>
            <w:vAlign w:val="center"/>
          </w:tcPr>
          <w:p>
            <w:pPr>
              <w:keepNext/>
              <w:jc w:val="center"/>
              <w:rPr>
                <w:rFonts w:hint="eastAsia" w:asciiTheme="minorEastAsia" w:hAnsiTheme="minorEastAsia" w:eastAsiaTheme="minorEastAsia" w:cstheme="minorEastAsia"/>
                <w:b/>
                <w:bCs/>
                <w:sz w:val="21"/>
                <w:szCs w:val="21"/>
                <w:lang w:eastAsia="zh"/>
              </w:rPr>
            </w:pPr>
            <w:r>
              <w:rPr>
                <w:rFonts w:hint="eastAsia" w:asciiTheme="minorEastAsia" w:hAnsiTheme="minorEastAsia" w:eastAsiaTheme="minorEastAsia" w:cstheme="minorEastAsia"/>
                <w:b/>
                <w:bCs/>
                <w:sz w:val="21"/>
                <w:szCs w:val="21"/>
                <w:lang w:eastAsia="zh"/>
              </w:rPr>
              <w:t>数量</w:t>
            </w:r>
          </w:p>
        </w:tc>
        <w:tc>
          <w:tcPr>
            <w:tcW w:w="535" w:type="pct"/>
            <w:vAlign w:val="center"/>
          </w:tcPr>
          <w:p>
            <w:pPr>
              <w:keepNext/>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0" w:type="pct"/>
            <w:vAlign w:val="center"/>
          </w:tcPr>
          <w:p>
            <w:pPr>
              <w:spacing w:line="360" w:lineRule="auto"/>
              <w:ind w:firstLine="420" w:firstLineChars="200"/>
              <w:jc w:val="left"/>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w:t>
            </w:r>
            <w:r>
              <w:rPr>
                <w:rFonts w:hint="eastAsia" w:asciiTheme="minorEastAsia" w:hAnsiTheme="minorEastAsia" w:eastAsiaTheme="minorEastAsia" w:cstheme="minorEastAsia"/>
                <w:color w:val="000000" w:themeColor="text1"/>
                <w:sz w:val="21"/>
                <w:szCs w:val="21"/>
                <w:lang w:eastAsia="zh"/>
                <w14:textFill>
                  <w14:solidFill>
                    <w14:schemeClr w14:val="tx1"/>
                  </w14:solidFill>
                </w14:textFill>
              </w:rPr>
              <w:t>通4门课程的</w:t>
            </w:r>
            <w:r>
              <w:rPr>
                <w:rFonts w:hint="eastAsia" w:asciiTheme="minorEastAsia" w:hAnsiTheme="minorEastAsia" w:eastAsiaTheme="minorEastAsia" w:cstheme="minorEastAsia"/>
                <w:color w:val="000000" w:themeColor="text1"/>
                <w:sz w:val="21"/>
                <w:szCs w:val="21"/>
                <w14:textFill>
                  <w14:solidFill>
                    <w14:schemeClr w14:val="tx1"/>
                  </w14:solidFill>
                </w14:textFill>
              </w:rPr>
              <w:t>知识图谱功能，</w:t>
            </w:r>
            <w:r>
              <w:rPr>
                <w:rFonts w:hint="eastAsia" w:asciiTheme="minorEastAsia" w:hAnsiTheme="minorEastAsia" w:eastAsiaTheme="minorEastAsia" w:cstheme="minorEastAsia"/>
                <w:color w:val="000000" w:themeColor="text1"/>
                <w:sz w:val="21"/>
                <w:szCs w:val="21"/>
                <w:lang w:eastAsia="zh"/>
                <w14:textFill>
                  <w14:solidFill>
                    <w14:schemeClr w14:val="tx1"/>
                  </w14:solidFill>
                </w14:textFill>
              </w:rPr>
              <w:t>协助完成知识点梳理和知识点资源关联，</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提供知识图谱培训服务，协助教师团队完成</w:t>
            </w:r>
            <w:r>
              <w:rPr>
                <w:rFonts w:hint="eastAsia" w:asciiTheme="minorEastAsia" w:hAnsiTheme="minorEastAsia" w:eastAsiaTheme="minorEastAsia" w:cstheme="minorEastAsia"/>
                <w:color w:val="000000" w:themeColor="text1"/>
                <w:sz w:val="21"/>
                <w:szCs w:val="21"/>
                <w:lang w:eastAsia="zh"/>
                <w14:textFill>
                  <w14:solidFill>
                    <w14:schemeClr w14:val="tx1"/>
                  </w14:solidFill>
                </w14:textFill>
              </w:rPr>
              <w:t>课程</w:t>
            </w:r>
            <w:r>
              <w:rPr>
                <w:rFonts w:hint="eastAsia" w:asciiTheme="minorEastAsia" w:hAnsiTheme="minorEastAsia" w:eastAsiaTheme="minorEastAsia" w:cstheme="minorEastAsia"/>
                <w:color w:val="000000" w:themeColor="text1"/>
                <w:sz w:val="21"/>
                <w:szCs w:val="21"/>
                <w14:textFill>
                  <w14:solidFill>
                    <w14:schemeClr w14:val="tx1"/>
                  </w14:solidFill>
                </w14:textFill>
              </w:rPr>
              <w:t>知识图谱建设，服务期限为</w:t>
            </w:r>
            <w:r>
              <w:rPr>
                <w:rFonts w:hint="eastAsia" w:asciiTheme="minorEastAsia" w:hAnsiTheme="minorEastAsia" w:eastAsiaTheme="minorEastAsia" w:cstheme="minorEastAsia"/>
                <w:color w:val="000000" w:themeColor="text1"/>
                <w:sz w:val="21"/>
                <w:szCs w:val="21"/>
                <w:lang w:eastAsia="zh"/>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p>
          <w:p>
            <w:pPr>
              <w:pStyle w:val="5"/>
              <w:numPr>
                <w:ilvl w:val="0"/>
                <w:numId w:val="6"/>
              </w:numPr>
              <w:spacing w:line="360" w:lineRule="auto"/>
              <w:ind w:firstLine="562"/>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知识图谱构建和管理</w:t>
            </w:r>
          </w:p>
          <w:p>
            <w:pPr>
              <w:numPr>
                <w:ilvl w:val="0"/>
                <w:numId w:val="7"/>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知识图谱框架管理</w:t>
            </w:r>
          </w:p>
          <w:p>
            <w:pPr>
              <w:numPr>
                <w:ilvl w:val="0"/>
                <w:numId w:val="8"/>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▲支持建立以学校的教务课程-知识点为体系的知识点架构进行后台知识图谱框架管理；</w:t>
            </w:r>
          </w:p>
          <w:p>
            <w:pPr>
              <w:numPr>
                <w:ilvl w:val="0"/>
                <w:numId w:val="8"/>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▲支持对教务课程的课程类别、课程性质进行增删改查管理；</w:t>
            </w:r>
          </w:p>
          <w:p>
            <w:pPr>
              <w:numPr>
                <w:ilvl w:val="0"/>
                <w:numId w:val="8"/>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▲支持为网络课程和教务课程建立独立的知识图谱，便于统一管理。</w:t>
            </w:r>
          </w:p>
          <w:p>
            <w:pPr>
              <w:numPr>
                <w:ilvl w:val="0"/>
                <w:numId w:val="7"/>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课程知识图谱构建</w:t>
            </w:r>
          </w:p>
          <w:p>
            <w:pPr>
              <w:numPr>
                <w:ilvl w:val="0"/>
                <w:numId w:val="9"/>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知识点支持多级架构，支持知识点关联设置，从而构建网状知识图谱；</w:t>
            </w:r>
          </w:p>
          <w:p>
            <w:pPr>
              <w:numPr>
                <w:ilvl w:val="0"/>
                <w:numId w:val="9"/>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支持手动添加、批量导入等方式手动构建知识图谱；</w:t>
            </w:r>
          </w:p>
          <w:p>
            <w:pPr>
              <w:numPr>
                <w:ilvl w:val="0"/>
                <w:numId w:val="9"/>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支持用户上传课程大纲、教材等，系统即可智能识别构建生成知识图谱；</w:t>
            </w:r>
          </w:p>
          <w:p>
            <w:pPr>
              <w:numPr>
                <w:ilvl w:val="0"/>
                <w:numId w:val="9"/>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教务课程和网络课程知识图谱需支持互相同步调用。</w:t>
            </w:r>
          </w:p>
          <w:p>
            <w:pPr>
              <w:pStyle w:val="5"/>
              <w:numPr>
                <w:ilvl w:val="0"/>
                <w:numId w:val="6"/>
              </w:numPr>
              <w:spacing w:line="360" w:lineRule="auto"/>
              <w:ind w:firstLine="562"/>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知识图谱资源库系统</w:t>
            </w:r>
          </w:p>
          <w:p>
            <w:pPr>
              <w:numPr>
                <w:ilvl w:val="0"/>
                <w:numId w:val="10"/>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资源知识标签管理</w:t>
            </w:r>
          </w:p>
          <w:p>
            <w:pPr>
              <w:numPr>
                <w:ilvl w:val="0"/>
                <w:numId w:val="11"/>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支持教师将教学资源共享至资源库平台，上传到资源库平台共享资源时可对资源打相应的知识点标签；</w:t>
            </w:r>
          </w:p>
          <w:p>
            <w:pPr>
              <w:numPr>
                <w:ilvl w:val="0"/>
                <w:numId w:val="11"/>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支持同步教学平台课程理的资源时，将资源的知识点标记一并同步到资源平台，从而形成专业下的碎片化资源。</w:t>
            </w:r>
          </w:p>
          <w:p>
            <w:pPr>
              <w:numPr>
                <w:ilvl w:val="0"/>
                <w:numId w:val="10"/>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资源知识图谱展示</w:t>
            </w:r>
          </w:p>
          <w:p>
            <w:pPr>
              <w:tabs>
                <w:tab w:val="left" w:pos="1382"/>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系统需能够根据有知识点标记的资源，汇集生成知识图谱；支持知识图谱形成网状结构，支持查看知识点的相关资源。</w:t>
            </w:r>
          </w:p>
          <w:p>
            <w:pPr>
              <w:pStyle w:val="5"/>
              <w:numPr>
                <w:ilvl w:val="0"/>
                <w:numId w:val="6"/>
              </w:numPr>
              <w:spacing w:line="360" w:lineRule="auto"/>
              <w:ind w:firstLine="562"/>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知识图谱应用</w:t>
            </w:r>
          </w:p>
          <w:p>
            <w:pPr>
              <w:numPr>
                <w:ilvl w:val="0"/>
                <w:numId w:val="12"/>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资源管理</w:t>
            </w:r>
          </w:p>
          <w:p>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▲支持教师对课程章节内容，包括——视频、音频、文档、图书、章节测验等进行知识点标记，作为知识点教学任务进行设置，方便学生按知识点进行任务学习；</w:t>
            </w:r>
          </w:p>
          <w:p>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▲支持在视频时间节点上进行知识点标记，视频播放时学生可以定位到时间点观看对应知识点的视频讲解；</w:t>
            </w:r>
          </w:p>
          <w:p>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▲支持批量对课程资料标记知识点；</w:t>
            </w:r>
          </w:p>
          <w:p>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▲支持按知识点上传资源，并查看知识点关联资源数量，方便教师按知识点管理资源；</w:t>
            </w:r>
          </w:p>
          <w:p>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▲支持系统智能识别视频内容，在视频时间点上自动打知识点标签，教师可以编辑修改；</w:t>
            </w:r>
          </w:p>
          <w:p>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▲支持系统智能识别视频内容，对视频自动按时间段进行知识点标记，教师只需要微调编辑即可快速按知识点切分成多个视频并添加到课程资源，共享给学生观看。</w:t>
            </w:r>
          </w:p>
          <w:p>
            <w:pPr>
              <w:numPr>
                <w:ilvl w:val="0"/>
                <w:numId w:val="12"/>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题库管理</w:t>
            </w:r>
          </w:p>
          <w:p>
            <w:pPr>
              <w:numPr>
                <w:ilvl w:val="0"/>
                <w:numId w:val="14"/>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支持多种题型的创建管理，包括单选、多选、填空、判断、简答、名词解析、论述、计算、分录、连线、排序、完形填空、阅读理解、口语、听力等常见题型；</w:t>
            </w:r>
          </w:p>
          <w:p>
            <w:pPr>
              <w:numPr>
                <w:ilvl w:val="0"/>
                <w:numId w:val="14"/>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支持在创建或编辑题目时标记每道题对应的知识点标签，并支持按知识点筛选管理题目；</w:t>
            </w:r>
          </w:p>
          <w:p>
            <w:pPr>
              <w:numPr>
                <w:ilvl w:val="0"/>
                <w:numId w:val="14"/>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支持按模板批量导入题目时导入题目知识点或者线上批量标记题目知识点。</w:t>
            </w:r>
          </w:p>
          <w:p>
            <w:pPr>
              <w:numPr>
                <w:ilvl w:val="0"/>
                <w:numId w:val="12"/>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作业管理</w:t>
            </w:r>
          </w:p>
          <w:p>
            <w:pPr>
              <w:tabs>
                <w:tab w:val="left" w:pos="1382"/>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支持创建作业，添加题目打知识点标签，也支持从题库抽题按知识点抽题，组建带有知识点的作业发放给学生作答。</w:t>
            </w:r>
          </w:p>
          <w:p>
            <w:pPr>
              <w:numPr>
                <w:ilvl w:val="0"/>
                <w:numId w:val="12"/>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考试管理</w:t>
            </w:r>
          </w:p>
          <w:p>
            <w:pPr>
              <w:tabs>
                <w:tab w:val="left" w:pos="1382"/>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需支持手动组建考试试卷和智能组卷可以按知识点抽题，组建带有知识点的试卷发放给学生考试。 </w:t>
            </w:r>
          </w:p>
          <w:p>
            <w:pPr>
              <w:numPr>
                <w:ilvl w:val="0"/>
                <w:numId w:val="12"/>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知识点学习</w:t>
            </w:r>
          </w:p>
          <w:p>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支持学生查看课程知识图谱，并查看每个知识点的学习进度情况；</w:t>
            </w:r>
          </w:p>
          <w:p>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支持学生按知识点进行课程任务学习，观看课程视频，阅读课程资料等；</w:t>
            </w:r>
          </w:p>
          <w:p>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支持学生提交作业、考试，查看自己作答作业、考试题目的知识点掌握情况，并查看知识点推荐资源，巩固学习；</w:t>
            </w:r>
          </w:p>
          <w:p>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支持学生按知识点从题库或错题本抽题，逐题自测。</w:t>
            </w:r>
          </w:p>
          <w:p>
            <w:pPr>
              <w:pStyle w:val="5"/>
              <w:numPr>
                <w:ilvl w:val="0"/>
                <w:numId w:val="6"/>
              </w:numPr>
              <w:spacing w:line="360" w:lineRule="auto"/>
              <w:ind w:firstLine="562"/>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知识图谱监控与资源推荐</w:t>
            </w:r>
          </w:p>
          <w:p>
            <w:pPr>
              <w:numPr>
                <w:ilvl w:val="0"/>
                <w:numId w:val="16"/>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教学监控与资源推荐</w:t>
            </w:r>
          </w:p>
          <w:p>
            <w:pPr>
              <w:numPr>
                <w:ilvl w:val="0"/>
                <w:numId w:val="1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支持教师查看班级整体知识点分析统计，查看知识点平均完成率、平均掌握率、完成率分布和掌握率分布等；</w:t>
            </w:r>
          </w:p>
          <w:p>
            <w:pPr>
              <w:numPr>
                <w:ilvl w:val="0"/>
                <w:numId w:val="1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支持按知识点查看每个知识点的关联学习资源数、平均完成率、平均掌握率、课程资料数、课程资料人均阅读情况等；</w:t>
            </w:r>
          </w:p>
          <w:p>
            <w:pPr>
              <w:numPr>
                <w:ilvl w:val="0"/>
                <w:numId w:val="1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w:t>
            </w:r>
          </w:p>
          <w:p>
            <w:pPr>
              <w:numPr>
                <w:ilvl w:val="0"/>
                <w:numId w:val="1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▲支持查看班级下每个学生的知识点平均完成情况、平均掌握情况、课程资料阅读情况等；</w:t>
            </w:r>
          </w:p>
          <w:p>
            <w:pPr>
              <w:numPr>
                <w:ilvl w:val="0"/>
                <w:numId w:val="1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▲支持查看某一位学生的每个知识点的详情统计，包括每个知识点的完成情况、掌握情况、课程资料阅读情况等；</w:t>
            </w:r>
          </w:p>
          <w:p>
            <w:pPr>
              <w:numPr>
                <w:ilvl w:val="0"/>
                <w:numId w:val="1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▲支持查看某一位学生某个知识点的统计详情，包括学生此知识点的完成情况、掌握情况、知识点关联的学习任务完成详情等以及查看此知识点的课程资源和系统推荐的拓展资源。</w:t>
            </w:r>
          </w:p>
          <w:p>
            <w:pPr>
              <w:numPr>
                <w:ilvl w:val="0"/>
                <w:numId w:val="16"/>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学习监控与资源推荐</w:t>
            </w:r>
          </w:p>
          <w:p>
            <w:pPr>
              <w:numPr>
                <w:ilvl w:val="0"/>
                <w:numId w:val="18"/>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支持学生查看本人的知识点统计分析，包括每个知识点的完成情况、掌握情况、课程资料阅读情况等；</w:t>
            </w:r>
          </w:p>
          <w:p>
            <w:pPr>
              <w:numPr>
                <w:ilvl w:val="0"/>
                <w:numId w:val="18"/>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支持学生查看自己单个知识点的统计分析详情和推荐资源，包括此知识点的完成情况、掌握情况、知识点关联的学习任务完成详情等以及查看此知识点的课程资源和系统推荐的拓展资源；</w:t>
            </w:r>
          </w:p>
          <w:p>
            <w:pPr>
              <w:numPr>
                <w:ilvl w:val="0"/>
                <w:numId w:val="18"/>
              </w:numPr>
              <w:tabs>
                <w:tab w:val="left" w:pos="1382"/>
              </w:tabs>
              <w:spacing w:line="360" w:lineRule="auto"/>
              <w:ind w:firstLine="562"/>
              <w:jc w:val="left"/>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rPr>
              <w:t>支持学生查看基于知识点的智能学习路径，系统根据学生知识点掌握情况，智能规划知识点学习路径，学生可以按学习路径进行知识点的学习和巩固。</w:t>
            </w:r>
          </w:p>
          <w:p>
            <w:pPr>
              <w:jc w:val="center"/>
              <w:rPr>
                <w:rFonts w:hint="eastAsia" w:asciiTheme="minorEastAsia" w:hAnsiTheme="minorEastAsia" w:eastAsiaTheme="minorEastAsia" w:cstheme="minorEastAsia"/>
                <w:sz w:val="21"/>
                <w:szCs w:val="21"/>
                <w:lang w:eastAsia="zh"/>
              </w:rPr>
            </w:pPr>
          </w:p>
        </w:tc>
        <w:tc>
          <w:tcPr>
            <w:tcW w:w="514" w:type="pct"/>
            <w:vAlign w:val="center"/>
          </w:tcPr>
          <w:p>
            <w:pPr>
              <w:jc w:val="center"/>
              <w:rPr>
                <w:rFonts w:hint="eastAsia" w:asciiTheme="minorEastAsia" w:hAnsiTheme="minorEastAsia" w:eastAsiaTheme="minorEastAsia" w:cstheme="minorEastAsia"/>
                <w:sz w:val="21"/>
                <w:szCs w:val="21"/>
                <w:lang w:eastAsia="zh"/>
              </w:rPr>
            </w:pPr>
            <w:r>
              <w:rPr>
                <w:rFonts w:hint="eastAsia" w:asciiTheme="minorEastAsia" w:hAnsiTheme="minorEastAsia" w:eastAsiaTheme="minorEastAsia" w:cstheme="minorEastAsia"/>
                <w:sz w:val="21"/>
                <w:szCs w:val="21"/>
                <w:lang w:eastAsia="zh"/>
              </w:rPr>
              <w:t>4门</w:t>
            </w:r>
          </w:p>
        </w:tc>
        <w:tc>
          <w:tcPr>
            <w:tcW w:w="535" w:type="pct"/>
            <w:vAlign w:val="center"/>
          </w:tcPr>
          <w:p>
            <w:pPr>
              <w:jc w:val="center"/>
              <w:rPr>
                <w:rFonts w:hint="eastAsia" w:asciiTheme="minorEastAsia" w:hAnsiTheme="minorEastAsia" w:eastAsiaTheme="minorEastAsia" w:cstheme="minorEastAsia"/>
                <w:sz w:val="21"/>
                <w:szCs w:val="21"/>
                <w:lang w:eastAsia="zh"/>
              </w:rPr>
            </w:pPr>
          </w:p>
        </w:tc>
      </w:tr>
    </w:tbl>
    <w:p>
      <w:pPr>
        <w:rPr>
          <w:rFonts w:hint="eastAsia" w:ascii="仿宋" w:hAnsi="仿宋" w:eastAsia="仿宋" w:cs="仿宋"/>
          <w:b/>
          <w:bCs w:val="0"/>
          <w:color w:val="auto"/>
          <w:sz w:val="32"/>
          <w:szCs w:val="32"/>
          <w:highlight w:val="none"/>
          <w:lang w:val="en-US" w:eastAsia="zh-CN"/>
        </w:rPr>
      </w:pPr>
    </w:p>
    <w:p>
      <w:pPr>
        <w:pStyle w:val="13"/>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rPr>
          <w:rFonts w:hint="eastAsia" w:ascii="仿宋" w:hAnsi="仿宋" w:eastAsia="仿宋" w:cs="仿宋"/>
          <w:b/>
          <w:bCs w:val="0"/>
          <w:color w:val="auto"/>
          <w:sz w:val="32"/>
          <w:szCs w:val="32"/>
          <w:highlight w:val="none"/>
          <w:lang w:val="en-US" w:eastAsia="zh-CN"/>
        </w:rPr>
      </w:pPr>
    </w:p>
    <w:p>
      <w:pPr>
        <w:widowControl/>
        <w:spacing w:line="360" w:lineRule="auto"/>
        <w:jc w:val="both"/>
        <w:rPr>
          <w:rFonts w:hint="eastAsia" w:ascii="仿宋" w:hAnsi="仿宋" w:eastAsia="仿宋" w:cs="仿宋"/>
          <w:b/>
          <w:color w:val="000000"/>
          <w:kern w:val="0"/>
          <w:sz w:val="32"/>
          <w:szCs w:val="32"/>
          <w:lang w:val="en-US" w:eastAsia="zh-CN"/>
        </w:rPr>
      </w:pPr>
      <w:r>
        <w:rPr>
          <w:rFonts w:hint="eastAsia" w:ascii="仿宋" w:hAnsi="仿宋" w:eastAsia="仿宋" w:cs="仿宋"/>
          <w:b/>
          <w:bCs w:val="0"/>
          <w:color w:val="auto"/>
          <w:sz w:val="32"/>
          <w:szCs w:val="32"/>
          <w:highlight w:val="none"/>
          <w:lang w:val="en-US" w:eastAsia="zh-CN"/>
        </w:rPr>
        <w:t>9标段的采购需求</w:t>
      </w:r>
    </w:p>
    <w:p>
      <w:pPr>
        <w:widowControl/>
        <w:spacing w:line="360" w:lineRule="auto"/>
        <w:jc w:val="both"/>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9标段的核心产品：扫描识别系统、成绩分析系统</w:t>
      </w:r>
    </w:p>
    <w:p>
      <w:pPr>
        <w:widowControl/>
        <w:spacing w:line="360" w:lineRule="auto"/>
        <w:ind w:firstLine="630" w:firstLineChars="196"/>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网上阅卷</w:t>
      </w:r>
      <w:r>
        <w:rPr>
          <w:rFonts w:hint="eastAsia" w:ascii="仿宋" w:hAnsi="仿宋" w:eastAsia="仿宋" w:cs="仿宋"/>
          <w:b/>
          <w:color w:val="000000"/>
          <w:kern w:val="0"/>
          <w:sz w:val="32"/>
          <w:szCs w:val="32"/>
          <w:lang w:val="en-US" w:eastAsia="zh-CN"/>
        </w:rPr>
        <w:t>成绩分析</w:t>
      </w:r>
      <w:r>
        <w:rPr>
          <w:rFonts w:hint="eastAsia" w:ascii="仿宋" w:hAnsi="仿宋" w:eastAsia="仿宋" w:cs="仿宋"/>
          <w:b/>
          <w:color w:val="000000"/>
          <w:kern w:val="0"/>
          <w:sz w:val="32"/>
          <w:szCs w:val="32"/>
        </w:rPr>
        <w:t>系统参数</w:t>
      </w:r>
    </w:p>
    <w:p>
      <w:pPr>
        <w:widowControl/>
        <w:spacing w:line="360" w:lineRule="auto"/>
        <w:ind w:firstLine="590" w:firstLineChars="196"/>
        <w:jc w:val="center"/>
        <w:rPr>
          <w:rFonts w:hint="eastAsia" w:cs="宋体"/>
          <w:b/>
          <w:color w:val="000000"/>
          <w:kern w:val="0"/>
          <w:sz w:val="30"/>
          <w:szCs w:val="30"/>
        </w:rPr>
      </w:pPr>
    </w:p>
    <w:p>
      <w:pPr>
        <w:tabs>
          <w:tab w:val="left" w:pos="960"/>
        </w:tabs>
        <w:spacing w:before="156" w:beforeLines="50" w:after="156" w:afterLines="50"/>
        <w:ind w:firstLine="480" w:firstLineChars="200"/>
        <w:rPr>
          <w:rFonts w:hint="eastAsia" w:ascii="宋体" w:hAnsi="宋体"/>
          <w:sz w:val="24"/>
        </w:rPr>
      </w:pPr>
      <w:r>
        <w:rPr>
          <w:rFonts w:hint="eastAsia" w:ascii="宋体" w:hAnsi="宋体"/>
          <w:sz w:val="24"/>
        </w:rPr>
        <w:t>系统应能对客观题进行自动评阅、主观题网上阅卷，成绩数据可自动进行统计分析。系统建成投入使用后，能达到提高阅卷效率、降低考试成本、减轻阅卷教师负担，实现所有考试网上阅卷的目的。</w:t>
      </w:r>
    </w:p>
    <w:tbl>
      <w:tblPr>
        <w:tblStyle w:val="25"/>
        <w:tblpPr w:leftFromText="180" w:rightFromText="180" w:vertAnchor="text" w:horzAnchor="page" w:tblpX="1299" w:tblpY="2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02"/>
        <w:gridCol w:w="5975"/>
        <w:gridCol w:w="681"/>
        <w:gridCol w:w="655"/>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pacing w:before="156" w:beforeLines="50" w:after="156" w:afterLines="5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序号</w:t>
            </w:r>
          </w:p>
        </w:tc>
        <w:tc>
          <w:tcPr>
            <w:tcW w:w="802" w:type="dxa"/>
            <w:noWrap w:val="0"/>
            <w:vAlign w:val="center"/>
          </w:tcPr>
          <w:p>
            <w:pPr>
              <w:spacing w:before="156" w:beforeLines="50" w:after="156" w:afterLines="50"/>
              <w:jc w:val="center"/>
              <w:rPr>
                <w:rFonts w:hint="eastAsia" w:asciiTheme="minorEastAsia" w:hAnsiTheme="minorEastAsia" w:eastAsiaTheme="minorEastAsia" w:cstheme="minorEastAsia"/>
                <w:b/>
                <w:color w:val="000000"/>
                <w:sz w:val="21"/>
                <w:szCs w:val="21"/>
                <w:lang w:eastAsia="zh-CN"/>
              </w:rPr>
            </w:pPr>
            <w:r>
              <w:rPr>
                <w:rFonts w:hint="eastAsia" w:asciiTheme="minorEastAsia" w:hAnsiTheme="minorEastAsia" w:eastAsiaTheme="minorEastAsia" w:cstheme="minorEastAsia"/>
                <w:b/>
                <w:color w:val="000000"/>
                <w:sz w:val="21"/>
                <w:szCs w:val="21"/>
                <w:lang w:eastAsia="zh-CN"/>
              </w:rPr>
              <w:t>设备名称</w:t>
            </w:r>
          </w:p>
        </w:tc>
        <w:tc>
          <w:tcPr>
            <w:tcW w:w="5975" w:type="dxa"/>
            <w:noWrap w:val="0"/>
            <w:vAlign w:val="center"/>
          </w:tcPr>
          <w:p>
            <w:pPr>
              <w:spacing w:before="156" w:beforeLines="50" w:after="156" w:afterLines="50"/>
              <w:jc w:val="center"/>
              <w:rPr>
                <w:rFonts w:hint="eastAsia" w:asciiTheme="minorEastAsia" w:hAnsiTheme="minorEastAsia" w:eastAsiaTheme="minorEastAsia" w:cstheme="minorEastAsia"/>
                <w:b/>
                <w:color w:val="000000"/>
                <w:sz w:val="21"/>
                <w:szCs w:val="21"/>
                <w:lang w:val="en-US" w:eastAsia="zh-CN"/>
              </w:rPr>
            </w:pPr>
            <w:r>
              <w:rPr>
                <w:rFonts w:hint="eastAsia" w:asciiTheme="minorEastAsia" w:hAnsiTheme="minorEastAsia" w:eastAsiaTheme="minorEastAsia" w:cstheme="minorEastAsia"/>
                <w:b/>
                <w:color w:val="000000"/>
                <w:sz w:val="21"/>
                <w:szCs w:val="21"/>
                <w:lang w:val="en-US" w:eastAsia="zh-CN"/>
              </w:rPr>
              <w:t>主要参数</w:t>
            </w:r>
          </w:p>
        </w:tc>
        <w:tc>
          <w:tcPr>
            <w:tcW w:w="681" w:type="dxa"/>
            <w:noWrap w:val="0"/>
            <w:vAlign w:val="center"/>
          </w:tcPr>
          <w:p>
            <w:pPr>
              <w:spacing w:before="156" w:beforeLines="50" w:after="156" w:afterLines="5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单位</w:t>
            </w:r>
          </w:p>
        </w:tc>
        <w:tc>
          <w:tcPr>
            <w:tcW w:w="655" w:type="dxa"/>
            <w:noWrap w:val="0"/>
            <w:vAlign w:val="top"/>
          </w:tcPr>
          <w:p>
            <w:pPr>
              <w:spacing w:before="156" w:beforeLines="50" w:after="156" w:afterLines="5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数量</w:t>
            </w:r>
          </w:p>
        </w:tc>
        <w:tc>
          <w:tcPr>
            <w:tcW w:w="662" w:type="dxa"/>
            <w:noWrap w:val="0"/>
            <w:vAlign w:val="top"/>
          </w:tcPr>
          <w:p>
            <w:pPr>
              <w:spacing w:before="156" w:beforeLines="50" w:after="156" w:afterLines="50"/>
              <w:jc w:val="center"/>
              <w:rPr>
                <w:rFonts w:hint="eastAsia" w:asciiTheme="minorEastAsia" w:hAnsiTheme="minorEastAsia" w:eastAsiaTheme="minorEastAsia" w:cstheme="minorEastAsia"/>
                <w:b/>
                <w:color w:val="000000"/>
                <w:sz w:val="21"/>
                <w:szCs w:val="21"/>
                <w:lang w:val="en-US" w:eastAsia="zh-CN"/>
              </w:rPr>
            </w:pPr>
            <w:r>
              <w:rPr>
                <w:rFonts w:hint="eastAsia" w:asciiTheme="minorEastAsia" w:hAnsiTheme="minorEastAsia" w:eastAsiaTheme="minorEastAsia" w:cstheme="minorEastAsia"/>
                <w:b/>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802" w:type="dxa"/>
            <w:noWrap w:val="0"/>
            <w:vAlign w:val="center"/>
          </w:tcPr>
          <w:p>
            <w:pPr>
              <w:spacing w:before="156" w:beforeLines="50" w:after="156" w:afterLines="5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扫描识别系统</w:t>
            </w:r>
          </w:p>
        </w:tc>
        <w:tc>
          <w:tcPr>
            <w:tcW w:w="5975" w:type="dxa"/>
            <w:noWrap w:val="0"/>
            <w:vAlign w:val="center"/>
          </w:tcPr>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1)系统采用人性化设计，必须性能可靠，运行稳定，操作简便。</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为保证扫描数据的安全性，扫描识别软件需要通过加密锁启动运行，并输入用户名、密码进行身份验证。</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3)扫描系统对纸张及印刷适应性强，纸张重量从50克至120克均可，答题卡版面支持A3、A4、8K、16K等，支持复印、速印或胶印等方式双面印制答卷，最大程度地降低用户使用成本。</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系统自带答题卡制作模块，为方便各科教师自己设计答题卡，扫描识别软件能实现随意拷贝到任意电脑即可使用，无需任何安装，无需word，无需java运行库及.net framework支持。</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答题卷设计简单便捷，可利用常用的文字编辑软件（如MS-Word）完成，支持答卷模板自动生成，即只要输入必要的信息（如标题信息、考号位数、客观题数和分数等），即可生成答卷文件，不需设计特别的定位点、定位线或同步头，也不需要以答题区域的边框、转角等作为定位识别符，以确保不因答题区域的线框偏移、变形、模糊或断线等因素影响扫描识别的稳定性及准确率。</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6)系统同时具备对电子图像和纸质答卷的扫描功能，支持扫描仪扫描或导入图片的方式载入答题卡图片。</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支持黑白、灰度以及彩色等多种不同模式的题卡扫描，同时能够确保扫描识别效率与准确性不受任何影响，并能够兼容市面上各种品牌型号的通用高速文档扫描仪。</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支持填涂考号、条形码考号的自动识别；支持“题卡分离”与“题卡合一”的答卷模式，且在制作“题卡合一”答卷的扫描模板时无需对答题卡的原始扫描图像做任何的擦涂、编辑等二次处理，降低操作复杂度并提高工作效率。</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答题卷设计支持客观题（单选题、多选题）的任意混排，客观题选项数量和客观题填涂点的排列方式不受限制，支持自定义多选题得分规则，满足任意得分规则。</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10)答题卷模板设计不受预定格式的限制，可灵活自定义。</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11)系统具有较强的容错功能，在答题卷印刷出现倾斜、偏移、小幅褶皱、客观题涂点印刷不完整等异常情况下能进行正常的扫描识别。</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系统支持在同一学科答题卡规格不统一的基础上，支持多模板扫描试卷。</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13)系统支持A/B卷自动识别功能，并能根据识别的结果自动进行A/B卷识别与阅卷处理。</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系统具有模板库管理功能，可将设计好的答卷模版保存到模板库内，方便以后随时调取、编辑、使用，减少重复工作量。</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系统支持答卷缺考标记识别与统计，扫描后可自动统计缺考清单，缺考名单中精确到缺考考生的考点、考场和座位号，实现对漏扫情况的实时监控。</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16)系统支持客观题标准答案和分值录入、导入等多种方式输入，可灵活选择。</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系统支持快速查找考生信息，能够根据考生的姓名、拼音首字母、考号进行快速检索、定位。</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系统支持对试卷折角、印刷异常等情况实时检查，对折角答卷能以红色进行标注，可快速查询有折角的答卷。</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19)答卷扫描时系统能自动校对考生信息，能够对考号涂写错误、重号、未涂等现象提供集中检查、追踪、改正等手段。</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系统支持边扫描边识别模式，答卷扫描与考生考号及客观题填涂答案识别同步完成，无需扫描后再二次识别，也不需要专门的图形加速卡。</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扫描客户端软件可直接连接阅卷服务平台，扫描后的图片文件直接上传到服务器上进行存储和使用。</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22)系统能实现答卷扫描、识别、上传和切割四步同时完成，无需人员管理设置，无需人工拷贝或者上传试卷图片，简化扫描手续。</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系统支持即扫描即上传即阅卷的功能，答卷扫描的同时，教师即可同步进行阅卷工作，抛弃使用第三方上传软件有可能引起的数据可修改等不安全因素，同时缩短阅卷等待时间。</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24)系统具有考号和客观题的二次识别功能，在答卷模板设计发生改变后，可快速进行考号和客观题的重新识别。</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对于答卷收取过程中出现正反颠倒、上下颠倒，包括前后颠倒的情况，系统能进行自动纠偏并且识别。</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支持列出因填涂问题造成客观题识别有误的试卷，且可以根据试卷的实际情况调整识别参数重新批量识别该部分试卷，对正确试卷及识别结果无任何影响的操作。</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27)系统支持单台扫描，也支持扫描仪群组联网协同工作，支持多工作站同时扫描，系统容量可扩展性强。</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系统提供答卷数据网络校对功能，能实现扫描和校对多人多科同步进行。</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29)扫描识别系统支持在线自动升级功能，可方便高效进行低成本系统维护。 </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根据考试需要可自主选择客观题校对方式，对于小规模考试，为了提高工作效率可以不选择强制校对，对于大型重要考试，可以选择强制校对，以保证数据的准确性。</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31)需提供软件著作权登记证书，投标时提供复印件并加盖公章。</w:t>
            </w:r>
          </w:p>
        </w:tc>
        <w:tc>
          <w:tcPr>
            <w:tcW w:w="681"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65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662"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802" w:type="dxa"/>
            <w:noWrap w:val="0"/>
            <w:vAlign w:val="center"/>
          </w:tcPr>
          <w:p>
            <w:pPr>
              <w:spacing w:before="156" w:beforeLines="50" w:after="156" w:afterLines="5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网上阅卷系统</w:t>
            </w:r>
          </w:p>
        </w:tc>
        <w:tc>
          <w:tcPr>
            <w:tcW w:w="5975" w:type="dxa"/>
            <w:noWrap w:val="0"/>
            <w:vAlign w:val="center"/>
          </w:tcPr>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1)系统应采用B/S架构，所有功能操作全在浏览器上实现，对浏览器无特殊要求，无需任何activex控件、java applet，也无需另行安装客户端。</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2)系统采用MS SQL Server或MYSQL数据库，设计容量能完全满足学校日常考试使用。</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3)支持多种阅卷终端设备，PC终端，手机、平板等多种阅卷设备，自适应Windows、Android、iOS等操作系统。</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系统必须支持本地化部署和云端部署两种模式，支持在本地利用学校服务器和网络搭建自己的阅卷平台,支持通过局域网、广域网或互联网等进行阅卷，实现集中、分散或集中与分散相结合的网上阅卷功能。</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5)答题卷图像可集中存储在服务器，实现教师在家跨地区远程阅卷功能。 </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支持互联网不安装任何插件，对教师和项目信息管理，使各学科负责人对考试项目主观题划分、阅卷任务分配等进行处理，从而在阅卷工作中减轻软件操作员的负担。</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7)支持对任意科目、任意题目进行单评、双评或多评方式进行阅卷模式设置；双评以及多评模式中支持仲裁功能。</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8)支持对任意科目、任意题目按任务量或者指定评阅对象等方式进行平均分配、系统分配或按量进行阅卷任务分配。</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答卷图像支持以256级灰度图片或黑白格式图像显示，主观题的答题区域可以跨版面或者跨页面。</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系统支持主观题、客观题正反双面任意页混排，不受区域限制。</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11)系统支持考试科目以及科目题型的任意添加、删减、编辑。</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具有丰富的有痕批注功能，不仅支持在答卷上做给分标记，亦可模拟手工阅卷进行电子批注，例如打对勾、错号、半对、手写、画线、编辑文本等；阅卷过程中阅卷教师还可灵活设置优秀答卷、典型错误等标记，打分标记及教师批注可根据需要与答卷图像进行合并生成评阅后的答卷图像，阅卷结束时可一键导出答卷电子图像，方便课堂讲解。</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系统具有完善的回评功能，可对阅卷教师本人已评答卷按阅卷时间段、阅卷的份数、分值进行筛选查询，快速找到需要回评的试卷进行重评。</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14)评阅界面视野开阔，答卷区域察看方便，阅卷打分面板同时支持浮动模式。</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15)阅卷教师可根据自身视感调整考生试题图像放大、缩小的比例，并且后续图像大小可以按照教师的调整自动保留显示。</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阅卷过程中不仅支持加分模式打分，还能够支持扣分模式打分。</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系统支持给分间隔设置，阅卷教师可根据自身需要灵活设置，系统会自动生成阅卷给分面板。鼠标一键给分，系统自动提交，并调取下一份答卷，简化了给分操作。</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18)评阅过程可支持分值键盘给分操作、标准键盘给分操作、步骤打分操作，满足不同教师的阅卷习惯。</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阅卷教师在阅卷过程中可以根据需求查看整卷，查看整卷时提前设置好的保密区域依然会保留。</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20)答卷随机分配，只显示试题而不显示考生信息，有效提高试卷的保密性。</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21)系统提供异常答卷上报功能，以处理图像不清晰，图像颠倒、错位等情况。</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系统支持上传主观题参考答案，并支持在阅卷的过程中随时查看已设置好的参考答案以及阅卷标准，保证阅卷的准确度和公平性。</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系统提供多种阅卷质量管控措施，可实时监控查询阅卷误差，支持多位教师批改一道题目时有宽严度曲线图展示，能直观的反映出教师的批改质量。</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正式阅卷前，系统支持试评功能，帮助教师熟悉系统，统一打分标准。</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系统支持个人复评功能，可对教师阅卷质量进行有效检测。</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系统提供科目组长抽查重评、题目抽查的权限，以监测阅卷质量。</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系统可支持在网页端和APP端对阅卷的总体进度、各题进度及个人进度进行实时监控查询。</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系统具有完备的权限管理功能，可自定义诸如系统管理员、阅卷教师、阅卷组长等角色，并能根据需要为不同的角色分配各种功能。</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29)</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系统支持指定班级各科任课教师及班主任，并在统计报表中显示相关信息。</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系统支持同一用户多角色的权限设置，以满足精细化管理需要。</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31)阅卷结束后系统可自动生成个人、班级、年级、学校的简明报表、详细报表、对比报表、汇总报表、成绩分布报告、名次分布报告。</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32)系统支持科目拆分，可对同一张答卷中的题目按多个科目拆分，进行统计分析。</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系统支持按题型进行自定义分组统计分析，并提供题型分析数据报表。</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具备单科成绩导出功能，无需等待所有科目阅完，即可导出单科成绩。</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35)系统支持对个人、班级、年级、科目、题目、小题的统计分析。</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36)系统支持原始分、平均分、排名、题型、选择率、得分率、超均率、最高分、最低分、标准差、名次分布等统计指标的自由选择。</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系统支持报表导出参数自定义，可根据需要设置是否显示学生排名信息和阅卷员信息。</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38)系统内所有统计结果均可导出为Excel及其他类型的报表，并提供相应的分析图表。</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39)</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提供按照相应的权限进行在线查询考试成绩的功能。学生及学生家长可以凭自己的学号或考号登陆系统，查询自己的考试成绩、考生答卷图像、考试成绩单等；教师可以凭分配的账号查询系统管理员授权的（科目、班级）各类报表或数据；系统平台不向家长、学生收取任何费用。</w:t>
            </w:r>
          </w:p>
          <w:p>
            <w:pPr>
              <w:spacing w:before="156" w:beforeLines="50" w:after="156" w:afterLine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40)需提供软件著作权登记证书，投标时提供复印件并加盖软件厂商公章，提供制造厂家售后服务承诺书。</w:t>
            </w:r>
          </w:p>
        </w:tc>
        <w:tc>
          <w:tcPr>
            <w:tcW w:w="681"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65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662"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802" w:type="dxa"/>
            <w:noWrap w:val="0"/>
            <w:vAlign w:val="center"/>
          </w:tcPr>
          <w:p>
            <w:pPr>
              <w:spacing w:before="156" w:beforeLines="50" w:after="156" w:afterLines="5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FF0000"/>
                <w:sz w:val="21"/>
                <w:szCs w:val="21"/>
              </w:rPr>
              <w:t>成绩分析系统</w:t>
            </w:r>
          </w:p>
        </w:tc>
        <w:tc>
          <w:tcPr>
            <w:tcW w:w="5975" w:type="dxa"/>
            <w:noWrap w:val="0"/>
            <w:vAlign w:val="center"/>
          </w:tcPr>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1)系统采用MS SQL Server或MYSQL数据库，设计容量能完全满足学校日常教学考试数据统计查询使用。</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2)系统全部采用B/S架构，无需任何ActiveX控件、Java Applet等任何插件，无需另行安装客户端，即可实现在网页上实现数据统计、查询、报表下载等操作。</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为保障数据安全性，要求成绩分析系统必须可按学校要求实现本地化部署，也可以按要求实现云端部署。</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4)系统应充分考虑整体架构设计的科学性、数据结构设计的合理性、核心算法设计的先进性、部署设计的灵活性，确保系统的整体性能优越。</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5)应具有良好的可扩展性，能适应我校发展所引发的各类新需求，通过对软件的重新配置、改进，满足我校长期发展的需求。</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要求具有完全自主知识产权，可按校方要求，定制相关统计报表、计算方法以及分析报告。</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7)系统中各字段的名称、长度、字符类型要有严谨的规范体系，系统能实时提供非法字符的提示与控制手段，以防止误操作带来数据混乱。</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8)本校历次考试的成绩分析数据，能够长期保存，且安全保密。</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9)对基本信息提供维护功能，包括基本信息添加、修改、删除、组织机构信息，同时提供批量导入、导出、管理等功能，主要包括学校管理员、院系管理员、教师、学生、班级、院系、专业、课程等。</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为便于系统部署，应具有支持教师、学生档案的一键导入功能。</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11)系统的所有密码(含教师、学生帐号)，必须检查是否为包含大、小写字母、数字、特殊定符组合的8位数以上密码组合，严禁出现弱口令，防止数据泄密。</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12)统一存储所有用户信息，对用户的相关操作全部通过基础数据管理完成，系统提供院系管理、用户管理、权限管理维护等功能，即统一存储、阶梯式分级授权。</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13)系统具有完备的权限管理功能，采用基于角色的权限管理，每个角色对应明确的系统权限，由最小权限组成。通过将权限赋予角色，再给账号指定角色，从而实现账号的权限。</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14)可自定义诸如系统管理员、院管理员、课程管理员等角色，并能根据需要为不同的角色分配各种功能，系统支持同一用户多角色的权限设置。</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系统支持同一用户多角色的权限设置，以满足精细化管理需要。，并且支持多种用户权限的自定义，可以限制指定用户只能操作某些业务。</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数据和报表查询必须在权限管理框架下实现，支持生成供学校、学院、课程教师等多层级角色参考使用的整体分析报告和班级分析报告。如：系统管理员可以查询全校所有学院、专业、课程的成绩信息；学院管理员可以查询本学院所有专业、课程的成绩信息；课程负责人可以查询本人负责的所有课程的成绩信息。辅导员可以查询本人负责的所有班级、所有课程的成绩信息。任课教师可以查询本人负责的所有班级、所教课程的成绩信息。</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相关数据应在不进行二次加工的情况下，实现成绩分析系统与配套的网上阅卷系统实现无缝对接，支持数据自动同步，不需要人工进行教师数据、考生数据、组织机构数据、成绩等信息的导入与导出，用户信息可以从网上阅卷系统调取数据直接同步到成绩分析系统。</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18)任课教师可以录入或者批量导入指定课程的考试成绩，并纳入系统进行统一的统计分析。</w:t>
            </w:r>
          </w:p>
          <w:p>
            <w:pPr>
              <w:spacing w:before="156" w:beforeLines="50" w:after="156" w:afterLines="50"/>
              <w:jc w:val="both"/>
              <w:rPr>
                <w:rFonts w:hint="eastAsia" w:asciiTheme="minorEastAsia" w:hAnsiTheme="minorEastAsia" w:eastAsiaTheme="minorEastAsia" w:cstheme="minorEastAsia"/>
                <w:color w:val="000000"/>
                <w:sz w:val="21"/>
                <w:szCs w:val="21"/>
              </w:rPr>
            </w:pP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19)系统支持自定义统计分析参数，如设置优秀率、良好率和及格率占比。</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系统支持报表导出参数自定义，可根据需要设置是否显示学生排名信息和阅卷员信息。</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21)系统支持原始分、平均分、排名、题型、选择率、得分率、超均率、最高分、最低分、标准差、名次分布等统计指标的自由选择。</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22)系统支持科目拆分，可对同一张答卷中的题目按多个科目拆分，进行统计分析。</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系统支持按题型进行自定义分组统计分析，并提供题型分析数据报表。</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24)具备各课程的考试成绩按比例、分值等多种方式转换为学分、等级分，方便统计分析。</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25)系统可自动生成个人、班级、学校的简明报表、详细报表、对比报表、汇总报表、成绩分布报告、名次分布报告。</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26)系统支持总分评价，如上线统计、质量分析、分数分布、偏弱学科、关注生、多科成绩、发展轨迹等。</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27)</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单科成绩查询，按开课学院、课程、教学班、学生所属院系、专业、行政班或教学班进行成绩查询。</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28)系统支持题目评价：客观题选项率、单题得分率统计，可以按人数或百分数统计，并以图表方式显示，图表类型可选柱型图、曲线图。</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29)系统支持单科评价：质量分析、分数分布、试题分析、试题结构、上线分析、得分明细、命题报告等。</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成绩质量监控分析：原始分、选择率、正确率；满分、最高分、最低分、平均分作答人数、零分率、满分率、标准差、客观题作答详情；标准分、Z分数、级名、班名、百分位；有效人数、优秀数、及格数、低分数、均分；作答人数、难度系数、区分度、信度；优秀人数、优秀比率、优秀均分、良好人数、良好比率、良好均分、及格人数、及格比率、及格均分、低分人数、低分比率、及格均分、超均率；分数分布、名次分布、分数段统计。</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31)系统支持学生个人考情分析，例如考情、发展趋势图、薄弱知识点、考试错题与报告等。</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32)学生成绩表中可以包含客观题得分、主观题得分、小题得分、总成绩。</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33)学生成绩查询，通过学生的考生号、姓名，查询学生参考科目的成绩、各科大题或小题得分、试卷图像信息、评分痕迹等信息。</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34)班级间横向教学质量分析，包括综合分析、成绩统计、试题均分、试题分析、试题统计、试题分数段、平均分分析、上线跟踪、原始得分、学期总评等横向分析。</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35)学生、班级、学校纵向教学质量分析包括原始得分、选择题分析、试题分析、试题统计、个人成绩统计、学期总评等分析。学生本人和家长能够查询本人成绩报表，历次成绩分析图表，班级或者全校考试情况分布表。个人历次(一至多科或总分)成绩（班级/年级标准分）曲线图，个人历次(一至多科或总分)名次（班级/年级标准分）曲线图；班级某次(一至多科或总分) 等第分数段人数比例饼图，班级某次(一至多科或总分)全班原始分柱形图，班级历次(一至多科或总分)班级平均分年级名次曲线图，班级某次(一至多科或总分) 等第分数段人数比例分布柱形图，年级某次(一至多科或总分)各班平均分名次柱形图，年级某次(一至多科或总分)各班分数段分布人数柱形图，年级某次(一至多科或总分)分数段人数分布饼图。</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36)教学管理部门可以查询全校考生总数,全校各科实考数,全校各科缺考数,全校各科最高分,全校各科最低分,全校各科平均分,全校各科标准差,全校各科优秀数,全校各科良好数,全校各科及格数,全校各科不及格数,全校各科各区间统计,全校总分最高分,全校总分最低分,全校总分平均分,全校总分标准差；各班班级人数,班级各科实考数,班级各科最高分,班级各科最低分,班级各科平均分,班级各科标准差,班级各科优秀数,班级各科良好数,班级各科及格数,班级各科不及格数,班级各科各区间统计,班级总分最高分,班级总分最低分,班级总分平均分,班级总分标准差；个人学科总分,个人学科平均分,个人学科总分年级名次,个人学科总分班级名次,个人各科年级名次,个人各科班级名次,个人各科标准分,个人总分标准分。</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37)多种方式查询个人成绩、班级汇总成绩、年级汇总成绩，可以任意组合科目统计组合总分等各项排名。</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38)可定制学校特有的成绩指标、图表项目，也可按教学班和行政班批量导出。</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39)</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查询结果包含图表和数据表格的都可以导出为Excel表。</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40)需提供软件著作权登记证书，投标时提供复印件并加盖软件厂商公章，提供制造厂家售后服务承诺书。</w:t>
            </w:r>
          </w:p>
        </w:tc>
        <w:tc>
          <w:tcPr>
            <w:tcW w:w="681"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套</w:t>
            </w:r>
          </w:p>
        </w:tc>
        <w:tc>
          <w:tcPr>
            <w:tcW w:w="65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662"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4</w:t>
            </w:r>
          </w:p>
        </w:tc>
        <w:tc>
          <w:tcPr>
            <w:tcW w:w="802"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高速扫描仪</w:t>
            </w:r>
          </w:p>
        </w:tc>
        <w:tc>
          <w:tcPr>
            <w:tcW w:w="5975" w:type="dxa"/>
            <w:noWrap w:val="0"/>
            <w:vAlign w:val="center"/>
          </w:tcPr>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类型</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桌面送纸型扫描仪</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1、文件送入：自动或手动文件送入</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2、文件尺寸：宽度：53-300mm</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3、长度：70-3，000mm</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4、文件厚度和重量：U型纸路</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自动送入：0.06-0.15mm，52-128g/m2</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手动送入：0.05-0.2mm，42-157g/m2</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直送纸路</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自动送入：0.06-0.15mm，52-128g/m2</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手动送入：0.05-0.66mm，42-546g/m2</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5、名片尺寸和厚度：尺寸：53.9×85.5mm；厚度：0.76±0.08mm</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6、送入容量：10mm堆叠高度或100页80g/m2的纸</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7、扫描元件：CMOS图像传感器</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8、光源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LED（红，绿，蓝）</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9、扫描面：单面/双面 (双面：单次扫描可以自动扫描出文件正面和背面的图像)</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10、扫描模式：黑白，错误扩散，高速文本增强，高级文本增强，高级文本增强II，256级灰度，24位彩色，自动色彩检测</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11、扫描分辨率：100×100dpi, 150×150dpi, 200×200dpi, 240×240dpi, 300×300dpi, 400×400dpi, 600×600dpi</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扫描速度(A4，200dpi，LTR，横向)</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黑白</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80ppm(单面)，160ipm（双面）</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12、灰度</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80ppm(单面)，160ipm（双面）</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13、彩色</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80ppm(单面)，160ipm（双面）</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14、接口</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SCSI-III/高速USB2.0</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15、能源需求：AC220-240V（50/60Hz）</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16、能源消耗：46.5W（扫描模式），3.7W（休眠模式）</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17、操作环境;10-32.5℃(50-90.5℉),湿度：20-80%RH</w:t>
            </w:r>
          </w:p>
        </w:tc>
        <w:tc>
          <w:tcPr>
            <w:tcW w:w="681"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65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662"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802" w:type="dxa"/>
            <w:noWrap w:val="0"/>
            <w:vAlign w:val="center"/>
          </w:tcPr>
          <w:p>
            <w:pPr>
              <w:spacing w:before="156" w:beforeLines="50" w:after="156" w:afterLines="5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工作站</w:t>
            </w:r>
          </w:p>
        </w:tc>
        <w:tc>
          <w:tcPr>
            <w:tcW w:w="5975" w:type="dxa"/>
            <w:noWrap w:val="0"/>
            <w:vAlign w:val="center"/>
          </w:tcPr>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1内存：≥</w:t>
            </w:r>
            <w:r>
              <w:rPr>
                <w:rFonts w:hint="eastAsia" w:asciiTheme="minorEastAsia" w:hAnsiTheme="minorEastAsia" w:eastAsiaTheme="minorEastAsia" w:cstheme="minorEastAsia"/>
                <w:color w:val="000000"/>
                <w:sz w:val="21"/>
                <w:szCs w:val="21"/>
                <w:lang w:val="en-US" w:eastAsia="zh-CN"/>
              </w:rPr>
              <w:t>32</w:t>
            </w:r>
            <w:r>
              <w:rPr>
                <w:rFonts w:hint="eastAsia" w:asciiTheme="minorEastAsia" w:hAnsiTheme="minorEastAsia" w:eastAsiaTheme="minorEastAsia" w:cstheme="minorEastAsia"/>
                <w:color w:val="000000"/>
                <w:sz w:val="21"/>
                <w:szCs w:val="21"/>
              </w:rPr>
              <w:t>G DDR4内存，4个内存插槽，支持最高可扩展内存至64G；</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、硬盘：≥配置512G M.2SSD固态硬盘</w:t>
            </w:r>
            <w:r>
              <w:rPr>
                <w:rFonts w:hint="eastAsia" w:asciiTheme="minorEastAsia" w:hAnsiTheme="minorEastAsia" w:eastAsiaTheme="minorEastAsia" w:cstheme="minorEastAsia"/>
                <w:color w:val="000000"/>
                <w:sz w:val="21"/>
                <w:szCs w:val="21"/>
                <w:lang w:val="en-US" w:eastAsia="zh-CN"/>
              </w:rPr>
              <w:t>+1TB机械硬盘</w:t>
            </w:r>
            <w:r>
              <w:rPr>
                <w:rFonts w:hint="eastAsia" w:asciiTheme="minorEastAsia" w:hAnsiTheme="minorEastAsia" w:eastAsiaTheme="minorEastAsia" w:cstheme="minorEastAsia"/>
                <w:color w:val="000000"/>
                <w:sz w:val="21"/>
                <w:szCs w:val="21"/>
              </w:rPr>
              <w:t>；</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、主板：≥Intel Q670系列芯片组，主板具备USB屏蔽技术，仅识别USB键盘、鼠标，无法识别USB读取设备，有效防止数据泄露功能；</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、显卡：集成显卡；</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、声卡：集成声卡；</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、显示器：配置23.8寸液晶显示器，分辨率1920*1080，双视频接口，显示器具备低蓝光护眼功能，支持壁挂功能；</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、键鼠：同品牌光电鼠标、键盘；</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、接口：配置≥8个USB接口(前置至少2个USB 3.2 Gen2 、，后置4个USB 2.0)，≥1组PS/2接口，≥1个串口、VGA+HDMI+DP接口（VGA非转接）；</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、电源：</w:t>
            </w:r>
            <w:r>
              <w:rPr>
                <w:rFonts w:hint="eastAsia" w:asciiTheme="minorEastAsia" w:hAnsiTheme="minorEastAsia" w:eastAsiaTheme="minorEastAsia" w:cstheme="minorEastAsia"/>
                <w:color w:val="000000"/>
                <w:sz w:val="21"/>
                <w:szCs w:val="21"/>
                <w:lang w:val="en-US" w:eastAsia="zh-CN"/>
              </w:rPr>
              <w:t>310</w:t>
            </w:r>
            <w:r>
              <w:rPr>
                <w:rFonts w:hint="eastAsia" w:asciiTheme="minorEastAsia" w:hAnsiTheme="minorEastAsia" w:eastAsiaTheme="minorEastAsia" w:cstheme="minorEastAsia"/>
                <w:color w:val="000000"/>
                <w:sz w:val="21"/>
                <w:szCs w:val="21"/>
              </w:rPr>
              <w:t>W节能电源，电源可在100V-260V范围内工作，数据接口电压输出4.75V-5.25Vdc,电流范围500mA-1500mA；</w:t>
            </w:r>
          </w:p>
          <w:p>
            <w:pPr>
              <w:numPr>
                <w:ilvl w:val="0"/>
                <w:numId w:val="19"/>
              </w:numPr>
              <w:spacing w:before="156" w:beforeLines="50" w:after="156" w:afterLines="50"/>
              <w:ind w:left="460" w:leftChars="0" w:firstLine="0" w:firstLineChars="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备授课系统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学资源能够按学科、版本、章节自动筛选，在同一界面提供与当前课程相匹配的所有教案、课件、试题、素材、学案、虚拟实验等教学资源并可通过关键字进行资源的模糊搜索，其中试题支持根据题干进行搜索；（</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试题能够根据课本章节、题型、难易程度进行筛选，并提供知识点试题，可按知识点筛选，支持收藏、查看试题答案、解析、关联知识点，支持对试题进行二次编辑，支持将试题一键加入备课；（</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通过对纸质试题拍照，可将图片上传，将纸质文字变为电子版文字，便于老师优质试题的收集使用；（</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支持对PPT或WPS导入的音频和视频进行关键点标记，并将音视频分成不同小节，支持自定义视频小节名称，播放时可通过点击小节名称快速定位关键教学内容。（</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化学方程式编辑器支持智能搜索，能够通过输入元素汉字名称或元素符号快速进行模糊搜索，自动显示与其相关的所有化学方程式；（</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虚拟实验需提供无需额外付费不少于</w:t>
            </w:r>
            <w:r>
              <w:rPr>
                <w:rFonts w:hint="eastAsia" w:asciiTheme="minorEastAsia" w:hAnsiTheme="minorEastAsia" w:eastAsiaTheme="minorEastAsia" w:cstheme="minorEastAsia"/>
                <w:sz w:val="21"/>
                <w:szCs w:val="21"/>
                <w:lang w:val="en-US" w:eastAsia="zh-CN"/>
              </w:rPr>
              <w:t>400</w:t>
            </w:r>
            <w:r>
              <w:rPr>
                <w:rFonts w:hint="eastAsia" w:asciiTheme="minorEastAsia" w:hAnsiTheme="minorEastAsia" w:eastAsiaTheme="minorEastAsia" w:cstheme="minorEastAsia"/>
                <w:sz w:val="21"/>
                <w:szCs w:val="21"/>
              </w:rPr>
              <w:t>项可交互式虚拟实验，支持将实验插入PPT课件，支持按学段、版本、分册、章节筛选实验，也可按名称快速搜索实验；（</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物理虚拟实验需提供人教版、苏科版、北师版、沪粤版、沪教版、沪科版、鲁科版、教科版等版本不少于</w:t>
            </w:r>
            <w:r>
              <w:rPr>
                <w:rFonts w:hint="eastAsia" w:asciiTheme="minorEastAsia" w:hAnsiTheme="minorEastAsia" w:eastAsiaTheme="minorEastAsia" w:cstheme="minorEastAsia"/>
                <w:sz w:val="21"/>
                <w:szCs w:val="21"/>
                <w:lang w:val="en-US" w:eastAsia="zh-CN"/>
              </w:rPr>
              <w:t>220</w:t>
            </w:r>
            <w:r>
              <w:rPr>
                <w:rFonts w:hint="eastAsia" w:asciiTheme="minorEastAsia" w:hAnsiTheme="minorEastAsia" w:eastAsiaTheme="minorEastAsia" w:cstheme="minorEastAsia"/>
                <w:sz w:val="21"/>
                <w:szCs w:val="21"/>
              </w:rPr>
              <w:t>个精品物理实验，要求电与磁实验能够支持烧坏提示，电场线、磁感线等抽象概念能够实现可视化，光学实验能够实现动态光路可视化，热学实验能够放大显示实验细节；（</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化学虚拟实验需提供不少于</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11.需提供翻翻卡、猜词游戏、比大小、连词成句、连连看、匹配游戏、连线游戏、排序游戏、拼拼乐等课堂活动。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为方便教师快速查找，所有备课资源均可按照系统自带教材章节进行存储，无需教师自建存储条目（</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备课界面支持将教案、课件、学案、试题、练习、网络画板、虚拟实验、微课等教学资源分享给校内指定教师使用；（</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应支持白板教学，能够提供硬笔、竹笔、粉笔、荧光笔、激光笔等不少于</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种笔型，能够自由调整画笔粗细，提供不少于11种画笔颜色，可以在全色卡中任意选择画笔颜色，并可调整画笔色调、饱和度、亮度、红绿蓝值，支持保存不少于16种自定义颜色；（</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15.windows系统下，支持三个及以上学生同时进行书写或手势擦除操作，不同学生各自进行书写或擦除，互不影响；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应支持对白板页面中的元素进行隐藏、锁定、缩放、旋转、置顶等操作，被隐藏元素可以一键重新显示在白板上；（</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能够在桌面授课或PPT授课时打开板中板辅助教学，应支持任意调整板中板大小，在板中板中进行板书书写与擦除、板书缩放、插入文件等操作不影响课件主画面（</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智能转写可支持连续书写多个汉字并将书写的内容自动转换为楷体，转换文字大小自动跟随手写输入字体大小变化，支持查看笔顺、朗读读音；（</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划词搜索：可以对手写中文及英文板书进行智能识别，自动外部资源搜索，自动检索百度百科、百度网页相应素材辅助教学；（</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图形识别：支持手绘图形转换成对应的平面几何图形，支持识别不少于</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种类型（</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化学识别：支持书写化学方程式自动转换为印刷体；支持为转换的化学方程式自由填色（</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白板教学中，应支持从电脑中导入图片、视频、PPT、Word、Excel、PDF等资源，导入的PPT、Word、Excel文件可以进行二次编辑，导入的图片可以进行批注，导入的视频播放时可以进行批注讲解、擦除操作；（</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美术画板工具提供铅笔 、蜡笔、毛笔 、油画笔等笔触，具备模拟调色盘 ，可选择不同颜色混合调色；支持在美术画板导入jpg、jpeg、bmp 、png格式的实物彩色图片一键转换为素描效果，用于美术教学。（</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截屏应支持对屏幕上任意区域进行自由截图或矩形截图，应支持截取过程中，在截取页面上进行书写操作，并将截取的页面保存为图片；（</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学生自主学习：支持学生进行闯关模式下难度递进的自主学习。闯关练习应按学段、科目、版本、册别筛选，答题完成可以査看答题是否正确以及答题解析，满足不同学生的个性化练习需求；（</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支持在线组卷，可从试题库和班级错题集选择试题进行在线组卷；（</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作业讲评：支持授课时一键调取学生线上作业进行讲评，支持查看班级全体、学生个体客观题和主观题的答题情况，可同时展示不少于4个学生的答题对比讲评；（</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错题本需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支持人脸识别功能，可实现快速人数统计，人数统计支持对获取的图像内的所有学生识别，并快速统计出人数；（</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支持人脸识别随机抽选功能，支持全班抽选和区域抽选两种方式，支持对获取的图像内的学生识别并随机抽选，便于老师进行课堂互动，抽选人数可根据教学需要进行调整，最多可支持</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人，区域抽选支持选择区域并调整抽选学生的人数。（</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支持将U盘通过关联绑定的方式，制作成为软件快速登录钥匙。（</w:t>
            </w:r>
            <w:r>
              <w:rPr>
                <w:rFonts w:hint="eastAsia" w:asciiTheme="minorEastAsia" w:hAnsiTheme="minorEastAsia" w:eastAsiaTheme="minorEastAsia" w:cstheme="minorEastAsia"/>
                <w:sz w:val="21"/>
                <w:szCs w:val="21"/>
                <w:lang w:eastAsia="zh-CN"/>
              </w:rPr>
              <w:t>投标文件中须提供此功能的截图证明，否则投标文件无效</w:t>
            </w:r>
            <w:r>
              <w:rPr>
                <w:rFonts w:hint="eastAsia" w:asciiTheme="minorEastAsia" w:hAnsiTheme="minorEastAsia" w:eastAsiaTheme="minorEastAsia" w:cstheme="minorEastAsia"/>
                <w:sz w:val="21"/>
                <w:szCs w:val="21"/>
              </w:rPr>
              <w:t>）</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三、资质及服务要求：                                                                </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1、投标产品通过3C认证、节能认证</w:t>
            </w:r>
          </w:p>
          <w:p>
            <w:pPr>
              <w:spacing w:before="156" w:beforeLines="50" w:after="156" w:afterLines="5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2、保修服务：原厂三年保修服务，支持全年365天下一自然日上门响应能力，提供门到桌的安装验机服务，要求以上服务为原厂服务；供货时，提供售后服务承诺函原件。</w:t>
            </w:r>
          </w:p>
        </w:tc>
        <w:tc>
          <w:tcPr>
            <w:tcW w:w="681"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台</w:t>
            </w:r>
          </w:p>
        </w:tc>
        <w:tc>
          <w:tcPr>
            <w:tcW w:w="655"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662" w:type="dxa"/>
            <w:noWrap w:val="0"/>
            <w:vAlign w:val="center"/>
          </w:tcPr>
          <w:p>
            <w:pPr>
              <w:spacing w:before="156" w:beforeLines="50" w:after="156" w:afterLines="50"/>
              <w:jc w:val="center"/>
              <w:rPr>
                <w:rFonts w:hint="eastAsia" w:asciiTheme="minorEastAsia" w:hAnsiTheme="minorEastAsia" w:eastAsiaTheme="minorEastAsia" w:cstheme="minorEastAsia"/>
                <w:color w:val="000000"/>
                <w:sz w:val="21"/>
                <w:szCs w:val="21"/>
                <w:lang w:val="en-US" w:eastAsia="zh-CN"/>
              </w:rPr>
            </w:pPr>
          </w:p>
        </w:tc>
      </w:tr>
    </w:tbl>
    <w:p>
      <w:pPr>
        <w:tabs>
          <w:tab w:val="left" w:pos="960"/>
        </w:tabs>
        <w:spacing w:before="156" w:beforeLines="50" w:after="156" w:afterLines="50"/>
        <w:rPr>
          <w:rFonts w:hint="eastAsia" w:ascii="宋体" w:hAnsi="宋体"/>
          <w:sz w:val="24"/>
        </w:rPr>
      </w:pPr>
    </w:p>
    <w:p>
      <w:pPr>
        <w:tabs>
          <w:tab w:val="left" w:pos="960"/>
        </w:tabs>
        <w:spacing w:before="156" w:beforeLines="50" w:after="156" w:afterLines="50"/>
        <w:rPr>
          <w:rFonts w:hint="eastAsia" w:ascii="宋体" w:hAnsi="宋体"/>
          <w:b/>
          <w:sz w:val="24"/>
        </w:rPr>
      </w:pPr>
      <w:r>
        <w:rPr>
          <w:rFonts w:hint="eastAsia" w:ascii="宋体" w:hAnsi="宋体"/>
          <w:b/>
          <w:sz w:val="24"/>
        </w:rPr>
        <w:t>备注：</w:t>
      </w:r>
    </w:p>
    <w:p>
      <w:pPr>
        <w:numPr>
          <w:ilvl w:val="0"/>
          <w:numId w:val="20"/>
        </w:numPr>
        <w:tabs>
          <w:tab w:val="left" w:pos="960"/>
        </w:tabs>
        <w:spacing w:before="156" w:beforeLines="50" w:after="156" w:afterLines="50"/>
        <w:jc w:val="left"/>
        <w:rPr>
          <w:rFonts w:hint="eastAsia" w:ascii="宋体" w:hAnsi="宋体"/>
          <w:sz w:val="24"/>
        </w:rPr>
      </w:pPr>
      <w:r>
        <w:rPr>
          <w:rFonts w:hint="eastAsia" w:ascii="宋体" w:hAnsi="宋体"/>
          <w:sz w:val="24"/>
        </w:rPr>
        <w:t>软件既可以部署在学校服务器，也可以部署在云端服务器。</w:t>
      </w:r>
    </w:p>
    <w:p>
      <w:pPr>
        <w:numPr>
          <w:ilvl w:val="0"/>
          <w:numId w:val="20"/>
        </w:numPr>
        <w:tabs>
          <w:tab w:val="left" w:pos="960"/>
        </w:tabs>
        <w:spacing w:before="156" w:beforeLines="50" w:after="156" w:afterLines="50"/>
        <w:jc w:val="left"/>
        <w:rPr>
          <w:rFonts w:hint="eastAsia" w:ascii="仿宋" w:hAnsi="仿宋" w:eastAsia="仿宋" w:cs="仿宋"/>
          <w:b/>
          <w:bCs w:val="0"/>
          <w:color w:val="auto"/>
          <w:sz w:val="32"/>
          <w:szCs w:val="32"/>
          <w:highlight w:val="none"/>
          <w:lang w:val="en-US" w:eastAsia="zh-CN"/>
        </w:rPr>
      </w:pPr>
      <w:r>
        <w:rPr>
          <w:rFonts w:hint="eastAsia" w:ascii="宋体" w:hAnsi="宋体"/>
          <w:sz w:val="24"/>
        </w:rPr>
        <w:t>软件需提供三年以上的免费升级，终身免费使用。</w:t>
      </w:r>
    </w:p>
    <w:p>
      <w:pPr>
        <w:pStyle w:val="24"/>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1-6标及9标段适用</w:t>
      </w:r>
    </w:p>
    <w:tbl>
      <w:tblPr>
        <w:tblStyle w:val="25"/>
        <w:tblpPr w:leftFromText="180" w:rightFromText="180" w:vertAnchor="text" w:horzAnchor="page" w:tblpX="1108" w:tblpY="250"/>
        <w:tblOverlap w:val="never"/>
        <w:tblW w:w="9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9704" w:type="dxa"/>
            <w:gridSpan w:val="2"/>
            <w:vAlign w:val="center"/>
          </w:tcPr>
          <w:p>
            <w:pPr>
              <w:pStyle w:val="55"/>
              <w:widowControl w:val="0"/>
              <w:pBdr>
                <w:left w:val="none" w:color="auto" w:sz="0" w:space="0"/>
                <w:bottom w:val="none" w:color="auto" w:sz="0" w:space="0"/>
                <w:right w:val="none" w:color="auto" w:sz="0" w:space="0"/>
              </w:pBdr>
              <w:autoSpaceDE/>
              <w:autoSpaceDN/>
              <w:adjustRightInd w:val="0"/>
              <w:snapToGrid w:val="0"/>
              <w:spacing w:before="0" w:beforeAutospacing="0" w:after="0" w:after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1727" w:type="dxa"/>
            <w:tcBorders>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售后服务要求</w:t>
            </w:r>
          </w:p>
        </w:tc>
        <w:tc>
          <w:tcPr>
            <w:tcW w:w="7977" w:type="dxa"/>
            <w:tcBorders>
              <w:lef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售后能够提供原厂正规服务，可保障售后服务。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2.生产厂家在国内设有设备维修工厂，能够提供方便快捷的售后维修服务。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3.提供全部设备必须是具备厂家合法销售渠道的全新合格正品，产品符合国家有关认证标准及安全规定。所有设备必须满足采购文件所述性能配置要求，若产品在运输过程中损坏或擦伤须无偿调换相同产品。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4.中标供应商免费送货上门、免费现场安装、调试；免费提供技术培训和硬件的测试和调整服务，须提供完整的安装、操作、使用和维护中文手册。</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质保期：整机质保至少3年（采购需求一览表中另有要求的，按要求执行），三个月内如有严重质量问题整机包换（若厂家免费质保期超过3年的，按厂家规定保修，保修期从设备安装验收之日起计算）；同时提供产品“三包”服务，定期回访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中标供应商负责保修，但中标供应商也要积极帮助采购人修理，并保证提供优惠价格的配件和服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接到故障通知后4小时内响应，24小时内答复解决方案，按国家及行业标准对故障进行及时处理。如需现场维修的，要求48小时内派工程师到现场进行故障排除，48小时内故障无法修复的，需要立即提供与原设备技术参数要求相同或高于原设备技术参数要求的备用产品，以保证采购人的正常工作。若中标人不在承诺的时间内响应，采购人有权请第三方进行维修，因此产生的费用从中标人的合同余款中扣除。（第三方维修产生的费用超出合同余款的费用由中标人承担）。</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安装：免费送货上门，免费安装调试；设备的安装所产生的费用，由中标供应商承担，由专业技术工程师在现场，对用户人员包括：（1）免费对采购人技术人员、管理人员进行操作、维修、保养方面的专业培训，直至能独立操作。中标人委派的专业技术人员所需要费用均由中标人承担。（2）提供现场培训，可根据用户需求不定期培训。</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9.验收：设备验收由供应商或生产商到现场安装调试，并按照合同和供应商的投标承诺及产品技术标准进行验收。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1727" w:type="dxa"/>
            <w:tcBorders>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签订合同时间、交货时间及地点</w:t>
            </w:r>
          </w:p>
        </w:tc>
        <w:tc>
          <w:tcPr>
            <w:tcW w:w="7977" w:type="dxa"/>
            <w:tcBorders>
              <w:lef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1.签订合同时间：自成交通知书发出之日起25日内。</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2.交货期：</w:t>
            </w:r>
            <w:r>
              <w:rPr>
                <w:rFonts w:hint="eastAsia" w:ascii="宋体" w:hAnsi="宋体" w:eastAsia="宋体" w:cs="宋体"/>
                <w:i w:val="0"/>
                <w:iCs w:val="0"/>
                <w:color w:val="auto"/>
                <w:kern w:val="0"/>
                <w:sz w:val="21"/>
                <w:szCs w:val="21"/>
                <w:highlight w:val="red"/>
                <w:u w:val="none"/>
                <w:lang w:val="en-US" w:eastAsia="zh-CN" w:bidi="ar"/>
              </w:rPr>
              <w:t>合同签订后</w:t>
            </w:r>
            <w:r>
              <w:rPr>
                <w:rFonts w:hint="eastAsia" w:cs="宋体"/>
                <w:i w:val="0"/>
                <w:iCs w:val="0"/>
                <w:color w:val="auto"/>
                <w:kern w:val="0"/>
                <w:sz w:val="21"/>
                <w:szCs w:val="21"/>
                <w:highlight w:val="red"/>
                <w:u w:val="none"/>
                <w:lang w:val="en-US" w:eastAsia="zh-CN" w:bidi="ar"/>
              </w:rPr>
              <w:t>90</w:t>
            </w:r>
            <w:r>
              <w:rPr>
                <w:rFonts w:hint="eastAsia" w:ascii="宋体" w:hAnsi="宋体" w:eastAsia="宋体" w:cs="宋体"/>
                <w:i w:val="0"/>
                <w:iCs w:val="0"/>
                <w:color w:val="auto"/>
                <w:kern w:val="0"/>
                <w:sz w:val="21"/>
                <w:szCs w:val="21"/>
                <w:highlight w:val="red"/>
                <w:u w:val="none"/>
                <w:lang w:val="en-US" w:eastAsia="zh-CN" w:bidi="ar"/>
              </w:rPr>
              <w:t xml:space="preserve">天内，交货安装调试并正常运行。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3.交货地点：采购人指定地点</w:t>
            </w:r>
            <w:r>
              <w:rPr>
                <w:rFonts w:hint="eastAsia" w:cs="宋体"/>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1727" w:type="dxa"/>
            <w:tcBorders>
              <w:righ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付款方式</w:t>
            </w:r>
          </w:p>
        </w:tc>
        <w:tc>
          <w:tcPr>
            <w:tcW w:w="7977" w:type="dxa"/>
            <w:tcBorders>
              <w:left w:val="single" w:color="auto" w:sz="4" w:space="0"/>
            </w:tcBorders>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zh-CN" w:eastAsia="zh-CN" w:bidi="ar"/>
              </w:rPr>
              <w:t>1.资金性质：财政性资金。</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zh-CN" w:eastAsia="zh-CN" w:bidi="ar"/>
              </w:rPr>
              <w:t>.付款方式：</w:t>
            </w:r>
            <w:r>
              <w:rPr>
                <w:rFonts w:hint="eastAsia" w:ascii="宋体" w:hAnsi="宋体" w:eastAsia="宋体" w:cs="宋体"/>
                <w:i w:val="0"/>
                <w:iCs w:val="0"/>
                <w:color w:val="auto"/>
                <w:kern w:val="0"/>
                <w:sz w:val="21"/>
                <w:szCs w:val="21"/>
                <w:highlight w:val="none"/>
                <w:u w:val="none"/>
                <w:lang w:val="en-US" w:eastAsia="zh-CN" w:bidi="ar"/>
              </w:rPr>
              <w:t>签定合同后15天内支付合同金额的30%给中标人，</w:t>
            </w:r>
            <w:r>
              <w:rPr>
                <w:rFonts w:hint="eastAsia" w:ascii="宋体" w:hAnsi="宋体" w:eastAsia="宋体" w:cs="宋体"/>
                <w:i w:val="0"/>
                <w:iCs w:val="0"/>
                <w:color w:val="auto"/>
                <w:kern w:val="0"/>
                <w:sz w:val="21"/>
                <w:szCs w:val="21"/>
                <w:highlight w:val="none"/>
                <w:u w:val="none"/>
                <w:lang w:val="zh-CN" w:eastAsia="zh-CN" w:bidi="ar"/>
              </w:rPr>
              <w:t>货物安装、验收合格正常使用，且甲方针对该项目的用款计划获财政部门批复实施后，甲方收到乙方提供的合法合规报销票据，</w:t>
            </w:r>
            <w:r>
              <w:rPr>
                <w:rFonts w:hint="eastAsia" w:ascii="宋体" w:hAnsi="宋体" w:eastAsia="宋体" w:cs="宋体"/>
                <w:i w:val="0"/>
                <w:iCs w:val="0"/>
                <w:color w:val="auto"/>
                <w:kern w:val="0"/>
                <w:sz w:val="21"/>
                <w:szCs w:val="21"/>
                <w:highlight w:val="none"/>
                <w:u w:val="none"/>
                <w:lang w:val="en-US" w:eastAsia="zh-CN" w:bidi="ar"/>
              </w:rPr>
              <w:t>30</w:t>
            </w:r>
            <w:r>
              <w:rPr>
                <w:rFonts w:hint="eastAsia" w:ascii="宋体" w:hAnsi="宋体" w:eastAsia="宋体" w:cs="宋体"/>
                <w:i w:val="0"/>
                <w:iCs w:val="0"/>
                <w:color w:val="auto"/>
                <w:kern w:val="0"/>
                <w:sz w:val="21"/>
                <w:szCs w:val="21"/>
                <w:highlight w:val="none"/>
                <w:u w:val="none"/>
                <w:lang w:val="zh-CN" w:eastAsia="zh-CN" w:bidi="ar"/>
              </w:rPr>
              <w:t>个工作日内支付至合同金额的100%;</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zh-CN" w:eastAsia="zh-CN" w:bidi="ar"/>
              </w:rPr>
              <w:t>.若乙方未能提供合法合规报销票据，则甲方有权不予支付货款，且不因此而承担违约责任。</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履约保证金</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zh-CN" w:eastAsia="zh-CN" w:bidi="ar"/>
              </w:rPr>
              <w:t>.成交供应商须在领取成交通知书之日起</w:t>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zh-CN" w:eastAsia="zh-CN" w:bidi="ar"/>
              </w:rPr>
              <w:t xml:space="preserve">日历天内向采购人指定账户支付成交金额2%的履约保证金，成交供应商未在规定时间内支付履约保证金的，视为成交供应商自愿放弃成交资格，采购人有权拒绝签订采购合同。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zh-CN" w:eastAsia="zh-CN" w:bidi="ar"/>
              </w:rPr>
              <w:t>.</w:t>
            </w: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eastAsia="宋体" w:cs="宋体"/>
                <w:i w:val="0"/>
                <w:iCs w:val="0"/>
                <w:color w:val="auto"/>
                <w:kern w:val="0"/>
                <w:sz w:val="21"/>
                <w:szCs w:val="21"/>
                <w:highlight w:val="none"/>
                <w:u w:val="none"/>
                <w:lang w:val="zh-CN" w:eastAsia="zh-CN" w:bidi="ar"/>
              </w:rPr>
              <w:t>设备正常投入使用满一年后，无质量问题，</w:t>
            </w:r>
            <w:r>
              <w:rPr>
                <w:rFonts w:hint="eastAsia" w:ascii="宋体" w:hAnsi="宋体" w:eastAsia="宋体" w:cs="宋体"/>
                <w:i w:val="0"/>
                <w:iCs w:val="0"/>
                <w:color w:val="auto"/>
                <w:kern w:val="0"/>
                <w:sz w:val="21"/>
                <w:szCs w:val="21"/>
                <w:highlight w:val="none"/>
                <w:u w:val="none"/>
                <w:lang w:val="en-US" w:eastAsia="zh-CN" w:bidi="ar"/>
              </w:rPr>
              <w:t>正常运行使用，</w:t>
            </w:r>
            <w:r>
              <w:rPr>
                <w:rFonts w:hint="eastAsia" w:ascii="宋体" w:hAnsi="宋体" w:eastAsia="宋体" w:cs="宋体"/>
                <w:i w:val="0"/>
                <w:iCs w:val="0"/>
                <w:color w:val="auto"/>
                <w:kern w:val="0"/>
                <w:sz w:val="21"/>
                <w:szCs w:val="21"/>
                <w:highlight w:val="none"/>
                <w:u w:val="none"/>
                <w:lang w:val="zh-CN" w:eastAsia="zh-CN" w:bidi="ar"/>
              </w:rPr>
              <w:t>采购人</w:t>
            </w: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zh-CN" w:eastAsia="zh-CN" w:bidi="ar"/>
              </w:rPr>
              <w:t>个工作日内向成交供应商退还</w:t>
            </w:r>
            <w:r>
              <w:rPr>
                <w:rFonts w:hint="eastAsia" w:ascii="宋体" w:hAnsi="宋体" w:eastAsia="宋体" w:cs="宋体"/>
                <w:i w:val="0"/>
                <w:iCs w:val="0"/>
                <w:color w:val="auto"/>
                <w:kern w:val="0"/>
                <w:sz w:val="21"/>
                <w:szCs w:val="21"/>
                <w:highlight w:val="none"/>
                <w:u w:val="none"/>
                <w:lang w:val="en-US" w:eastAsia="zh-CN" w:bidi="ar"/>
              </w:rPr>
              <w:t>履约</w:t>
            </w:r>
            <w:r>
              <w:rPr>
                <w:rFonts w:hint="eastAsia" w:ascii="宋体" w:hAnsi="宋体" w:eastAsia="宋体" w:cs="宋体"/>
                <w:i w:val="0"/>
                <w:iCs w:val="0"/>
                <w:color w:val="auto"/>
                <w:kern w:val="0"/>
                <w:sz w:val="21"/>
                <w:szCs w:val="21"/>
                <w:highlight w:val="none"/>
                <w:u w:val="none"/>
                <w:lang w:val="zh-CN" w:eastAsia="zh-CN" w:bidi="ar"/>
              </w:rPr>
              <w:t>保证金(不计利息)。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Style w:val="13"/>
      </w:pPr>
    </w:p>
    <w:p>
      <w:pPr>
        <w:bidi w:val="0"/>
        <w:jc w:val="left"/>
        <w:rPr>
          <w:rFonts w:ascii="宋体" w:hAnsi="宋体" w:eastAsia="宋体" w:cs="宋体"/>
          <w:sz w:val="22"/>
          <w:szCs w:val="22"/>
          <w:highlight w:val="none"/>
          <w:lang w:val="en-US" w:eastAsia="zh-CN" w:bidi="ar-SA"/>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bidi w:val="0"/>
        <w:jc w:val="center"/>
        <w:rPr>
          <w:rFonts w:hint="eastAsia"/>
          <w:b/>
          <w:bCs/>
          <w:sz w:val="28"/>
          <w:szCs w:val="28"/>
          <w:lang w:val="en-US" w:eastAsia="zh-CN"/>
        </w:rPr>
      </w:pPr>
      <w:bookmarkStart w:id="20" w:name="_Toc27988"/>
      <w:r>
        <w:rPr>
          <w:rFonts w:hint="eastAsia"/>
          <w:b/>
          <w:bCs/>
          <w:sz w:val="28"/>
          <w:szCs w:val="28"/>
          <w:lang w:val="en-US" w:eastAsia="zh-CN"/>
        </w:rPr>
        <w:t>7标段的商务条款</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一、服务期限及地点：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（一）校外培训时间及地点：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2024年7月中旬、南京</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（二）教学成果培育时间及地点：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2024年7月中旬-9月下旬、线上及线下，地点待定</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（三）中德专家培训时间及地点：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2024年7月-9月，线上</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二、合同签订时间：自成交通知书发出之日起25日内。</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付款方式：双方签订合同后，成交供应商提交经双方完善并确认的最终培训实施方案，上交相关培训材料并完成所有培训项目工作后，由采购方通知成交供应商提供请款报告、资金用款审批表和普通增值税发票等请款所需的材料，原则上三十个工作日内通过银行转账方式向成交供应商支付该项目全部合同金额。</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投标报价必须包含满足本次竞标全部采购需求所应提供的服务，以及伴随的货物（如有）的价格；包含竞标服务、货物的成本、运输（含保险）、技术服务、培训、税费、仪器设备租赁使用费（如有）等所有费用。</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b/>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bidi w:val="0"/>
        <w:jc w:val="center"/>
        <w:rPr>
          <w:rFonts w:hint="eastAsia"/>
          <w:b/>
          <w:bCs/>
          <w:sz w:val="28"/>
          <w:szCs w:val="28"/>
          <w:lang w:val="en-US" w:eastAsia="zh-CN"/>
        </w:rPr>
      </w:pPr>
      <w:r>
        <w:rPr>
          <w:rFonts w:hint="eastAsia"/>
          <w:b/>
          <w:bCs/>
          <w:sz w:val="28"/>
          <w:szCs w:val="28"/>
          <w:lang w:val="en-US" w:eastAsia="zh-CN"/>
        </w:rPr>
        <w:t>8标段的商务条款</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b/>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1．报价要求</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报价为采购人指定地点的现场交付价格，包括但不限于：</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（1）采购内容中所有货物和服务的价格；</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（2）货物的标准附件、备品备件、专用工具的价格；</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（3）运输、装卸、安装（含安装材料）、调试、培训、技术支持、售后服务的费用，质保期内维修、养护、软件升级等费用；</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（4）必要的保险、检测费用和各项税费等。</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2.合同签订日期</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自成交通知书发出之日起25日内。</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3.合同履行期限（服务期限）：2年</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4.交货地点或服务地点：来宾市卫生学校（来宾市卫生干部培训中心）</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5.付款方式：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（1）合同签订生效后 10 个工作日内支付合同总金额的30%；</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（2）成交人完成交付，经采购人验收合格后，采购人在 10 个工作日内向成交供应商支付合同总额剩余的80%；</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成交人须按每次支付的金额开具发票给采购人，采购人在收到发票后30日历日内按发票面额付款。如成交人未按国家要求开具发票，或未按合同履约的，视为违约，采购人有权扣减履约保证金，或要求解除合同，并追究成交人法律责任。</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pPr>
        <w:pStyle w:val="2"/>
        <w:rPr>
          <w:rFonts w:hint="eastAsia" w:eastAsia="宋体"/>
          <w:color w:val="auto"/>
          <w:sz w:val="48"/>
          <w:highlight w:val="none"/>
          <w:lang w:eastAsia="zh-CN"/>
        </w:rPr>
      </w:pPr>
      <w:r>
        <w:rPr>
          <w:color w:val="auto"/>
          <w:highlight w:val="none"/>
        </w:rPr>
        <w:t>第三</w:t>
      </w:r>
      <w:r>
        <w:rPr>
          <w:color w:val="auto"/>
          <w:spacing w:val="66"/>
          <w:highlight w:val="none"/>
        </w:rPr>
        <w:t>章 投</w:t>
      </w:r>
      <w:r>
        <w:rPr>
          <w:color w:val="auto"/>
          <w:highlight w:val="none"/>
        </w:rPr>
        <w:t>标人须</w:t>
      </w:r>
      <w:r>
        <w:rPr>
          <w:color w:val="auto"/>
          <w:spacing w:val="-10"/>
          <w:highlight w:val="none"/>
        </w:rPr>
        <w:t>知</w:t>
      </w:r>
      <w:bookmarkEnd w:id="20"/>
      <w:r>
        <w:rPr>
          <w:rFonts w:hint="eastAsia"/>
          <w:color w:val="auto"/>
          <w:spacing w:val="-10"/>
          <w:highlight w:val="none"/>
          <w:lang w:eastAsia="zh-CN"/>
        </w:rPr>
        <w:t>（所有标段适用）</w:t>
      </w:r>
    </w:p>
    <w:tbl>
      <w:tblPr>
        <w:tblStyle w:val="26"/>
        <w:tblpPr w:leftFromText="180" w:rightFromText="180" w:vertAnchor="text" w:horzAnchor="page" w:tblpX="1224" w:tblpY="4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8596" w:type="dxa"/>
          </w:tcPr>
          <w:p>
            <w:pPr>
              <w:spacing w:line="560" w:lineRule="exact"/>
              <w:jc w:val="center"/>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2"/>
                <w:w w:val="95"/>
                <w:sz w:val="32"/>
                <w:szCs w:val="32"/>
                <w:highlight w:val="none"/>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本项目不组织现场考察。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8596" w:type="dxa"/>
          </w:tcPr>
          <w:p>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strike w:val="0"/>
                <w:dstrike w:val="0"/>
                <w:color w:val="auto"/>
                <w:spacing w:val="-2"/>
                <w:w w:val="95"/>
                <w:sz w:val="32"/>
                <w:szCs w:val="32"/>
                <w:highlight w:val="none"/>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8596" w:type="dxa"/>
          </w:tcPr>
          <w:p>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报价文件：</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1.投标函（格式后附）；（必须提供，否则作无效投标处理）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2.开标一览表（格式后附）；（必须提供，否则作无效投标处理）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3.投标报价明细表（格式后附）；（必须提供，否则作无效投标处理）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4.投标人针对报价需要说明的其他文件和说明（格式自拟）。</w:t>
            </w:r>
          </w:p>
          <w:p>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资格证明文件：</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1.有效的营业执照副本复印件（必须提供，同时要加盖单位公章，不是三证合一的营业执照还必须提供有效的组织机构代码证副本、税务登记证副本复印件）；</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2.投标人依法缴纳税收的相关材料（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3.投标人依法缴纳社会保障资金的相关材料（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社保缴纳证明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投标人2023年度财务报表（包含资产负债表、利润表）或2023年财务审计报告复印件（2023年以后成立的新公司应提供公司成立日之后的财务报表复印件）或招标公告日期之后投标人开户银行出具的银行资信证明</w:t>
            </w:r>
            <w:r>
              <w:rPr>
                <w:rFonts w:hint="eastAsia" w:ascii="仿宋" w:hAnsi="仿宋" w:eastAsia="仿宋" w:cs="仿宋"/>
                <w:color w:val="auto"/>
                <w:sz w:val="32"/>
                <w:szCs w:val="32"/>
                <w:highlight w:val="none"/>
              </w:rPr>
              <w:t>（必须提供，否则作无效投标处理）；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5.投标声明（格式后附）（必须提供，否则作无效投标处理）；</w:t>
            </w:r>
          </w:p>
          <w:p>
            <w:pPr>
              <w:spacing w:line="560" w:lineRule="exact"/>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中小企业声明函或者残疾人福利性单位声明函或者投标人属于监狱企业的证明材料原件扫描件（必须提供，否则作无效投标处理）</w:t>
            </w:r>
          </w:p>
          <w:p>
            <w:pPr>
              <w:spacing w:line="560" w:lineRule="exact"/>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7.投标人直接控股股东信息表及投标人直接管理关系信息表（加盖公章，必须提供，否则竞标无效）</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.除招标文件规定必须提供以外，投标人认为需要提供的其他证明材料。</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（1）以上标明“必须提供”的材料属于复印件的扫描件，必须加盖投标人电子公章，否则作无效投标处理。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（2）投标声明必须加盖投标人电子公章，否则作无效投标处理。</w:t>
            </w:r>
          </w:p>
          <w:p>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商务文件：</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1.无串通投标行为的承诺函（格式后附）（必须提供，否则作无效投标处理）；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2.法定代表人（负责人）身份证明及法定代表人（负责人）有效身份证正反面复印件（格式后附）（必须提供，否则作无效投标处理）；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3.有效的法定代表人（负责人）授权委托书及其委托代理人有效身份证正反面复印件（格式后附）（委托时必须提供，否则作无效投标处理）；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4.商务条款偏离表（格式后附）（必须提供，否则作无效投标处理）；</w:t>
            </w:r>
          </w:p>
          <w:p>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5.售后服务方案（格式自拟）（必须提供，否则作无效投标处理）；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6.投标人情况介绍（格式自拟）；</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.除招标文件规定必须提供以外，投标人认为需要提供的其他证明材料（格式自拟）。（投标人可根据“第二章 采购需求”及“第四章 评标方法及评标标准”提供有关证明材料）。</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（1）法定代表人（负责人）授权委托书必须由法定代表人（负责人）及委托代理人签字，并加盖投标人电子公章，否则作无效投标处理。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（2）以上标明“必须提供”的材料属于复印件的扫描件，必须加盖投标人电子公章，否则作无效投标处理。</w:t>
            </w:r>
          </w:p>
          <w:p>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技术文件：</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需求偏离表（格式后附）（必须提供，否则作无效投标处理）；</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2.项目实施方案（格式自拟）；</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3.设备性能、功能及配置方案（格式自拟）；</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4.项目实施人员一览表（格式后附）；</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5.投标人对本项目的合理化建议和改进措施（格式自拟）；</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6.除招标文件规定必须提供以外，投标人需要说明的其他文件和说明（格式自拟）。</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注：以上标明“必须提供”的材料属于复印件的扫描件，必须加盖投标人电子公章，否则作无效投标处理。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投标报价是履行合同的最终价格，投标报价必须包括设备的所有费用，包括采购、运输、劳务、管理、利润、税金、保险、协调、安装、调试、培训、售后服务以及所有的不定因素的风险等。</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☑投标报价包含验收费用。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投标有效期：自投标截止之日起 60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8596" w:type="dxa"/>
          </w:tcPr>
          <w:p>
            <w:pPr>
              <w:spacing w:line="560" w:lineRule="exact"/>
              <w:jc w:val="both"/>
              <w:rPr>
                <w:rFonts w:ascii="仿宋" w:hAnsi="仿宋" w:eastAsia="仿宋" w:cs="仿宋"/>
                <w:color w:val="auto"/>
                <w:sz w:val="32"/>
                <w:szCs w:val="32"/>
                <w:highlight w:val="none"/>
              </w:rPr>
            </w:pPr>
            <w:r>
              <w:rPr>
                <w:rStyle w:val="47"/>
                <w:rFonts w:hint="eastAsia" w:ascii="仿宋" w:hAnsi="仿宋" w:eastAsia="仿宋"/>
                <w:b/>
                <w:bCs/>
                <w:color w:val="auto"/>
                <w:sz w:val="32"/>
                <w:szCs w:val="32"/>
                <w:highlight w:val="none"/>
              </w:rPr>
              <w:t>投标保证金：</w:t>
            </w:r>
            <w:r>
              <w:rPr>
                <w:rStyle w:val="47"/>
                <w:rFonts w:hint="eastAsia" w:ascii="仿宋" w:hAnsi="仿宋" w:eastAsia="仿宋"/>
                <w:color w:val="auto"/>
                <w:sz w:val="32"/>
                <w:szCs w:val="32"/>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电子投标文件的编制要求：投标人应先安装“</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电子投标客户端”，并按照本招标文件和“政府采购云平台”的要求，通过“</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电子投标客户端”编制并加密投标文件，投标文件应按报价文件、资格证明文件、商务文件、技术文件分别编制，报价文件、资格证明文件分别生成电子文件，商务文件和技术文件按顺序合并生成电子文件。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8596" w:type="dxa"/>
          </w:tcPr>
          <w:p>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1.投标截止时间：详见招标公告</w:t>
            </w:r>
          </w:p>
          <w:p>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p>
        </w:tc>
        <w:tc>
          <w:tcPr>
            <w:tcW w:w="8596" w:type="dxa"/>
          </w:tcPr>
          <w:p>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1.开标时间：详见招标公告</w:t>
            </w:r>
          </w:p>
          <w:p>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采购人或者采购代理机构在资格审查结束前，对投标人进行信用查询。</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查询渠道：“信用中国”网站（www.creditchina.gov.cn) 、中国政府采购网（www.ccgp.gov.cn)。信用查询截止时点：资格审查结束前。</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查询记录和证据留存方式：在查询网站中直接截图查询记录，查询记录的截图作为评审资料上传至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z w:val="32"/>
                <w:szCs w:val="32"/>
                <w:highlight w:val="none"/>
              </w:rPr>
              <w:t>保存。</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信用信息使用规则： 对在“ 信用中国” 网站（www.creditchina.gov.cn) 、中国政府采购网 (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评标委员会构成：本招标采购项目的评标委员会由采购人代表和评审专家组成，成员人数应当为5人以上（含5人）单数，其中专家人数不少于成员总数的三分之二。</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评标专家确定方式：在监督管理部门设立的专家库中随机抽取。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14</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15</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商务条款评审中允许负偏离的条款数为 0 项。</w:t>
            </w:r>
          </w:p>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对招标文件中所有标注“</w:t>
            </w:r>
            <w:r>
              <w:rPr>
                <w:rFonts w:hint="eastAsia" w:ascii="仿宋" w:hAnsi="仿宋" w:eastAsia="仿宋" w:cs="仿宋"/>
                <w:bCs/>
                <w:color w:val="auto"/>
                <w:sz w:val="32"/>
                <w:szCs w:val="32"/>
                <w:highlight w:val="none"/>
              </w:rPr>
              <w:t>*</w:t>
            </w:r>
            <w:r>
              <w:rPr>
                <w:rFonts w:hint="eastAsia" w:ascii="仿宋" w:hAnsi="仿宋" w:eastAsia="仿宋" w:cs="仿宋"/>
                <w:color w:val="auto"/>
                <w:sz w:val="32"/>
                <w:szCs w:val="32"/>
                <w:highlight w:val="none"/>
              </w:rPr>
              <w:t>”号的实质性条款要求响应均无负偏离。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16</w:t>
            </w:r>
          </w:p>
        </w:tc>
        <w:tc>
          <w:tcPr>
            <w:tcW w:w="8596" w:type="dxa"/>
          </w:tcPr>
          <w:p>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17</w:t>
            </w:r>
          </w:p>
        </w:tc>
        <w:tc>
          <w:tcPr>
            <w:tcW w:w="8596" w:type="dxa"/>
          </w:tcPr>
          <w:p>
            <w:pPr>
              <w:pStyle w:val="48"/>
              <w:tabs>
                <w:tab w:val="left" w:pos="455"/>
              </w:tabs>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中标公告及中标通知书</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中标公告</w:t>
            </w:r>
            <w:r>
              <w:rPr>
                <w:rStyle w:val="47"/>
                <w:rFonts w:hint="eastAsia" w:ascii="仿宋" w:hAnsi="仿宋" w:eastAsia="仿宋"/>
                <w:color w:val="auto"/>
                <w:sz w:val="32"/>
                <w:szCs w:val="32"/>
                <w:highlight w:val="none"/>
              </w:rPr>
              <w:t>的</w:t>
            </w:r>
            <w:r>
              <w:rPr>
                <w:rStyle w:val="47"/>
                <w:rFonts w:ascii="仿宋" w:hAnsi="仿宋" w:eastAsia="仿宋"/>
                <w:color w:val="auto"/>
                <w:sz w:val="32"/>
                <w:szCs w:val="32"/>
                <w:highlight w:val="none"/>
              </w:rPr>
              <w:t>同时采购代理机构向中标供应商发出中标通知书，中标供应商应自接到通知之日起3个工作日内，办理中标通知书领取手续。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18</w:t>
            </w:r>
          </w:p>
        </w:tc>
        <w:tc>
          <w:tcPr>
            <w:tcW w:w="8596" w:type="dxa"/>
          </w:tcPr>
          <w:p>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签订合同时间</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中标通知书发出之日起25日内，应按规定与采购人签订合同。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19</w:t>
            </w:r>
          </w:p>
        </w:tc>
        <w:tc>
          <w:tcPr>
            <w:tcW w:w="8596" w:type="dxa"/>
          </w:tcPr>
          <w:p>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合同备案存档</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供应商在政府采购合同双方自签订之日起1个工作日内将合同原件</w:t>
            </w:r>
            <w:r>
              <w:rPr>
                <w:rStyle w:val="47"/>
                <w:rFonts w:hint="eastAsia" w:ascii="仿宋" w:hAnsi="仿宋" w:eastAsia="仿宋"/>
                <w:color w:val="auto"/>
                <w:sz w:val="32"/>
                <w:szCs w:val="32"/>
                <w:highlight w:val="none"/>
              </w:rPr>
              <w:t>一份</w:t>
            </w:r>
            <w:r>
              <w:rPr>
                <w:rStyle w:val="47"/>
                <w:rFonts w:ascii="仿宋" w:hAnsi="仿宋" w:eastAsia="仿宋"/>
                <w:color w:val="auto"/>
                <w:sz w:val="32"/>
                <w:szCs w:val="32"/>
                <w:highlight w:val="none"/>
              </w:rPr>
              <w:t>交采购代理机构。</w:t>
            </w:r>
            <w:r>
              <w:rPr>
                <w:rFonts w:ascii="仿宋" w:hAnsi="仿宋" w:eastAsia="仿宋" w:cs="仿宋"/>
                <w:color w:val="auto"/>
                <w:sz w:val="32"/>
                <w:szCs w:val="32"/>
                <w:highlight w:val="none"/>
              </w:rPr>
              <w:t>采购人应当自政府采购合同签订之日起2个工作日内，将政府采购合同在省级以上人民政府财政部门指定的媒体上公告</w:t>
            </w:r>
            <w:r>
              <w:rPr>
                <w:rFonts w:hint="eastAsia" w:ascii="仿宋" w:hAnsi="仿宋" w:eastAsia="仿宋" w:cs="仿宋"/>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p>
        </w:tc>
        <w:tc>
          <w:tcPr>
            <w:tcW w:w="8596" w:type="dxa"/>
          </w:tcPr>
          <w:p>
            <w:pPr>
              <w:pStyle w:val="16"/>
              <w:snapToGrid w:val="0"/>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采购代理服务费：本项目招标代理服务费按发改价格[2015]299号文及桂价费[2011]55号文件（货物类）计取，投标人在报价时应充分考虑此项费用。</w:t>
            </w:r>
          </w:p>
          <w:p>
            <w:pPr>
              <w:pStyle w:val="16"/>
              <w:snapToGrid w:val="0"/>
              <w:spacing w:line="560" w:lineRule="exact"/>
              <w:jc w:val="both"/>
              <w:rPr>
                <w:rStyle w:val="47"/>
                <w:rFonts w:ascii="仿宋" w:hAnsi="仿宋" w:eastAsia="仿宋"/>
                <w:color w:val="auto"/>
                <w:sz w:val="32"/>
                <w:szCs w:val="32"/>
                <w:highlight w:val="none"/>
              </w:rPr>
            </w:pPr>
            <w:r>
              <w:rPr>
                <w:rFonts w:hint="eastAsia" w:ascii="仿宋" w:hAnsi="仿宋" w:eastAsia="仿宋" w:cs="仿宋"/>
                <w:color w:val="auto"/>
                <w:sz w:val="32"/>
                <w:szCs w:val="32"/>
                <w:highlight w:val="none"/>
              </w:rPr>
              <w:t>代理服务收费标准：</w:t>
            </w:r>
          </w:p>
          <w:tbl>
            <w:tblPr>
              <w:tblStyle w:val="25"/>
              <w:tblW w:w="7313"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06"/>
              <w:gridCol w:w="1372"/>
              <w:gridCol w:w="1710"/>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806" w:type="dxa"/>
                  <w:tcBorders>
                    <w:top w:val="single" w:color="000000" w:sz="4" w:space="0"/>
                    <w:left w:val="single" w:color="000000" w:sz="4" w:space="0"/>
                    <w:bottom w:val="single" w:color="000000" w:sz="4" w:space="0"/>
                    <w:right w:val="single" w:color="000000" w:sz="4" w:space="0"/>
                  </w:tcBorders>
                </w:tcPr>
                <w:p>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427355</wp:posOffset>
                            </wp:positionV>
                            <wp:extent cx="1776095" cy="1156335"/>
                            <wp:effectExtent l="2540" t="3810" r="12065" b="20955"/>
                            <wp:wrapNone/>
                            <wp:docPr id="3" name="直线 5"/>
                            <wp:cNvGraphicFramePr/>
                            <a:graphic xmlns:a="http://schemas.openxmlformats.org/drawingml/2006/main">
                              <a:graphicData uri="http://schemas.microsoft.com/office/word/2010/wordprocessingShape">
                                <wps:wsp>
                                  <wps:cNvCnPr/>
                                  <wps:spPr>
                                    <a:xfrm>
                                      <a:off x="0" y="0"/>
                                      <a:ext cx="1776095" cy="11563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0.15pt;margin-top:33.65pt;height:91.05pt;width:139.85pt;z-index:251666432;mso-width-relative:page;mso-height-relative:page;" filled="f" stroked="t" coordsize="21600,21600" o:gfxdata="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pCw&#10;ddYAAAAHAQAADwAAAAAAAAABACAAAAAiAAAAZHJzL2Rvd25yZXYueG1sUEsBAhQAFAAAAAgAh07i&#10;QFcO9qnrAQAA4wMAAA4AAAAAAAAAAQAgAAAAJQEAAGRycy9lMm9Eb2MueG1sUEsFBgAAAAAGAAYA&#10;WQEAAIIFAAAAAA==&#10;">
                            <v:fill on="f" focussize="0,0"/>
                            <v:stroke color="#000000" joinstyle="round"/>
                            <v:imagedata o:title=""/>
                            <o:lock v:ext="edit" aspectratio="f"/>
                          </v:line>
                        </w:pict>
                      </mc:Fallback>
                    </mc:AlternateContent>
                  </w:r>
                  <w:r>
                    <w:rPr>
                      <w:rStyle w:val="47"/>
                      <w:rFonts w:ascii="仿宋" w:hAnsi="仿宋" w:eastAsia="仿宋" w:cs="仿宋"/>
                      <w:bCs/>
                      <w:color w:val="auto"/>
                      <w:sz w:val="32"/>
                      <w:szCs w:val="32"/>
                      <w:highlight w:val="none"/>
                    </w:rPr>
                    <w:t>代理服务费收费标准：</w:t>
                  </w:r>
                  <w:r>
                    <w:rPr>
                      <w:rStyle w:val="47"/>
                      <w:rFonts w:ascii="仿宋" w:hAnsi="仿宋" w:eastAsia="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42545</wp:posOffset>
                            </wp:positionV>
                            <wp:extent cx="1784985" cy="747395"/>
                            <wp:effectExtent l="1905" t="4445" r="3810" b="10160"/>
                            <wp:wrapNone/>
                            <wp:docPr id="1" name="直线 4"/>
                            <wp:cNvGraphicFramePr/>
                            <a:graphic xmlns:a="http://schemas.openxmlformats.org/drawingml/2006/main">
                              <a:graphicData uri="http://schemas.microsoft.com/office/word/2010/wordprocessingShape">
                                <wps:wsp>
                                  <wps:cNvCnPr/>
                                  <wps:spPr>
                                    <a:xfrm>
                                      <a:off x="0" y="0"/>
                                      <a:ext cx="1784985" cy="747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25pt;margin-top:3.35pt;height:58.85pt;width:140.55pt;z-index:251665408;mso-width-relative:page;mso-height-relative:page;" filled="f" stroked="t" coordsize="21600,21600" o:gfxdata="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hqUcXUAAAA&#10;BgEAAA8AAAAAAAAAAQAgAAAAIgAAAGRycy9kb3ducmV2LnhtbFBLAQIUABQAAAAIAIdO4kAvKfEA&#10;6AEAAOIDAAAOAAAAAAAAAAEAIAAAACMBAABkcnMvZTJvRG9jLnhtbFBLBQYAAAAABgAGAFkBAAB9&#10;BQAAAAA=&#10;">
                            <v:fill on="f" focussize="0,0"/>
                            <v:stroke color="#000000" joinstyle="round"/>
                            <v:imagedata o:title=""/>
                            <o:lock v:ext="edit" aspectratio="f"/>
                          </v:line>
                        </w:pict>
                      </mc:Fallback>
                    </mc:AlternateContent>
                  </w:r>
                  <w:r>
                    <w:rPr>
                      <w:rStyle w:val="47"/>
                      <w:rFonts w:ascii="仿宋" w:hAnsi="仿宋" w:eastAsia="仿宋"/>
                      <w:color w:val="auto"/>
                      <w:sz w:val="32"/>
                      <w:szCs w:val="32"/>
                      <w:highlight w:val="none"/>
                    </w:rPr>
                    <w:t>服务类型</w:t>
                  </w:r>
                </w:p>
                <w:p>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 xml:space="preserve">费率        </w:t>
                  </w:r>
                </w:p>
                <w:p>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中标金额（万元）</w:t>
                  </w:r>
                </w:p>
              </w:tc>
              <w:tc>
                <w:tcPr>
                  <w:tcW w:w="1372" w:type="dxa"/>
                  <w:tcBorders>
                    <w:top w:val="single" w:color="000000" w:sz="4" w:space="0"/>
                    <w:left w:val="single" w:color="000000" w:sz="4" w:space="0"/>
                    <w:bottom w:val="single" w:color="000000" w:sz="4" w:space="0"/>
                    <w:right w:val="single" w:color="000000" w:sz="4" w:space="0"/>
                  </w:tcBorders>
                  <w:vAlign w:val="center"/>
                </w:tcPr>
                <w:p>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货物招标</w:t>
                  </w:r>
                </w:p>
              </w:tc>
              <w:tc>
                <w:tcPr>
                  <w:tcW w:w="1710" w:type="dxa"/>
                  <w:tcBorders>
                    <w:top w:val="single" w:color="000000" w:sz="4" w:space="0"/>
                    <w:left w:val="single" w:color="000000" w:sz="4" w:space="0"/>
                    <w:bottom w:val="single" w:color="000000" w:sz="4" w:space="0"/>
                    <w:right w:val="single" w:color="000000" w:sz="4" w:space="0"/>
                  </w:tcBorders>
                  <w:vAlign w:val="center"/>
                </w:tcPr>
                <w:p>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服务招标</w:t>
                  </w:r>
                </w:p>
              </w:tc>
              <w:tc>
                <w:tcPr>
                  <w:tcW w:w="1425" w:type="dxa"/>
                  <w:tcBorders>
                    <w:top w:val="single" w:color="000000" w:sz="4" w:space="0"/>
                    <w:left w:val="single" w:color="000000" w:sz="4" w:space="0"/>
                    <w:bottom w:val="single" w:color="000000" w:sz="4" w:space="0"/>
                    <w:right w:val="single" w:color="000000" w:sz="4" w:space="0"/>
                  </w:tcBorders>
                  <w:vAlign w:val="center"/>
                </w:tcPr>
                <w:p>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806" w:type="dxa"/>
                  <w:tcBorders>
                    <w:top w:val="single" w:color="000000" w:sz="4" w:space="0"/>
                    <w:left w:val="single" w:color="000000" w:sz="4" w:space="0"/>
                    <w:bottom w:val="single" w:color="000000" w:sz="4" w:space="0"/>
                    <w:right w:val="single" w:color="000000" w:sz="4" w:space="0"/>
                  </w:tcBorders>
                </w:tcPr>
                <w:p>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100以下</w:t>
                  </w:r>
                </w:p>
              </w:tc>
              <w:tc>
                <w:tcPr>
                  <w:tcW w:w="13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100-500</w:t>
                  </w:r>
                </w:p>
              </w:tc>
              <w:tc>
                <w:tcPr>
                  <w:tcW w:w="13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1.1%</w:t>
                  </w:r>
                </w:p>
              </w:tc>
              <w:tc>
                <w:tcPr>
                  <w:tcW w:w="1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0.8%</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372" w:type="dxa"/>
                  <w:tcBorders>
                    <w:top w:val="single" w:color="000000" w:sz="4" w:space="0"/>
                    <w:left w:val="single" w:color="000000" w:sz="4" w:space="0"/>
                    <w:bottom w:val="single" w:color="000000" w:sz="4" w:space="0"/>
                    <w:right w:val="single" w:color="000000" w:sz="4" w:space="0"/>
                  </w:tcBorders>
                </w:tcPr>
                <w:p>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710" w:type="dxa"/>
                  <w:tcBorders>
                    <w:top w:val="single" w:color="000000" w:sz="4" w:space="0"/>
                    <w:left w:val="single" w:color="000000" w:sz="4" w:space="0"/>
                    <w:bottom w:val="single" w:color="000000" w:sz="4" w:space="0"/>
                    <w:right w:val="single" w:color="000000" w:sz="4" w:space="0"/>
                  </w:tcBorders>
                </w:tcPr>
                <w:p>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425" w:type="dxa"/>
                  <w:tcBorders>
                    <w:top w:val="single" w:color="000000" w:sz="4" w:space="0"/>
                    <w:left w:val="single" w:color="000000" w:sz="4" w:space="0"/>
                    <w:bottom w:val="single" w:color="000000" w:sz="4" w:space="0"/>
                    <w:right w:val="single" w:color="000000" w:sz="4" w:space="0"/>
                  </w:tcBorders>
                </w:tcPr>
                <w:p>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r>
          </w:tbl>
          <w:p>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注：招标代理服务费按差额定率累进法计算。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p>
        </w:tc>
        <w:tc>
          <w:tcPr>
            <w:tcW w:w="8596" w:type="dxa"/>
          </w:tcPr>
          <w:p>
            <w:pPr>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解释权</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本招标文件是根据《中华人民共和国政府采购法》、《中华人民共和国政府采购法实施条例》及</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p>
        </w:tc>
        <w:tc>
          <w:tcPr>
            <w:tcW w:w="8596" w:type="dxa"/>
          </w:tcPr>
          <w:p>
            <w:pPr>
              <w:spacing w:line="560" w:lineRule="exact"/>
              <w:jc w:val="both"/>
              <w:rPr>
                <w:rStyle w:val="47"/>
                <w:rFonts w:ascii="仿宋" w:hAnsi="仿宋" w:eastAsia="仿宋"/>
                <w:color w:val="auto"/>
                <w:sz w:val="32"/>
                <w:szCs w:val="32"/>
                <w:highlight w:val="none"/>
              </w:rPr>
            </w:pPr>
            <w:r>
              <w:rPr>
                <w:rStyle w:val="47"/>
                <w:rFonts w:hint="eastAsia" w:ascii="仿宋" w:hAnsi="仿宋" w:eastAsia="仿宋"/>
                <w:color w:val="auto"/>
                <w:kern w:val="1"/>
                <w:sz w:val="32"/>
                <w:szCs w:val="32"/>
                <w:highlight w:val="none"/>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p>
        </w:tc>
        <w:tc>
          <w:tcPr>
            <w:tcW w:w="8596" w:type="dxa"/>
          </w:tcPr>
          <w:p>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资金来源：</w:t>
            </w:r>
            <w:r>
              <w:rPr>
                <w:rStyle w:val="47"/>
                <w:rFonts w:hint="eastAsia" w:ascii="仿宋" w:hAnsi="仿宋" w:eastAsia="仿宋"/>
                <w:color w:val="auto"/>
                <w:kern w:val="1"/>
                <w:sz w:val="32"/>
                <w:szCs w:val="32"/>
                <w:highlight w:val="none"/>
                <w:lang w:eastAsia="zh-CN"/>
              </w:rPr>
              <w:t>财政资金</w:t>
            </w:r>
            <w:r>
              <w:rPr>
                <w:rStyle w:val="47"/>
                <w:rFonts w:hint="eastAsia" w:ascii="仿宋" w:hAnsi="仿宋" w:eastAsia="仿宋"/>
                <w:color w:val="auto"/>
                <w:kern w:val="1"/>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p>
        </w:tc>
        <w:tc>
          <w:tcPr>
            <w:tcW w:w="8596" w:type="dxa"/>
          </w:tcPr>
          <w:p>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接收质疑函方式：以书面形式</w:t>
            </w:r>
          </w:p>
          <w:p>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（1）广西龙建工程管理有限公司（采购代理机构），联系电话：0772-4280129，通讯地址：来宾市政和路北88号硅谷大厦3楼</w:t>
            </w:r>
          </w:p>
          <w:p>
            <w:pPr>
              <w:spacing w:line="560" w:lineRule="exact"/>
              <w:jc w:val="both"/>
              <w:rPr>
                <w:rStyle w:val="47"/>
                <w:rFonts w:hint="eastAsia" w:ascii="仿宋" w:hAnsi="仿宋" w:eastAsia="仿宋"/>
                <w:color w:val="auto"/>
                <w:kern w:val="1"/>
                <w:sz w:val="32"/>
                <w:szCs w:val="32"/>
                <w:highlight w:val="none"/>
                <w:lang w:eastAsia="zh-CN"/>
              </w:rPr>
            </w:pPr>
            <w:r>
              <w:rPr>
                <w:rStyle w:val="47"/>
                <w:rFonts w:hint="eastAsia" w:ascii="仿宋" w:hAnsi="仿宋" w:eastAsia="仿宋"/>
                <w:color w:val="auto"/>
                <w:kern w:val="1"/>
                <w:sz w:val="32"/>
                <w:szCs w:val="32"/>
                <w:highlight w:val="none"/>
              </w:rPr>
              <w:t>（2）</w:t>
            </w:r>
            <w:r>
              <w:rPr>
                <w:rStyle w:val="47"/>
                <w:rFonts w:hint="eastAsia" w:ascii="仿宋" w:hAnsi="仿宋" w:eastAsia="仿宋"/>
                <w:color w:val="auto"/>
                <w:kern w:val="1"/>
                <w:sz w:val="32"/>
                <w:szCs w:val="32"/>
                <w:highlight w:val="none"/>
                <w:lang w:eastAsia="zh-CN"/>
              </w:rPr>
              <w:t>来宾市卫生学校（来宾市卫生干部培训中心）</w:t>
            </w:r>
            <w:r>
              <w:rPr>
                <w:rStyle w:val="47"/>
                <w:rFonts w:hint="eastAsia" w:ascii="仿宋" w:hAnsi="仿宋" w:eastAsia="仿宋"/>
                <w:color w:val="auto"/>
                <w:kern w:val="1"/>
                <w:sz w:val="32"/>
                <w:szCs w:val="32"/>
                <w:highlight w:val="none"/>
              </w:rPr>
              <w:t>（采购人），联系电话：</w:t>
            </w:r>
            <w:r>
              <w:rPr>
                <w:rStyle w:val="47"/>
                <w:rFonts w:hint="eastAsia" w:ascii="仿宋" w:hAnsi="仿宋" w:eastAsia="仿宋"/>
                <w:color w:val="auto"/>
                <w:kern w:val="1"/>
                <w:sz w:val="32"/>
                <w:szCs w:val="32"/>
                <w:highlight w:val="none"/>
                <w:lang w:eastAsia="zh-CN"/>
              </w:rPr>
              <w:t>何老师0772-4211028</w:t>
            </w:r>
            <w:r>
              <w:rPr>
                <w:rStyle w:val="47"/>
                <w:rFonts w:hint="eastAsia" w:ascii="仿宋" w:hAnsi="仿宋" w:eastAsia="仿宋"/>
                <w:color w:val="auto"/>
                <w:kern w:val="1"/>
                <w:sz w:val="32"/>
                <w:szCs w:val="32"/>
                <w:highlight w:val="none"/>
              </w:rPr>
              <w:t>，通讯地址：</w:t>
            </w:r>
            <w:r>
              <w:rPr>
                <w:rStyle w:val="47"/>
                <w:rFonts w:hint="eastAsia" w:ascii="仿宋" w:hAnsi="仿宋" w:eastAsia="仿宋"/>
                <w:color w:val="auto"/>
                <w:kern w:val="1"/>
                <w:sz w:val="32"/>
                <w:szCs w:val="32"/>
                <w:highlight w:val="none"/>
                <w:lang w:eastAsia="zh-CN"/>
              </w:rPr>
              <w:t>来宾市华侨大道水韵路68号</w:t>
            </w:r>
          </w:p>
          <w:p>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质疑办理业务时间（北京时间）：每天8时00分到12时00分，15时00分到18时00分，业务时间以外、双休日和法定节假日不办理业务。</w:t>
            </w:r>
          </w:p>
        </w:tc>
      </w:tr>
    </w:tbl>
    <w:p>
      <w:pPr>
        <w:pStyle w:val="3"/>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5"/>
        <w:spacing w:line="560" w:lineRule="exact"/>
        <w:ind w:left="0" w:right="0"/>
        <w:rPr>
          <w:rFonts w:ascii="仿宋" w:hAnsi="仿宋" w:eastAsia="仿宋" w:cs="仿宋"/>
          <w:color w:val="auto"/>
          <w:spacing w:val="-2"/>
          <w:highlight w:val="none"/>
        </w:rPr>
      </w:pPr>
      <w:r>
        <w:rPr>
          <w:rFonts w:hint="eastAsia" w:ascii="仿宋" w:hAnsi="仿宋" w:eastAsia="仿宋" w:cs="仿宋"/>
          <w:color w:val="auto"/>
          <w:spacing w:val="-2"/>
          <w:highlight w:val="none"/>
        </w:rPr>
        <w:t>投标人须知正文</w:t>
      </w:r>
    </w:p>
    <w:p>
      <w:pPr>
        <w:pStyle w:val="5"/>
        <w:spacing w:line="560" w:lineRule="exact"/>
        <w:ind w:left="0" w:right="0"/>
        <w:rPr>
          <w:rFonts w:ascii="仿宋" w:hAnsi="仿宋" w:eastAsia="仿宋" w:cs="仿宋"/>
          <w:color w:val="auto"/>
          <w:highlight w:val="none"/>
        </w:rPr>
      </w:pPr>
      <w:bookmarkStart w:id="21" w:name="_Toc12366"/>
      <w:r>
        <w:rPr>
          <w:rFonts w:hint="eastAsia" w:ascii="仿宋" w:hAnsi="仿宋" w:eastAsia="仿宋" w:cs="仿宋"/>
          <w:color w:val="auto"/>
          <w:highlight w:val="none"/>
        </w:rPr>
        <w:t>一、</w:t>
      </w:r>
      <w:r>
        <w:rPr>
          <w:rFonts w:hint="eastAsia" w:ascii="仿宋" w:hAnsi="仿宋" w:eastAsia="仿宋" w:cs="仿宋"/>
          <w:color w:val="auto"/>
          <w:spacing w:val="26"/>
          <w:highlight w:val="none"/>
        </w:rPr>
        <w:t>总 则</w:t>
      </w:r>
      <w:bookmarkEnd w:id="21"/>
    </w:p>
    <w:p>
      <w:pPr>
        <w:pStyle w:val="10"/>
        <w:tabs>
          <w:tab w:val="left" w:pos="1137"/>
        </w:tabs>
        <w:spacing w:line="560" w:lineRule="exact"/>
        <w:ind w:left="-245" w:firstLine="916" w:firstLineChars="300"/>
        <w:rPr>
          <w:rFonts w:ascii="仿宋" w:hAnsi="仿宋" w:eastAsia="仿宋" w:cs="仿宋"/>
          <w:color w:val="auto"/>
          <w:sz w:val="32"/>
          <w:szCs w:val="32"/>
          <w:highlight w:val="none"/>
        </w:rPr>
      </w:pPr>
      <w:bookmarkStart w:id="22" w:name="_Toc24340"/>
      <w:r>
        <w:rPr>
          <w:rFonts w:hint="eastAsia" w:ascii="仿宋" w:hAnsi="仿宋" w:eastAsia="仿宋" w:cs="仿宋"/>
          <w:color w:val="auto"/>
          <w:w w:val="95"/>
          <w:sz w:val="32"/>
          <w:szCs w:val="32"/>
          <w:highlight w:val="none"/>
        </w:rPr>
        <w:t>1.适用范</w:t>
      </w:r>
      <w:r>
        <w:rPr>
          <w:rFonts w:hint="eastAsia" w:ascii="仿宋" w:hAnsi="仿宋" w:eastAsia="仿宋" w:cs="仿宋"/>
          <w:color w:val="auto"/>
          <w:spacing w:val="-10"/>
          <w:w w:val="95"/>
          <w:sz w:val="32"/>
          <w:szCs w:val="32"/>
          <w:highlight w:val="none"/>
        </w:rPr>
        <w:t>围</w:t>
      </w:r>
      <w:bookmarkEnd w:id="22"/>
    </w:p>
    <w:p>
      <w:pPr>
        <w:pStyle w:val="45"/>
        <w:tabs>
          <w:tab w:val="left" w:pos="1260"/>
        </w:tabs>
        <w:spacing w:line="560" w:lineRule="exact"/>
        <w:ind w:left="0" w:firstLine="62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1.1适用法律：本项目采购人、采购代理机构、投标人、评标委员会的相关行为均受《中华人民共和国政府采购法》、《中华人民共和国政府采购法实施条例》、</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w:t>
      </w:r>
      <w:r>
        <w:rPr>
          <w:rFonts w:hint="eastAsia" w:ascii="仿宋" w:hAnsi="仿宋" w:eastAsia="仿宋" w:cs="仿宋"/>
          <w:color w:val="auto"/>
          <w:spacing w:val="-1"/>
          <w:w w:val="99"/>
          <w:sz w:val="32"/>
          <w:szCs w:val="32"/>
          <w:highlight w:val="none"/>
        </w:rPr>
        <w:t>及本项目本级和上级财政部门政府采购有关规定的约束和保护。</w:t>
      </w:r>
    </w:p>
    <w:p>
      <w:pPr>
        <w:pStyle w:val="45"/>
        <w:tabs>
          <w:tab w:val="left" w:pos="1260"/>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1.2本招标文件适用于本项目的所有采购程序和环节（法律、法规另有规定的，从其规定）</w:t>
      </w:r>
      <w:r>
        <w:rPr>
          <w:rFonts w:hint="eastAsia" w:ascii="仿宋" w:hAnsi="仿宋" w:eastAsia="仿宋" w:cs="仿宋"/>
          <w:color w:val="auto"/>
          <w:spacing w:val="-10"/>
          <w:w w:val="95"/>
          <w:sz w:val="32"/>
          <w:szCs w:val="32"/>
          <w:highlight w:val="none"/>
        </w:rPr>
        <w:t>。</w:t>
      </w:r>
    </w:p>
    <w:p>
      <w:pPr>
        <w:pStyle w:val="10"/>
        <w:tabs>
          <w:tab w:val="left" w:pos="1137"/>
        </w:tabs>
        <w:spacing w:line="560" w:lineRule="exact"/>
        <w:ind w:left="0" w:firstLine="611" w:firstLineChars="200"/>
        <w:rPr>
          <w:rFonts w:ascii="仿宋" w:hAnsi="仿宋" w:eastAsia="仿宋" w:cs="仿宋"/>
          <w:color w:val="auto"/>
          <w:sz w:val="32"/>
          <w:szCs w:val="32"/>
          <w:highlight w:val="none"/>
        </w:rPr>
      </w:pPr>
      <w:bookmarkStart w:id="23" w:name="_Toc11926"/>
      <w:r>
        <w:rPr>
          <w:rFonts w:hint="eastAsia" w:ascii="仿宋" w:hAnsi="仿宋" w:eastAsia="仿宋" w:cs="仿宋"/>
          <w:color w:val="auto"/>
          <w:w w:val="95"/>
          <w:sz w:val="32"/>
          <w:szCs w:val="32"/>
          <w:highlight w:val="none"/>
        </w:rPr>
        <w:t>2.定</w:t>
      </w:r>
      <w:r>
        <w:rPr>
          <w:rFonts w:hint="eastAsia" w:ascii="仿宋" w:hAnsi="仿宋" w:eastAsia="仿宋" w:cs="仿宋"/>
          <w:color w:val="auto"/>
          <w:spacing w:val="-10"/>
          <w:sz w:val="32"/>
          <w:szCs w:val="32"/>
          <w:highlight w:val="none"/>
        </w:rPr>
        <w:t>义</w:t>
      </w:r>
      <w:bookmarkEnd w:id="23"/>
    </w:p>
    <w:p>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1.1“采购人”是指依法进行政府采购的国家机关、事业单位、团体组织。</w:t>
      </w:r>
    </w:p>
    <w:p>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1.2“采购代理机构”是指政府采购代理机构</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2"/>
          <w:w w:val="99"/>
          <w:sz w:val="32"/>
          <w:szCs w:val="32"/>
          <w:highlight w:val="none"/>
        </w:rPr>
        <w:t>以下简称采购代理机构）</w:t>
      </w:r>
      <w:r>
        <w:rPr>
          <w:rFonts w:hint="eastAsia" w:ascii="仿宋" w:hAnsi="仿宋" w:eastAsia="仿宋" w:cs="仿宋"/>
          <w:color w:val="auto"/>
          <w:spacing w:val="1"/>
          <w:w w:val="99"/>
          <w:sz w:val="32"/>
          <w:szCs w:val="32"/>
          <w:highlight w:val="none"/>
        </w:rPr>
        <w:t>是指集中采购机构以外、受</w:t>
      </w:r>
      <w:r>
        <w:rPr>
          <w:rFonts w:hint="eastAsia" w:ascii="仿宋" w:hAnsi="仿宋" w:eastAsia="仿宋" w:cs="仿宋"/>
          <w:color w:val="auto"/>
          <w:spacing w:val="-1"/>
          <w:w w:val="99"/>
          <w:sz w:val="32"/>
          <w:szCs w:val="32"/>
          <w:highlight w:val="none"/>
        </w:rPr>
        <w:t>采购人委托从事政府采购代理业务的社会中介机构。</w:t>
      </w:r>
    </w:p>
    <w:p>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1.3“供应商”是指向采购人提供货物、工程或者服务的法人、其他组织或者自然人。</w:t>
      </w:r>
    </w:p>
    <w:p>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1.4“投标人”是指响应招标、参加投标竞争的法人、非法人组织或者自然人。</w:t>
      </w:r>
    </w:p>
    <w:p>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1.5“服务”是指除货物和工程以外的其他政府采购对象。</w:t>
      </w:r>
    </w:p>
    <w:p>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1.6“书面形式”是指合同书、信件和数据电文</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包括电报、电传、传真、短信、电子数据交换和电</w:t>
      </w:r>
      <w:r>
        <w:rPr>
          <w:rFonts w:hint="eastAsia" w:ascii="仿宋" w:hAnsi="仿宋" w:eastAsia="仿宋" w:cs="仿宋"/>
          <w:color w:val="auto"/>
          <w:spacing w:val="-1"/>
          <w:w w:val="99"/>
          <w:sz w:val="32"/>
          <w:szCs w:val="32"/>
          <w:highlight w:val="none"/>
        </w:rPr>
        <w:t>子邮件</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等可以有形地表现所载内容的形式。</w:t>
      </w:r>
    </w:p>
    <w:p>
      <w:pPr>
        <w:pStyle w:val="45"/>
        <w:tabs>
          <w:tab w:val="left" w:pos="1210"/>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1.7“实质性要求”是指招标文件中已经指明不满足则投标无效的条款，或者不能负偏离的条款，或</w:t>
      </w:r>
      <w:r>
        <w:rPr>
          <w:rFonts w:hint="eastAsia" w:ascii="仿宋" w:hAnsi="仿宋" w:eastAsia="仿宋" w:cs="仿宋"/>
          <w:color w:val="auto"/>
          <w:spacing w:val="-1"/>
          <w:w w:val="99"/>
          <w:sz w:val="32"/>
          <w:szCs w:val="32"/>
          <w:highlight w:val="none"/>
        </w:rPr>
        <w:t>者采购需求中带“</w:t>
      </w:r>
      <w:r>
        <w:rPr>
          <w:rFonts w:hint="eastAsia" w:ascii="仿宋" w:hAnsi="仿宋" w:eastAsia="仿宋" w:cs="仿宋"/>
          <w:color w:val="auto"/>
          <w:sz w:val="32"/>
          <w:szCs w:val="32"/>
          <w:highlight w:val="none"/>
        </w:rPr>
        <w:t>*</w:t>
      </w:r>
      <w:r>
        <w:rPr>
          <w:rFonts w:hint="eastAsia" w:ascii="仿宋" w:hAnsi="仿宋" w:eastAsia="仿宋" w:cs="仿宋"/>
          <w:color w:val="auto"/>
          <w:spacing w:val="-1"/>
          <w:w w:val="99"/>
          <w:sz w:val="32"/>
          <w:szCs w:val="32"/>
          <w:highlight w:val="none"/>
        </w:rPr>
        <w:t>”的条款。</w:t>
      </w:r>
    </w:p>
    <w:p>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1.8“正偏离”，是指投标文件对招标文件“采购需求”中有关条款作出的响应优于条款要求并有利于采购人的情形。</w:t>
      </w:r>
    </w:p>
    <w:p>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1.9“负偏离”，是指投标文件对招标文件“采购需求”中有关条款作出的响应不满足条款要求，导致采购人要求不能得到满足的情形。</w:t>
      </w:r>
    </w:p>
    <w:p>
      <w:pPr>
        <w:pStyle w:val="45"/>
        <w:tabs>
          <w:tab w:val="left" w:pos="131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2.0“允许负偏离的条款”是指采购需求中的不属于“实质性要求”的条款。</w:t>
      </w:r>
    </w:p>
    <w:p>
      <w:pPr>
        <w:pStyle w:val="10"/>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3.投标人的资格要求</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1"/>
          <w:w w:val="95"/>
          <w:sz w:val="32"/>
          <w:szCs w:val="32"/>
          <w:highlight w:val="none"/>
        </w:rPr>
        <w:t>“投标人须知前附表”。</w:t>
      </w:r>
    </w:p>
    <w:p>
      <w:pPr>
        <w:pStyle w:val="10"/>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4.投标委托</w:t>
      </w:r>
    </w:p>
    <w:p>
      <w:pPr>
        <w:pStyle w:val="13"/>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投标人代表参加投标活动过程中必须携带个人有效身份证件。如投标人代表不是法定代表人</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负责</w:t>
      </w:r>
      <w:r>
        <w:rPr>
          <w:rFonts w:hint="eastAsia" w:ascii="仿宋" w:hAnsi="仿宋" w:eastAsia="仿宋" w:cs="仿宋"/>
          <w:color w:val="auto"/>
          <w:spacing w:val="2"/>
          <w:w w:val="99"/>
          <w:sz w:val="32"/>
          <w:szCs w:val="32"/>
          <w:highlight w:val="none"/>
        </w:rPr>
        <w:t>人</w:t>
      </w:r>
      <w:r>
        <w:rPr>
          <w:rFonts w:hint="eastAsia" w:ascii="仿宋" w:hAnsi="仿宋" w:eastAsia="仿宋" w:cs="仿宋"/>
          <w:color w:val="auto"/>
          <w:spacing w:val="-1"/>
          <w:w w:val="99"/>
          <w:sz w:val="32"/>
          <w:szCs w:val="32"/>
          <w:highlight w:val="none"/>
        </w:rPr>
        <w:t>），须持有法定代表人（</w:t>
      </w:r>
      <w:r>
        <w:rPr>
          <w:rFonts w:hint="eastAsia" w:ascii="仿宋" w:hAnsi="仿宋" w:eastAsia="仿宋" w:cs="仿宋"/>
          <w:color w:val="auto"/>
          <w:w w:val="99"/>
          <w:sz w:val="32"/>
          <w:szCs w:val="32"/>
          <w:highlight w:val="none"/>
        </w:rPr>
        <w:t>负责人</w:t>
      </w:r>
      <w:r>
        <w:rPr>
          <w:rFonts w:hint="eastAsia" w:ascii="仿宋" w:hAnsi="仿宋" w:eastAsia="仿宋" w:cs="仿宋"/>
          <w:color w:val="auto"/>
          <w:spacing w:val="-1"/>
          <w:w w:val="99"/>
          <w:sz w:val="32"/>
          <w:szCs w:val="32"/>
          <w:highlight w:val="none"/>
        </w:rPr>
        <w:t>）授权委托书</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按第六章要求格式填写）</w:t>
      </w:r>
      <w:r>
        <w:rPr>
          <w:rFonts w:hint="eastAsia" w:ascii="仿宋" w:hAnsi="仿宋" w:eastAsia="仿宋" w:cs="仿宋"/>
          <w:color w:val="auto"/>
          <w:w w:val="99"/>
          <w:sz w:val="32"/>
          <w:szCs w:val="32"/>
          <w:highlight w:val="none"/>
        </w:rPr>
        <w:t>。</w:t>
      </w:r>
    </w:p>
    <w:p>
      <w:pPr>
        <w:pStyle w:val="10"/>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5.投标费用</w:t>
      </w:r>
    </w:p>
    <w:p>
      <w:pPr>
        <w:pStyle w:val="13"/>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9"/>
          <w:w w:val="99"/>
          <w:sz w:val="32"/>
          <w:szCs w:val="32"/>
          <w:highlight w:val="none"/>
        </w:rPr>
        <w:t>投标费用：投标人应承担参与本次采购活动有关的所有费用，包括但不限于获取招标文件、勘查现场、</w:t>
      </w:r>
      <w:r>
        <w:rPr>
          <w:rFonts w:hint="eastAsia" w:ascii="仿宋" w:hAnsi="仿宋" w:eastAsia="仿宋" w:cs="仿宋"/>
          <w:color w:val="auto"/>
          <w:spacing w:val="-1"/>
          <w:w w:val="99"/>
          <w:sz w:val="32"/>
          <w:szCs w:val="32"/>
          <w:highlight w:val="none"/>
        </w:rPr>
        <w:t>编制和提交投标文件、参加澄清说明、签订合同等，不论投标结果如何，均应自行承担。</w:t>
      </w:r>
    </w:p>
    <w:p>
      <w:pPr>
        <w:pStyle w:val="10"/>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6.联合体投标</w:t>
      </w:r>
    </w:p>
    <w:p>
      <w:pPr>
        <w:pStyle w:val="10"/>
        <w:tabs>
          <w:tab w:val="left" w:pos="1137"/>
        </w:tabs>
        <w:spacing w:line="560" w:lineRule="exact"/>
        <w:ind w:left="0" w:firstLine="600" w:firstLineChars="200"/>
        <w:rPr>
          <w:rFonts w:ascii="仿宋" w:hAnsi="仿宋" w:eastAsia="仿宋" w:cs="仿宋"/>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不接受</w:t>
      </w:r>
      <w:r>
        <w:rPr>
          <w:rFonts w:hint="eastAsia" w:ascii="仿宋" w:hAnsi="仿宋" w:eastAsia="仿宋" w:cs="仿宋"/>
          <w:b w:val="0"/>
          <w:bCs w:val="0"/>
          <w:color w:val="auto"/>
          <w:w w:val="95"/>
          <w:sz w:val="32"/>
          <w:szCs w:val="32"/>
          <w:highlight w:val="none"/>
        </w:rPr>
        <w:t>联合体投标</w:t>
      </w:r>
    </w:p>
    <w:p>
      <w:pPr>
        <w:pStyle w:val="10"/>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7.转包与分包</w:t>
      </w:r>
    </w:p>
    <w:p>
      <w:pPr>
        <w:pStyle w:val="45"/>
        <w:tabs>
          <w:tab w:val="left" w:pos="1260"/>
        </w:tabs>
        <w:spacing w:line="560" w:lineRule="exact"/>
        <w:ind w:left="-368" w:firstLine="900" w:firstLineChars="3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本项目不允许转包。</w:t>
      </w:r>
    </w:p>
    <w:p>
      <w:pPr>
        <w:pStyle w:val="10"/>
        <w:tabs>
          <w:tab w:val="left" w:pos="1137"/>
        </w:tabs>
        <w:spacing w:line="560" w:lineRule="exact"/>
        <w:ind w:left="0" w:firstLine="603"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8.特别说明：</w:t>
      </w:r>
    </w:p>
    <w:p>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（1）如果本招标文件要求投标人提供资格、信誉、荣誉、业绩与企业认证等材料的，则投标人所提供</w:t>
      </w:r>
      <w:r>
        <w:rPr>
          <w:rFonts w:hint="eastAsia" w:ascii="仿宋" w:hAnsi="仿宋" w:eastAsia="仿宋" w:cs="仿宋"/>
          <w:color w:val="auto"/>
          <w:w w:val="99"/>
          <w:sz w:val="32"/>
          <w:szCs w:val="32"/>
          <w:highlight w:val="none"/>
        </w:rPr>
        <w:t>的以上材料必须为本投标人所拥有。</w:t>
      </w:r>
    </w:p>
    <w:p>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（2）投标人应仔细阅读招标文件的所有内容，按照招标文件的要求提交投标文件，并对所提供的全部</w:t>
      </w:r>
      <w:r>
        <w:rPr>
          <w:rFonts w:hint="eastAsia" w:ascii="仿宋" w:hAnsi="仿宋" w:eastAsia="仿宋" w:cs="仿宋"/>
          <w:color w:val="auto"/>
          <w:w w:val="99"/>
          <w:sz w:val="32"/>
          <w:szCs w:val="32"/>
          <w:highlight w:val="none"/>
        </w:rPr>
        <w:t>资料的真实性承担法律责任。</w:t>
      </w:r>
    </w:p>
    <w:p>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（3）投标人在投标活动中提供任何虚假材料，将报监管部门查处；中标后发现的，中标人须依照《中</w:t>
      </w:r>
      <w:r>
        <w:rPr>
          <w:rFonts w:hint="eastAsia" w:ascii="仿宋" w:hAnsi="仿宋" w:eastAsia="仿宋" w:cs="仿宋"/>
          <w:color w:val="auto"/>
          <w:spacing w:val="-1"/>
          <w:w w:val="99"/>
          <w:sz w:val="32"/>
          <w:szCs w:val="32"/>
          <w:highlight w:val="none"/>
        </w:rPr>
        <w:t>华人民共和国消费者权益保护法》规定赔偿采购人，且民事赔偿并不免除违法投标人的行政与刑事责任。</w:t>
      </w:r>
    </w:p>
    <w:p>
      <w:pPr>
        <w:pStyle w:val="10"/>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9.回避与串通投标</w:t>
      </w:r>
    </w:p>
    <w:p>
      <w:pPr>
        <w:pStyle w:val="10"/>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1.1在政府采购活动中，采购人员及相关人员与供应商有下列利害关系之一的，应当回避：</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（1）参加采购活动前 3 年内与供应商存在劳动关系；</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（2）参加采购活动前 3 年内担任供应商的董事、监事；</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（3）参加采购活动前 3 年内是供应商的控股股东或者实际控制人；</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（4）与供应商的法定代表人或者负责人有夫妻、直系血亲、三代以内旁系血亲或者近姻亲关系；</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（5）与供应商有其他可能影响政府采购活动公平、公正进行的关系。</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10"/>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1.2有下列情形之一的视为投标人相互串通投标，投标文件将被视为无效：</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（1）不同投标人的投标文件由同一单位或者个人编制；或者不同投标人报名的IP地址一致的；</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（2）不同投标人委托同一单位或者个人办理投标事宜；</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（3）不同的投标人的投标文件载明的项目管理员或者联系人员为同一个人；</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（4）不同投标人的电子投标文件异常一致；</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（5）不同投标人的电子投标文件资料相互混装。</w:t>
      </w:r>
    </w:p>
    <w:p>
      <w:pPr>
        <w:pStyle w:val="10"/>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1.3供应商有下列情形之一的，属于恶意串通行为，将报同级监督管理部门：</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（1）供应商直接或者间接从采购人或者采购代理机构处获得其他供应商的相关信息并修改其投标文件或者投标文件；</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（2）供应商按照采购人或者采购代理机构的授意撤换、修改投标文件或者投标文件；</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（3）供应商之间协商技术方案等投标文件或者投标文件的实质性内容；</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（4）属于同一集团、协会、商会等组织成员的供应商按照该组织要求协同参加政府采购活动；</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（5）供应商之间事先约定一致抬高或者压低投标报价，或者在招标项目中事先约定轮流以高价位或者低价位中标，或者事先约定由某一特定供应商中标，然后再参加投标；</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（6）供应商之间商定部分供应商放弃参加政府采购活动或者放弃中标；</w:t>
      </w:r>
    </w:p>
    <w:p>
      <w:pPr>
        <w:pStyle w:val="10"/>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（7）供应商与采购人或者采购代理机构之间、供应商相互之间，为谋求特定供应商中标或者排斥其他供应商的其他串通行为。</w:t>
      </w:r>
    </w:p>
    <w:p>
      <w:pPr>
        <w:pStyle w:val="13"/>
        <w:spacing w:line="560" w:lineRule="exact"/>
        <w:rPr>
          <w:rFonts w:ascii="仿宋" w:hAnsi="仿宋" w:eastAsia="仿宋" w:cs="仿宋"/>
          <w:b/>
          <w:color w:val="auto"/>
          <w:sz w:val="32"/>
          <w:szCs w:val="32"/>
          <w:highlight w:val="none"/>
        </w:rPr>
      </w:pPr>
    </w:p>
    <w:p>
      <w:pPr>
        <w:pStyle w:val="5"/>
        <w:spacing w:line="560" w:lineRule="exact"/>
        <w:ind w:left="0" w:right="0"/>
        <w:rPr>
          <w:rFonts w:ascii="仿宋" w:hAnsi="仿宋" w:eastAsia="仿宋" w:cs="仿宋"/>
          <w:b w:val="0"/>
          <w:bCs w:val="0"/>
          <w:color w:val="auto"/>
          <w:spacing w:val="-2"/>
          <w:w w:val="95"/>
          <w:highlight w:val="none"/>
        </w:rPr>
      </w:pPr>
      <w:bookmarkStart w:id="24" w:name="_Toc9155"/>
      <w:r>
        <w:rPr>
          <w:rFonts w:hint="eastAsia" w:ascii="仿宋" w:hAnsi="仿宋" w:eastAsia="仿宋" w:cs="仿宋"/>
          <w:color w:val="auto"/>
          <w:w w:val="95"/>
          <w:highlight w:val="none"/>
        </w:rPr>
        <w:t>二、招</w:t>
      </w:r>
      <w:r>
        <w:rPr>
          <w:rFonts w:hint="eastAsia" w:ascii="仿宋" w:hAnsi="仿宋" w:eastAsia="仿宋" w:cs="仿宋"/>
          <w:color w:val="auto"/>
          <w:spacing w:val="-4"/>
          <w:w w:val="95"/>
          <w:highlight w:val="none"/>
        </w:rPr>
        <w:t>标文件</w:t>
      </w:r>
      <w:bookmarkEnd w:id="24"/>
    </w:p>
    <w:p>
      <w:pPr>
        <w:pStyle w:val="10"/>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5" w:name="_Toc29584"/>
      <w:r>
        <w:rPr>
          <w:rFonts w:hint="eastAsia" w:ascii="仿宋" w:hAnsi="仿宋" w:eastAsia="仿宋" w:cs="仿宋"/>
          <w:b w:val="0"/>
          <w:bCs w:val="0"/>
          <w:color w:val="auto"/>
          <w:spacing w:val="-2"/>
          <w:w w:val="95"/>
          <w:sz w:val="32"/>
          <w:szCs w:val="32"/>
          <w:highlight w:val="none"/>
        </w:rPr>
        <w:t>1.招标文件的组成</w:t>
      </w:r>
      <w:bookmarkEnd w:id="25"/>
    </w:p>
    <w:p>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（1）招标公告；</w:t>
      </w:r>
    </w:p>
    <w:p>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（2）采购需求；</w:t>
      </w:r>
    </w:p>
    <w:p>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（3）投标人须知；</w:t>
      </w:r>
    </w:p>
    <w:p>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（4）评标方法及评标标准；</w:t>
      </w:r>
    </w:p>
    <w:p>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（5）拟签订的合同文本；</w:t>
      </w:r>
    </w:p>
    <w:p>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（6）投标文件格式。</w:t>
      </w:r>
    </w:p>
    <w:p>
      <w:pPr>
        <w:pStyle w:val="10"/>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6" w:name="_Toc9947"/>
      <w:r>
        <w:rPr>
          <w:rFonts w:hint="eastAsia" w:ascii="仿宋" w:hAnsi="仿宋" w:eastAsia="仿宋" w:cs="仿宋"/>
          <w:b w:val="0"/>
          <w:bCs w:val="0"/>
          <w:color w:val="auto"/>
          <w:spacing w:val="-2"/>
          <w:w w:val="95"/>
          <w:sz w:val="32"/>
          <w:szCs w:val="32"/>
          <w:highlight w:val="none"/>
        </w:rPr>
        <w:t>2.招标文件的澄清、修改 、现场考察和答疑会</w:t>
      </w:r>
      <w:bookmarkEnd w:id="26"/>
    </w:p>
    <w:p>
      <w:pPr>
        <w:pStyle w:val="5"/>
        <w:spacing w:line="560" w:lineRule="exact"/>
        <w:ind w:left="0" w:right="0"/>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1.1采购人或者采购代理机构可以对已发出的招标文件进行必要的澄清或者修改，但不得改变采购标的和资格条件。澄清或者修改应当在原公告发布媒体上发布澄清或者更正公告。澄清或者修改的内容为招标文件的组成部分。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澄清或者更正公告在中国政府采购网、广西壮族自治区政府采购网、全国公共资源交易平台（广西•来宾）发布，一经发布，视作已以书面形式通知所有获取招标文件的潜在投标人，不再另行通知，所有潜在投标人应密切关注原招标公告发布媒体，因未</w:t>
      </w:r>
    </w:p>
    <w:p>
      <w:pPr>
        <w:pStyle w:val="5"/>
        <w:spacing w:line="560" w:lineRule="exact"/>
        <w:ind w:left="0" w:right="0"/>
        <w:jc w:val="both"/>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能及时获知，由此产生的后果均应自行承担。</w:t>
      </w:r>
    </w:p>
    <w:p>
      <w:pPr>
        <w:pStyle w:val="5"/>
        <w:spacing w:line="560" w:lineRule="exact"/>
        <w:ind w:left="0" w:right="0"/>
        <w:rPr>
          <w:rFonts w:ascii="仿宋" w:hAnsi="仿宋" w:eastAsia="仿宋" w:cs="仿宋"/>
          <w:color w:val="auto"/>
          <w:highlight w:val="none"/>
        </w:rPr>
      </w:pPr>
      <w:bookmarkStart w:id="27" w:name="_Toc21202"/>
      <w:r>
        <w:rPr>
          <w:rFonts w:hint="eastAsia" w:ascii="仿宋" w:hAnsi="仿宋" w:eastAsia="仿宋" w:cs="仿宋"/>
          <w:color w:val="auto"/>
          <w:w w:val="95"/>
          <w:highlight w:val="none"/>
        </w:rPr>
        <w:t>三、投标文件的编</w:t>
      </w:r>
      <w:r>
        <w:rPr>
          <w:rFonts w:hint="eastAsia" w:ascii="仿宋" w:hAnsi="仿宋" w:eastAsia="仿宋" w:cs="仿宋"/>
          <w:color w:val="auto"/>
          <w:spacing w:val="-10"/>
          <w:w w:val="95"/>
          <w:highlight w:val="none"/>
        </w:rPr>
        <w:t>制</w:t>
      </w:r>
      <w:bookmarkEnd w:id="27"/>
    </w:p>
    <w:p>
      <w:pPr>
        <w:pStyle w:val="10"/>
        <w:tabs>
          <w:tab w:val="left" w:pos="1257"/>
        </w:tabs>
        <w:spacing w:line="560" w:lineRule="exact"/>
        <w:ind w:left="0" w:firstLine="611" w:firstLineChars="200"/>
        <w:rPr>
          <w:rFonts w:ascii="仿宋" w:hAnsi="仿宋" w:eastAsia="仿宋" w:cs="仿宋"/>
          <w:color w:val="auto"/>
          <w:sz w:val="32"/>
          <w:szCs w:val="32"/>
          <w:highlight w:val="none"/>
        </w:rPr>
      </w:pPr>
      <w:bookmarkStart w:id="28" w:name="_Toc13207"/>
      <w:r>
        <w:rPr>
          <w:rFonts w:hint="eastAsia" w:ascii="仿宋" w:hAnsi="仿宋" w:eastAsia="仿宋" w:cs="仿宋"/>
          <w:color w:val="auto"/>
          <w:w w:val="95"/>
          <w:sz w:val="32"/>
          <w:szCs w:val="32"/>
          <w:highlight w:val="none"/>
        </w:rPr>
        <w:t>1.投标文件的编制原</w:t>
      </w:r>
      <w:r>
        <w:rPr>
          <w:rFonts w:hint="eastAsia" w:ascii="仿宋" w:hAnsi="仿宋" w:eastAsia="仿宋" w:cs="仿宋"/>
          <w:color w:val="auto"/>
          <w:spacing w:val="-10"/>
          <w:w w:val="95"/>
          <w:sz w:val="32"/>
          <w:szCs w:val="32"/>
          <w:highlight w:val="none"/>
        </w:rPr>
        <w:t>则</w:t>
      </w:r>
      <w:bookmarkEnd w:id="28"/>
    </w:p>
    <w:p>
      <w:pPr>
        <w:pStyle w:val="13"/>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投标人必须按照招标文件的要求编制投标文件。投标文件必须对招标文件提出的要求和条件作出明确</w:t>
      </w:r>
      <w:r>
        <w:rPr>
          <w:rFonts w:hint="eastAsia" w:ascii="仿宋" w:hAnsi="仿宋" w:eastAsia="仿宋" w:cs="仿宋"/>
          <w:color w:val="auto"/>
          <w:w w:val="99"/>
          <w:sz w:val="32"/>
          <w:szCs w:val="32"/>
          <w:highlight w:val="none"/>
        </w:rPr>
        <w:t>响应。</w:t>
      </w:r>
    </w:p>
    <w:p>
      <w:pPr>
        <w:pStyle w:val="10"/>
        <w:tabs>
          <w:tab w:val="left" w:pos="125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投标文件的组成</w:t>
      </w:r>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1.1投标文件由报价文件、资格证明文件、商务文件、技术文件四部分组成。</w:t>
      </w:r>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（1）报价文件：具体材料见“投标人须知前附表”。</w:t>
      </w:r>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（2）资格证明文件：具体材料见“投标人须知前附表”。</w:t>
      </w:r>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（3）商务文件：具体材料见“投标人须知前附表”。</w:t>
      </w:r>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（4）技术文件：具体材料见“投标人须知前附表”。</w:t>
      </w:r>
    </w:p>
    <w:p>
      <w:pPr>
        <w:pStyle w:val="10"/>
        <w:tabs>
          <w:tab w:val="left" w:pos="1257"/>
        </w:tabs>
        <w:spacing w:line="560" w:lineRule="exact"/>
        <w:ind w:left="0" w:firstLine="611" w:firstLineChars="200"/>
        <w:rPr>
          <w:rFonts w:ascii="仿宋" w:hAnsi="仿宋" w:eastAsia="仿宋" w:cs="仿宋"/>
          <w:color w:val="auto"/>
          <w:w w:val="95"/>
          <w:sz w:val="32"/>
          <w:szCs w:val="32"/>
          <w:highlight w:val="none"/>
        </w:rPr>
      </w:pPr>
      <w:bookmarkStart w:id="29" w:name="_Toc190"/>
      <w:r>
        <w:rPr>
          <w:rFonts w:hint="eastAsia" w:ascii="仿宋" w:hAnsi="仿宋" w:eastAsia="仿宋" w:cs="仿宋"/>
          <w:color w:val="auto"/>
          <w:w w:val="95"/>
          <w:sz w:val="32"/>
          <w:szCs w:val="32"/>
          <w:highlight w:val="none"/>
        </w:rPr>
        <w:t>2.投标文件的语言及计量</w:t>
      </w:r>
      <w:bookmarkEnd w:id="29"/>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1.1语言文字</w:t>
      </w:r>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1.2投标计量单位</w:t>
      </w:r>
    </w:p>
    <w:p>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招标文件已有明确规定的，使用招标文件规定的计量单位；招标文件没有规定的，应采用中华人民共和国法定计量单位，货币种类为人民币，否则视同未响应。</w:t>
      </w:r>
    </w:p>
    <w:p>
      <w:pPr>
        <w:pStyle w:val="10"/>
        <w:tabs>
          <w:tab w:val="left" w:pos="1257"/>
        </w:tabs>
        <w:spacing w:line="560" w:lineRule="exact"/>
        <w:ind w:left="0" w:firstLine="611" w:firstLineChars="200"/>
        <w:rPr>
          <w:rFonts w:ascii="仿宋" w:hAnsi="仿宋" w:eastAsia="仿宋" w:cs="仿宋"/>
          <w:color w:val="auto"/>
          <w:w w:val="95"/>
          <w:sz w:val="32"/>
          <w:szCs w:val="32"/>
          <w:highlight w:val="none"/>
        </w:rPr>
      </w:pPr>
      <w:bookmarkStart w:id="30" w:name="_Toc12951"/>
      <w:r>
        <w:rPr>
          <w:rFonts w:hint="eastAsia" w:ascii="仿宋" w:hAnsi="仿宋" w:eastAsia="仿宋" w:cs="仿宋"/>
          <w:color w:val="auto"/>
          <w:w w:val="95"/>
          <w:sz w:val="32"/>
          <w:szCs w:val="32"/>
          <w:highlight w:val="none"/>
        </w:rPr>
        <w:t>3.投标的风险</w:t>
      </w:r>
      <w:bookmarkEnd w:id="30"/>
    </w:p>
    <w:p>
      <w:pPr>
        <w:pStyle w:val="13"/>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投标人没有按照招标文件要求提供全部资料，或者投标人没有对招标文件作出实质性响应是投标人的</w:t>
      </w:r>
      <w:r>
        <w:rPr>
          <w:rFonts w:hint="eastAsia" w:ascii="仿宋" w:hAnsi="仿宋" w:eastAsia="仿宋" w:cs="仿宋"/>
          <w:color w:val="auto"/>
          <w:spacing w:val="-1"/>
          <w:w w:val="99"/>
          <w:sz w:val="32"/>
          <w:szCs w:val="32"/>
          <w:highlight w:val="none"/>
        </w:rPr>
        <w:t>风险，并可能导致其投标被拒绝。</w:t>
      </w:r>
    </w:p>
    <w:p>
      <w:pPr>
        <w:pStyle w:val="10"/>
        <w:tabs>
          <w:tab w:val="left" w:pos="1257"/>
        </w:tabs>
        <w:spacing w:line="560" w:lineRule="exact"/>
        <w:ind w:left="0" w:firstLine="611" w:firstLineChars="200"/>
        <w:rPr>
          <w:rFonts w:ascii="仿宋" w:hAnsi="仿宋" w:eastAsia="仿宋" w:cs="仿宋"/>
          <w:color w:val="auto"/>
          <w:w w:val="95"/>
          <w:sz w:val="32"/>
          <w:szCs w:val="32"/>
          <w:highlight w:val="none"/>
        </w:rPr>
      </w:pPr>
      <w:bookmarkStart w:id="31" w:name="_Toc23058"/>
      <w:r>
        <w:rPr>
          <w:rFonts w:hint="eastAsia" w:ascii="仿宋" w:hAnsi="仿宋" w:eastAsia="仿宋" w:cs="仿宋"/>
          <w:color w:val="auto"/>
          <w:w w:val="95"/>
          <w:sz w:val="32"/>
          <w:szCs w:val="32"/>
          <w:highlight w:val="none"/>
        </w:rPr>
        <w:t>4.投标报价</w:t>
      </w:r>
      <w:bookmarkEnd w:id="31"/>
    </w:p>
    <w:p>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1.1投标报价应按“第六章投标文件格式”中“开标一览表”及“投标报价明细表”格式填写。</w:t>
      </w:r>
    </w:p>
    <w:p>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1.2投标报价具体包括内容详见“投标人须知前附表”。</w:t>
      </w:r>
    </w:p>
    <w:p>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1.3投标人必须就所投项目的全部内容分别作完整唯一总价报价，不得存在漏项报价；投标人必须就所投项目的单项内容作唯一报价。</w:t>
      </w:r>
    </w:p>
    <w:p>
      <w:pPr>
        <w:pStyle w:val="10"/>
        <w:tabs>
          <w:tab w:val="left" w:pos="1257"/>
        </w:tabs>
        <w:spacing w:line="560" w:lineRule="exact"/>
        <w:ind w:left="0" w:firstLine="611" w:firstLineChars="200"/>
        <w:rPr>
          <w:rFonts w:ascii="仿宋" w:hAnsi="仿宋" w:eastAsia="仿宋" w:cs="仿宋"/>
          <w:color w:val="auto"/>
          <w:w w:val="95"/>
          <w:sz w:val="32"/>
          <w:szCs w:val="32"/>
          <w:highlight w:val="none"/>
        </w:rPr>
      </w:pPr>
      <w:bookmarkStart w:id="32" w:name="_Toc20923"/>
      <w:r>
        <w:rPr>
          <w:rFonts w:hint="eastAsia" w:ascii="仿宋" w:hAnsi="仿宋" w:eastAsia="仿宋" w:cs="仿宋"/>
          <w:color w:val="auto"/>
          <w:w w:val="95"/>
          <w:sz w:val="32"/>
          <w:szCs w:val="32"/>
          <w:highlight w:val="none"/>
        </w:rPr>
        <w:t>5.投标有效期</w:t>
      </w:r>
      <w:bookmarkEnd w:id="32"/>
    </w:p>
    <w:p>
      <w:pPr>
        <w:pStyle w:val="45"/>
        <w:tabs>
          <w:tab w:val="left" w:pos="1366"/>
        </w:tabs>
        <w:spacing w:line="560" w:lineRule="exact"/>
        <w:ind w:left="0" w:firstLine="612" w:firstLineChars="200"/>
        <w:rPr>
          <w:rFonts w:ascii="仿宋" w:hAnsi="仿宋" w:eastAsia="仿宋" w:cs="仿宋"/>
          <w:color w:val="auto"/>
          <w:sz w:val="32"/>
          <w:szCs w:val="32"/>
          <w:highlight w:val="none"/>
        </w:rPr>
      </w:pPr>
      <w:r>
        <w:rPr>
          <w:rFonts w:hint="eastAsia" w:ascii="仿宋" w:hAnsi="仿宋" w:eastAsia="仿宋" w:cs="仿宋"/>
          <w:color w:val="auto"/>
          <w:spacing w:val="-5"/>
          <w:w w:val="99"/>
          <w:sz w:val="32"/>
          <w:szCs w:val="32"/>
          <w:highlight w:val="none"/>
        </w:rPr>
        <w:t>1.1投标有效期是指为保证采购人有足够的时间在开标后完成评标、定标、合同签订等工作而要求投</w:t>
      </w:r>
      <w:r>
        <w:rPr>
          <w:rFonts w:hint="eastAsia" w:ascii="仿宋" w:hAnsi="仿宋" w:eastAsia="仿宋" w:cs="仿宋"/>
          <w:color w:val="auto"/>
          <w:spacing w:val="-1"/>
          <w:w w:val="99"/>
          <w:sz w:val="32"/>
          <w:szCs w:val="32"/>
          <w:highlight w:val="none"/>
        </w:rPr>
        <w:t>标人提交的投标文件在一定时间内保持有效的期限。</w:t>
      </w:r>
    </w:p>
    <w:p>
      <w:pPr>
        <w:pStyle w:val="45"/>
        <w:tabs>
          <w:tab w:val="left" w:pos="1419"/>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1.2投标有效期应按规定的期限作出承诺，具体详见“投标人须知前附表”。</w:t>
      </w:r>
    </w:p>
    <w:p>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1.3投标人的投标文件在投标有效期内均保持有效。</w:t>
      </w:r>
    </w:p>
    <w:p>
      <w:pPr>
        <w:pStyle w:val="10"/>
        <w:tabs>
          <w:tab w:val="left" w:pos="1257"/>
        </w:tabs>
        <w:spacing w:line="560" w:lineRule="exact"/>
        <w:ind w:left="0" w:firstLine="611" w:firstLineChars="200"/>
        <w:rPr>
          <w:rFonts w:ascii="仿宋" w:hAnsi="仿宋" w:eastAsia="仿宋" w:cs="仿宋"/>
          <w:color w:val="auto"/>
          <w:w w:val="95"/>
          <w:sz w:val="32"/>
          <w:szCs w:val="32"/>
          <w:highlight w:val="none"/>
        </w:rPr>
      </w:pPr>
      <w:bookmarkStart w:id="33" w:name="_Toc28899"/>
      <w:r>
        <w:rPr>
          <w:rFonts w:hint="eastAsia" w:ascii="仿宋" w:hAnsi="仿宋" w:eastAsia="仿宋" w:cs="仿宋"/>
          <w:color w:val="auto"/>
          <w:w w:val="95"/>
          <w:sz w:val="32"/>
          <w:szCs w:val="32"/>
          <w:highlight w:val="none"/>
        </w:rPr>
        <w:t>6.投标保证金</w:t>
      </w:r>
      <w:bookmarkEnd w:id="33"/>
    </w:p>
    <w:p>
      <w:pPr>
        <w:pStyle w:val="45"/>
        <w:tabs>
          <w:tab w:val="left" w:pos="1366"/>
        </w:tabs>
        <w:spacing w:line="560" w:lineRule="exact"/>
        <w:ind w:left="0" w:firstLine="608" w:firstLineChars="200"/>
        <w:rPr>
          <w:rFonts w:ascii="仿宋" w:hAnsi="仿宋" w:eastAsia="仿宋" w:cs="仿宋"/>
          <w:color w:val="auto"/>
          <w:spacing w:val="-2"/>
          <w:w w:val="95"/>
          <w:sz w:val="32"/>
          <w:szCs w:val="32"/>
          <w:highlight w:val="none"/>
        </w:rPr>
      </w:pPr>
      <w:r>
        <w:rPr>
          <w:rFonts w:hint="eastAsia" w:ascii="仿宋" w:hAnsi="仿宋" w:eastAsia="仿宋" w:cs="仿宋"/>
          <w:color w:val="auto"/>
          <w:w w:val="95"/>
          <w:sz w:val="32"/>
          <w:szCs w:val="32"/>
          <w:highlight w:val="none"/>
        </w:rPr>
        <w:t>无要求</w:t>
      </w:r>
      <w:r>
        <w:rPr>
          <w:rFonts w:hint="eastAsia" w:ascii="仿宋" w:hAnsi="仿宋" w:eastAsia="仿宋" w:cs="仿宋"/>
          <w:color w:val="auto"/>
          <w:spacing w:val="-2"/>
          <w:w w:val="95"/>
          <w:sz w:val="32"/>
          <w:szCs w:val="32"/>
          <w:highlight w:val="none"/>
        </w:rPr>
        <w:t>。</w:t>
      </w:r>
    </w:p>
    <w:p>
      <w:pPr>
        <w:pStyle w:val="10"/>
        <w:tabs>
          <w:tab w:val="left" w:pos="1257"/>
        </w:tabs>
        <w:spacing w:line="560" w:lineRule="exact"/>
        <w:ind w:left="0" w:firstLine="611" w:firstLineChars="200"/>
        <w:rPr>
          <w:rFonts w:ascii="仿宋" w:hAnsi="仿宋" w:eastAsia="仿宋" w:cs="仿宋"/>
          <w:color w:val="auto"/>
          <w:w w:val="95"/>
          <w:sz w:val="32"/>
          <w:szCs w:val="32"/>
          <w:highlight w:val="none"/>
        </w:rPr>
      </w:pPr>
      <w:bookmarkStart w:id="34" w:name="_Toc20401"/>
      <w:r>
        <w:rPr>
          <w:rFonts w:hint="eastAsia" w:ascii="仿宋" w:hAnsi="仿宋" w:eastAsia="仿宋" w:cs="仿宋"/>
          <w:color w:val="auto"/>
          <w:w w:val="95"/>
          <w:sz w:val="32"/>
          <w:szCs w:val="32"/>
          <w:highlight w:val="none"/>
        </w:rPr>
        <w:t>7.电子投标文件的编制</w:t>
      </w:r>
      <w:bookmarkEnd w:id="34"/>
    </w:p>
    <w:p>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1.1电子投标文件编制要求详见“投标人须知前附表”。</w:t>
      </w:r>
    </w:p>
    <w:p>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1.2电子投标文件中须加盖投标人公章部分均采用 CA 签章，并根据“政府采购项目电子交易管理操作指南-供应商”及本招标文件规定的格式和顺序编制电子投标文件并进行关联定位，以便评标委员会在评标时，点击评标项可直接定位到该评审项内容。如对招标文件的某项要求，投标人的电子投标文件未能关联定位提供相应的内容与其对应，则评标委员会在评标时如做出对投标人不利的评标由投标人自行承担。电子投标文件如内容不完整、编排混乱导致投标文件被误读、漏读，或者在按</w:t>
      </w:r>
      <w:r>
        <w:rPr>
          <w:rFonts w:hint="eastAsia" w:ascii="仿宋" w:hAnsi="仿宋" w:eastAsia="仿宋" w:cs="仿宋"/>
          <w:color w:val="auto"/>
          <w:w w:val="95"/>
          <w:sz w:val="32"/>
          <w:szCs w:val="32"/>
          <w:highlight w:val="none"/>
          <w:lang w:eastAsia="zh-CN"/>
        </w:rPr>
        <w:t>招标</w:t>
      </w:r>
      <w:r>
        <w:rPr>
          <w:rFonts w:hint="eastAsia" w:ascii="仿宋" w:hAnsi="仿宋" w:eastAsia="仿宋" w:cs="仿宋"/>
          <w:color w:val="auto"/>
          <w:w w:val="95"/>
          <w:sz w:val="32"/>
          <w:szCs w:val="32"/>
          <w:highlight w:val="none"/>
        </w:rPr>
        <w:t>文件规定的部位查找不到相关内容的，由投标人自行承担。</w:t>
      </w:r>
    </w:p>
    <w:p>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1.3电子投标文件须由投标人在规定位置盖章部分由法定代表人（负责人）或法定代表人（负责人）的授权委托人签署，CA 签章上目前没有法定代表人（负责人）或其授权委托人签字信息，投标人在投标文件中涉及到签字的位置线下签好字然后扫描或者拍照做成 PDF 的格式后上传。</w:t>
      </w:r>
    </w:p>
    <w:p>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1.4电子投标文件应无涂改和行间插字，除非这些删改是根据采购人指示进行的，或者是投标人造成的必须修改的错误，但修改处应由投标人法定代表人（负责人）或其授权委托人签字且加盖投标人公章，电子投标文件因字迹潦草或表达不清所引起的后果由投标人负责。</w:t>
      </w:r>
    </w:p>
    <w:p>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1.5电子投标文件中标注的投标人名称应与主体资格证明（如营业执照、事业单位法人证书等）及公章一致，否则作无效投标处理。</w:t>
      </w:r>
    </w:p>
    <w:p>
      <w:pPr>
        <w:tabs>
          <w:tab w:val="left" w:pos="1212"/>
        </w:tabs>
        <w:spacing w:line="560" w:lineRule="exact"/>
        <w:ind w:firstLine="611" w:firstLineChars="200"/>
        <w:outlineLvl w:val="2"/>
        <w:rPr>
          <w:rFonts w:ascii="仿宋" w:hAnsi="仿宋" w:eastAsia="仿宋" w:cs="仿宋"/>
          <w:b/>
          <w:color w:val="auto"/>
          <w:sz w:val="32"/>
          <w:szCs w:val="32"/>
          <w:highlight w:val="none"/>
        </w:rPr>
      </w:pPr>
      <w:bookmarkStart w:id="35" w:name="_Toc21098"/>
      <w:r>
        <w:rPr>
          <w:rFonts w:hint="eastAsia" w:ascii="仿宋" w:hAnsi="仿宋" w:eastAsia="仿宋" w:cs="仿宋"/>
          <w:b/>
          <w:color w:val="auto"/>
          <w:w w:val="95"/>
          <w:sz w:val="32"/>
          <w:szCs w:val="32"/>
          <w:highlight w:val="none"/>
        </w:rPr>
        <w:t>8.电子投标文件的提交（上传）</w:t>
      </w:r>
      <w:r>
        <w:rPr>
          <w:rFonts w:hint="eastAsia" w:ascii="仿宋" w:hAnsi="仿宋" w:eastAsia="仿宋" w:cs="仿宋"/>
          <w:b/>
          <w:color w:val="auto"/>
          <w:spacing w:val="-1"/>
          <w:w w:val="95"/>
          <w:sz w:val="32"/>
          <w:szCs w:val="32"/>
          <w:highlight w:val="none"/>
        </w:rPr>
        <w:t>、补充、修改、撤回与退回</w:t>
      </w:r>
      <w:bookmarkEnd w:id="35"/>
    </w:p>
    <w:p>
      <w:pPr>
        <w:pStyle w:val="13"/>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（1）投标人必须在“投标人须知前附表”规定的投标文件提交时间和投标地点（</w:t>
      </w:r>
      <w:r>
        <w:rPr>
          <w:rFonts w:hint="eastAsia" w:ascii="仿宋" w:hAnsi="仿宋" w:eastAsia="仿宋" w:cs="仿宋"/>
          <w:color w:val="auto"/>
          <w:w w:val="99"/>
          <w:sz w:val="32"/>
          <w:szCs w:val="32"/>
          <w:highlight w:val="none"/>
        </w:rPr>
        <w:t>网址</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4"/>
          <w:w w:val="99"/>
          <w:sz w:val="32"/>
          <w:szCs w:val="32"/>
          <w:highlight w:val="none"/>
        </w:rPr>
        <w:t>电子投标文件。投标人按照招标文件和电子交易平台的要求编制并加密电子投标文件。投标人未按规定加</w:t>
      </w:r>
      <w:r>
        <w:rPr>
          <w:rFonts w:hint="eastAsia" w:ascii="仿宋" w:hAnsi="仿宋" w:eastAsia="仿宋" w:cs="仿宋"/>
          <w:color w:val="auto"/>
          <w:spacing w:val="-3"/>
          <w:w w:val="99"/>
          <w:sz w:val="32"/>
          <w:szCs w:val="32"/>
          <w:highlight w:val="none"/>
        </w:rPr>
        <w:t>密的电子投标文件，电子交易平台将拒收。投标人应当在招标文件中规定的时间前完成电子投标文件的传</w:t>
      </w:r>
      <w:r>
        <w:rPr>
          <w:rFonts w:hint="eastAsia" w:ascii="仿宋" w:hAnsi="仿宋" w:eastAsia="仿宋" w:cs="仿宋"/>
          <w:color w:val="auto"/>
          <w:spacing w:val="-11"/>
          <w:w w:val="99"/>
          <w:sz w:val="32"/>
          <w:szCs w:val="32"/>
          <w:highlight w:val="none"/>
        </w:rPr>
        <w:t>输递交，且可以补充、修改或者撤回电子投标文件。补充或者修改电子投标文件的，应当先行撤回原文件，</w:t>
      </w:r>
      <w:r>
        <w:rPr>
          <w:rFonts w:hint="eastAsia" w:ascii="仿宋" w:hAnsi="仿宋" w:eastAsia="仿宋" w:cs="仿宋"/>
          <w:color w:val="auto"/>
          <w:spacing w:val="-4"/>
          <w:w w:val="99"/>
          <w:sz w:val="32"/>
          <w:szCs w:val="32"/>
          <w:highlight w:val="none"/>
        </w:rPr>
        <w:t>补充、修改后重新传输递交。在招标文件中规定的时间前未完成传输的，视为撤回电子投标文件。在招标</w:t>
      </w:r>
      <w:r>
        <w:rPr>
          <w:rFonts w:hint="eastAsia" w:ascii="仿宋" w:hAnsi="仿宋" w:eastAsia="仿宋" w:cs="仿宋"/>
          <w:color w:val="auto"/>
          <w:w w:val="95"/>
          <w:sz w:val="32"/>
          <w:szCs w:val="32"/>
          <w:highlight w:val="none"/>
        </w:rPr>
        <w:t>文件中规定截止时间后递交的</w:t>
      </w:r>
      <w:r>
        <w:rPr>
          <w:rFonts w:hint="eastAsia" w:ascii="仿宋" w:hAnsi="仿宋" w:eastAsia="仿宋" w:cs="仿宋"/>
          <w:color w:val="auto"/>
          <w:spacing w:val="-1"/>
          <w:w w:val="95"/>
          <w:sz w:val="32"/>
          <w:szCs w:val="32"/>
          <w:highlight w:val="none"/>
        </w:rPr>
        <w:t>电子投标文件，电子交易平台将拒收。</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4"/>
          <w:w w:val="99"/>
          <w:sz w:val="32"/>
          <w:szCs w:val="32"/>
          <w:highlight w:val="none"/>
        </w:rPr>
        <w:t>电子加密投标文件的解密：开标后，采购组织机构将向各投标人发出“电子加密投标文件”</w:t>
      </w:r>
      <w:r>
        <w:rPr>
          <w:rFonts w:hint="eastAsia" w:ascii="仿宋" w:hAnsi="仿宋" w:eastAsia="仿宋" w:cs="仿宋"/>
          <w:color w:val="auto"/>
          <w:spacing w:val="1"/>
          <w:w w:val="99"/>
          <w:sz w:val="32"/>
          <w:szCs w:val="32"/>
          <w:highlight w:val="none"/>
        </w:rPr>
        <w:t>的解密通知，各投标人代表应当在接到解密通知后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w w:val="99"/>
          <w:sz w:val="32"/>
          <w:szCs w:val="32"/>
          <w:highlight w:val="non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分钟内自行完成“电子加密投标文件”的在线</w:t>
      </w:r>
      <w:r>
        <w:rPr>
          <w:rFonts w:hint="eastAsia" w:ascii="仿宋" w:hAnsi="仿宋" w:eastAsia="仿宋" w:cs="仿宋"/>
          <w:color w:val="auto"/>
          <w:spacing w:val="-1"/>
          <w:w w:val="99"/>
          <w:sz w:val="32"/>
          <w:szCs w:val="32"/>
          <w:highlight w:val="none"/>
        </w:rPr>
        <w:t>解密。投标人未在规定时间内完成解密的，系统默认自动放弃。</w:t>
      </w:r>
    </w:p>
    <w:p>
      <w:pPr>
        <w:pStyle w:val="45"/>
        <w:tabs>
          <w:tab w:val="left" w:pos="1366"/>
        </w:tabs>
        <w:spacing w:line="560" w:lineRule="exact"/>
        <w:ind w:left="0"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（3）在提交投标文件截止时间前提交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25"/>
          <w:w w:val="99"/>
          <w:sz w:val="32"/>
          <w:szCs w:val="32"/>
          <w:highlight w:val="none"/>
        </w:rPr>
        <w:t>）</w:t>
      </w:r>
      <w:r>
        <w:rPr>
          <w:rFonts w:hint="eastAsia" w:ascii="仿宋" w:hAnsi="仿宋" w:eastAsia="仿宋" w:cs="仿宋"/>
          <w:color w:val="auto"/>
          <w:spacing w:val="-1"/>
          <w:w w:val="99"/>
          <w:sz w:val="32"/>
          <w:szCs w:val="32"/>
          <w:highlight w:val="none"/>
        </w:rPr>
        <w:t>电子投标文件的投标人不足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5"/>
          <w:w w:val="99"/>
          <w:sz w:val="32"/>
          <w:szCs w:val="32"/>
          <w:highlight w:val="none"/>
        </w:rPr>
        <w:t>家时，投标人可以撤回电</w:t>
      </w:r>
      <w:r>
        <w:rPr>
          <w:rFonts w:hint="eastAsia" w:ascii="仿宋" w:hAnsi="仿宋" w:eastAsia="仿宋" w:cs="仿宋"/>
          <w:color w:val="auto"/>
          <w:spacing w:val="-1"/>
          <w:w w:val="99"/>
          <w:sz w:val="32"/>
          <w:szCs w:val="32"/>
          <w:highlight w:val="none"/>
        </w:rPr>
        <w:t>子投标文件，除此之外采购人和采购代理机构对已提交</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1"/>
          <w:w w:val="99"/>
          <w:sz w:val="32"/>
          <w:szCs w:val="32"/>
          <w:highlight w:val="none"/>
        </w:rPr>
        <w:t>）的电子投标文件概不退回。</w:t>
      </w:r>
    </w:p>
    <w:p>
      <w:pPr>
        <w:pStyle w:val="45"/>
        <w:tabs>
          <w:tab w:val="left" w:pos="1366"/>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8"/>
          <w:w w:val="99"/>
          <w:sz w:val="32"/>
          <w:szCs w:val="32"/>
          <w:highlight w:val="none"/>
        </w:rPr>
        <w:t>如有特殊情况，采购代理机构延长截止时间和开标时间，采购代理机构和投标人的权利和义务将</w:t>
      </w:r>
      <w:r>
        <w:rPr>
          <w:rFonts w:hint="eastAsia" w:ascii="仿宋" w:hAnsi="仿宋" w:eastAsia="仿宋" w:cs="仿宋"/>
          <w:color w:val="auto"/>
          <w:spacing w:val="-1"/>
          <w:w w:val="99"/>
          <w:sz w:val="32"/>
          <w:szCs w:val="32"/>
          <w:highlight w:val="none"/>
        </w:rPr>
        <w:t>受到新的截止时间和开标时间的约束。</w:t>
      </w:r>
    </w:p>
    <w:p>
      <w:pPr>
        <w:pStyle w:val="5"/>
        <w:tabs>
          <w:tab w:val="left" w:pos="1608"/>
        </w:tabs>
        <w:spacing w:line="560" w:lineRule="exact"/>
        <w:ind w:left="0" w:right="0"/>
        <w:rPr>
          <w:rFonts w:ascii="仿宋" w:hAnsi="仿宋" w:eastAsia="仿宋" w:cs="仿宋"/>
          <w:color w:val="auto"/>
          <w:highlight w:val="none"/>
        </w:rPr>
      </w:pPr>
      <w:bookmarkStart w:id="36" w:name="_Toc12548"/>
      <w:r>
        <w:rPr>
          <w:rFonts w:hint="eastAsia" w:ascii="仿宋" w:hAnsi="仿宋" w:eastAsia="仿宋" w:cs="仿宋"/>
          <w:color w:val="auto"/>
          <w:w w:val="95"/>
          <w:highlight w:val="none"/>
        </w:rPr>
        <w:t>四、</w:t>
      </w:r>
      <w:r>
        <w:rPr>
          <w:rFonts w:hint="eastAsia" w:ascii="仿宋" w:hAnsi="仿宋" w:eastAsia="仿宋" w:cs="仿宋"/>
          <w:color w:val="auto"/>
          <w:spacing w:val="-10"/>
          <w:w w:val="95"/>
          <w:highlight w:val="none"/>
        </w:rPr>
        <w:t>开</w:t>
      </w:r>
      <w:r>
        <w:rPr>
          <w:rFonts w:hint="eastAsia" w:ascii="仿宋" w:hAnsi="仿宋" w:eastAsia="仿宋" w:cs="仿宋"/>
          <w:color w:val="auto"/>
          <w:highlight w:val="none"/>
        </w:rPr>
        <w:tab/>
      </w:r>
      <w:r>
        <w:rPr>
          <w:rFonts w:hint="eastAsia" w:ascii="仿宋" w:hAnsi="仿宋" w:eastAsia="仿宋" w:cs="仿宋"/>
          <w:color w:val="auto"/>
          <w:spacing w:val="-10"/>
          <w:highlight w:val="none"/>
        </w:rPr>
        <w:t>标</w:t>
      </w:r>
      <w:bookmarkEnd w:id="36"/>
    </w:p>
    <w:p>
      <w:pPr>
        <w:pStyle w:val="10"/>
        <w:tabs>
          <w:tab w:val="left" w:pos="1257"/>
        </w:tabs>
        <w:spacing w:line="560" w:lineRule="exact"/>
        <w:ind w:left="0" w:firstLine="611" w:firstLineChars="200"/>
        <w:rPr>
          <w:rFonts w:ascii="仿宋" w:hAnsi="仿宋" w:eastAsia="仿宋" w:cs="仿宋"/>
          <w:color w:val="auto"/>
          <w:sz w:val="32"/>
          <w:szCs w:val="32"/>
          <w:highlight w:val="none"/>
        </w:rPr>
      </w:pPr>
      <w:bookmarkStart w:id="37" w:name="_Toc21588"/>
      <w:r>
        <w:rPr>
          <w:rFonts w:hint="eastAsia" w:ascii="仿宋" w:hAnsi="仿宋" w:eastAsia="仿宋" w:cs="仿宋"/>
          <w:color w:val="auto"/>
          <w:w w:val="95"/>
          <w:sz w:val="32"/>
          <w:szCs w:val="32"/>
          <w:highlight w:val="none"/>
        </w:rPr>
        <w:t>1.开标时间和地</w:t>
      </w:r>
      <w:r>
        <w:rPr>
          <w:rFonts w:hint="eastAsia" w:ascii="仿宋" w:hAnsi="仿宋" w:eastAsia="仿宋" w:cs="仿宋"/>
          <w:color w:val="auto"/>
          <w:spacing w:val="-10"/>
          <w:w w:val="95"/>
          <w:sz w:val="32"/>
          <w:szCs w:val="32"/>
          <w:highlight w:val="none"/>
        </w:rPr>
        <w:t>点</w:t>
      </w:r>
      <w:bookmarkEnd w:id="37"/>
    </w:p>
    <w:p>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（1）采购代理机构将在“投标人须知前附表”规定的时间和地点进行开标，本项目开标过程实行全程</w:t>
      </w:r>
      <w:r>
        <w:rPr>
          <w:rFonts w:hint="eastAsia" w:ascii="仿宋" w:hAnsi="仿宋" w:eastAsia="仿宋" w:cs="仿宋"/>
          <w:color w:val="auto"/>
          <w:spacing w:val="-1"/>
          <w:w w:val="99"/>
          <w:sz w:val="32"/>
          <w:szCs w:val="32"/>
          <w:highlight w:val="none"/>
        </w:rPr>
        <w:t>录音、录像监控。</w:t>
      </w:r>
    </w:p>
    <w:p>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（2）如投标人成功解密投标文件，但未在</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pacing w:val="-6"/>
          <w:w w:val="99"/>
          <w:sz w:val="32"/>
          <w:szCs w:val="32"/>
          <w:highlight w:val="none"/>
        </w:rPr>
        <w:t>电子开标大厅参加开标的，视同认可开标过程和</w:t>
      </w:r>
      <w:r>
        <w:rPr>
          <w:rFonts w:hint="eastAsia" w:ascii="仿宋" w:hAnsi="仿宋" w:eastAsia="仿宋" w:cs="仿宋"/>
          <w:color w:val="auto"/>
          <w:spacing w:val="-1"/>
          <w:w w:val="99"/>
          <w:sz w:val="32"/>
          <w:szCs w:val="32"/>
          <w:highlight w:val="none"/>
        </w:rPr>
        <w:t>结果，由此产生的后果由投标人自行负责。</w:t>
      </w:r>
      <w:r>
        <w:rPr>
          <w:rFonts w:hint="eastAsia" w:ascii="仿宋" w:hAnsi="仿宋" w:eastAsia="仿宋" w:cs="仿宋"/>
          <w:color w:val="auto"/>
          <w:spacing w:val="2"/>
          <w:sz w:val="32"/>
          <w:szCs w:val="32"/>
          <w:highlight w:val="none"/>
        </w:rPr>
        <w:t xml:space="preserve"> </w:t>
      </w:r>
      <w:r>
        <w:rPr>
          <w:rFonts w:hint="eastAsia" w:ascii="仿宋" w:hAnsi="仿宋" w:eastAsia="仿宋" w:cs="仿宋"/>
          <w:color w:val="auto"/>
          <w:spacing w:val="-1"/>
          <w:w w:val="99"/>
          <w:sz w:val="32"/>
          <w:szCs w:val="32"/>
          <w:highlight w:val="none"/>
        </w:rPr>
        <w:t>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家的，不得开标。</w:t>
      </w:r>
    </w:p>
    <w:p>
      <w:pPr>
        <w:tabs>
          <w:tab w:val="left" w:pos="1212"/>
        </w:tabs>
        <w:spacing w:line="560" w:lineRule="exact"/>
        <w:ind w:firstLine="599" w:firstLineChars="200"/>
        <w:outlineLvl w:val="2"/>
        <w:rPr>
          <w:rFonts w:ascii="仿宋" w:hAnsi="仿宋" w:eastAsia="仿宋" w:cs="仿宋"/>
          <w:b/>
          <w:color w:val="auto"/>
          <w:sz w:val="32"/>
          <w:szCs w:val="32"/>
          <w:highlight w:val="none"/>
        </w:rPr>
      </w:pPr>
      <w:bookmarkStart w:id="38" w:name="_Toc4795"/>
      <w:r>
        <w:rPr>
          <w:rFonts w:hint="eastAsia" w:ascii="仿宋" w:hAnsi="仿宋" w:eastAsia="仿宋" w:cs="仿宋"/>
          <w:b/>
          <w:color w:val="auto"/>
          <w:spacing w:val="-3"/>
          <w:w w:val="95"/>
          <w:sz w:val="32"/>
          <w:szCs w:val="32"/>
          <w:highlight w:val="none"/>
        </w:rPr>
        <w:t>2.开标程序</w:t>
      </w:r>
      <w:bookmarkEnd w:id="38"/>
    </w:p>
    <w:p>
      <w:pPr>
        <w:pStyle w:val="13"/>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主持人按以下程序进行开标：</w:t>
      </w:r>
    </w:p>
    <w:p>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（1）电子开标会由采购代理机构工作人员主持。</w:t>
      </w:r>
    </w:p>
    <w:p>
      <w:pPr>
        <w:tabs>
          <w:tab w:val="left" w:pos="1313"/>
        </w:tabs>
        <w:spacing w:line="560" w:lineRule="exact"/>
        <w:ind w:firstLine="623"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（2）解密电子投标文件。广西政府采购云平台按开标时间自动提取所有电子投标文件。采购代理机构依托 广西政府采购云平台</w:t>
      </w:r>
      <w:r>
        <w:rPr>
          <w:rFonts w:hint="eastAsia" w:ascii="仿宋" w:hAnsi="仿宋" w:eastAsia="仿宋" w:cs="仿宋"/>
          <w:b/>
          <w:color w:val="auto"/>
          <w:spacing w:val="-4"/>
          <w:w w:val="99"/>
          <w:sz w:val="32"/>
          <w:szCs w:val="32"/>
          <w:highlight w:val="none"/>
        </w:rPr>
        <w:t>向各投标人发出电子加密投标文件【开始解密】通知，由投标人按招标文件规定的时间内</w:t>
      </w:r>
      <w:r>
        <w:rPr>
          <w:rFonts w:hint="eastAsia" w:ascii="仿宋" w:hAnsi="仿宋" w:eastAsia="仿宋" w:cs="仿宋"/>
          <w:b/>
          <w:color w:val="auto"/>
          <w:spacing w:val="-1"/>
          <w:w w:val="99"/>
          <w:sz w:val="32"/>
          <w:szCs w:val="32"/>
          <w:highlight w:val="none"/>
        </w:rPr>
        <w:t>自行进行投标文件解密。投标人的法定代表人</w:t>
      </w:r>
      <w:r>
        <w:rPr>
          <w:rFonts w:hint="eastAsia" w:ascii="仿宋" w:hAnsi="仿宋" w:eastAsia="仿宋" w:cs="仿宋"/>
          <w:b/>
          <w:color w:val="auto"/>
          <w:spacing w:val="2"/>
          <w:w w:val="99"/>
          <w:sz w:val="32"/>
          <w:szCs w:val="32"/>
          <w:highlight w:val="none"/>
        </w:rPr>
        <w:t>（负责人</w:t>
      </w:r>
      <w:r>
        <w:rPr>
          <w:rFonts w:hint="eastAsia" w:ascii="仿宋" w:hAnsi="仿宋" w:eastAsia="仿宋" w:cs="仿宋"/>
          <w:b/>
          <w:color w:val="auto"/>
          <w:spacing w:val="-13"/>
          <w:w w:val="99"/>
          <w:sz w:val="32"/>
          <w:szCs w:val="32"/>
          <w:highlight w:val="none"/>
        </w:rPr>
        <w:t>）</w:t>
      </w:r>
      <w:r>
        <w:rPr>
          <w:rFonts w:hint="eastAsia" w:ascii="仿宋" w:hAnsi="仿宋" w:eastAsia="仿宋" w:cs="仿宋"/>
          <w:b/>
          <w:color w:val="auto"/>
          <w:spacing w:val="1"/>
          <w:w w:val="99"/>
          <w:sz w:val="32"/>
          <w:szCs w:val="32"/>
          <w:highlight w:val="none"/>
        </w:rPr>
        <w:t>或其委托代理人须携带加密时所用的</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CA</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锁准时登录到广西政府采购云平台电子开标大厅签到并对电子投标文件解密。开标后</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5</w:t>
      </w:r>
      <w:r>
        <w:rPr>
          <w:rFonts w:hint="eastAsia" w:ascii="仿宋" w:hAnsi="仿宋" w:eastAsia="仿宋" w:cs="仿宋"/>
          <w:b/>
          <w:color w:val="auto"/>
          <w:spacing w:val="1"/>
          <w:sz w:val="32"/>
          <w:szCs w:val="32"/>
          <w:highlight w:val="none"/>
        </w:rPr>
        <w:t xml:space="preserve"> </w:t>
      </w:r>
      <w:r>
        <w:rPr>
          <w:rFonts w:hint="eastAsia" w:ascii="仿宋" w:hAnsi="仿宋" w:eastAsia="仿宋" w:cs="仿宋"/>
          <w:b/>
          <w:color w:val="auto"/>
          <w:spacing w:val="1"/>
          <w:w w:val="99"/>
          <w:sz w:val="32"/>
          <w:szCs w:val="32"/>
          <w:highlight w:val="none"/>
        </w:rPr>
        <w:t>分钟投标人还未进行解密的，</w:t>
      </w:r>
      <w:r>
        <w:rPr>
          <w:rFonts w:hint="eastAsia" w:ascii="仿宋" w:hAnsi="仿宋" w:eastAsia="仿宋" w:cs="仿宋"/>
          <w:b/>
          <w:color w:val="auto"/>
          <w:spacing w:val="-3"/>
          <w:w w:val="99"/>
          <w:sz w:val="32"/>
          <w:szCs w:val="32"/>
          <w:highlight w:val="none"/>
        </w:rPr>
        <w:t>采购代理机构要通知投标人。通知后，电子投标文件仍未按时解密，或者投标人没预留联系方式或预留联</w:t>
      </w:r>
      <w:r>
        <w:rPr>
          <w:rFonts w:hint="eastAsia" w:ascii="仿宋" w:hAnsi="仿宋" w:eastAsia="仿宋" w:cs="仿宋"/>
          <w:b/>
          <w:color w:val="auto"/>
          <w:spacing w:val="-1"/>
          <w:w w:val="99"/>
          <w:sz w:val="32"/>
          <w:szCs w:val="32"/>
          <w:highlight w:val="none"/>
        </w:rPr>
        <w:t>系方式无效，导致采购代理机构无法联系到投标人进行按时解密的，均视为无效投标。</w:t>
      </w:r>
    </w:p>
    <w:p>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（3）电子唱标。电子投标文件解密结束，各投标人报价均在广西政府采购云平台远程不见面开标大厅展示。</w:t>
      </w:r>
    </w:p>
    <w:p>
      <w:pPr>
        <w:spacing w:line="560" w:lineRule="exact"/>
        <w:ind w:firstLine="615"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5"/>
          <w:w w:val="99"/>
          <w:sz w:val="32"/>
          <w:szCs w:val="32"/>
          <w:highlight w:val="none"/>
        </w:rPr>
        <w:t>【注：本项目为全流程电子化采购项目不要求投标人到达开标现场，但投标人应派法定代表人或委托代理</w:t>
      </w:r>
      <w:r>
        <w:rPr>
          <w:rFonts w:hint="eastAsia" w:ascii="仿宋" w:hAnsi="仿宋" w:eastAsia="仿宋" w:cs="仿宋"/>
          <w:b/>
          <w:color w:val="auto"/>
          <w:spacing w:val="-2"/>
          <w:w w:val="99"/>
          <w:sz w:val="32"/>
          <w:szCs w:val="32"/>
          <w:highlight w:val="none"/>
        </w:rPr>
        <w:t>人准时在线出席电子开评标会议，随时关注开评标进度，如在开评标过程中有电子询标，应在规定的时间</w:t>
      </w:r>
      <w:r>
        <w:rPr>
          <w:rFonts w:hint="eastAsia" w:ascii="仿宋" w:hAnsi="仿宋" w:eastAsia="仿宋" w:cs="仿宋"/>
          <w:b/>
          <w:color w:val="auto"/>
          <w:w w:val="99"/>
          <w:sz w:val="32"/>
          <w:szCs w:val="32"/>
          <w:highlight w:val="none"/>
        </w:rPr>
        <w:t>内对电子询标函进行澄清回复。】</w:t>
      </w:r>
    </w:p>
    <w:p>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（4）开标过程由采购代理机构如实记录，并电子留痕，由参加电子开标的各投标人代表对电子开标记</w:t>
      </w:r>
      <w:r>
        <w:rPr>
          <w:rFonts w:hint="eastAsia" w:ascii="仿宋" w:hAnsi="仿宋" w:eastAsia="仿宋" w:cs="仿宋"/>
          <w:color w:val="auto"/>
          <w:spacing w:val="-1"/>
          <w:w w:val="99"/>
          <w:sz w:val="32"/>
          <w:szCs w:val="32"/>
          <w:highlight w:val="none"/>
        </w:rPr>
        <w:t>录在开标记录公布后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w w:val="99"/>
          <w:sz w:val="32"/>
          <w:szCs w:val="32"/>
          <w:highlight w:val="none"/>
        </w:rPr>
        <w:t>5</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pacing w:val="-1"/>
          <w:w w:val="99"/>
          <w:sz w:val="32"/>
          <w:szCs w:val="32"/>
          <w:highlight w:val="none"/>
        </w:rPr>
        <w:t>分钟内进行当场校核及勘误，并线上确认，未确认的视同认可开标结果。</w:t>
      </w:r>
    </w:p>
    <w:p>
      <w:pPr>
        <w:pStyle w:val="45"/>
        <w:tabs>
          <w:tab w:val="left" w:pos="1366"/>
        </w:tabs>
        <w:spacing w:line="560" w:lineRule="exact"/>
        <w:ind w:left="0" w:firstLine="612"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5"/>
          <w:w w:val="99"/>
          <w:sz w:val="32"/>
          <w:szCs w:val="32"/>
          <w:highlight w:val="none"/>
        </w:rPr>
        <w:t>（5）投标人代表对开标过程和开标记录有疑义，以及认为采购人、采购代理机构相关工作人员有需要</w:t>
      </w:r>
      <w:r>
        <w:rPr>
          <w:rFonts w:hint="eastAsia" w:ascii="仿宋" w:hAnsi="仿宋" w:eastAsia="仿宋" w:cs="仿宋"/>
          <w:color w:val="auto"/>
          <w:spacing w:val="-4"/>
          <w:w w:val="99"/>
          <w:sz w:val="32"/>
          <w:szCs w:val="32"/>
          <w:highlight w:val="none"/>
        </w:rPr>
        <w:t>回避的情形的，应当场提出在线询问或者回避申请。采购人、采购代理机构对投标人代表提出的询问或者</w:t>
      </w:r>
      <w:r>
        <w:rPr>
          <w:rFonts w:hint="eastAsia" w:ascii="仿宋" w:hAnsi="仿宋" w:eastAsia="仿宋" w:cs="仿宋"/>
          <w:color w:val="auto"/>
          <w:spacing w:val="-1"/>
          <w:w w:val="99"/>
          <w:sz w:val="32"/>
          <w:szCs w:val="32"/>
          <w:highlight w:val="none"/>
        </w:rPr>
        <w:t>回避申请应当及时处理。</w:t>
      </w:r>
    </w:p>
    <w:p>
      <w:pPr>
        <w:pStyle w:val="45"/>
        <w:tabs>
          <w:tab w:val="left" w:pos="1366"/>
        </w:tabs>
        <w:spacing w:line="560" w:lineRule="exact"/>
        <w:ind w:left="0"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（6）开标结束。</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特别说明：如遇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
          <w:w w:val="95"/>
          <w:sz w:val="32"/>
          <w:szCs w:val="32"/>
          <w:highlight w:val="none"/>
        </w:rPr>
        <w:t>电子化开标或评审程序调整的，按调整后执行。</w:t>
      </w:r>
    </w:p>
    <w:p>
      <w:pPr>
        <w:pStyle w:val="5"/>
        <w:spacing w:line="560" w:lineRule="exact"/>
        <w:ind w:left="0" w:right="0"/>
        <w:rPr>
          <w:rFonts w:ascii="仿宋" w:hAnsi="仿宋" w:eastAsia="仿宋" w:cs="仿宋"/>
          <w:color w:val="auto"/>
          <w:highlight w:val="none"/>
        </w:rPr>
      </w:pPr>
      <w:bookmarkStart w:id="39" w:name="_Toc28016"/>
      <w:r>
        <w:rPr>
          <w:rFonts w:hint="eastAsia" w:ascii="仿宋" w:hAnsi="仿宋" w:eastAsia="仿宋" w:cs="仿宋"/>
          <w:color w:val="auto"/>
          <w:w w:val="95"/>
          <w:highlight w:val="none"/>
        </w:rPr>
        <w:t>五、资</w:t>
      </w:r>
      <w:r>
        <w:rPr>
          <w:rFonts w:hint="eastAsia" w:ascii="仿宋" w:hAnsi="仿宋" w:eastAsia="仿宋" w:cs="仿宋"/>
          <w:color w:val="auto"/>
          <w:spacing w:val="-4"/>
          <w:w w:val="95"/>
          <w:highlight w:val="none"/>
        </w:rPr>
        <w:t>格审查</w:t>
      </w:r>
      <w:bookmarkEnd w:id="39"/>
    </w:p>
    <w:p>
      <w:pPr>
        <w:pStyle w:val="13"/>
        <w:spacing w:line="560" w:lineRule="exact"/>
        <w:rPr>
          <w:rFonts w:ascii="仿宋" w:hAnsi="仿宋" w:eastAsia="仿宋" w:cs="仿宋"/>
          <w:b/>
          <w:color w:val="auto"/>
          <w:sz w:val="32"/>
          <w:szCs w:val="32"/>
          <w:highlight w:val="none"/>
        </w:rPr>
      </w:pPr>
    </w:p>
    <w:p>
      <w:pPr>
        <w:pStyle w:val="10"/>
        <w:tabs>
          <w:tab w:val="left" w:pos="1257"/>
        </w:tabs>
        <w:spacing w:line="560" w:lineRule="exact"/>
        <w:ind w:left="0" w:firstLine="611" w:firstLineChars="200"/>
        <w:rPr>
          <w:rFonts w:ascii="仿宋" w:hAnsi="仿宋" w:eastAsia="仿宋" w:cs="仿宋"/>
          <w:color w:val="auto"/>
          <w:sz w:val="32"/>
          <w:szCs w:val="32"/>
          <w:highlight w:val="none"/>
        </w:rPr>
      </w:pPr>
      <w:bookmarkStart w:id="40" w:name="_Toc11969"/>
      <w:r>
        <w:rPr>
          <w:rFonts w:hint="eastAsia" w:ascii="仿宋" w:hAnsi="仿宋" w:eastAsia="仿宋" w:cs="仿宋"/>
          <w:color w:val="auto"/>
          <w:w w:val="95"/>
          <w:sz w:val="32"/>
          <w:szCs w:val="32"/>
          <w:highlight w:val="none"/>
        </w:rPr>
        <w:t>1.资格审</w:t>
      </w:r>
      <w:r>
        <w:rPr>
          <w:rFonts w:hint="eastAsia" w:ascii="仿宋" w:hAnsi="仿宋" w:eastAsia="仿宋" w:cs="仿宋"/>
          <w:color w:val="auto"/>
          <w:spacing w:val="-10"/>
          <w:w w:val="95"/>
          <w:sz w:val="32"/>
          <w:szCs w:val="32"/>
          <w:highlight w:val="none"/>
        </w:rPr>
        <w:t>查</w:t>
      </w:r>
      <w:bookmarkEnd w:id="40"/>
    </w:p>
    <w:p>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（1）开标结束后，采购人或采购机构依法通过电子投标文件对投标人的资格进行线上审查。</w:t>
      </w:r>
    </w:p>
    <w:p>
      <w:pPr>
        <w:pStyle w:val="45"/>
        <w:tabs>
          <w:tab w:val="left" w:pos="1366"/>
        </w:tabs>
        <w:spacing w:line="560" w:lineRule="exact"/>
        <w:ind w:left="0"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（2）资格审查标准为本招标文件中载明对投标人资格要求的条件。本项目资格审查采用合格制，凡符</w:t>
      </w:r>
      <w:r>
        <w:rPr>
          <w:rFonts w:hint="eastAsia" w:ascii="仿宋" w:hAnsi="仿宋" w:eastAsia="仿宋" w:cs="仿宋"/>
          <w:color w:val="auto"/>
          <w:spacing w:val="-1"/>
          <w:w w:val="99"/>
          <w:sz w:val="32"/>
          <w:szCs w:val="32"/>
          <w:highlight w:val="none"/>
        </w:rPr>
        <w:t>合招标文件规定的投标人资格要求的投标人均通过资格审查。</w:t>
      </w:r>
    </w:p>
    <w:p>
      <w:pPr>
        <w:tabs>
          <w:tab w:val="left" w:pos="1421"/>
        </w:tabs>
        <w:spacing w:line="560" w:lineRule="exact"/>
        <w:ind w:firstLine="611" w:firstLineChars="200"/>
        <w:outlineLvl w:val="2"/>
        <w:rPr>
          <w:rFonts w:ascii="仿宋" w:hAnsi="仿宋" w:eastAsia="仿宋" w:cs="仿宋"/>
          <w:b/>
          <w:bCs/>
          <w:color w:val="auto"/>
          <w:w w:val="95"/>
          <w:sz w:val="32"/>
          <w:szCs w:val="32"/>
          <w:highlight w:val="none"/>
        </w:rPr>
      </w:pPr>
      <w:bookmarkStart w:id="41" w:name="_Toc31984"/>
      <w:r>
        <w:rPr>
          <w:rFonts w:hint="eastAsia" w:ascii="仿宋" w:hAnsi="仿宋" w:eastAsia="仿宋" w:cs="仿宋"/>
          <w:b/>
          <w:bCs/>
          <w:color w:val="auto"/>
          <w:w w:val="95"/>
          <w:sz w:val="32"/>
          <w:szCs w:val="32"/>
          <w:highlight w:val="none"/>
        </w:rPr>
        <w:t>2.投标人有下列情形之一的，资格审查不通过，作无效投标处理：</w:t>
      </w:r>
      <w:bookmarkEnd w:id="41"/>
    </w:p>
    <w:p>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（1）未按招标文件规定的方式获取本招标文件的投标人；</w:t>
      </w:r>
    </w:p>
    <w:p>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（2）不具备招标文件中规定的资格要求的；（注：其中信用查询规则见“投标人须知前附表”）</w:t>
      </w:r>
    </w:p>
    <w:p>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（3）电子投标文件未提供任一项“投标人须知前附表”资格证明文件规定的“必须提供”的文件资料的；</w:t>
      </w:r>
    </w:p>
    <w:p>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（4）电子投标文件提供的资格证明文件出现任一项不符合“投标人须知前附表”资格证明文件规定的“必须提供”的文件资料要求或者无效的。</w:t>
      </w:r>
    </w:p>
    <w:p>
      <w:pPr>
        <w:tabs>
          <w:tab w:val="left" w:pos="1368"/>
        </w:tabs>
        <w:spacing w:line="560" w:lineRule="exact"/>
        <w:ind w:firstLine="611" w:firstLineChars="200"/>
        <w:outlineLvl w:val="2"/>
        <w:rPr>
          <w:rFonts w:ascii="仿宋" w:hAnsi="仿宋" w:eastAsia="仿宋" w:cs="仿宋"/>
          <w:b/>
          <w:color w:val="auto"/>
          <w:sz w:val="32"/>
          <w:szCs w:val="32"/>
          <w:highlight w:val="none"/>
        </w:rPr>
      </w:pPr>
      <w:bookmarkStart w:id="42" w:name="_Toc2217"/>
      <w:r>
        <w:rPr>
          <w:rFonts w:hint="eastAsia" w:ascii="仿宋" w:hAnsi="仿宋" w:eastAsia="仿宋" w:cs="仿宋"/>
          <w:b/>
          <w:color w:val="auto"/>
          <w:w w:val="95"/>
          <w:sz w:val="32"/>
          <w:szCs w:val="32"/>
          <w:highlight w:val="none"/>
        </w:rPr>
        <w:t>3.资格审查的合格投标人不足</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5"/>
          <w:sz w:val="32"/>
          <w:szCs w:val="32"/>
          <w:highlight w:val="none"/>
        </w:rPr>
        <w:t>3</w:t>
      </w:r>
      <w:r>
        <w:rPr>
          <w:rFonts w:hint="eastAsia" w:ascii="仿宋" w:hAnsi="仿宋" w:eastAsia="仿宋" w:cs="仿宋"/>
          <w:b/>
          <w:color w:val="auto"/>
          <w:spacing w:val="35"/>
          <w:sz w:val="32"/>
          <w:szCs w:val="32"/>
          <w:highlight w:val="none"/>
        </w:rPr>
        <w:t xml:space="preserve"> </w:t>
      </w:r>
      <w:r>
        <w:rPr>
          <w:rFonts w:hint="eastAsia" w:ascii="仿宋" w:hAnsi="仿宋" w:eastAsia="仿宋" w:cs="仿宋"/>
          <w:b/>
          <w:color w:val="auto"/>
          <w:spacing w:val="-2"/>
          <w:w w:val="95"/>
          <w:sz w:val="32"/>
          <w:szCs w:val="32"/>
          <w:highlight w:val="none"/>
        </w:rPr>
        <w:t>家的，不得评标。</w:t>
      </w:r>
      <w:bookmarkEnd w:id="42"/>
    </w:p>
    <w:p>
      <w:pPr>
        <w:pStyle w:val="5"/>
        <w:tabs>
          <w:tab w:val="left" w:pos="1444"/>
        </w:tabs>
        <w:spacing w:line="560" w:lineRule="exact"/>
        <w:ind w:left="0" w:right="0"/>
        <w:rPr>
          <w:rFonts w:ascii="仿宋" w:hAnsi="仿宋" w:eastAsia="仿宋" w:cs="仿宋"/>
          <w:color w:val="auto"/>
          <w:highlight w:val="none"/>
        </w:rPr>
      </w:pPr>
      <w:bookmarkStart w:id="43" w:name="_Toc15518"/>
      <w:r>
        <w:rPr>
          <w:rFonts w:hint="eastAsia" w:ascii="仿宋" w:hAnsi="仿宋" w:eastAsia="仿宋" w:cs="仿宋"/>
          <w:color w:val="auto"/>
          <w:w w:val="95"/>
          <w:highlight w:val="none"/>
        </w:rPr>
        <w:t>六、</w:t>
      </w:r>
      <w:r>
        <w:rPr>
          <w:rFonts w:hint="eastAsia" w:ascii="仿宋" w:hAnsi="仿宋" w:eastAsia="仿宋" w:cs="仿宋"/>
          <w:color w:val="auto"/>
          <w:spacing w:val="-10"/>
          <w:w w:val="95"/>
          <w:highlight w:val="none"/>
        </w:rPr>
        <w:t>评</w:t>
      </w:r>
      <w:r>
        <w:rPr>
          <w:rFonts w:hint="eastAsia" w:ascii="仿宋" w:hAnsi="仿宋" w:eastAsia="仿宋" w:cs="仿宋"/>
          <w:color w:val="auto"/>
          <w:highlight w:val="none"/>
        </w:rPr>
        <w:tab/>
      </w:r>
      <w:r>
        <w:rPr>
          <w:rFonts w:hint="eastAsia" w:ascii="仿宋" w:hAnsi="仿宋" w:eastAsia="仿宋" w:cs="仿宋"/>
          <w:color w:val="auto"/>
          <w:spacing w:val="-12"/>
          <w:w w:val="95"/>
          <w:highlight w:val="none"/>
        </w:rPr>
        <w:t>标</w:t>
      </w:r>
      <w:bookmarkEnd w:id="43"/>
    </w:p>
    <w:p>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44" w:name="_Toc11668"/>
      <w:r>
        <w:rPr>
          <w:rFonts w:hint="eastAsia" w:ascii="仿宋" w:hAnsi="仿宋" w:eastAsia="仿宋" w:cs="仿宋"/>
          <w:b/>
          <w:color w:val="auto"/>
          <w:spacing w:val="-2"/>
          <w:w w:val="95"/>
          <w:sz w:val="32"/>
          <w:szCs w:val="32"/>
          <w:highlight w:val="none"/>
        </w:rPr>
        <w:t>1.组建评标委员会</w:t>
      </w:r>
      <w:bookmarkEnd w:id="44"/>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评标委员会由采购人代表和评审专家组成，具体人数详见“投标人须知前附表”，其中评审专家不得</w:t>
      </w:r>
      <w:r>
        <w:rPr>
          <w:rFonts w:hint="eastAsia" w:ascii="仿宋" w:hAnsi="仿宋" w:eastAsia="仿宋" w:cs="仿宋"/>
          <w:color w:val="auto"/>
          <w:spacing w:val="-1"/>
          <w:w w:val="99"/>
          <w:sz w:val="32"/>
          <w:szCs w:val="32"/>
          <w:highlight w:val="none"/>
        </w:rPr>
        <w:t>少于成员总数的三分之二。</w:t>
      </w:r>
    </w:p>
    <w:p>
      <w:pPr>
        <w:pStyle w:val="10"/>
        <w:tabs>
          <w:tab w:val="left" w:pos="1257"/>
        </w:tabs>
        <w:spacing w:line="560" w:lineRule="exact"/>
        <w:ind w:left="0" w:firstLine="603" w:firstLineChars="200"/>
        <w:rPr>
          <w:rFonts w:ascii="仿宋" w:hAnsi="仿宋" w:eastAsia="仿宋" w:cs="仿宋"/>
          <w:color w:val="auto"/>
          <w:sz w:val="32"/>
          <w:szCs w:val="32"/>
          <w:highlight w:val="none"/>
        </w:rPr>
      </w:pPr>
      <w:bookmarkStart w:id="45" w:name="_Toc15783"/>
      <w:r>
        <w:rPr>
          <w:rFonts w:hint="eastAsia" w:ascii="仿宋" w:hAnsi="仿宋" w:eastAsia="仿宋" w:cs="仿宋"/>
          <w:color w:val="auto"/>
          <w:spacing w:val="-2"/>
          <w:w w:val="95"/>
          <w:sz w:val="32"/>
          <w:szCs w:val="32"/>
          <w:highlight w:val="none"/>
        </w:rPr>
        <w:t>2.评标的依据</w:t>
      </w:r>
      <w:bookmarkEnd w:id="45"/>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评标委员会以招标文件为依据对投标文件进行评审，“第四章 评标方法和评标标准”没有规定的方</w:t>
      </w:r>
      <w:r>
        <w:rPr>
          <w:rFonts w:hint="eastAsia" w:ascii="仿宋" w:hAnsi="仿宋" w:eastAsia="仿宋" w:cs="仿宋"/>
          <w:color w:val="auto"/>
          <w:spacing w:val="-2"/>
          <w:sz w:val="32"/>
          <w:szCs w:val="32"/>
          <w:highlight w:val="none"/>
        </w:rPr>
        <w:t>法、评审因素和标准，不作为评标依据。</w:t>
      </w:r>
    </w:p>
    <w:p>
      <w:pPr>
        <w:pStyle w:val="10"/>
        <w:tabs>
          <w:tab w:val="left" w:pos="1257"/>
        </w:tabs>
        <w:spacing w:line="560" w:lineRule="exact"/>
        <w:ind w:left="0" w:firstLine="611" w:firstLineChars="200"/>
        <w:rPr>
          <w:rFonts w:ascii="仿宋" w:hAnsi="仿宋" w:eastAsia="仿宋" w:cs="仿宋"/>
          <w:color w:val="auto"/>
          <w:sz w:val="32"/>
          <w:szCs w:val="32"/>
          <w:highlight w:val="none"/>
        </w:rPr>
      </w:pPr>
      <w:bookmarkStart w:id="46" w:name="_Toc2110"/>
      <w:r>
        <w:rPr>
          <w:rFonts w:hint="eastAsia" w:ascii="仿宋" w:hAnsi="仿宋" w:eastAsia="仿宋" w:cs="仿宋"/>
          <w:color w:val="auto"/>
          <w:w w:val="95"/>
          <w:sz w:val="32"/>
          <w:szCs w:val="32"/>
          <w:highlight w:val="none"/>
        </w:rPr>
        <w:t>3.评标原</w:t>
      </w:r>
      <w:r>
        <w:rPr>
          <w:rFonts w:hint="eastAsia" w:ascii="仿宋" w:hAnsi="仿宋" w:eastAsia="仿宋" w:cs="仿宋"/>
          <w:color w:val="auto"/>
          <w:spacing w:val="-10"/>
          <w:w w:val="95"/>
          <w:sz w:val="32"/>
          <w:szCs w:val="32"/>
          <w:highlight w:val="none"/>
        </w:rPr>
        <w:t>则</w:t>
      </w:r>
      <w:bookmarkEnd w:id="46"/>
    </w:p>
    <w:p>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（1）评标原则。评标委员会评标时必须公平、公正、客观，不带任何倾向性和启发性；不得向外界透</w:t>
      </w:r>
      <w:r>
        <w:rPr>
          <w:rFonts w:hint="eastAsia" w:ascii="仿宋" w:hAnsi="仿宋" w:eastAsia="仿宋" w:cs="仿宋"/>
          <w:color w:val="auto"/>
          <w:spacing w:val="-4"/>
          <w:w w:val="99"/>
          <w:sz w:val="32"/>
          <w:szCs w:val="32"/>
          <w:highlight w:val="none"/>
        </w:rPr>
        <w:t>露任何与评标有关的内容；任何单位和个人不得干扰、影响评标的正常进行；评标委员会及有关工作人员</w:t>
      </w:r>
      <w:r>
        <w:rPr>
          <w:rFonts w:hint="eastAsia" w:ascii="仿宋" w:hAnsi="仿宋" w:eastAsia="仿宋" w:cs="仿宋"/>
          <w:color w:val="auto"/>
          <w:spacing w:val="-1"/>
          <w:w w:val="99"/>
          <w:sz w:val="32"/>
          <w:szCs w:val="32"/>
          <w:highlight w:val="none"/>
        </w:rPr>
        <w:t>不得私下与投标人接触，不得收受利害关系人的财物或者其他好处。</w:t>
      </w:r>
    </w:p>
    <w:p>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（2）评委表决。在评标过程中出现法律法规和招标文件均没有明确规定的情形时，由评标委员会现场</w:t>
      </w:r>
      <w:r>
        <w:rPr>
          <w:rFonts w:hint="eastAsia" w:ascii="仿宋" w:hAnsi="仿宋" w:eastAsia="仿宋" w:cs="仿宋"/>
          <w:color w:val="auto"/>
          <w:spacing w:val="-1"/>
          <w:w w:val="99"/>
          <w:sz w:val="32"/>
          <w:szCs w:val="32"/>
          <w:highlight w:val="none"/>
        </w:rPr>
        <w:t>协商解决，协商不一致的，由全体评委投票表决，以得票率二分之一以上专家的意见为准。</w:t>
      </w:r>
    </w:p>
    <w:p>
      <w:pPr>
        <w:pStyle w:val="45"/>
        <w:tabs>
          <w:tab w:val="left" w:pos="1366"/>
        </w:tabs>
        <w:spacing w:line="560" w:lineRule="exact"/>
        <w:ind w:left="0" w:firstLine="604"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7"/>
          <w:w w:val="99"/>
          <w:sz w:val="32"/>
          <w:szCs w:val="32"/>
          <w:highlight w:val="none"/>
        </w:rPr>
        <w:t>（3）评标的保密。采购人、采购代理机构应当采取必要措施，保证评标在严格保密</w:t>
      </w:r>
      <w:r>
        <w:rPr>
          <w:rFonts w:hint="eastAsia" w:ascii="仿宋" w:hAnsi="仿宋" w:eastAsia="仿宋" w:cs="仿宋"/>
          <w:color w:val="auto"/>
          <w:spacing w:val="-1"/>
          <w:w w:val="99"/>
          <w:sz w:val="32"/>
          <w:szCs w:val="32"/>
          <w:highlight w:val="none"/>
        </w:rPr>
        <w:t>（封闭式评标</w:t>
      </w:r>
      <w:r>
        <w:rPr>
          <w:rFonts w:hint="eastAsia" w:ascii="仿宋" w:hAnsi="仿宋" w:eastAsia="仿宋" w:cs="仿宋"/>
          <w:color w:val="auto"/>
          <w:spacing w:val="-15"/>
          <w:w w:val="99"/>
          <w:sz w:val="32"/>
          <w:szCs w:val="32"/>
          <w:highlight w:val="none"/>
        </w:rPr>
        <w:t>）</w:t>
      </w:r>
      <w:r>
        <w:rPr>
          <w:rFonts w:hint="eastAsia" w:ascii="仿宋" w:hAnsi="仿宋" w:eastAsia="仿宋" w:cs="仿宋"/>
          <w:color w:val="auto"/>
          <w:w w:val="99"/>
          <w:sz w:val="32"/>
          <w:szCs w:val="32"/>
          <w:highlight w:val="none"/>
        </w:rPr>
        <w:t>的</w:t>
      </w:r>
      <w:r>
        <w:rPr>
          <w:rFonts w:hint="eastAsia" w:ascii="仿宋" w:hAnsi="仿宋" w:eastAsia="仿宋" w:cs="仿宋"/>
          <w:color w:val="auto"/>
          <w:spacing w:val="-5"/>
          <w:w w:val="99"/>
          <w:sz w:val="32"/>
          <w:szCs w:val="32"/>
          <w:highlight w:val="none"/>
        </w:rPr>
        <w:t>情况下进行。除采购人代表、评标现场组织人员外，采购人的其他工作人员以及与评标工作无关的人员不</w:t>
      </w:r>
      <w:r>
        <w:rPr>
          <w:rFonts w:hint="eastAsia" w:ascii="仿宋" w:hAnsi="仿宋" w:eastAsia="仿宋" w:cs="仿宋"/>
          <w:color w:val="auto"/>
          <w:spacing w:val="-1"/>
          <w:w w:val="99"/>
          <w:sz w:val="32"/>
          <w:szCs w:val="32"/>
          <w:highlight w:val="none"/>
        </w:rPr>
        <w:t>得进入评标现场。有关人员对评标情况以及在评标过程中获悉的国家秘密、商业秘密负有保密责任。</w:t>
      </w:r>
    </w:p>
    <w:p>
      <w:pPr>
        <w:pStyle w:val="45"/>
        <w:tabs>
          <w:tab w:val="left" w:pos="1366"/>
        </w:tabs>
        <w:spacing w:line="560" w:lineRule="exact"/>
        <w:ind w:left="0" w:firstLine="608" w:firstLineChars="20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（4）评标过程的监控。本项目电子评标过程实行网上留痕、全程录音、录像监控，投标人在评标过程</w:t>
      </w:r>
      <w:r>
        <w:rPr>
          <w:rFonts w:hint="eastAsia" w:ascii="仿宋" w:hAnsi="仿宋" w:eastAsia="仿宋" w:cs="仿宋"/>
          <w:color w:val="auto"/>
          <w:spacing w:val="-1"/>
          <w:w w:val="99"/>
          <w:sz w:val="32"/>
          <w:szCs w:val="32"/>
          <w:highlight w:val="none"/>
        </w:rPr>
        <w:t>中所进行的试图影响评标结果的不公正活动，可能导致其投标按无效处理。</w:t>
      </w:r>
    </w:p>
    <w:p>
      <w:pPr>
        <w:pStyle w:val="10"/>
        <w:tabs>
          <w:tab w:val="left" w:pos="1257"/>
        </w:tabs>
        <w:spacing w:line="560" w:lineRule="exact"/>
        <w:ind w:left="0" w:firstLine="611" w:firstLineChars="200"/>
        <w:rPr>
          <w:rFonts w:ascii="仿宋" w:hAnsi="仿宋" w:eastAsia="仿宋" w:cs="仿宋"/>
          <w:color w:val="auto"/>
          <w:w w:val="95"/>
          <w:sz w:val="32"/>
          <w:szCs w:val="32"/>
          <w:highlight w:val="none"/>
        </w:rPr>
      </w:pPr>
      <w:bookmarkStart w:id="47" w:name="_Toc3319"/>
      <w:r>
        <w:rPr>
          <w:rFonts w:hint="eastAsia" w:ascii="仿宋" w:hAnsi="仿宋" w:eastAsia="仿宋" w:cs="仿宋"/>
          <w:color w:val="auto"/>
          <w:w w:val="95"/>
          <w:sz w:val="32"/>
          <w:szCs w:val="32"/>
          <w:highlight w:val="none"/>
        </w:rPr>
        <w:t>4.评标方法及评标标准</w:t>
      </w:r>
      <w:bookmarkEnd w:id="47"/>
    </w:p>
    <w:p>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1.1本项目的评标方法详见“投标人须知前附表”。</w:t>
      </w:r>
    </w:p>
    <w:p>
      <w:pPr>
        <w:pStyle w:val="45"/>
        <w:tabs>
          <w:tab w:val="left" w:pos="1419"/>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1.2评标委员会按照“第四章 评标方法和评标标准”规定的方法、评审因素、标准和程序对投标文</w:t>
      </w:r>
      <w:r>
        <w:rPr>
          <w:rFonts w:hint="eastAsia" w:ascii="仿宋" w:hAnsi="仿宋" w:eastAsia="仿宋" w:cs="仿宋"/>
          <w:color w:val="auto"/>
          <w:spacing w:val="-2"/>
          <w:sz w:val="32"/>
          <w:szCs w:val="32"/>
          <w:highlight w:val="none"/>
        </w:rPr>
        <w:t>件进行评审。</w:t>
      </w:r>
    </w:p>
    <w:p>
      <w:pPr>
        <w:pStyle w:val="45"/>
        <w:tabs>
          <w:tab w:val="left" w:pos="1421"/>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1.3电子交易活动的中止。采购过程中出现以下情形，导致电子交易平台无法正常运行，或者无法</w:t>
      </w:r>
      <w:r>
        <w:rPr>
          <w:rFonts w:hint="eastAsia" w:ascii="仿宋" w:hAnsi="仿宋" w:eastAsia="仿宋" w:cs="仿宋"/>
          <w:color w:val="auto"/>
          <w:spacing w:val="-1"/>
          <w:w w:val="99"/>
          <w:sz w:val="32"/>
          <w:szCs w:val="32"/>
          <w:highlight w:val="none"/>
        </w:rPr>
        <w:t>保证电子交易的公平、公正和安全时，采购机构可中止电子交易活动：</w:t>
      </w:r>
    </w:p>
    <w:p>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（1）电子交易平台发生故障而无法登录访问的；</w:t>
      </w:r>
    </w:p>
    <w:p>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（2）电子交易平台应用或数据库出现错误，不能进行正常操作的；</w:t>
      </w:r>
    </w:p>
    <w:p>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（3）电子交易平台发现严重安全漏洞，有潜在泄密危险的；</w:t>
      </w:r>
    </w:p>
    <w:p>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（4）病毒发作导致不能进行正常操作的；</w:t>
      </w:r>
    </w:p>
    <w:p>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（5）其他无法保证电子交易的公平、公正和安全的情况。</w:t>
      </w:r>
    </w:p>
    <w:p>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1.4出现以上情形，不影响采购公平、公正性的，采购组织机构可以待上述情形消除后继续组织电子</w:t>
      </w:r>
      <w:r>
        <w:rPr>
          <w:rFonts w:hint="eastAsia" w:ascii="仿宋" w:hAnsi="仿宋" w:eastAsia="仿宋" w:cs="仿宋"/>
          <w:color w:val="auto"/>
          <w:spacing w:val="-5"/>
          <w:w w:val="99"/>
          <w:sz w:val="32"/>
          <w:szCs w:val="32"/>
          <w:highlight w:val="none"/>
        </w:rPr>
        <w:t>交易活动；影响或可能影响采购公平、公正性的，经采购代理机构确认后，应当重新采购。采购代理机构</w:t>
      </w:r>
      <w:r>
        <w:rPr>
          <w:rFonts w:hint="eastAsia" w:ascii="仿宋" w:hAnsi="仿宋" w:eastAsia="仿宋" w:cs="仿宋"/>
          <w:color w:val="auto"/>
          <w:spacing w:val="-1"/>
          <w:w w:val="99"/>
          <w:sz w:val="32"/>
          <w:szCs w:val="32"/>
          <w:highlight w:val="none"/>
        </w:rPr>
        <w:t>必须对原有的资料及信息作出妥善保密处理，并报财政部门备案。</w:t>
      </w:r>
    </w:p>
    <w:p>
      <w:pPr>
        <w:pStyle w:val="5"/>
        <w:spacing w:line="560" w:lineRule="exact"/>
        <w:ind w:left="0" w:right="0"/>
        <w:rPr>
          <w:rFonts w:ascii="仿宋" w:hAnsi="仿宋" w:eastAsia="仿宋" w:cs="仿宋"/>
          <w:color w:val="auto"/>
          <w:highlight w:val="none"/>
        </w:rPr>
      </w:pPr>
      <w:bookmarkStart w:id="48" w:name="_Toc4736"/>
      <w:r>
        <w:rPr>
          <w:rFonts w:hint="eastAsia" w:ascii="仿宋" w:hAnsi="仿宋" w:eastAsia="仿宋" w:cs="仿宋"/>
          <w:color w:val="auto"/>
          <w:w w:val="95"/>
          <w:highlight w:val="none"/>
        </w:rPr>
        <w:t>七、中标和合</w:t>
      </w:r>
      <w:r>
        <w:rPr>
          <w:rFonts w:hint="eastAsia" w:ascii="仿宋" w:hAnsi="仿宋" w:eastAsia="仿宋" w:cs="仿宋"/>
          <w:color w:val="auto"/>
          <w:spacing w:val="-10"/>
          <w:w w:val="95"/>
          <w:highlight w:val="none"/>
        </w:rPr>
        <w:t>同</w:t>
      </w:r>
      <w:bookmarkEnd w:id="48"/>
    </w:p>
    <w:p>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2.中标公告同时采购代理机构向中标供应商发出中标通知书，中标供应商应自接到通知之日起3个工作日内，办理中标通知书领取手续。</w:t>
      </w:r>
    </w:p>
    <w:p>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3.采购人、采购代理机构认为供应商对采购过程、中标结果提出的质疑成立且影响或者可能影响中</w:t>
      </w:r>
      <w:r>
        <w:rPr>
          <w:rFonts w:hint="eastAsia" w:ascii="仿宋" w:hAnsi="仿宋" w:eastAsia="仿宋" w:cs="仿宋"/>
          <w:color w:val="auto"/>
          <w:spacing w:val="-4"/>
          <w:w w:val="99"/>
          <w:sz w:val="32"/>
          <w:szCs w:val="32"/>
          <w:highlight w:val="none"/>
        </w:rPr>
        <w:t>标结果的，合格供应商符合法定数量时，可以从合格的中标候选人中另行确定中标人的，应当依法另行确</w:t>
      </w:r>
      <w:r>
        <w:rPr>
          <w:rFonts w:hint="eastAsia" w:ascii="仿宋" w:hAnsi="仿宋" w:eastAsia="仿宋" w:cs="仿宋"/>
          <w:color w:val="auto"/>
          <w:spacing w:val="-1"/>
          <w:w w:val="99"/>
          <w:sz w:val="32"/>
          <w:szCs w:val="32"/>
          <w:highlight w:val="none"/>
        </w:rPr>
        <w:t>定中标人；否则应当重新开展采购活动。</w:t>
      </w:r>
    </w:p>
    <w:p>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4.排名第一的中标候选人放弃中标、因不可抗力提出不能履行合同，采购人可以按照评审报告推荐</w:t>
      </w:r>
      <w:r>
        <w:rPr>
          <w:rFonts w:hint="eastAsia" w:ascii="仿宋" w:hAnsi="仿宋" w:eastAsia="仿宋" w:cs="仿宋"/>
          <w:color w:val="auto"/>
          <w:spacing w:val="-1"/>
          <w:w w:val="99"/>
          <w:sz w:val="32"/>
          <w:szCs w:val="32"/>
          <w:highlight w:val="none"/>
        </w:rPr>
        <w:t>的中标候选人名单排序，依法确定下一候选人为中标人，也可以重新开展政府采购活动。</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w:t>
      </w:r>
      <w:r>
        <w:rPr>
          <w:rFonts w:hint="eastAsia" w:ascii="仿宋" w:hAnsi="仿宋" w:eastAsia="仿宋" w:cs="仿宋"/>
          <w:color w:val="auto"/>
          <w:spacing w:val="-5"/>
          <w:w w:val="99"/>
          <w:sz w:val="32"/>
          <w:szCs w:val="32"/>
          <w:highlight w:val="none"/>
        </w:rPr>
        <w:t>对未通过资格审查的投标人，采购人或采购机构应当告知其未通过的原因；采用综</w:t>
      </w:r>
      <w:r>
        <w:rPr>
          <w:rFonts w:hint="eastAsia" w:ascii="仿宋" w:hAnsi="仿宋" w:eastAsia="仿宋" w:cs="仿宋"/>
          <w:color w:val="auto"/>
          <w:spacing w:val="-1"/>
          <w:w w:val="95"/>
          <w:sz w:val="32"/>
          <w:szCs w:val="32"/>
          <w:highlight w:val="none"/>
        </w:rPr>
        <w:t>合评分办法评审的，采购人或采购机构还应当告知未中标人本人的评审得分与排序。</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6.无义务解释未中标原因</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采购代理机构无义务向未中标的投标人解释未中标原因和退还投标文件。</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7.合同授予标准</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合同将授予被确定实质上响应招标文件要求，具备履行合同能力的中标人（招标文件另有约定多名中标人的除外）。</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8.履约保证金</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本项目不收取履约保证金。</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9.签订合同</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签订合同时间：中标通知书发出之日起25日内。中标供应商领取中标通知书后，应按规定与采购人签订合同。</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中标人拒绝与采购人签订合同的，采购人可以按照评审报告推荐的中标候选人名单排序，依法确定下一候选人为中标人，也可以重新开展政府采购活动。</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10.政府采购合同公告</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采购人或者受托采购代理机构应当自政府采购合同签订之日起 2 个工作日内，将政府采购合同在省级以上人民政府财政部门指定的媒体上公告，但政府采购合同中涉及国家秘密、商业秘密的内容除外。</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11.询问、质疑和投诉</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（1）供应商对政府采购活动事项有疑问的，可以向采购人提出询问，采购人应当及时作出答复，但答复的内容不得涉及商业秘密。</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（2）供应商认为招标文件、采购过程或者中标结果使自己的合法权益受到损害的，必须在知道或者应知其权益受到损害之日起 7 个工作日内，以书面形式向采购人、采购代理机构提出质疑。采购人、采购代理机构接收质疑函的方式、联系部门、联系电话和通讯地址等信息详见“投标人须知前附表”。具体质疑起算时间如下：</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（3）对可以质疑的招标文件提出质疑的，为收到招标文件之日或者招标文件公告期限届满之日；</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（4）对采购过程提出质疑的，为各采购程序环节结束之日；</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（5）对中标结果提出质疑的，为中标结果公告期限届满之日。</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（6）供应商对采购人、采购代理机构的质疑答复不满意，或者采购人、采购代理机构未在规定时间内作出答复的，可以在答复期满后十五个工作日内向同级政府采购监管部门投诉。</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（7）供应商提出质疑应当提交质疑函和必要的证明材料，针对同一采购程序环节的质疑必须在法定质疑期内一次性提出。质疑函应当包括下列内容（质疑函格式后附）：</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①供应商的姓名或者名称、地址、邮编、联系人及联系电话；</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②质疑项目的名称、编号；</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③具体、明确的质疑事项和与质疑事项相关的请求；</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④事实依据；</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⑤必要的法律依据；</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⑥提出质疑的日期。</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供应商为自然人的，应当由本人签字；供应商为法人或者其他组织的，应当由法定代表人（负责人）、主要负责人，或者其委托代理人签字或者盖章，并加盖公章。</w:t>
      </w:r>
    </w:p>
    <w:p>
      <w:pPr>
        <w:tabs>
          <w:tab w:val="left" w:pos="1373"/>
        </w:tabs>
        <w:spacing w:line="560" w:lineRule="exact"/>
        <w:ind w:firstLine="647" w:firstLineChars="200"/>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（8）采购人、采购代理机构认为供应商质疑不成立，或者成立但未对中标结果构成影响的，继续开</w:t>
      </w:r>
      <w:r>
        <w:rPr>
          <w:rFonts w:hint="eastAsia" w:ascii="仿宋" w:hAnsi="仿宋" w:eastAsia="仿宋" w:cs="仿宋"/>
          <w:b/>
          <w:color w:val="auto"/>
          <w:spacing w:val="-1"/>
          <w:w w:val="99"/>
          <w:sz w:val="32"/>
          <w:szCs w:val="32"/>
          <w:highlight w:val="none"/>
        </w:rPr>
        <w:t>展采购活动；认为供应商质疑成立且影响或者可能影响中标结果的，按照下列情况处理：</w:t>
      </w:r>
    </w:p>
    <w:p>
      <w:pPr>
        <w:pStyle w:val="13"/>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①对招标文件提出的质疑，依法通过澄清或者修改可以继续开展采购活动的，澄清或者修改招标文件后继续开展采购活动；否则应当修改招标文件后重新开展采购活动。</w:t>
      </w:r>
    </w:p>
    <w:p>
      <w:pPr>
        <w:pStyle w:val="13"/>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②对采购过程、中标结果提出的质疑，合格供应商符合法定数量时，可以从合格的中标候选人中另行确定中标人的，应当依法另行确定中标人；否则应当重新开展采购活动。</w:t>
      </w:r>
    </w:p>
    <w:p>
      <w:pPr>
        <w:pStyle w:val="13"/>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质疑答复导致中标结果改变的，采购人或者采购代理机构应当将有关情况书面报告本级财政部门。</w:t>
      </w:r>
    </w:p>
    <w:p>
      <w:pPr>
        <w:pStyle w:val="13"/>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12.投诉的权利。质疑供应商对采购人、采购代理机构的答复不满意，或者采购人、采购代理机构未在规定时间内作出答复的，可以在答复期满后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p>
    <w:p>
      <w:pPr>
        <w:pStyle w:val="13"/>
        <w:spacing w:line="560" w:lineRule="exact"/>
        <w:rPr>
          <w:rFonts w:ascii="仿宋" w:hAnsi="仿宋" w:eastAsia="仿宋" w:cs="仿宋"/>
          <w:b/>
          <w:color w:val="auto"/>
          <w:sz w:val="32"/>
          <w:szCs w:val="32"/>
          <w:highlight w:val="none"/>
        </w:rPr>
      </w:pPr>
    </w:p>
    <w:p>
      <w:pPr>
        <w:pStyle w:val="5"/>
        <w:spacing w:line="560" w:lineRule="exact"/>
        <w:ind w:left="0" w:right="0"/>
        <w:rPr>
          <w:rFonts w:ascii="仿宋" w:hAnsi="仿宋" w:eastAsia="仿宋" w:cs="仿宋"/>
          <w:color w:val="auto"/>
          <w:highlight w:val="none"/>
        </w:rPr>
      </w:pPr>
      <w:bookmarkStart w:id="49" w:name="_Toc17209"/>
      <w:r>
        <w:rPr>
          <w:rFonts w:hint="eastAsia" w:ascii="仿宋" w:hAnsi="仿宋" w:eastAsia="仿宋" w:cs="仿宋"/>
          <w:color w:val="auto"/>
          <w:w w:val="95"/>
          <w:highlight w:val="none"/>
        </w:rPr>
        <w:t>八、其他事</w:t>
      </w:r>
      <w:r>
        <w:rPr>
          <w:rFonts w:hint="eastAsia" w:ascii="仿宋" w:hAnsi="仿宋" w:eastAsia="仿宋" w:cs="仿宋"/>
          <w:color w:val="auto"/>
          <w:spacing w:val="-10"/>
          <w:w w:val="95"/>
          <w:highlight w:val="none"/>
        </w:rPr>
        <w:t>项</w:t>
      </w:r>
      <w:bookmarkEnd w:id="49"/>
    </w:p>
    <w:p>
      <w:pPr>
        <w:pStyle w:val="10"/>
        <w:tabs>
          <w:tab w:val="left" w:pos="1257"/>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1.采购代理服务费“投标人须知前附表”。</w:t>
      </w:r>
    </w:p>
    <w:p>
      <w:pPr>
        <w:pStyle w:val="10"/>
        <w:tabs>
          <w:tab w:val="left" w:pos="1378"/>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2.需要补充的其他内容</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（1）本招标文件解释规则详见“投标人须知前附表”。</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（2）其他事项详见“投标人须知前附表”。</w:t>
      </w:r>
    </w:p>
    <w:p>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
          <w:w w:val="95"/>
          <w:sz w:val="32"/>
          <w:szCs w:val="32"/>
          <w:highlight w:val="none"/>
        </w:rPr>
        <w:t>3.本招标文件所称的“以上”、“以下”、“内”、“以内”，包括本数；所称的“不足”，不包括本数。</w:t>
      </w:r>
    </w:p>
    <w:p>
      <w:pPr>
        <w:pStyle w:val="13"/>
        <w:rPr>
          <w:color w:val="auto"/>
          <w:sz w:val="20"/>
          <w:highlight w:val="none"/>
        </w:rPr>
      </w:pPr>
    </w:p>
    <w:p>
      <w:pPr>
        <w:pStyle w:val="2"/>
        <w:spacing w:before="169"/>
        <w:ind w:right="116"/>
        <w:rPr>
          <w:color w:val="auto"/>
          <w:spacing w:val="-10"/>
          <w:highlight w:val="none"/>
        </w:rPr>
      </w:pPr>
      <w:bookmarkStart w:id="50" w:name="_Toc14276"/>
      <w:r>
        <w:rPr>
          <w:color w:val="auto"/>
          <w:highlight w:val="none"/>
        </w:rPr>
        <w:t>第四</w:t>
      </w:r>
      <w:r>
        <w:rPr>
          <w:color w:val="auto"/>
          <w:spacing w:val="-8"/>
          <w:highlight w:val="none"/>
        </w:rPr>
        <w:t>章  评</w:t>
      </w:r>
      <w:r>
        <w:rPr>
          <w:color w:val="auto"/>
          <w:highlight w:val="none"/>
        </w:rPr>
        <w:t>标方法及评标标</w:t>
      </w:r>
      <w:r>
        <w:rPr>
          <w:color w:val="auto"/>
          <w:spacing w:val="-10"/>
          <w:highlight w:val="none"/>
        </w:rPr>
        <w:t>准</w:t>
      </w:r>
      <w:bookmarkEnd w:id="50"/>
    </w:p>
    <w:p>
      <w:pPr>
        <w:pStyle w:val="5"/>
        <w:spacing w:line="560" w:lineRule="exact"/>
        <w:ind w:left="0" w:right="0" w:firstLine="611" w:firstLineChars="200"/>
        <w:rPr>
          <w:rFonts w:ascii="仿宋" w:hAnsi="仿宋" w:eastAsia="仿宋" w:cs="仿宋"/>
          <w:color w:val="auto"/>
          <w:highlight w:val="none"/>
        </w:rPr>
      </w:pPr>
      <w:bookmarkStart w:id="51" w:name="_Toc9709"/>
      <w:r>
        <w:rPr>
          <w:rFonts w:hint="eastAsia" w:ascii="仿宋" w:hAnsi="仿宋" w:eastAsia="仿宋" w:cs="仿宋"/>
          <w:color w:val="auto"/>
          <w:w w:val="95"/>
          <w:highlight w:val="none"/>
        </w:rPr>
        <w:t>一、评</w:t>
      </w:r>
      <w:r>
        <w:rPr>
          <w:rFonts w:hint="eastAsia" w:ascii="仿宋" w:hAnsi="仿宋" w:eastAsia="仿宋" w:cs="仿宋"/>
          <w:color w:val="auto"/>
          <w:spacing w:val="-4"/>
          <w:w w:val="95"/>
          <w:highlight w:val="none"/>
        </w:rPr>
        <w:t>标方法</w:t>
      </w:r>
      <w:bookmarkEnd w:id="51"/>
    </w:p>
    <w:p>
      <w:pPr>
        <w:pStyle w:val="13"/>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综合评分法，是指投标文件满足招标文件全部实质性要求，且按照评审因素的量化指标评审得分最高</w:t>
      </w:r>
      <w:r>
        <w:rPr>
          <w:rFonts w:hint="eastAsia" w:ascii="仿宋" w:hAnsi="仿宋" w:eastAsia="仿宋" w:cs="仿宋"/>
          <w:color w:val="auto"/>
          <w:spacing w:val="-1"/>
          <w:w w:val="99"/>
          <w:sz w:val="32"/>
          <w:szCs w:val="32"/>
          <w:highlight w:val="none"/>
        </w:rPr>
        <w:t>的投标人为中标候选人的评标方法。</w:t>
      </w:r>
    </w:p>
    <w:p>
      <w:pPr>
        <w:pStyle w:val="13"/>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最低评标价法，是指投标文件满足招标文件全部实质性要求，且投标报价最低的投标人为中标候选人</w:t>
      </w:r>
      <w:r>
        <w:rPr>
          <w:rFonts w:hint="eastAsia" w:ascii="仿宋" w:hAnsi="仿宋" w:eastAsia="仿宋" w:cs="仿宋"/>
          <w:color w:val="auto"/>
          <w:spacing w:val="-1"/>
          <w:w w:val="99"/>
          <w:sz w:val="32"/>
          <w:szCs w:val="32"/>
          <w:highlight w:val="none"/>
        </w:rPr>
        <w:t>的评标方法。</w:t>
      </w:r>
    </w:p>
    <w:p>
      <w:pPr>
        <w:pStyle w:val="5"/>
        <w:spacing w:line="560" w:lineRule="exact"/>
        <w:ind w:left="0" w:right="0" w:firstLine="611" w:firstLineChars="200"/>
        <w:rPr>
          <w:rFonts w:ascii="仿宋" w:hAnsi="仿宋" w:eastAsia="仿宋" w:cs="仿宋"/>
          <w:color w:val="auto"/>
          <w:highlight w:val="none"/>
        </w:rPr>
      </w:pPr>
      <w:bookmarkStart w:id="52" w:name="_Toc6210"/>
      <w:r>
        <w:rPr>
          <w:rFonts w:hint="eastAsia" w:ascii="仿宋" w:hAnsi="仿宋" w:eastAsia="仿宋" w:cs="仿宋"/>
          <w:color w:val="auto"/>
          <w:w w:val="95"/>
          <w:highlight w:val="none"/>
        </w:rPr>
        <w:t>二、评</w:t>
      </w:r>
      <w:r>
        <w:rPr>
          <w:rFonts w:hint="eastAsia" w:ascii="仿宋" w:hAnsi="仿宋" w:eastAsia="仿宋" w:cs="仿宋"/>
          <w:color w:val="auto"/>
          <w:spacing w:val="-4"/>
          <w:w w:val="95"/>
          <w:highlight w:val="none"/>
        </w:rPr>
        <w:t>标程序</w:t>
      </w:r>
      <w:bookmarkEnd w:id="52"/>
    </w:p>
    <w:p>
      <w:pPr>
        <w:tabs>
          <w:tab w:val="left" w:pos="1107"/>
        </w:tabs>
        <w:spacing w:line="560" w:lineRule="exact"/>
        <w:ind w:firstLine="600" w:firstLineChars="200"/>
        <w:outlineLvl w:val="2"/>
        <w:rPr>
          <w:rFonts w:ascii="仿宋" w:hAnsi="仿宋" w:eastAsia="仿宋" w:cs="仿宋"/>
          <w:bCs/>
          <w:color w:val="auto"/>
          <w:sz w:val="32"/>
          <w:szCs w:val="32"/>
          <w:highlight w:val="none"/>
        </w:rPr>
      </w:pPr>
      <w:bookmarkStart w:id="53" w:name="_Toc27200"/>
      <w:r>
        <w:rPr>
          <w:rFonts w:hint="eastAsia" w:ascii="仿宋" w:hAnsi="仿宋" w:eastAsia="仿宋" w:cs="仿宋"/>
          <w:bCs/>
          <w:color w:val="auto"/>
          <w:spacing w:val="-2"/>
          <w:w w:val="95"/>
          <w:sz w:val="32"/>
          <w:szCs w:val="32"/>
          <w:highlight w:val="none"/>
        </w:rPr>
        <w:t>1.符合性审查</w:t>
      </w:r>
      <w:bookmarkEnd w:id="53"/>
    </w:p>
    <w:p>
      <w:pPr>
        <w:spacing w:line="560" w:lineRule="exact"/>
        <w:ind w:firstLine="616" w:firstLineChars="200"/>
        <w:rPr>
          <w:rFonts w:ascii="仿宋" w:hAnsi="仿宋" w:eastAsia="仿宋" w:cs="仿宋"/>
          <w:bCs/>
          <w:color w:val="auto"/>
          <w:sz w:val="32"/>
          <w:szCs w:val="32"/>
          <w:highlight w:val="none"/>
        </w:rPr>
      </w:pPr>
      <w:r>
        <w:rPr>
          <w:rFonts w:hint="eastAsia" w:ascii="仿宋" w:hAnsi="仿宋" w:eastAsia="仿宋" w:cs="仿宋"/>
          <w:bCs/>
          <w:color w:val="auto"/>
          <w:spacing w:val="-4"/>
          <w:w w:val="99"/>
          <w:sz w:val="32"/>
          <w:szCs w:val="32"/>
          <w:highlight w:val="none"/>
        </w:rPr>
        <w:t>评标委员会应当对符合资格的投标人的投标文件进行投标报价、商务、技术等实质性内容符合性审查，</w:t>
      </w:r>
      <w:r>
        <w:rPr>
          <w:rFonts w:hint="eastAsia" w:ascii="仿宋" w:hAnsi="仿宋" w:eastAsia="仿宋" w:cs="仿宋"/>
          <w:bCs/>
          <w:color w:val="auto"/>
          <w:spacing w:val="-1"/>
          <w:w w:val="99"/>
          <w:sz w:val="32"/>
          <w:szCs w:val="32"/>
          <w:highlight w:val="none"/>
        </w:rPr>
        <w:t>以确定其是否满足招标文件的实质性要求。</w:t>
      </w:r>
    </w:p>
    <w:p>
      <w:pPr>
        <w:tabs>
          <w:tab w:val="left" w:pos="1107"/>
        </w:tabs>
        <w:spacing w:line="560" w:lineRule="exact"/>
        <w:ind w:firstLine="604" w:firstLineChars="200"/>
        <w:outlineLvl w:val="2"/>
        <w:rPr>
          <w:rFonts w:ascii="仿宋" w:hAnsi="仿宋" w:eastAsia="仿宋" w:cs="仿宋"/>
          <w:bCs/>
          <w:color w:val="auto"/>
          <w:sz w:val="32"/>
          <w:szCs w:val="32"/>
          <w:highlight w:val="none"/>
        </w:rPr>
      </w:pPr>
      <w:bookmarkStart w:id="54" w:name="_Toc6912"/>
      <w:r>
        <w:rPr>
          <w:rFonts w:hint="eastAsia" w:ascii="仿宋" w:hAnsi="仿宋" w:eastAsia="仿宋" w:cs="仿宋"/>
          <w:bCs/>
          <w:color w:val="auto"/>
          <w:spacing w:val="-1"/>
          <w:w w:val="95"/>
          <w:sz w:val="32"/>
          <w:szCs w:val="32"/>
          <w:highlight w:val="none"/>
        </w:rPr>
        <w:t>2.符合性审查不通过而导致投标无效的情形</w:t>
      </w:r>
      <w:bookmarkEnd w:id="54"/>
    </w:p>
    <w:p>
      <w:pPr>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投标人的投标文件中存在对招标文件的任何实质性要求和条件的负偏离，将被视为投标无效</w:t>
      </w:r>
      <w:r>
        <w:rPr>
          <w:rFonts w:hint="eastAsia" w:ascii="仿宋" w:hAnsi="仿宋" w:eastAsia="仿宋" w:cs="仿宋"/>
          <w:bCs/>
          <w:color w:val="auto"/>
          <w:spacing w:val="-10"/>
          <w:w w:val="95"/>
          <w:sz w:val="32"/>
          <w:szCs w:val="32"/>
          <w:highlight w:val="none"/>
        </w:rPr>
        <w:t>。</w:t>
      </w:r>
    </w:p>
    <w:p>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5" w:name="_Toc28547"/>
      <w:r>
        <w:rPr>
          <w:rFonts w:hint="eastAsia" w:ascii="仿宋" w:hAnsi="仿宋" w:eastAsia="仿宋" w:cs="仿宋"/>
          <w:bCs/>
          <w:color w:val="auto"/>
          <w:spacing w:val="-1"/>
          <w:w w:val="95"/>
          <w:sz w:val="32"/>
          <w:szCs w:val="32"/>
          <w:highlight w:val="none"/>
        </w:rPr>
        <w:t>3.在报价评审时，如发现下列情形之一的，将被视为投标无效：</w:t>
      </w:r>
      <w:bookmarkEnd w:id="55"/>
    </w:p>
    <w:p>
      <w:pPr>
        <w:tabs>
          <w:tab w:val="left" w:pos="1421"/>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（1）投标文件未提供“投标人须知前附表”报价文件</w:t>
      </w:r>
      <w:r>
        <w:rPr>
          <w:rFonts w:hint="eastAsia" w:ascii="仿宋" w:hAnsi="仿宋" w:eastAsia="仿宋" w:cs="仿宋"/>
          <w:bCs/>
          <w:color w:val="auto"/>
          <w:spacing w:val="-1"/>
          <w:w w:val="95"/>
          <w:sz w:val="32"/>
          <w:szCs w:val="32"/>
          <w:highlight w:val="none"/>
        </w:rPr>
        <w:t>规定中“必须提供”的文件资料的；</w:t>
      </w:r>
    </w:p>
    <w:p>
      <w:pPr>
        <w:tabs>
          <w:tab w:val="left" w:pos="1419"/>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（2）未采用人民币报价或者未按照招标文件标明的币种报价的；</w:t>
      </w:r>
    </w:p>
    <w:p>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（3）报价超出招标文件规定最高限价，或者超出采购预算的；</w:t>
      </w:r>
    </w:p>
    <w:p>
      <w:pPr>
        <w:tabs>
          <w:tab w:val="left" w:pos="1421"/>
        </w:tabs>
        <w:spacing w:line="560" w:lineRule="exact"/>
        <w:ind w:firstLine="628"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9"/>
          <w:sz w:val="32"/>
          <w:szCs w:val="32"/>
          <w:highlight w:val="none"/>
        </w:rPr>
        <w:t>（4）投标人未就所投项目进行报价或者存在漏项报价；投标人未就所投项目的单项内容作唯一报价；</w:t>
      </w:r>
      <w:r>
        <w:rPr>
          <w:rFonts w:hint="eastAsia" w:ascii="仿宋" w:hAnsi="仿宋" w:eastAsia="仿宋" w:cs="仿宋"/>
          <w:bCs/>
          <w:color w:val="auto"/>
          <w:spacing w:val="-2"/>
          <w:w w:val="99"/>
          <w:sz w:val="32"/>
          <w:szCs w:val="32"/>
          <w:highlight w:val="none"/>
        </w:rPr>
        <w:t>投标人未就所投项目的全部内容作唯一总价报价；存在有选择、有条件报价的</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spacing w:val="1"/>
          <w:w w:val="99"/>
          <w:sz w:val="32"/>
          <w:szCs w:val="32"/>
          <w:highlight w:val="none"/>
        </w:rPr>
        <w:t>招标文件允许有备选方案或者其他约定的除外</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w:t>
      </w:r>
    </w:p>
    <w:p>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（5）修正后的报价，投标人不确认的；</w:t>
      </w:r>
    </w:p>
    <w:p>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6" w:name="_Toc27877"/>
      <w:r>
        <w:rPr>
          <w:rFonts w:hint="eastAsia" w:ascii="仿宋" w:hAnsi="仿宋" w:eastAsia="仿宋" w:cs="仿宋"/>
          <w:bCs/>
          <w:color w:val="auto"/>
          <w:spacing w:val="-1"/>
          <w:w w:val="95"/>
          <w:sz w:val="32"/>
          <w:szCs w:val="32"/>
          <w:highlight w:val="none"/>
        </w:rPr>
        <w:t>4.在商务评审时，如发现下列情形之一的，将被视为投标无效：</w:t>
      </w:r>
      <w:bookmarkEnd w:id="56"/>
    </w:p>
    <w:p>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（1）投标文件未按招标文件要求签署、盖章的；</w:t>
      </w:r>
    </w:p>
    <w:p>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（2）委托代理人未能出具有效身份证明或者出具的身份证明与授权委托书中的信息不符的；</w:t>
      </w:r>
    </w:p>
    <w:p>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w:t>
      </w:r>
      <w:r>
        <w:rPr>
          <w:rFonts w:hint="eastAsia" w:ascii="仿宋" w:hAnsi="仿宋" w:eastAsia="仿宋" w:cs="仿宋"/>
          <w:bCs/>
          <w:color w:val="auto"/>
          <w:spacing w:val="1"/>
          <w:w w:val="99"/>
          <w:sz w:val="32"/>
          <w:szCs w:val="32"/>
          <w:highlight w:val="none"/>
        </w:rPr>
        <w:t>投标文件未提供“投标人须知前附表”商务文件规定中“必须提供”或者“委托时必须提供”的文件资料的；</w:t>
      </w:r>
    </w:p>
    <w:p>
      <w:pPr>
        <w:tabs>
          <w:tab w:val="left" w:pos="1421"/>
        </w:tabs>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（4）投标有效期、项目完成时间</w:t>
      </w:r>
      <w:r>
        <w:rPr>
          <w:rFonts w:hint="eastAsia" w:ascii="仿宋" w:hAnsi="仿宋" w:eastAsia="仿宋" w:cs="仿宋"/>
          <w:bCs/>
          <w:color w:val="auto"/>
          <w:spacing w:val="4"/>
          <w:w w:val="99"/>
          <w:sz w:val="32"/>
          <w:szCs w:val="32"/>
          <w:highlight w:val="none"/>
        </w:rPr>
        <w:t>（</w:t>
      </w:r>
      <w:r>
        <w:rPr>
          <w:rFonts w:hint="eastAsia" w:ascii="仿宋" w:hAnsi="仿宋" w:eastAsia="仿宋" w:cs="仿宋"/>
          <w:bCs/>
          <w:color w:val="auto"/>
          <w:spacing w:val="2"/>
          <w:w w:val="99"/>
          <w:sz w:val="32"/>
          <w:szCs w:val="32"/>
          <w:highlight w:val="none"/>
        </w:rPr>
        <w:t>交货时间、服务完成时间或者服务期等）</w:t>
      </w:r>
      <w:r>
        <w:rPr>
          <w:rFonts w:hint="eastAsia" w:ascii="仿宋" w:hAnsi="仿宋" w:eastAsia="仿宋" w:cs="仿宋"/>
          <w:bCs/>
          <w:color w:val="auto"/>
          <w:spacing w:val="1"/>
          <w:w w:val="99"/>
          <w:sz w:val="32"/>
          <w:szCs w:val="32"/>
          <w:highlight w:val="none"/>
        </w:rPr>
        <w:t>及招标文件中标“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的商务条款发生负偏离的；</w:t>
      </w:r>
    </w:p>
    <w:p>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（5）商务条款评审允许负偏离的条款数超过“投标人须知前附表”规定项数的。</w:t>
      </w:r>
    </w:p>
    <w:p>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（6）投标文件的实质性内容未使用中文表述、使用计量单位不符合招标文件要求的；</w:t>
      </w:r>
    </w:p>
    <w:p>
      <w:pPr>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（7）投标文件中的文件资料因填写不齐全或者内容虚假或者出现其他情形而导致被评标委员会认定</w:t>
      </w:r>
      <w:r>
        <w:rPr>
          <w:rFonts w:hint="eastAsia" w:ascii="仿宋" w:hAnsi="仿宋" w:eastAsia="仿宋" w:cs="仿宋"/>
          <w:bCs/>
          <w:color w:val="auto"/>
          <w:w w:val="95"/>
          <w:sz w:val="32"/>
          <w:szCs w:val="32"/>
          <w:highlight w:val="none"/>
        </w:rPr>
        <w:t>无效的</w:t>
      </w:r>
      <w:r>
        <w:rPr>
          <w:rFonts w:hint="eastAsia" w:ascii="仿宋" w:hAnsi="仿宋" w:eastAsia="仿宋" w:cs="仿宋"/>
          <w:bCs/>
          <w:color w:val="auto"/>
          <w:spacing w:val="-10"/>
          <w:w w:val="95"/>
          <w:sz w:val="32"/>
          <w:szCs w:val="32"/>
          <w:highlight w:val="none"/>
        </w:rPr>
        <w:t>；</w:t>
      </w:r>
    </w:p>
    <w:p>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（8）投标文件含有采购人不能接受的附加条件的；</w:t>
      </w:r>
    </w:p>
    <w:p>
      <w:pPr>
        <w:tabs>
          <w:tab w:val="left" w:pos="1527"/>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（9）未响应招标文件实质性要求的；</w:t>
      </w:r>
    </w:p>
    <w:p>
      <w:pPr>
        <w:tabs>
          <w:tab w:val="left" w:pos="1527"/>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（10）</w:t>
      </w:r>
      <w:r>
        <w:rPr>
          <w:rFonts w:hint="eastAsia" w:ascii="仿宋" w:hAnsi="仿宋" w:eastAsia="仿宋" w:cs="仿宋"/>
          <w:bCs/>
          <w:color w:val="auto"/>
          <w:spacing w:val="-1"/>
          <w:w w:val="95"/>
          <w:sz w:val="32"/>
          <w:szCs w:val="32"/>
          <w:highlight w:val="none"/>
        </w:rPr>
        <w:t>法律、法规和招标文件规定的其他无效情形。</w:t>
      </w:r>
    </w:p>
    <w:p>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7" w:name="_Toc13937"/>
      <w:r>
        <w:rPr>
          <w:rFonts w:hint="eastAsia" w:ascii="仿宋" w:hAnsi="仿宋" w:eastAsia="仿宋" w:cs="仿宋"/>
          <w:bCs/>
          <w:color w:val="auto"/>
          <w:spacing w:val="-1"/>
          <w:w w:val="95"/>
          <w:sz w:val="32"/>
          <w:szCs w:val="32"/>
          <w:highlight w:val="none"/>
        </w:rPr>
        <w:t>5.在技术评审时，如发现下列情形之一的，将被视为投标无效：</w:t>
      </w:r>
      <w:bookmarkEnd w:id="57"/>
    </w:p>
    <w:p>
      <w:pPr>
        <w:tabs>
          <w:tab w:val="left" w:pos="1415"/>
        </w:tabs>
        <w:spacing w:line="560" w:lineRule="exact"/>
        <w:ind w:firstLine="620" w:firstLineChars="200"/>
        <w:rPr>
          <w:rFonts w:ascii="仿宋" w:hAnsi="仿宋" w:eastAsia="仿宋" w:cs="仿宋"/>
          <w:bCs/>
          <w:color w:val="auto"/>
          <w:sz w:val="32"/>
          <w:szCs w:val="32"/>
          <w:highlight w:val="none"/>
        </w:rPr>
      </w:pPr>
      <w:r>
        <w:rPr>
          <w:rFonts w:hint="eastAsia" w:ascii="仿宋" w:hAnsi="仿宋" w:eastAsia="仿宋" w:cs="仿宋"/>
          <w:bCs/>
          <w:color w:val="auto"/>
          <w:spacing w:val="-3"/>
          <w:w w:val="99"/>
          <w:sz w:val="32"/>
          <w:szCs w:val="32"/>
          <w:highlight w:val="none"/>
        </w:rPr>
        <w:t>（1）明显不满足招标文件要求的服务内容、技术要求、安全、质量标准，或者与招标文件中标“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3"/>
          <w:w w:val="99"/>
          <w:sz w:val="32"/>
          <w:szCs w:val="32"/>
          <w:highlight w:val="none"/>
        </w:rPr>
        <w:t>”</w:t>
      </w:r>
      <w:r>
        <w:rPr>
          <w:rFonts w:hint="eastAsia" w:ascii="仿宋" w:hAnsi="仿宋" w:eastAsia="仿宋" w:cs="仿宋"/>
          <w:bCs/>
          <w:color w:val="auto"/>
          <w:spacing w:val="2"/>
          <w:w w:val="99"/>
          <w:sz w:val="32"/>
          <w:szCs w:val="32"/>
          <w:highlight w:val="none"/>
        </w:rPr>
        <w:t>的服务（</w:t>
      </w:r>
      <w:r>
        <w:rPr>
          <w:rFonts w:hint="eastAsia" w:ascii="仿宋" w:hAnsi="仿宋" w:eastAsia="仿宋" w:cs="仿宋"/>
          <w:bCs/>
          <w:color w:val="auto"/>
          <w:w w:val="99"/>
          <w:sz w:val="32"/>
          <w:szCs w:val="32"/>
          <w:highlight w:val="none"/>
        </w:rPr>
        <w:t>技术</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w w:val="99"/>
          <w:sz w:val="32"/>
          <w:szCs w:val="32"/>
          <w:highlight w:val="none"/>
        </w:rPr>
        <w:t>需求发生负偏离的；</w:t>
      </w:r>
    </w:p>
    <w:p>
      <w:pPr>
        <w:tabs>
          <w:tab w:val="left" w:pos="1414"/>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（2）服务（技术）</w:t>
      </w:r>
      <w:r>
        <w:rPr>
          <w:rFonts w:hint="eastAsia" w:ascii="仿宋" w:hAnsi="仿宋" w:eastAsia="仿宋" w:cs="仿宋"/>
          <w:bCs/>
          <w:color w:val="auto"/>
          <w:spacing w:val="-1"/>
          <w:w w:val="95"/>
          <w:sz w:val="32"/>
          <w:szCs w:val="32"/>
          <w:highlight w:val="none"/>
        </w:rPr>
        <w:t>需求评审允许负偏离的条款数超过“投标人须知前附表”规定项数的；</w:t>
      </w:r>
    </w:p>
    <w:p>
      <w:pPr>
        <w:tabs>
          <w:tab w:val="left" w:pos="1414"/>
        </w:tabs>
        <w:spacing w:line="560" w:lineRule="exact"/>
        <w:ind w:firstLine="608"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w w:val="95"/>
          <w:sz w:val="32"/>
          <w:szCs w:val="32"/>
          <w:highlight w:val="none"/>
        </w:rPr>
        <w:t>（3）投标文件未提供“</w:t>
      </w:r>
      <w:r>
        <w:rPr>
          <w:rFonts w:hint="eastAsia" w:ascii="仿宋" w:hAnsi="仿宋" w:eastAsia="仿宋" w:cs="仿宋"/>
          <w:bCs/>
          <w:color w:val="auto"/>
          <w:spacing w:val="-1"/>
          <w:w w:val="95"/>
          <w:sz w:val="32"/>
          <w:szCs w:val="32"/>
          <w:highlight w:val="none"/>
        </w:rPr>
        <w:t>投标人须知前附表”技术文件规定中“必须提供”的文件资料的；</w:t>
      </w:r>
    </w:p>
    <w:p>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（4）虚假投标，或者出现其他情形而导致被评标委员会认定无效的；</w:t>
      </w:r>
    </w:p>
    <w:p>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（5）投标技术方案不明确，招标文件未允许但存在一个或者一个以上备选（替代）投标方案的。</w:t>
      </w:r>
    </w:p>
    <w:p>
      <w:pPr>
        <w:tabs>
          <w:tab w:val="left" w:pos="1414"/>
        </w:tabs>
        <w:spacing w:line="560" w:lineRule="exact"/>
        <w:ind w:left="440" w:leftChars="200"/>
        <w:outlineLvl w:val="2"/>
        <w:rPr>
          <w:rFonts w:ascii="仿宋" w:hAnsi="仿宋" w:eastAsia="仿宋" w:cs="仿宋"/>
          <w:bCs/>
          <w:color w:val="auto"/>
          <w:sz w:val="32"/>
          <w:szCs w:val="32"/>
          <w:highlight w:val="none"/>
        </w:rPr>
      </w:pPr>
      <w:bookmarkStart w:id="58" w:name="_Toc15717"/>
      <w:r>
        <w:rPr>
          <w:rFonts w:hint="eastAsia" w:ascii="仿宋" w:hAnsi="仿宋" w:eastAsia="仿宋" w:cs="仿宋"/>
          <w:bCs/>
          <w:color w:val="auto"/>
          <w:spacing w:val="-2"/>
          <w:sz w:val="32"/>
          <w:szCs w:val="32"/>
          <w:highlight w:val="none"/>
        </w:rPr>
        <w:t>6.澄清、说明或者补正</w:t>
      </w:r>
      <w:bookmarkEnd w:id="58"/>
    </w:p>
    <w:p>
      <w:pPr>
        <w:spacing w:line="560" w:lineRule="exact"/>
        <w:ind w:firstLine="624"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 xml:space="preserve">对投标文件中含义不明确、同类问题表述不一致或者有明显文字和计算错误的内容，评标委员会应在 </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4"/>
          <w:w w:val="99"/>
          <w:sz w:val="32"/>
          <w:szCs w:val="32"/>
          <w:highlight w:val="none"/>
        </w:rPr>
        <w:t>发布电子澄清函，要求投标人在规定时间内作出必要的澄清、说明或者补正。投标人在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
          <w:w w:val="99"/>
          <w:sz w:val="32"/>
          <w:szCs w:val="32"/>
          <w:highlight w:val="none"/>
        </w:rPr>
        <w:t>接收到电子澄清函后根据澄清函内容上传</w:t>
      </w:r>
      <w:r>
        <w:rPr>
          <w:rFonts w:hint="eastAsia" w:ascii="仿宋" w:hAnsi="仿宋" w:eastAsia="仿宋" w:cs="仿宋"/>
          <w:bCs/>
          <w:color w:val="auto"/>
          <w:spacing w:val="-51"/>
          <w:sz w:val="32"/>
          <w:szCs w:val="32"/>
          <w:highlight w:val="none"/>
        </w:rPr>
        <w:t xml:space="preserve"> </w:t>
      </w:r>
      <w:r>
        <w:rPr>
          <w:rFonts w:hint="eastAsia" w:ascii="仿宋" w:hAnsi="仿宋" w:eastAsia="仿宋" w:cs="仿宋"/>
          <w:bCs/>
          <w:color w:val="auto"/>
          <w:spacing w:val="3"/>
          <w:w w:val="98"/>
          <w:sz w:val="32"/>
          <w:szCs w:val="32"/>
          <w:highlight w:val="none"/>
        </w:rPr>
        <w:t>P</w:t>
      </w:r>
      <w:r>
        <w:rPr>
          <w:rFonts w:hint="eastAsia" w:ascii="仿宋" w:hAnsi="仿宋" w:eastAsia="仿宋" w:cs="仿宋"/>
          <w:bCs/>
          <w:color w:val="auto"/>
          <w:spacing w:val="1"/>
          <w:w w:val="98"/>
          <w:sz w:val="32"/>
          <w:szCs w:val="32"/>
          <w:highlight w:val="none"/>
        </w:rPr>
        <w:t>D</w:t>
      </w:r>
      <w:r>
        <w:rPr>
          <w:rFonts w:hint="eastAsia" w:ascii="仿宋" w:hAnsi="仿宋" w:eastAsia="仿宋" w:cs="仿宋"/>
          <w:bCs/>
          <w:color w:val="auto"/>
          <w:w w:val="98"/>
          <w:sz w:val="32"/>
          <w:szCs w:val="32"/>
          <w:highlight w:val="none"/>
        </w:rPr>
        <w:t>F</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1"/>
          <w:w w:val="99"/>
          <w:sz w:val="32"/>
          <w:szCs w:val="32"/>
          <w:highlight w:val="none"/>
        </w:rPr>
        <w:t>格式回函，电子澄清答复函使用</w:t>
      </w:r>
      <w:r>
        <w:rPr>
          <w:rFonts w:hint="eastAsia" w:ascii="仿宋" w:hAnsi="仿宋" w:eastAsia="仿宋" w:cs="仿宋"/>
          <w:bCs/>
          <w:color w:val="auto"/>
          <w:spacing w:val="-49"/>
          <w:sz w:val="32"/>
          <w:szCs w:val="32"/>
          <w:highlight w:val="none"/>
        </w:rPr>
        <w:t xml:space="preserve"> </w:t>
      </w:r>
      <w:r>
        <w:rPr>
          <w:rFonts w:hint="eastAsia" w:ascii="仿宋" w:hAnsi="仿宋" w:eastAsia="仿宋" w:cs="仿宋"/>
          <w:bCs/>
          <w:color w:val="auto"/>
          <w:spacing w:val="3"/>
          <w:w w:val="98"/>
          <w:sz w:val="32"/>
          <w:szCs w:val="32"/>
          <w:highlight w:val="none"/>
        </w:rPr>
        <w:t>C</w:t>
      </w:r>
      <w:r>
        <w:rPr>
          <w:rFonts w:hint="eastAsia" w:ascii="仿宋" w:hAnsi="仿宋" w:eastAsia="仿宋" w:cs="仿宋"/>
          <w:bCs/>
          <w:color w:val="auto"/>
          <w:w w:val="98"/>
          <w:sz w:val="32"/>
          <w:szCs w:val="32"/>
          <w:highlight w:val="none"/>
        </w:rPr>
        <w:t>A</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2"/>
          <w:w w:val="99"/>
          <w:sz w:val="32"/>
          <w:szCs w:val="32"/>
          <w:highlight w:val="none"/>
        </w:rPr>
        <w:t>证书加盖单</w:t>
      </w:r>
      <w:r>
        <w:rPr>
          <w:rFonts w:hint="eastAsia" w:ascii="仿宋" w:hAnsi="仿宋" w:eastAsia="仿宋" w:cs="仿宋"/>
          <w:bCs/>
          <w:color w:val="auto"/>
          <w:spacing w:val="-2"/>
          <w:w w:val="99"/>
          <w:sz w:val="32"/>
          <w:szCs w:val="32"/>
          <w:highlight w:val="none"/>
        </w:rPr>
        <w:t>位公章后在线上传至评标委员会。投标人的澄清、说明或者补正不得超出投标文件的范围或者改变投标文</w:t>
      </w:r>
      <w:r>
        <w:rPr>
          <w:rFonts w:hint="eastAsia" w:ascii="仿宋" w:hAnsi="仿宋" w:eastAsia="仿宋" w:cs="仿宋"/>
          <w:bCs/>
          <w:color w:val="auto"/>
          <w:spacing w:val="-1"/>
          <w:w w:val="99"/>
          <w:sz w:val="32"/>
          <w:szCs w:val="32"/>
          <w:highlight w:val="none"/>
        </w:rPr>
        <w:t>件的实质性内容。投标人未在规定时间内进行澄清、说明或者补正的，按无效投标处理。</w:t>
      </w:r>
    </w:p>
    <w:p>
      <w:pPr>
        <w:pStyle w:val="13"/>
        <w:spacing w:line="560" w:lineRule="exact"/>
        <w:ind w:firstLine="632"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sz w:val="32"/>
          <w:szCs w:val="32"/>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w:t>
      </w:r>
      <w:r>
        <w:rPr>
          <w:rFonts w:hint="eastAsia" w:ascii="仿宋" w:hAnsi="仿宋" w:eastAsia="仿宋" w:cs="仿宋"/>
          <w:bCs/>
          <w:color w:val="auto"/>
          <w:spacing w:val="-2"/>
          <w:w w:val="95"/>
          <w:sz w:val="32"/>
          <w:szCs w:val="32"/>
          <w:highlight w:val="none"/>
        </w:rPr>
        <w:t>清、说明或者补正必须采用书面形式，并加盖公章，或者由法定代表人（负责人）或者其授权的代表签字。</w:t>
      </w:r>
    </w:p>
    <w:p>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59" w:name="_Toc17327"/>
      <w:r>
        <w:rPr>
          <w:rFonts w:hint="eastAsia" w:ascii="仿宋" w:hAnsi="仿宋" w:eastAsia="仿宋" w:cs="仿宋"/>
          <w:b/>
          <w:color w:val="auto"/>
          <w:spacing w:val="-2"/>
          <w:w w:val="95"/>
          <w:sz w:val="32"/>
          <w:szCs w:val="32"/>
          <w:highlight w:val="none"/>
        </w:rPr>
        <w:t>7.投标文件修正</w:t>
      </w:r>
      <w:bookmarkEnd w:id="59"/>
    </w:p>
    <w:p>
      <w:pPr>
        <w:pStyle w:val="45"/>
        <w:tabs>
          <w:tab w:val="left" w:pos="126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7.1投标文件报价出现前后不一致的，按照下列规定修正：</w:t>
      </w:r>
    </w:p>
    <w:p>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（1）投标文件中开标一览表内容与投标文件中相应内容不一致的，以开标一览表为准；</w:t>
      </w:r>
    </w:p>
    <w:p>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（2）大写金额和小写金额不一致的，以大写金额为准；</w:t>
      </w:r>
    </w:p>
    <w:p>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（3）单价金额小数点或者百分比有明显错位的，以开标一览表的总价为准，并修改单价；</w:t>
      </w:r>
    </w:p>
    <w:p>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（4）总价金额与按单价汇总金额不一致的，以单价金额计算结果为准。</w:t>
      </w:r>
    </w:p>
    <w:p>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同时出现两种以上不一致的，按照以上（1）-（4）规定的顺序修正。修正后的报价经投标人确认后产生约束力，投标人不确认的，其投标无效。</w:t>
      </w:r>
    </w:p>
    <w:p>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7.2经投标人确认修正后的报价若超过采购预算或者最高限价，投标人的投标文件作无效投标处理。</w:t>
      </w:r>
    </w:p>
    <w:p>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7.3经投标人确认修正后的报价作为签订合同的依据，并以此报价计算价格分。</w:t>
      </w:r>
    </w:p>
    <w:p>
      <w:pPr>
        <w:pStyle w:val="45"/>
        <w:tabs>
          <w:tab w:val="left" w:pos="1314"/>
        </w:tabs>
        <w:spacing w:line="560" w:lineRule="exact"/>
        <w:ind w:left="0" w:firstLine="635" w:firstLineChars="200"/>
        <w:outlineLvl w:val="2"/>
        <w:rPr>
          <w:rFonts w:ascii="仿宋" w:hAnsi="仿宋" w:eastAsia="仿宋" w:cs="仿宋"/>
          <w:b/>
          <w:color w:val="auto"/>
          <w:sz w:val="32"/>
          <w:szCs w:val="32"/>
          <w:highlight w:val="none"/>
        </w:rPr>
      </w:pPr>
      <w:bookmarkStart w:id="60" w:name="_Toc19857"/>
      <w:r>
        <w:rPr>
          <w:rFonts w:hint="eastAsia" w:ascii="仿宋" w:hAnsi="仿宋" w:eastAsia="仿宋" w:cs="仿宋"/>
          <w:b/>
          <w:color w:val="auto"/>
          <w:spacing w:val="-2"/>
          <w:sz w:val="32"/>
          <w:szCs w:val="32"/>
          <w:highlight w:val="none"/>
        </w:rPr>
        <w:t>8.比较与评价</w:t>
      </w:r>
      <w:bookmarkEnd w:id="60"/>
    </w:p>
    <w:p>
      <w:pPr>
        <w:pStyle w:val="45"/>
        <w:tabs>
          <w:tab w:val="left" w:pos="1420"/>
        </w:tabs>
        <w:spacing w:line="560" w:lineRule="exact"/>
        <w:ind w:left="0"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（1）评标委员会按照招标文件中规定的评标方法和评标标准，对符合性审查合格的投标文件进行商</w:t>
      </w:r>
      <w:r>
        <w:rPr>
          <w:rFonts w:hint="eastAsia" w:ascii="仿宋" w:hAnsi="仿宋" w:eastAsia="仿宋" w:cs="仿宋"/>
          <w:color w:val="auto"/>
          <w:spacing w:val="-1"/>
          <w:w w:val="99"/>
          <w:sz w:val="32"/>
          <w:szCs w:val="32"/>
          <w:highlight w:val="none"/>
        </w:rPr>
        <w:t>务和技术评估，综合比较与评价。</w:t>
      </w:r>
    </w:p>
    <w:p>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（2）评标委员会独立对每个投标人的投标文件进行评价，并汇总每个投标人的得分。</w:t>
      </w:r>
    </w:p>
    <w:p>
      <w:pPr>
        <w:pStyle w:val="13"/>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评标委员会认为投标人的报价明显低于其他通过符合性审查投标人的报价，有可能影响产品质量或者</w:t>
      </w:r>
      <w:r>
        <w:rPr>
          <w:rFonts w:hint="eastAsia" w:ascii="仿宋" w:hAnsi="仿宋" w:eastAsia="仿宋" w:cs="仿宋"/>
          <w:color w:val="auto"/>
          <w:spacing w:val="-4"/>
          <w:w w:val="99"/>
          <w:sz w:val="32"/>
          <w:szCs w:val="32"/>
          <w:highlight w:val="none"/>
        </w:rPr>
        <w:t>不能诚信履约的，应当要求其在评标现场合理的时间内提供书面说明，必要时提交相关证明材料；投标人</w:t>
      </w:r>
      <w:r>
        <w:rPr>
          <w:rFonts w:hint="eastAsia" w:ascii="仿宋" w:hAnsi="仿宋" w:eastAsia="仿宋" w:cs="仿宋"/>
          <w:color w:val="auto"/>
          <w:spacing w:val="-1"/>
          <w:w w:val="99"/>
          <w:sz w:val="32"/>
          <w:szCs w:val="32"/>
          <w:highlight w:val="none"/>
        </w:rPr>
        <w:t>不能证明其报价合理性的，</w:t>
      </w:r>
      <w:r>
        <w:rPr>
          <w:rFonts w:hint="eastAsia" w:ascii="仿宋" w:hAnsi="仿宋" w:eastAsia="仿宋" w:cs="仿宋"/>
          <w:b/>
          <w:color w:val="auto"/>
          <w:w w:val="99"/>
          <w:sz w:val="32"/>
          <w:szCs w:val="32"/>
          <w:highlight w:val="none"/>
        </w:rPr>
        <w:t>评标委员会将其作为无效投标处理</w:t>
      </w:r>
      <w:r>
        <w:rPr>
          <w:rFonts w:hint="eastAsia" w:ascii="仿宋" w:hAnsi="仿宋" w:eastAsia="仿宋" w:cs="仿宋"/>
          <w:color w:val="auto"/>
          <w:w w:val="99"/>
          <w:sz w:val="32"/>
          <w:szCs w:val="32"/>
          <w:highlight w:val="none"/>
        </w:rPr>
        <w:t>。</w:t>
      </w:r>
    </w:p>
    <w:p>
      <w:pPr>
        <w:pStyle w:val="45"/>
        <w:tabs>
          <w:tab w:val="left" w:pos="1424"/>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（3）评标委员会按照招标文件中规定的评标方法和标准计算各投标人的报价得分。在计算过程中，</w:t>
      </w:r>
      <w:r>
        <w:rPr>
          <w:rFonts w:hint="eastAsia" w:ascii="仿宋" w:hAnsi="仿宋" w:eastAsia="仿宋" w:cs="仿宋"/>
          <w:color w:val="auto"/>
          <w:spacing w:val="-1"/>
          <w:w w:val="99"/>
          <w:sz w:val="32"/>
          <w:szCs w:val="32"/>
          <w:highlight w:val="none"/>
        </w:rPr>
        <w:t>不得去掉最高报价或者最低报价。</w:t>
      </w:r>
    </w:p>
    <w:p>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（4）各投标人的得分为所有评委的有效评分的算术平均数。</w:t>
      </w:r>
    </w:p>
    <w:p>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（5）评标委员会按照招标文件中的规定推荐中标候选人。</w:t>
      </w:r>
    </w:p>
    <w:p>
      <w:pPr>
        <w:pStyle w:val="13"/>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（6）起草并签署评标报告。评标委员会根据评标委员会成员签字的原始评标记录和评标结果编</w:t>
      </w:r>
      <w:r>
        <w:rPr>
          <w:rFonts w:hint="eastAsia" w:ascii="仿宋" w:hAnsi="仿宋" w:eastAsia="仿宋" w:cs="仿宋"/>
          <w:color w:val="auto"/>
          <w:spacing w:val="-4"/>
          <w:w w:val="99"/>
          <w:sz w:val="32"/>
          <w:szCs w:val="32"/>
          <w:highlight w:val="none"/>
        </w:rPr>
        <w:t>写评标报告。评标委员会成员均应当在评标报告上签字，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pPr>
        <w:pStyle w:val="13"/>
        <w:spacing w:line="560" w:lineRule="exact"/>
        <w:ind w:firstLine="616" w:firstLineChars="200"/>
        <w:outlineLvl w:val="1"/>
        <w:rPr>
          <w:rFonts w:ascii="仿宋" w:hAnsi="仿宋" w:eastAsia="仿宋" w:cs="仿宋"/>
          <w:color w:val="auto"/>
          <w:spacing w:val="-4"/>
          <w:w w:val="99"/>
          <w:sz w:val="32"/>
          <w:szCs w:val="32"/>
          <w:highlight w:val="none"/>
        </w:rPr>
      </w:pPr>
      <w:bookmarkStart w:id="61" w:name="_Toc20255"/>
      <w:r>
        <w:rPr>
          <w:rFonts w:hint="eastAsia" w:ascii="仿宋" w:hAnsi="仿宋" w:eastAsia="仿宋" w:cs="仿宋"/>
          <w:color w:val="auto"/>
          <w:spacing w:val="-4"/>
          <w:w w:val="99"/>
          <w:sz w:val="32"/>
          <w:szCs w:val="32"/>
          <w:highlight w:val="none"/>
        </w:rPr>
        <w:t>三、评标标准（综合评分法，计分方法按四舍五入取至百分位）</w:t>
      </w:r>
      <w:bookmarkEnd w:id="61"/>
    </w:p>
    <w:p>
      <w:pPr>
        <w:spacing w:line="560" w:lineRule="exact"/>
        <w:ind w:firstLine="643" w:firstLineChars="200"/>
        <w:outlineLvl w:val="2"/>
        <w:rPr>
          <w:rFonts w:hint="default" w:ascii="仿宋" w:hAnsi="仿宋" w:eastAsia="仿宋" w:cs="仿宋"/>
          <w:b/>
          <w:color w:val="auto"/>
          <w:sz w:val="32"/>
          <w:szCs w:val="32"/>
          <w:highlight w:val="none"/>
          <w:lang w:val="en-US" w:eastAsia="zh-CN"/>
        </w:rPr>
      </w:pPr>
      <w:bookmarkStart w:id="62" w:name="_Toc19592"/>
      <w:r>
        <w:rPr>
          <w:rFonts w:hint="eastAsia" w:ascii="仿宋" w:hAnsi="仿宋" w:eastAsia="仿宋" w:cs="仿宋"/>
          <w:b/>
          <w:color w:val="auto"/>
          <w:sz w:val="32"/>
          <w:szCs w:val="32"/>
          <w:highlight w:val="none"/>
          <w:lang w:val="en-US" w:eastAsia="zh-CN"/>
        </w:rPr>
        <w:t>1-6标段及9标段适用</w:t>
      </w:r>
    </w:p>
    <w:p>
      <w:pPr>
        <w:spacing w:line="560" w:lineRule="exact"/>
        <w:ind w:firstLine="643" w:firstLineChars="200"/>
        <w:outlineLvl w:val="2"/>
        <w:rPr>
          <w:rFonts w:hint="eastAsia" w:ascii="仿宋" w:hAnsi="仿宋" w:eastAsia="仿宋" w:cs="仿宋"/>
          <w:color w:val="auto"/>
          <w:spacing w:val="-4"/>
          <w:w w:val="99"/>
          <w:sz w:val="32"/>
          <w:szCs w:val="32"/>
          <w:highlight w:val="none"/>
          <w:lang w:val="en-US" w:eastAsia="zh-CN" w:bidi="ar-SA"/>
        </w:rPr>
      </w:pPr>
      <w:r>
        <w:rPr>
          <w:rFonts w:hint="eastAsia" w:ascii="仿宋" w:hAnsi="仿宋" w:eastAsia="仿宋" w:cs="仿宋"/>
          <w:b/>
          <w:color w:val="auto"/>
          <w:sz w:val="32"/>
          <w:szCs w:val="32"/>
          <w:highlight w:val="none"/>
        </w:rPr>
        <w:t>1.价格分……………………………………………30分</w:t>
      </w:r>
      <w:bookmarkEnd w:id="62"/>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1）以进入评标的最低的投标报价为30分；</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）价格分计算公式：</w:t>
      </w:r>
    </w:p>
    <w:p>
      <w:pPr>
        <w:pStyle w:val="16"/>
        <w:keepNext w:val="0"/>
        <w:keepLines w:val="0"/>
        <w:pageBreakBefore w:val="0"/>
        <w:kinsoku/>
        <w:wordWrap/>
        <w:overflowPunct/>
        <w:topLinePunct w:val="0"/>
        <w:bidi w:val="0"/>
        <w:adjustRightInd w:val="0"/>
        <w:snapToGrid/>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①以进入评标的最低评标报价为30分。</w:t>
      </w:r>
    </w:p>
    <w:p>
      <w:pPr>
        <w:pStyle w:val="16"/>
        <w:keepNext w:val="0"/>
        <w:keepLines w:val="0"/>
        <w:pageBreakBefore w:val="0"/>
        <w:kinsoku/>
        <w:wordWrap/>
        <w:overflowPunct/>
        <w:topLinePunct w:val="0"/>
        <w:bidi w:val="0"/>
        <w:adjustRightInd w:val="0"/>
        <w:snapToGrid/>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bCs/>
          <w:color w:val="auto"/>
          <w:sz w:val="32"/>
          <w:szCs w:val="32"/>
          <w:highlight w:val="none"/>
        </w:rPr>
        <w:t>②某投标人价格分 =（投标人最低评标报价/某投标人评标报价）×30分。</w:t>
      </w:r>
    </w:p>
    <w:p>
      <w:pPr>
        <w:pStyle w:val="16"/>
        <w:keepNext w:val="0"/>
        <w:keepLines w:val="0"/>
        <w:pageBreakBefore w:val="0"/>
        <w:kinsoku/>
        <w:wordWrap/>
        <w:overflowPunct/>
        <w:topLinePunct w:val="0"/>
        <w:autoSpaceDE/>
        <w:autoSpaceDN/>
        <w:bidi w:val="0"/>
        <w:snapToGrid/>
        <w:spacing w:line="560" w:lineRule="exact"/>
        <w:ind w:firstLine="643" w:firstLineChars="200"/>
        <w:rPr>
          <w:rFonts w:ascii="仿宋" w:hAnsi="仿宋" w:eastAsia="仿宋" w:cs="仿宋"/>
          <w:b/>
          <w:color w:val="auto"/>
          <w:sz w:val="32"/>
          <w:szCs w:val="32"/>
          <w:highlight w:val="none"/>
        </w:rPr>
      </w:pPr>
      <w:bookmarkStart w:id="63" w:name="_Toc28163"/>
      <w:r>
        <w:rPr>
          <w:rFonts w:hint="eastAsia" w:ascii="仿宋" w:hAnsi="仿宋" w:eastAsia="仿宋" w:cs="仿宋"/>
          <w:b/>
          <w:color w:val="auto"/>
          <w:sz w:val="32"/>
          <w:szCs w:val="32"/>
          <w:highlight w:val="none"/>
        </w:rPr>
        <w:t>2.设备性能分（满分</w:t>
      </w:r>
      <w:r>
        <w:rPr>
          <w:rFonts w:hint="eastAsia" w:ascii="仿宋" w:hAnsi="仿宋" w:eastAsia="仿宋" w:cs="仿宋"/>
          <w:b/>
          <w:color w:val="auto"/>
          <w:sz w:val="32"/>
          <w:szCs w:val="32"/>
          <w:highlight w:val="none"/>
          <w:lang w:val="en-US" w:eastAsia="zh-CN"/>
        </w:rPr>
        <w:t>20</w:t>
      </w:r>
      <w:r>
        <w:rPr>
          <w:rFonts w:hint="eastAsia" w:ascii="仿宋" w:hAnsi="仿宋" w:eastAsia="仿宋" w:cs="仿宋"/>
          <w:b/>
          <w:color w:val="auto"/>
          <w:sz w:val="32"/>
          <w:szCs w:val="32"/>
          <w:highlight w:val="none"/>
        </w:rPr>
        <w:t>分）</w:t>
      </w:r>
    </w:p>
    <w:p>
      <w:pPr>
        <w:pStyle w:val="16"/>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一档（5分）：满足招标文件要求，技术参数、设备性能基本满足招标要求；</w:t>
      </w:r>
    </w:p>
    <w:p>
      <w:pPr>
        <w:pStyle w:val="16"/>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二档（12分）：满足“招标技术需求（技术参数、性能及配置）”，技术参数、性能配置无负偏离，经评标委员会认定的正偏离在</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4项；</w:t>
      </w:r>
    </w:p>
    <w:p>
      <w:pPr>
        <w:pStyle w:val="16"/>
        <w:autoSpaceDE/>
        <w:autoSpaceDN/>
        <w:spacing w:line="560" w:lineRule="exact"/>
        <w:ind w:firstLine="640" w:firstLineChars="200"/>
        <w:rPr>
          <w:rFonts w:ascii="仿宋" w:hAnsi="仿宋" w:eastAsia="仿宋" w:cs="仿宋"/>
          <w:b w:val="0"/>
          <w:bCs/>
          <w:color w:val="auto"/>
          <w:sz w:val="32"/>
          <w:szCs w:val="32"/>
          <w:highlight w:val="none"/>
        </w:rPr>
      </w:pPr>
      <w:r>
        <w:rPr>
          <w:rFonts w:hint="eastAsia" w:ascii="仿宋" w:hAnsi="仿宋" w:eastAsia="仿宋" w:cs="仿宋"/>
          <w:bCs/>
          <w:color w:val="auto"/>
          <w:sz w:val="32"/>
          <w:szCs w:val="32"/>
          <w:highlight w:val="none"/>
        </w:rPr>
        <w:t xml:space="preserve">三档（20分）：满足“招标技术需求（技术参数、性能及配置）”，技术参数、性能配置无负偏离，经评标委员会认定的正偏离在5项（含5项）以上。 </w:t>
      </w:r>
      <w:r>
        <w:rPr>
          <w:rFonts w:hint="eastAsia" w:ascii="仿宋" w:hAnsi="仿宋" w:eastAsia="仿宋" w:cs="仿宋"/>
          <w:b w:val="0"/>
          <w:bCs/>
          <w:color w:val="auto"/>
          <w:sz w:val="32"/>
          <w:szCs w:val="32"/>
          <w:highlight w:val="none"/>
        </w:rPr>
        <w:t xml:space="preserve">  </w:t>
      </w:r>
    </w:p>
    <w:p>
      <w:pPr>
        <w:pStyle w:val="1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3.项目实施方案分（满分28分）</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Style w:val="47"/>
          <w:rFonts w:hint="eastAsia" w:ascii="仿宋" w:hAnsi="仿宋" w:eastAsia="仿宋" w:cs="仿宋"/>
          <w:bCs/>
          <w:color w:val="auto"/>
          <w:kern w:val="2"/>
          <w:sz w:val="32"/>
          <w:szCs w:val="32"/>
          <w:highlight w:val="none"/>
          <w:lang w:val="en-US" w:eastAsia="zh-CN" w:bidi="ar-SA"/>
        </w:rPr>
      </w:pPr>
      <w:r>
        <w:rPr>
          <w:rStyle w:val="47"/>
          <w:rFonts w:hint="eastAsia" w:ascii="仿宋" w:hAnsi="仿宋" w:eastAsia="仿宋" w:cs="仿宋"/>
          <w:bCs/>
          <w:color w:val="auto"/>
          <w:kern w:val="2"/>
          <w:sz w:val="32"/>
          <w:szCs w:val="32"/>
          <w:highlight w:val="none"/>
          <w:lang w:val="en-US" w:eastAsia="zh-CN" w:bidi="ar-SA"/>
        </w:rPr>
        <w:t>一档(10 分)：方案简单，基本可行的。</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Style w:val="47"/>
          <w:rFonts w:hint="eastAsia" w:ascii="仿宋" w:hAnsi="仿宋" w:eastAsia="仿宋" w:cs="仿宋"/>
          <w:bCs/>
          <w:color w:val="auto"/>
          <w:kern w:val="2"/>
          <w:sz w:val="32"/>
          <w:szCs w:val="32"/>
          <w:highlight w:val="none"/>
          <w:lang w:val="en-US" w:eastAsia="zh-CN" w:bidi="ar-SA"/>
        </w:rPr>
      </w:pPr>
      <w:r>
        <w:rPr>
          <w:rStyle w:val="47"/>
          <w:rFonts w:hint="eastAsia" w:ascii="仿宋" w:hAnsi="仿宋" w:eastAsia="仿宋" w:cs="仿宋"/>
          <w:bCs/>
          <w:color w:val="auto"/>
          <w:kern w:val="2"/>
          <w:sz w:val="32"/>
          <w:szCs w:val="32"/>
          <w:highlight w:val="none"/>
          <w:lang w:val="en-US" w:eastAsia="zh-CN" w:bidi="ar-SA"/>
        </w:rPr>
        <w:t>二档(20分)：方案较详细，包含管理措施、具体实施流程、进度安排、质量保证措施等，整体方案符合实际情况的。</w:t>
      </w:r>
    </w:p>
    <w:p>
      <w:pPr>
        <w:pStyle w:val="1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47"/>
          <w:rFonts w:hint="eastAsia" w:ascii="仿宋" w:hAnsi="仿宋" w:eastAsia="仿宋" w:cs="仿宋"/>
          <w:bCs/>
          <w:color w:val="auto"/>
          <w:kern w:val="2"/>
          <w:sz w:val="32"/>
          <w:szCs w:val="32"/>
          <w:highlight w:val="none"/>
          <w:lang w:val="en-US" w:eastAsia="zh-CN" w:bidi="ar-SA"/>
        </w:rPr>
      </w:pPr>
      <w:r>
        <w:rPr>
          <w:rStyle w:val="47"/>
          <w:rFonts w:hint="eastAsia" w:ascii="仿宋" w:hAnsi="仿宋" w:eastAsia="仿宋" w:cs="仿宋"/>
          <w:bCs/>
          <w:color w:val="auto"/>
          <w:kern w:val="2"/>
          <w:sz w:val="32"/>
          <w:szCs w:val="32"/>
          <w:highlight w:val="none"/>
          <w:lang w:val="en-US" w:eastAsia="zh-CN" w:bidi="ar-SA"/>
        </w:rPr>
        <w:t>三档(28分) ：方案详细完善，包含管理措施、具体实施流程、进度安排、质量保证措施、风险防范措施，整体方案针对性强，可行性高的。</w:t>
      </w:r>
    </w:p>
    <w:p>
      <w:pPr>
        <w:pStyle w:val="16"/>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.售后服务方案（满分</w:t>
      </w:r>
      <w:r>
        <w:rPr>
          <w:rFonts w:hint="eastAsia" w:ascii="仿宋" w:hAnsi="仿宋" w:eastAsia="仿宋" w:cs="仿宋"/>
          <w:b/>
          <w:color w:val="auto"/>
          <w:sz w:val="32"/>
          <w:szCs w:val="32"/>
          <w:highlight w:val="none"/>
          <w:lang w:val="en-US" w:eastAsia="zh-CN"/>
        </w:rPr>
        <w:t>20</w:t>
      </w:r>
      <w:r>
        <w:rPr>
          <w:rFonts w:hint="eastAsia" w:ascii="仿宋" w:hAnsi="仿宋" w:eastAsia="仿宋" w:cs="仿宋"/>
          <w:b/>
          <w:color w:val="auto"/>
          <w:sz w:val="32"/>
          <w:szCs w:val="32"/>
          <w:highlight w:val="none"/>
        </w:rPr>
        <w:t>分）</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根据各投标人对投标货物的售后服务方案(技术支持、服务情况、服务承诺)的详细程度、合理可行性等评分：</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一档（</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 xml:space="preserve"> 分）：售后服务方案简单，满足招标文件售后服务需求。</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二档（</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分）：售后服务方案较完整，满足招标文件售后服务需求。有专业的售后技术团队，具体的故障解决方案等较完整的售后服务体系，满足项目需求，针对性较强。</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三档（</w:t>
      </w:r>
      <w:r>
        <w:rPr>
          <w:rFonts w:hint="eastAsia" w:ascii="仿宋" w:hAnsi="仿宋" w:eastAsia="仿宋" w:cs="仿宋"/>
          <w:bCs/>
          <w:color w:val="auto"/>
          <w:sz w:val="32"/>
          <w:szCs w:val="32"/>
          <w:highlight w:val="none"/>
          <w:lang w:val="en-US" w:eastAsia="zh-CN"/>
        </w:rPr>
        <w:t>20</w:t>
      </w:r>
      <w:r>
        <w:rPr>
          <w:rFonts w:hint="eastAsia" w:ascii="仿宋" w:hAnsi="仿宋" w:eastAsia="仿宋" w:cs="仿宋"/>
          <w:bCs/>
          <w:color w:val="auto"/>
          <w:sz w:val="32"/>
          <w:szCs w:val="32"/>
          <w:highlight w:val="none"/>
        </w:rPr>
        <w:t>分）：售后服务方案完整、详细具体，优于招标文件售后服务需求。有专业的售后技术团队，针对性的售后服务流程，具体的故障解决方案、定期回访等完整、成熟的售后服务体系，满足项目需求，针对性强。</w:t>
      </w:r>
    </w:p>
    <w:p>
      <w:pPr>
        <w:pStyle w:val="16"/>
        <w:keepNext w:val="0"/>
        <w:keepLines w:val="0"/>
        <w:pageBreakBefore w:val="0"/>
        <w:kinsoku/>
        <w:wordWrap/>
        <w:overflowPunct/>
        <w:topLinePunct w:val="0"/>
        <w:autoSpaceDE/>
        <w:autoSpaceDN/>
        <w:bidi w:val="0"/>
        <w:snapToGrid/>
        <w:spacing w:line="560" w:lineRule="exact"/>
        <w:ind w:firstLine="643" w:firstLineChars="200"/>
        <w:textAlignment w:val="auto"/>
        <w:rPr>
          <w:rStyle w:val="47"/>
          <w:rFonts w:hint="eastAsia" w:ascii="仿宋" w:hAnsi="仿宋" w:eastAsia="仿宋" w:cs="仿宋"/>
          <w:b/>
          <w:bCs w:val="0"/>
          <w:color w:val="auto"/>
          <w:kern w:val="2"/>
          <w:sz w:val="32"/>
          <w:szCs w:val="32"/>
          <w:highlight w:val="none"/>
          <w:lang w:val="en-US" w:eastAsia="zh-CN" w:bidi="ar-SA"/>
        </w:rPr>
      </w:pPr>
      <w:r>
        <w:rPr>
          <w:rStyle w:val="47"/>
          <w:rFonts w:hint="eastAsia" w:ascii="仿宋" w:hAnsi="仿宋" w:eastAsia="仿宋" w:cs="仿宋"/>
          <w:b/>
          <w:bCs w:val="0"/>
          <w:color w:val="auto"/>
          <w:kern w:val="2"/>
          <w:sz w:val="32"/>
          <w:szCs w:val="32"/>
          <w:highlight w:val="none"/>
          <w:lang w:val="en-US" w:eastAsia="zh-CN" w:bidi="ar-SA"/>
        </w:rPr>
        <w:t>5.政策功能分（节能、环保产品等）（满分2分）</w:t>
      </w:r>
    </w:p>
    <w:p>
      <w:pPr>
        <w:pStyle w:val="16"/>
        <w:autoSpaceDE/>
        <w:autoSpaceDN/>
        <w:spacing w:line="560" w:lineRule="exact"/>
        <w:ind w:firstLine="640" w:firstLineChars="200"/>
        <w:rPr>
          <w:rFonts w:hint="eastAsia" w:ascii="仿宋" w:hAnsi="仿宋" w:eastAsia="仿宋" w:cs="仿宋"/>
          <w:bCs/>
          <w:color w:val="auto"/>
          <w:sz w:val="32"/>
          <w:szCs w:val="32"/>
          <w:highlight w:val="none"/>
        </w:rPr>
      </w:pPr>
      <w:r>
        <w:rPr>
          <w:rStyle w:val="47"/>
          <w:rFonts w:hint="eastAsia" w:ascii="仿宋" w:hAnsi="仿宋" w:eastAsia="仿宋" w:cs="仿宋"/>
          <w:bCs/>
          <w:color w:val="auto"/>
          <w:kern w:val="2"/>
          <w:sz w:val="32"/>
          <w:szCs w:val="32"/>
          <w:highlight w:val="none"/>
          <w:lang w:val="en-US" w:eastAsia="zh-CN" w:bidi="ar-SA"/>
        </w:rPr>
        <w:t>投标产品属于《政府采购节能产品清单》内优先采购的产品，得1分（以有效的政府采购节能产品认证证书复印件为准，投标产品需清晰反映在证书上）；投标产品属于《政府采购环境标志产品清单》内优先采购的产品，得1分（以有效的政府采购环境标志产品认证证书复印件为准，投标产品需清晰反映在证书上）。</w:t>
      </w:r>
    </w:p>
    <w:p>
      <w:pPr>
        <w:pStyle w:val="16"/>
        <w:autoSpaceDE/>
        <w:autoSpaceDN/>
        <w:spacing w:line="560" w:lineRule="exact"/>
        <w:ind w:firstLine="640" w:firstLineChars="200"/>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总得分 =1+2+3+4</w:t>
      </w:r>
      <w:r>
        <w:rPr>
          <w:rFonts w:hint="eastAsia" w:ascii="仿宋" w:hAnsi="仿宋" w:eastAsia="仿宋" w:cs="仿宋"/>
          <w:bCs/>
          <w:color w:val="auto"/>
          <w:sz w:val="32"/>
          <w:szCs w:val="32"/>
          <w:highlight w:val="none"/>
          <w:lang w:val="en-US" w:eastAsia="zh-CN"/>
        </w:rPr>
        <w:t>+5</w:t>
      </w:r>
    </w:p>
    <w:p>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中标候选人推荐原则</w:t>
      </w:r>
      <w:bookmarkEnd w:id="63"/>
    </w:p>
    <w:p>
      <w:pPr>
        <w:pStyle w:val="16"/>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pPr>
        <w:pStyle w:val="16"/>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pPr>
        <w:bidi w:val="0"/>
      </w:pPr>
    </w:p>
    <w:p>
      <w:pPr>
        <w:bidi w:val="0"/>
      </w:pPr>
    </w:p>
    <w:p>
      <w:pPr>
        <w:bidi w:val="0"/>
      </w:pPr>
    </w:p>
    <w:p>
      <w:pPr>
        <w:bidi w:val="0"/>
      </w:pPr>
    </w:p>
    <w:p>
      <w:pPr>
        <w:bidi w:val="0"/>
      </w:pPr>
    </w:p>
    <w:p>
      <w:pPr>
        <w:bidi w:val="0"/>
      </w:pPr>
    </w:p>
    <w:p>
      <w:pPr>
        <w:bidi w:val="0"/>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eastAsia" w:ascii="仿宋" w:hAnsi="仿宋" w:eastAsia="仿宋" w:cs="仿宋"/>
          <w:bCs/>
          <w:color w:val="auto"/>
          <w:sz w:val="32"/>
          <w:szCs w:val="32"/>
          <w:highlight w:val="none"/>
          <w:lang w:val="en-US" w:eastAsia="zh-CN" w:bidi="ar-SA"/>
        </w:rPr>
      </w:pPr>
    </w:p>
    <w:p>
      <w:pPr>
        <w:bidi w:val="0"/>
        <w:spacing w:line="360" w:lineRule="auto"/>
        <w:rPr>
          <w:rFonts w:hint="default"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适用7标段</w:t>
      </w:r>
    </w:p>
    <w:p>
      <w:pPr>
        <w:keepNext w:val="0"/>
        <w:keepLines w:val="0"/>
        <w:pageBreakBefore w:val="0"/>
        <w:kinsoku/>
        <w:wordWrap/>
        <w:overflowPunct/>
        <w:topLinePunct w:val="0"/>
        <w:autoSpaceDE w:val="0"/>
        <w:autoSpaceDN w:val="0"/>
        <w:bidi w:val="0"/>
        <w:snapToGrid/>
        <w:spacing w:line="360" w:lineRule="auto"/>
        <w:ind w:firstLine="643" w:firstLineChars="200"/>
        <w:textAlignment w:val="auto"/>
        <w:outlineLvl w:val="2"/>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1.价格分（满分30分）</w:t>
      </w:r>
    </w:p>
    <w:p>
      <w:pPr>
        <w:pStyle w:val="16"/>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1）以进入评标的最低的投标报价为30分；</w:t>
      </w:r>
    </w:p>
    <w:p>
      <w:pPr>
        <w:pStyle w:val="16"/>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2）价格分计算公式：</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①以进入评标的最低评标报价为30分。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②某投标人价格分 =（投标人最低评标报价/某投标人评标报价）×30分。</w:t>
      </w:r>
    </w:p>
    <w:p>
      <w:pPr>
        <w:keepNext w:val="0"/>
        <w:keepLines w:val="0"/>
        <w:pageBreakBefore w:val="0"/>
        <w:tabs>
          <w:tab w:val="left" w:pos="146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2.培训目标定位及对象分析分（满分10分）</w:t>
      </w:r>
    </w:p>
    <w:p>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一档（4分）：培训目标定位合理，需求分析到位。</w:t>
      </w:r>
    </w:p>
    <w:p>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二档（7分）：培训目标定位准确，需求分析透彻。</w:t>
      </w:r>
    </w:p>
    <w:p>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三档（10分）：培训目标定位精准，指向明确。共性需求与个性需求分析精准。</w:t>
      </w:r>
    </w:p>
    <w:p>
      <w:pPr>
        <w:keepNext w:val="0"/>
        <w:keepLines w:val="0"/>
        <w:pageBreakBefore w:val="0"/>
        <w:widowControl/>
        <w:suppressLineNumbers w:val="0"/>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3.培训内容及课程设置分（满分</w:t>
      </w:r>
      <w:r>
        <w:rPr>
          <w:rFonts w:hint="default" w:ascii="仿宋" w:hAnsi="仿宋" w:eastAsia="仿宋" w:cs="仿宋"/>
          <w:b/>
          <w:bCs w:val="0"/>
          <w:color w:val="auto"/>
          <w:sz w:val="32"/>
          <w:szCs w:val="32"/>
          <w:highlight w:val="none"/>
          <w:lang w:val="en-US" w:eastAsia="zh-CN" w:bidi="ar-SA"/>
        </w:rPr>
        <w:t>1</w:t>
      </w:r>
      <w:r>
        <w:rPr>
          <w:rFonts w:hint="eastAsia" w:ascii="仿宋" w:hAnsi="仿宋" w:eastAsia="仿宋" w:cs="仿宋"/>
          <w:b/>
          <w:bCs w:val="0"/>
          <w:color w:val="auto"/>
          <w:sz w:val="32"/>
          <w:szCs w:val="32"/>
          <w:highlight w:val="none"/>
          <w:lang w:val="en-US" w:eastAsia="zh-CN" w:bidi="ar-SA"/>
        </w:rPr>
        <w:t>5）</w:t>
      </w:r>
    </w:p>
    <w:p>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一档（5分）：培训课程和内容符合项目设置要求，课程方案较具体，内容与模块间的关联度较高，理论性课程与实践性课程安排比例合理，基地研修内容符合培训需求。</w:t>
      </w:r>
    </w:p>
    <w:p>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二档（10分）：培训课程设置合理，培训内容针对性强。课程方案具体完善，培训内容与模块设置之间的逻辑关系较清晰，理论课程和实践课程比例合理，基地研修主题明确。</w:t>
      </w:r>
    </w:p>
    <w:p>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内容切合培训需求，重点突出、特色鲜明，针对性、实践性强，培训课程设置科学合理、贴近教学实际。理论性课程与实践性课程安排比例合理。基地研修活动设置科学合理，主题明确，切合培训对象需求。</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4.培训团队分（满分15分）</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一档（5分）：按培训项目设置要求配备培训专家团队，组建管理团队。</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二档（10分）：培训专家团队结构合理，管理团队分工明确，培训组织管理计划措施具体可行。</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三档（15分）：培训专家团队结构合理、水平较高，管理团队分工明确、经验丰富；培训组织管理计划周祥、操作性强。</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5.培训方式分（满分10分）</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一档（3分）：培训方式多元化，综合采取参与式、研讨式、案例式等多种方式。</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二档（6分）：培训方式多元化，综合采取参与式、研讨式、案例式以及现场诊断、听课评课、名师示范等多种方式。</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方式多元化，综合采取参与式、研讨式、案例式以及现场诊断、听课评课、名师示范等多种方式，安排基于教学现场、走进真实课堂的培训环节，强化学员互动参与，体现任务驱动、实效性强。</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6.后勤保障分（满分10分）</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一档（3分）：培训场地、教学设备和学员食宿条件基本满足培训要求，经费预算安排较合理，有管理制度。</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二档（6分）：培训场地有效满足培训需求，教学环境较好、教学设备齐全，学员食宿条件较好。经费预算安排合理，管理制度完善。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根据培训主题和方式有针对性安排培训场地，教学环境较好、教学设备齐全，学员食宿条件、医疗卫生条件较好。经费预算安排合理科学，培训安全、考勤、考核评价、学情反馈等相关管理制度健全完善。</w:t>
      </w:r>
    </w:p>
    <w:p>
      <w:pPr>
        <w:keepNext w:val="0"/>
        <w:keepLines w:val="0"/>
        <w:pageBreakBefore w:val="0"/>
        <w:tabs>
          <w:tab w:val="left" w:pos="89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7.业绩分（满分10分）</w:t>
      </w:r>
    </w:p>
    <w:p>
      <w:pPr>
        <w:keepNext w:val="0"/>
        <w:keepLines w:val="0"/>
        <w:pageBreakBefore w:val="0"/>
        <w:tabs>
          <w:tab w:val="left" w:pos="892"/>
        </w:tabs>
        <w:kinsoku/>
        <w:wordWrap/>
        <w:overflowPunct/>
        <w:topLinePunct w:val="0"/>
        <w:autoSpaceDE w:val="0"/>
        <w:autoSpaceDN w:val="0"/>
        <w:bidi w:val="0"/>
        <w:snapToGrid/>
        <w:spacing w:line="360" w:lineRule="auto"/>
        <w:ind w:firstLine="640" w:firstLineChars="200"/>
        <w:jc w:val="left"/>
        <w:textAlignment w:val="auto"/>
        <w:rPr>
          <w:rFonts w:hint="eastAsia"/>
          <w:lang w:val="en-US" w:eastAsia="zh-CN"/>
        </w:rPr>
      </w:pPr>
      <w:r>
        <w:rPr>
          <w:rFonts w:hint="eastAsia" w:ascii="仿宋" w:hAnsi="仿宋" w:eastAsia="仿宋" w:cs="仿宋"/>
          <w:bCs/>
          <w:color w:val="auto"/>
          <w:sz w:val="32"/>
          <w:szCs w:val="32"/>
          <w:highlight w:val="none"/>
          <w:lang w:val="en-US" w:eastAsia="zh-CN" w:bidi="ar-SA"/>
        </w:rPr>
        <w:t>投标人具有丰富的培训经验，多次承担各级各类培训，供应商 2021年 1月 1日以来承担过的师资培训项目的每项得 2分，满分 10分。以上均需提供 2021年 1月 1日以来相关的文件（合同或中标通知书）等有效证明材料复印件为评分依据，并加盖投标单位公章，未提供的不计分。</w:t>
      </w:r>
    </w:p>
    <w:p>
      <w:pPr>
        <w:pStyle w:val="16"/>
        <w:autoSpaceDE/>
        <w:autoSpaceDN/>
        <w:spacing w:line="560" w:lineRule="exact"/>
        <w:ind w:firstLine="440" w:firstLineChars="200"/>
        <w:rPr>
          <w:rFonts w:hint="default" w:ascii="仿宋" w:hAnsi="仿宋" w:eastAsia="仿宋" w:cs="仿宋"/>
          <w:bCs/>
          <w:color w:val="auto"/>
          <w:sz w:val="32"/>
          <w:szCs w:val="32"/>
          <w:highlight w:val="none"/>
          <w:lang w:val="en-US" w:eastAsia="zh-CN"/>
        </w:rPr>
      </w:pPr>
      <w:r>
        <w:rPr>
          <w:rFonts w:hint="eastAsia"/>
          <w:lang w:val="en-US" w:eastAsia="zh-CN"/>
        </w:rPr>
        <w:tab/>
      </w:r>
      <w:r>
        <w:rPr>
          <w:rFonts w:hint="eastAsia" w:ascii="仿宋" w:hAnsi="仿宋" w:eastAsia="仿宋" w:cs="仿宋"/>
          <w:bCs/>
          <w:color w:val="auto"/>
          <w:sz w:val="32"/>
          <w:szCs w:val="32"/>
          <w:highlight w:val="none"/>
        </w:rPr>
        <w:t>总得分 =1+2+3+4</w:t>
      </w:r>
      <w:r>
        <w:rPr>
          <w:rFonts w:hint="eastAsia" w:ascii="仿宋" w:hAnsi="仿宋" w:eastAsia="仿宋" w:cs="仿宋"/>
          <w:bCs/>
          <w:color w:val="auto"/>
          <w:sz w:val="32"/>
          <w:szCs w:val="32"/>
          <w:highlight w:val="none"/>
          <w:lang w:val="en-US" w:eastAsia="zh-CN"/>
        </w:rPr>
        <w:t>+5+6+7</w:t>
      </w:r>
    </w:p>
    <w:p>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中标候选人推荐原则</w:t>
      </w:r>
    </w:p>
    <w:p>
      <w:pPr>
        <w:pStyle w:val="16"/>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pPr>
        <w:pStyle w:val="16"/>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pPr>
        <w:tabs>
          <w:tab w:val="left" w:pos="1387"/>
        </w:tabs>
        <w:bidi w:val="0"/>
        <w:jc w:val="left"/>
        <w:rPr>
          <w:rFonts w:hint="eastAsia"/>
          <w:lang w:val="en-US" w:eastAsia="zh-CN"/>
        </w:rPr>
      </w:pPr>
    </w:p>
    <w:p>
      <w:pPr>
        <w:bidi w:val="0"/>
        <w:rPr>
          <w:rFonts w:hint="eastAsia" w:ascii="宋体" w:hAnsi="宋体" w:eastAsia="宋体" w:cs="宋体"/>
          <w:sz w:val="22"/>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072"/>
        </w:tabs>
        <w:bidi w:val="0"/>
        <w:jc w:val="left"/>
        <w:rPr>
          <w:rFonts w:hint="eastAsia" w:ascii="仿宋" w:hAnsi="仿宋" w:eastAsia="仿宋" w:cs="仿宋"/>
          <w:bCs/>
          <w:color w:val="auto"/>
          <w:sz w:val="32"/>
          <w:szCs w:val="32"/>
          <w:highlight w:val="none"/>
          <w:lang w:val="en-US" w:eastAsia="zh-CN" w:bidi="ar-SA"/>
        </w:rPr>
      </w:pPr>
      <w:r>
        <w:rPr>
          <w:rFonts w:hint="eastAsia"/>
          <w:lang w:val="en-US" w:eastAsia="zh-CN"/>
        </w:rPr>
        <w:tab/>
      </w:r>
    </w:p>
    <w:p>
      <w:pPr>
        <w:pStyle w:val="24"/>
        <w:rPr>
          <w:rFonts w:hint="default"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适用8标段</w:t>
      </w:r>
    </w:p>
    <w:p>
      <w:pPr>
        <w:keepNext w:val="0"/>
        <w:keepLines w:val="0"/>
        <w:pageBreakBefore w:val="0"/>
        <w:kinsoku/>
        <w:wordWrap/>
        <w:overflowPunct/>
        <w:topLinePunct w:val="0"/>
        <w:autoSpaceDE w:val="0"/>
        <w:autoSpaceDN w:val="0"/>
        <w:bidi w:val="0"/>
        <w:snapToGrid/>
        <w:spacing w:line="360" w:lineRule="auto"/>
        <w:ind w:firstLine="440" w:firstLineChars="200"/>
        <w:textAlignment w:val="auto"/>
        <w:outlineLvl w:val="2"/>
        <w:rPr>
          <w:rFonts w:hint="eastAsia" w:ascii="仿宋" w:hAnsi="仿宋" w:eastAsia="仿宋" w:cs="仿宋"/>
          <w:b/>
          <w:bCs w:val="0"/>
          <w:color w:val="auto"/>
          <w:sz w:val="32"/>
          <w:szCs w:val="32"/>
          <w:highlight w:val="none"/>
          <w:lang w:val="en-US" w:eastAsia="zh-CN" w:bidi="ar-SA"/>
        </w:rPr>
      </w:pPr>
      <w:r>
        <w:rPr>
          <w:rFonts w:hint="eastAsia"/>
          <w:lang w:val="en-US" w:eastAsia="zh-CN"/>
        </w:rPr>
        <w:tab/>
      </w:r>
      <w:r>
        <w:rPr>
          <w:rFonts w:hint="eastAsia" w:ascii="仿宋" w:hAnsi="仿宋" w:eastAsia="仿宋" w:cs="仿宋"/>
          <w:b/>
          <w:bCs w:val="0"/>
          <w:color w:val="auto"/>
          <w:sz w:val="32"/>
          <w:szCs w:val="32"/>
          <w:highlight w:val="none"/>
          <w:lang w:val="en-US" w:eastAsia="zh-CN" w:bidi="ar-SA"/>
        </w:rPr>
        <w:t>1.价格分（满分30分）</w:t>
      </w:r>
    </w:p>
    <w:p>
      <w:pPr>
        <w:pStyle w:val="16"/>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1）以进入评标的最低的投标报价为30分；</w:t>
      </w:r>
    </w:p>
    <w:p>
      <w:pPr>
        <w:pStyle w:val="16"/>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2）价格分计算公式：</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①以进入评标的最低评标报价为30分。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②某投标人价格分 =（投标人最低评标报价/某投标人评标报价）×30分。</w:t>
      </w:r>
    </w:p>
    <w:p>
      <w:pPr>
        <w:pStyle w:val="16"/>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default"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2.服务方案及服务内容（20分）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一档（5分）：服务方案基本满足需求，提供的方案内容基本合理但不全面。</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二档（15分）：服务方案一般，保证项目实施的技术力量和人力资源安排基本满足项目要求，有相对完善的技术服务内容和措施，服务内容还包含了简单的技术培训内容和措施；</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20分）：服务方案详实，专业性强，方案能清楚的表明对本项目的熟悉程度，技术路线清晰可信、有针对性，技术服务、技术培训的服务内容和措施完善，建议的安装、调试、验收方法或方案同比更完善有效、更优化、切实可行，满足项目相关要求的。</w:t>
      </w:r>
    </w:p>
    <w:p>
      <w:pPr>
        <w:pStyle w:val="16"/>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3.案例设计（5分）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知识图谱案例设计：知识图谱的建设需要包括目标图谱、问题图谱、知识图谱三种维度；知识图谱能提供大纲、思维导图、图谱多种形式。（提供已制作完成的知识图谱课程的具体呈现形式，包含学校、课程、链接及截图，每提供一份得0.5分，满分5分，不提供不得分。）</w:t>
      </w:r>
    </w:p>
    <w:p>
      <w:pPr>
        <w:pStyle w:val="16"/>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4.人员配备（15分）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一档（5分）：拟投入的技术力量及人员配置方案基本能满足项目实施需求，提供拟投入本项目的实施团队人员名单，配备有具体实施团队人员，但没有详细的组织措施和明确的分工安排。</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二档（10分）：拟投入的技术力量及人员配置方案较好满足项目实施需求，提供拟投入本项目的实施团队人员名单，配备有实施团队人员3人以上，有简单的组织措施，分工安排较明确。</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在满足二档的基础上，拟投入的技术力量及人员配置方案充分满足项目实施需求，有详细的人员安排计划、有详细的组织措施、有细致的分工安排等配套措施，提供拟投入本项目的实施团队人员名单，配备有实施团队人员5人及以上，为保证项目的质量，项目参与人员具有教育学、教育技术学、软件工程、计算机有关专业人员4人以上参与其中（专业以毕业证书或者职称证书上专业为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注：须提供供应商为拟投入本项目的实施团队人员在 2024年 1月至今任意连续3个月社保缴纳证明复印件，及人员具有的相应的教育学、教育技术学、软件工程、计算机有关专业毕业证书或者职称证书复印件并加盖供应商公章，否则不予计分。</w:t>
      </w:r>
    </w:p>
    <w:p>
      <w:pPr>
        <w:pStyle w:val="16"/>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5.知识图谱平台教学和运行要求（8分）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①系统需能够根据有知识点标记的资源，汇集生成知识图谱；支持知识图谱形成网状结构，支持查看知识点的相关资源。</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②支持教师对课程章节内容，包括——视频、音频、文档、图书、章节测验等进行知识点标记，作为知识点教学任务进行设置，方便学生按知识点进行任务学习；</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③支持在视频时间节点上进行知识点标记，视频播放时学生可以定位到时间点观看对应知识点的视频讲解</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④▲支持系统智能识别视频内容，在视频时间点上自动打知识点标签，教师可以编辑修改；</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⑤支持教师查看班级整体知识点分析统计，查看知识点平均完成率、平均掌握率、完成率分布和掌握率分布等；</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⑥支持按知识点查看每个知识点的关联学习资源数、平均完成率、平均掌握率、课程资料数、课程资料人均阅读情况等；</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⑦支持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⑧支持查看某一位学生某个知识点的统计详情，包括学生此知识点的完成情况、掌握情况、知识点关联的学习任务完成详情等以及查看此知识点的课程资源和系统推荐的拓展资源。</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供应商对以上“ 1-8 ”项进行现场或录像演示，评标委员会根据供应商演示内容进行打分，总分8分，每项满分1分，每存在一处不合理或不完善扣0.5分，扣完为止，提供与本项目无关或未提供演示的不得分。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p>
    <w:p>
      <w:pPr>
        <w:pStyle w:val="16"/>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6.课程建设能力证明（5分）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供应商提供自教育部或教育厅评选职业教育在线精品课以来，所制作课程被评定为国家级或省级在线精品课程，提供合同复印件及对应获奖证明(包括课程截图、获奖文件)，并加盖公章。每提供1份得1分，最高得5分。</w:t>
      </w:r>
    </w:p>
    <w:p>
      <w:pPr>
        <w:pStyle w:val="16"/>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7.服务方案（15分）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一档（5分）：服务方案简单，仅满足采购文件要求；</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二档（10分）：能提供快速的服务响应，并针对本项目提供专门的服务技术支持、服务保障方案及应急预案，方案总体满足采购文件要求；</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三档（15分）：能提供详实的技术服务承诺方案，且供应商的服务体系及措施、详细的服务人员信息表、服务方案内容的完整性、可行性、响应时间等方面内容有针对性。方案能充分满足采购文件要求。</w:t>
      </w:r>
    </w:p>
    <w:p>
      <w:pPr>
        <w:pStyle w:val="16"/>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default"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8.本地化服务分（2分）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投标人在本地设有常驻办事机构，提供相关证明；或投标人承诺，成交后在本地设立相关技术服务、维护机构或常驻办事机构并在签订合同后提供工商登记或备案证、售后服务委托代理协议、服务场所证明等合法有效证明的，得2分。</w:t>
      </w:r>
    </w:p>
    <w:p>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总得分 =1+2+3+4+5+6+7+8</w:t>
      </w:r>
    </w:p>
    <w:p>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中标候选人推荐原则</w:t>
      </w:r>
    </w:p>
    <w:p>
      <w:pPr>
        <w:pStyle w:val="16"/>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pPr>
        <w:pStyle w:val="16"/>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pPr>
        <w:tabs>
          <w:tab w:val="left" w:pos="832"/>
        </w:tabs>
        <w:bidi w:val="0"/>
        <w:jc w:val="left"/>
        <w:rPr>
          <w:rFonts w:hint="default"/>
          <w:lang w:val="en-US"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docGrid w:linePitch="312" w:charSpace="0"/>
        </w:sectPr>
      </w:pPr>
    </w:p>
    <w:p>
      <w:pPr>
        <w:pStyle w:val="2"/>
        <w:rPr>
          <w:color w:val="auto"/>
          <w:highlight w:val="none"/>
        </w:rPr>
      </w:pPr>
      <w:bookmarkStart w:id="64" w:name="_Toc9524"/>
      <w:r>
        <w:rPr>
          <w:color w:val="auto"/>
          <w:highlight w:val="none"/>
        </w:rPr>
        <w:t>第五</w:t>
      </w:r>
      <w:r>
        <w:rPr>
          <w:color w:val="auto"/>
          <w:spacing w:val="63"/>
          <w:highlight w:val="none"/>
        </w:rPr>
        <w:t>章 拟</w:t>
      </w:r>
      <w:r>
        <w:rPr>
          <w:color w:val="auto"/>
          <w:highlight w:val="none"/>
        </w:rPr>
        <w:t>签订的合同文</w:t>
      </w:r>
      <w:r>
        <w:rPr>
          <w:color w:val="auto"/>
          <w:spacing w:val="-10"/>
          <w:highlight w:val="none"/>
        </w:rPr>
        <w:t>本</w:t>
      </w:r>
      <w:bookmarkEnd w:id="64"/>
    </w:p>
    <w:p>
      <w:pPr>
        <w:pStyle w:val="13"/>
        <w:spacing w:before="6"/>
        <w:rPr>
          <w:b/>
          <w:color w:val="auto"/>
          <w:sz w:val="48"/>
          <w:highlight w:val="none"/>
        </w:rPr>
      </w:pPr>
    </w:p>
    <w:p>
      <w:pPr>
        <w:pStyle w:val="3"/>
        <w:rPr>
          <w:color w:val="auto"/>
          <w:highlight w:val="none"/>
        </w:rPr>
      </w:pPr>
      <w:bookmarkStart w:id="65" w:name="_Toc8831"/>
      <w:r>
        <w:rPr>
          <w:color w:val="auto"/>
          <w:w w:val="95"/>
          <w:highlight w:val="none"/>
        </w:rPr>
        <w:t>合同文</w:t>
      </w:r>
      <w:r>
        <w:rPr>
          <w:color w:val="auto"/>
          <w:spacing w:val="-10"/>
          <w:w w:val="95"/>
          <w:highlight w:val="none"/>
        </w:rPr>
        <w:t>本</w:t>
      </w:r>
      <w:bookmarkEnd w:id="65"/>
    </w:p>
    <w:p>
      <w:pPr>
        <w:pStyle w:val="13"/>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采购计划号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合同编号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pPr>
        <w:pStyle w:val="13"/>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采购人（甲方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供应商（乙方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p>
    <w:p>
      <w:pPr>
        <w:pStyle w:val="13"/>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项目名称</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项目编号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pPr>
        <w:pStyle w:val="13"/>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签订地点</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签订时间</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pPr>
        <w:pStyle w:val="13"/>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根据《中华人民共和国政府采购法》、《中华人民共和国民法典》等法律、法规规定，按照招标文件</w:t>
      </w:r>
      <w:r>
        <w:rPr>
          <w:rFonts w:hint="eastAsia" w:ascii="仿宋" w:hAnsi="仿宋" w:eastAsia="仿宋" w:cs="仿宋"/>
          <w:color w:val="auto"/>
          <w:spacing w:val="-1"/>
          <w:w w:val="99"/>
          <w:sz w:val="32"/>
          <w:szCs w:val="32"/>
          <w:highlight w:val="none"/>
        </w:rPr>
        <w:t>规定条款和乙方投标文件及其承诺，甲乙双方签订本合同。</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w:t>
      </w:r>
      <w:r>
        <w:rPr>
          <w:rFonts w:hint="eastAsia" w:ascii="仿宋" w:hAnsi="仿宋" w:eastAsia="仿宋" w:cs="仿宋"/>
          <w:b/>
          <w:color w:val="auto"/>
          <w:spacing w:val="34"/>
          <w:sz w:val="32"/>
          <w:szCs w:val="32"/>
          <w:highlight w:val="none"/>
        </w:rPr>
        <w:t>条 合</w:t>
      </w:r>
      <w:r>
        <w:rPr>
          <w:rFonts w:hint="eastAsia" w:ascii="仿宋" w:hAnsi="仿宋" w:eastAsia="仿宋" w:cs="仿宋"/>
          <w:b/>
          <w:color w:val="auto"/>
          <w:sz w:val="32"/>
          <w:szCs w:val="32"/>
          <w:highlight w:val="none"/>
        </w:rPr>
        <w:t>同标</w:t>
      </w:r>
      <w:r>
        <w:rPr>
          <w:rFonts w:hint="eastAsia" w:ascii="仿宋" w:hAnsi="仿宋" w:eastAsia="仿宋" w:cs="仿宋"/>
          <w:b/>
          <w:color w:val="auto"/>
          <w:spacing w:val="-10"/>
          <w:sz w:val="32"/>
          <w:szCs w:val="32"/>
          <w:highlight w:val="none"/>
        </w:rPr>
        <w:t>的</w:t>
      </w:r>
    </w:p>
    <w:p>
      <w:pPr>
        <w:pStyle w:val="13"/>
        <w:tabs>
          <w:tab w:val="left" w:pos="519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1.合同总金额</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2.服务内容一览表（详见附件中的投标报价明细表）</w:t>
      </w:r>
      <w:r>
        <w:rPr>
          <w:rFonts w:hint="eastAsia" w:ascii="仿宋" w:hAnsi="仿宋" w:eastAsia="仿宋" w:cs="仿宋"/>
          <w:color w:val="auto"/>
          <w:spacing w:val="-10"/>
          <w:w w:val="95"/>
          <w:sz w:val="32"/>
          <w:szCs w:val="32"/>
          <w:highlight w:val="none"/>
        </w:rPr>
        <w:t>。</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合同总金额包括但不限于满足本次投标全部采购需求所应提供的服务，必须包括设备的所有费用，包括采购、运输、劳务、管理、利润、税金、保险、协调、安装、调试、培训、售后服务以及所有的不定因素的风险等。</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w:t>
      </w:r>
      <w:r>
        <w:rPr>
          <w:rFonts w:hint="eastAsia" w:ascii="仿宋" w:hAnsi="仿宋" w:eastAsia="仿宋" w:cs="仿宋"/>
          <w:b/>
          <w:color w:val="auto"/>
          <w:spacing w:val="34"/>
          <w:sz w:val="32"/>
          <w:szCs w:val="32"/>
          <w:highlight w:val="none"/>
        </w:rPr>
        <w:t>条 质</w:t>
      </w:r>
      <w:r>
        <w:rPr>
          <w:rFonts w:hint="eastAsia" w:ascii="仿宋" w:hAnsi="仿宋" w:eastAsia="仿宋" w:cs="仿宋"/>
          <w:b/>
          <w:color w:val="auto"/>
          <w:sz w:val="32"/>
          <w:szCs w:val="32"/>
          <w:highlight w:val="none"/>
        </w:rPr>
        <w:t>量保</w:t>
      </w:r>
      <w:r>
        <w:rPr>
          <w:rFonts w:hint="eastAsia" w:ascii="仿宋" w:hAnsi="仿宋" w:eastAsia="仿宋" w:cs="仿宋"/>
          <w:b/>
          <w:color w:val="auto"/>
          <w:spacing w:val="-10"/>
          <w:sz w:val="32"/>
          <w:szCs w:val="32"/>
          <w:highlight w:val="none"/>
        </w:rPr>
        <w:t>证</w:t>
      </w:r>
    </w:p>
    <w:p>
      <w:pPr>
        <w:pStyle w:val="13"/>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.乙方所提供的服务及以及服务伴随的货物</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产品名称、商标品牌、生产厂家、规格型号、技术参数）、工程等质量必须与采购文件规定及投标文件承诺相一致。乙方提供的节能和环保产品必须是列入政</w:t>
      </w:r>
      <w:r>
        <w:rPr>
          <w:rFonts w:hint="eastAsia" w:ascii="仿宋" w:hAnsi="仿宋" w:eastAsia="仿宋" w:cs="仿宋"/>
          <w:color w:val="auto"/>
          <w:spacing w:val="-4"/>
          <w:w w:val="99"/>
          <w:sz w:val="32"/>
          <w:szCs w:val="32"/>
          <w:highlight w:val="none"/>
        </w:rPr>
        <w:t>府采购品目清单的产品。有国家强制性标准的，还必须符合国家强制性标准的规定，没有国家强制性标准</w:t>
      </w:r>
      <w:r>
        <w:rPr>
          <w:rFonts w:hint="eastAsia" w:ascii="仿宋" w:hAnsi="仿宋" w:eastAsia="仿宋" w:cs="仿宋"/>
          <w:color w:val="auto"/>
          <w:spacing w:val="-1"/>
          <w:w w:val="99"/>
          <w:sz w:val="32"/>
          <w:szCs w:val="32"/>
          <w:highlight w:val="none"/>
        </w:rPr>
        <w:t>但有其他强制性标准的，必须符合其他强制性标准的规定。</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.乙方所提供服务伴随的货物必须是全新、未使用的原装产品，且在正常安装、使用和保养条件下，其使用寿命期内各项指标均达到采购文件规定或者投标文件承诺的质量要求。</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w:t>
      </w:r>
      <w:r>
        <w:rPr>
          <w:rFonts w:hint="eastAsia" w:ascii="仿宋" w:hAnsi="仿宋" w:eastAsia="仿宋" w:cs="仿宋"/>
          <w:b/>
          <w:color w:val="auto"/>
          <w:spacing w:val="34"/>
          <w:sz w:val="32"/>
          <w:szCs w:val="32"/>
          <w:highlight w:val="none"/>
        </w:rPr>
        <w:t>条 权</w:t>
      </w:r>
      <w:r>
        <w:rPr>
          <w:rFonts w:hint="eastAsia" w:ascii="仿宋" w:hAnsi="仿宋" w:eastAsia="仿宋" w:cs="仿宋"/>
          <w:b/>
          <w:color w:val="auto"/>
          <w:sz w:val="32"/>
          <w:szCs w:val="32"/>
          <w:highlight w:val="none"/>
        </w:rPr>
        <w:t>利保</w:t>
      </w:r>
      <w:r>
        <w:rPr>
          <w:rFonts w:hint="eastAsia" w:ascii="仿宋" w:hAnsi="仿宋" w:eastAsia="仿宋" w:cs="仿宋"/>
          <w:b/>
          <w:color w:val="auto"/>
          <w:spacing w:val="-10"/>
          <w:sz w:val="32"/>
          <w:szCs w:val="32"/>
          <w:highlight w:val="none"/>
        </w:rPr>
        <w:t>证</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.乙方应保证所提供服务以及服务伴随的货物、工程在使用时不会侵犯任何第三方的专利权、商标</w:t>
      </w:r>
      <w:r>
        <w:rPr>
          <w:rFonts w:hint="eastAsia" w:ascii="仿宋" w:hAnsi="仿宋" w:eastAsia="仿宋" w:cs="仿宋"/>
          <w:color w:val="auto"/>
          <w:spacing w:val="-1"/>
          <w:w w:val="99"/>
          <w:sz w:val="32"/>
          <w:szCs w:val="32"/>
          <w:highlight w:val="none"/>
        </w:rPr>
        <w:t>权、工业设计权等知识产权及其他合法权利，且所有权、处分权等没有受到任何限制。</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2.乙方应按采购文件规定或者</w:t>
      </w:r>
      <w:r>
        <w:rPr>
          <w:rFonts w:hint="eastAsia" w:ascii="仿宋" w:hAnsi="仿宋" w:eastAsia="仿宋" w:cs="仿宋"/>
          <w:color w:val="auto"/>
          <w:spacing w:val="-1"/>
          <w:w w:val="95"/>
          <w:sz w:val="32"/>
          <w:szCs w:val="32"/>
          <w:highlight w:val="none"/>
        </w:rPr>
        <w:t>投标文件承诺的时间向甲方提供使用货物的有关技术资料。</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.没有甲方事先书面同意，乙方不得将由甲方提供的有关合同或者任何合同条文、规格、计划、图</w:t>
      </w:r>
      <w:r>
        <w:rPr>
          <w:rFonts w:hint="eastAsia" w:ascii="仿宋" w:hAnsi="仿宋" w:eastAsia="仿宋" w:cs="仿宋"/>
          <w:color w:val="auto"/>
          <w:spacing w:val="-4"/>
          <w:w w:val="99"/>
          <w:sz w:val="32"/>
          <w:szCs w:val="32"/>
          <w:highlight w:val="none"/>
        </w:rPr>
        <w:t>纸、样品或者资料提供给与履行本合同无关的任何其他人。即使向履行本合同有关的人员提供，也应注意保密并限于履行合同的必需范围。乙方的保密义务持续有效，不因为本合同履行终止、解除或者无效而解</w:t>
      </w:r>
      <w:r>
        <w:rPr>
          <w:rFonts w:hint="eastAsia" w:ascii="仿宋" w:hAnsi="仿宋" w:eastAsia="仿宋" w:cs="仿宋"/>
          <w:color w:val="auto"/>
          <w:spacing w:val="-1"/>
          <w:w w:val="99"/>
          <w:sz w:val="32"/>
          <w:szCs w:val="32"/>
          <w:highlight w:val="none"/>
        </w:rPr>
        <w:t>除。</w:t>
      </w:r>
    </w:p>
    <w:p>
      <w:pPr>
        <w:pStyle w:val="13"/>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.乙方保证将要交付的货物的所有权完全属于乙方且无任何抵押、质押、查封等产权瑕疵。</w:t>
      </w:r>
    </w:p>
    <w:p>
      <w:pPr>
        <w:pStyle w:val="13"/>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包装和运输</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.乙方提供的本项目所伴随的所有货物均应按采购文件规定或者投标文件承诺的要求的包装材料、</w:t>
      </w:r>
      <w:r>
        <w:rPr>
          <w:rFonts w:hint="eastAsia" w:ascii="仿宋" w:hAnsi="仿宋" w:eastAsia="仿宋" w:cs="仿宋"/>
          <w:color w:val="auto"/>
          <w:spacing w:val="-1"/>
          <w:w w:val="99"/>
          <w:sz w:val="32"/>
          <w:szCs w:val="32"/>
          <w:highlight w:val="none"/>
        </w:rPr>
        <w:t>包装标准、包装方式进行包装，每一包装单元内应附详细的装箱单和质量合格证。</w:t>
      </w:r>
    </w:p>
    <w:p>
      <w:pPr>
        <w:pStyle w:val="13"/>
        <w:tabs>
          <w:tab w:val="left" w:pos="5198"/>
          <w:tab w:val="left" w:pos="666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2.本项目所伴随的所有货物的运输方式</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w w:val="95"/>
          <w:sz w:val="32"/>
          <w:szCs w:val="32"/>
          <w:highlight w:val="none"/>
          <w:u w:val="single"/>
        </w:rPr>
        <w:t>乙方自</w:t>
      </w:r>
      <w:r>
        <w:rPr>
          <w:rFonts w:hint="eastAsia" w:ascii="仿宋" w:hAnsi="仿宋" w:eastAsia="仿宋" w:cs="仿宋"/>
          <w:color w:val="auto"/>
          <w:spacing w:val="-10"/>
          <w:w w:val="95"/>
          <w:sz w:val="32"/>
          <w:szCs w:val="32"/>
          <w:highlight w:val="none"/>
          <w:u w:val="single"/>
        </w:rPr>
        <w:t>定</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pPr>
        <w:pStyle w:val="13"/>
        <w:spacing w:line="560" w:lineRule="exact"/>
        <w:ind w:firstLine="608" w:firstLineChars="200"/>
        <w:rPr>
          <w:rFonts w:ascii="仿宋" w:hAnsi="仿宋" w:eastAsia="仿宋" w:cs="仿宋"/>
          <w:color w:val="auto"/>
          <w:w w:val="99"/>
          <w:sz w:val="32"/>
          <w:szCs w:val="32"/>
          <w:highlight w:val="none"/>
        </w:rPr>
      </w:pPr>
      <w:r>
        <w:rPr>
          <w:rFonts w:hint="eastAsia" w:ascii="仿宋" w:hAnsi="仿宋" w:eastAsia="仿宋" w:cs="仿宋"/>
          <w:color w:val="auto"/>
          <w:w w:val="95"/>
          <w:sz w:val="32"/>
          <w:szCs w:val="32"/>
          <w:highlight w:val="none"/>
        </w:rPr>
        <w:t>3.乙方负责本项目所伴随的所有货物运输，货物运输合理损耗及计算方法：</w:t>
      </w:r>
      <w:r>
        <w:rPr>
          <w:rFonts w:hint="eastAsia" w:ascii="仿宋" w:hAnsi="仿宋" w:eastAsia="仿宋" w:cs="仿宋"/>
          <w:color w:val="auto"/>
          <w:w w:val="95"/>
          <w:sz w:val="32"/>
          <w:szCs w:val="32"/>
          <w:highlight w:val="none"/>
          <w:u w:val="single"/>
        </w:rPr>
        <w:t>本合同交付货物不</w:t>
      </w:r>
      <w:r>
        <w:rPr>
          <w:rFonts w:hint="eastAsia" w:ascii="仿宋" w:hAnsi="仿宋" w:eastAsia="仿宋" w:cs="仿宋"/>
          <w:color w:val="auto"/>
          <w:spacing w:val="-5"/>
          <w:w w:val="95"/>
          <w:sz w:val="32"/>
          <w:szCs w:val="32"/>
          <w:highlight w:val="none"/>
          <w:u w:val="single"/>
        </w:rPr>
        <w:t>接受</w:t>
      </w:r>
      <w:r>
        <w:rPr>
          <w:rFonts w:hint="eastAsia" w:ascii="仿宋" w:hAnsi="仿宋" w:eastAsia="仿宋" w:cs="仿宋"/>
          <w:color w:val="auto"/>
          <w:spacing w:val="-1"/>
          <w:w w:val="99"/>
          <w:sz w:val="32"/>
          <w:szCs w:val="32"/>
          <w:highlight w:val="none"/>
          <w:u w:val="single"/>
        </w:rPr>
        <w:t>损耗，由乙方自行为其货物运输办理相关保险</w:t>
      </w:r>
      <w:r>
        <w:rPr>
          <w:rFonts w:hint="eastAsia" w:ascii="仿宋" w:hAnsi="仿宋" w:eastAsia="仿宋" w:cs="仿宋"/>
          <w:color w:val="auto"/>
          <w:w w:val="99"/>
          <w:sz w:val="32"/>
          <w:szCs w:val="32"/>
          <w:highlight w:val="none"/>
        </w:rPr>
        <w:t>。</w:t>
      </w:r>
    </w:p>
    <w:p>
      <w:pPr>
        <w:pStyle w:val="13"/>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第五条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交付、服务期</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bCs/>
          <w:color w:val="auto"/>
          <w:sz w:val="32"/>
          <w:szCs w:val="32"/>
          <w:highlight w:val="none"/>
        </w:rPr>
        <w:t>供货期</w:t>
      </w:r>
      <w:r>
        <w:rPr>
          <w:rFonts w:hint="eastAsia" w:ascii="仿宋" w:hAnsi="仿宋" w:eastAsia="仿宋" w:cs="仿宋"/>
          <w:color w:val="auto"/>
          <w:w w:val="95"/>
          <w:sz w:val="32"/>
          <w:szCs w:val="32"/>
          <w:highlight w:val="none"/>
        </w:rPr>
        <w:t>：</w:t>
      </w:r>
      <w:r>
        <w:rPr>
          <w:rFonts w:hint="eastAsia" w:ascii="仿宋" w:hAnsi="仿宋" w:eastAsia="仿宋" w:cs="仿宋"/>
          <w:color w:val="auto"/>
          <w:spacing w:val="58"/>
          <w:w w:val="150"/>
          <w:sz w:val="32"/>
          <w:szCs w:val="32"/>
          <w:highlight w:val="none"/>
          <w:u w:val="single"/>
        </w:rPr>
        <w:t xml:space="preserve">  </w:t>
      </w:r>
      <w:r>
        <w:rPr>
          <w:rFonts w:hint="eastAsia" w:ascii="仿宋" w:hAnsi="仿宋" w:eastAsia="仿宋" w:cs="仿宋"/>
          <w:color w:val="auto"/>
          <w:w w:val="95"/>
          <w:sz w:val="32"/>
          <w:szCs w:val="32"/>
          <w:highlight w:val="none"/>
          <w:u w:val="single"/>
        </w:rPr>
        <w:t>（按乙方投标文件中承诺的不超过采购文件要求的时间</w:t>
      </w:r>
      <w:r>
        <w:rPr>
          <w:rFonts w:hint="eastAsia" w:ascii="仿宋" w:hAnsi="仿宋" w:eastAsia="仿宋" w:cs="仿宋"/>
          <w:color w:val="auto"/>
          <w:spacing w:val="-5"/>
          <w:w w:val="95"/>
          <w:sz w:val="32"/>
          <w:szCs w:val="32"/>
          <w:highlight w:val="none"/>
          <w:u w:val="single"/>
        </w:rPr>
        <w:t>）；</w:t>
      </w:r>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2.供货地点：</w:t>
      </w:r>
      <w:r>
        <w:rPr>
          <w:rFonts w:hint="eastAsia" w:ascii="仿宋" w:hAnsi="仿宋" w:eastAsia="仿宋" w:cs="仿宋"/>
          <w:color w:val="auto"/>
          <w:spacing w:val="35"/>
          <w:sz w:val="32"/>
          <w:szCs w:val="32"/>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u w:val="single"/>
        </w:rPr>
        <w:t xml:space="preserve"> </w:t>
      </w:r>
      <w:r>
        <w:rPr>
          <w:rFonts w:hint="eastAsia" w:ascii="仿宋" w:hAnsi="仿宋" w:eastAsia="仿宋" w:cs="仿宋"/>
          <w:color w:val="auto"/>
          <w:spacing w:val="-10"/>
          <w:sz w:val="32"/>
          <w:szCs w:val="32"/>
          <w:highlight w:val="none"/>
        </w:rPr>
        <w:t>；</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.乙方提供不符合采购文件规定或者投标文件承诺的和本合同规定的服务以及服务伴随的货物、工</w:t>
      </w:r>
      <w:r>
        <w:rPr>
          <w:rFonts w:hint="eastAsia" w:ascii="仿宋" w:hAnsi="仿宋" w:eastAsia="仿宋" w:cs="仿宋"/>
          <w:color w:val="auto"/>
          <w:spacing w:val="-1"/>
          <w:w w:val="99"/>
          <w:sz w:val="32"/>
          <w:szCs w:val="32"/>
          <w:highlight w:val="none"/>
        </w:rPr>
        <w:t>程，甲方有权拒绝接受。</w:t>
      </w:r>
    </w:p>
    <w:p>
      <w:pPr>
        <w:pStyle w:val="13"/>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.乙方应将所提供本项目所伴随的所有货物的装箱清单、用户手册、原厂保修卡、随机资料、工具</w:t>
      </w:r>
      <w:r>
        <w:rPr>
          <w:rFonts w:hint="eastAsia" w:ascii="仿宋" w:hAnsi="仿宋" w:eastAsia="仿宋" w:cs="仿宋"/>
          <w:color w:val="auto"/>
          <w:spacing w:val="-5"/>
          <w:w w:val="99"/>
          <w:sz w:val="32"/>
          <w:szCs w:val="32"/>
          <w:highlight w:val="none"/>
        </w:rPr>
        <w:t>和备品、备件等交付给甲方，货物属于进口产品的，供货时应同时附上中文使用说明书，如有缺失应在合</w:t>
      </w:r>
      <w:r>
        <w:rPr>
          <w:rFonts w:hint="eastAsia" w:ascii="仿宋" w:hAnsi="仿宋" w:eastAsia="仿宋" w:cs="仿宋"/>
          <w:color w:val="auto"/>
          <w:spacing w:val="-1"/>
          <w:w w:val="99"/>
          <w:sz w:val="32"/>
          <w:szCs w:val="32"/>
          <w:highlight w:val="none"/>
        </w:rPr>
        <w:t>理的规定时间内补齐，否则视为逾期交货。</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乙方应按投标文件的承诺向甲方提供相应的服务，并提供所服务内容的相关技术资料。</w:t>
      </w:r>
    </w:p>
    <w:p>
      <w:pPr>
        <w:pStyle w:val="13"/>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6.乙方提供不符合投标文件和本合同规定的服务成果，甲方有权拒绝接受。</w:t>
      </w:r>
    </w:p>
    <w:p>
      <w:pPr>
        <w:pStyle w:val="13"/>
        <w:spacing w:line="560" w:lineRule="exact"/>
        <w:ind w:firstLine="643" w:firstLineChars="200"/>
        <w:rPr>
          <w:rFonts w:ascii="仿宋" w:hAnsi="仿宋" w:eastAsia="仿宋" w:cs="仿宋"/>
          <w:b/>
          <w:color w:val="auto"/>
          <w:spacing w:val="-17"/>
          <w:sz w:val="32"/>
          <w:szCs w:val="32"/>
          <w:highlight w:val="none"/>
        </w:rPr>
      </w:pPr>
      <w:r>
        <w:rPr>
          <w:rFonts w:hint="eastAsia" w:ascii="仿宋" w:hAnsi="仿宋" w:eastAsia="仿宋" w:cs="仿宋"/>
          <w:b/>
          <w:color w:val="auto"/>
          <w:sz w:val="32"/>
          <w:szCs w:val="32"/>
          <w:highlight w:val="none"/>
        </w:rPr>
        <w:t>第六</w:t>
      </w:r>
      <w:r>
        <w:rPr>
          <w:rFonts w:hint="eastAsia" w:ascii="仿宋" w:hAnsi="仿宋" w:eastAsia="仿宋" w:cs="仿宋"/>
          <w:b/>
          <w:color w:val="auto"/>
          <w:spacing w:val="21"/>
          <w:sz w:val="32"/>
          <w:szCs w:val="32"/>
          <w:highlight w:val="none"/>
        </w:rPr>
        <w:t>条 安</w:t>
      </w:r>
      <w:r>
        <w:rPr>
          <w:rFonts w:hint="eastAsia" w:ascii="仿宋" w:hAnsi="仿宋" w:eastAsia="仿宋" w:cs="仿宋"/>
          <w:b/>
          <w:color w:val="auto"/>
          <w:sz w:val="32"/>
          <w:szCs w:val="32"/>
          <w:highlight w:val="none"/>
        </w:rPr>
        <w:t>装和</w:t>
      </w:r>
      <w:r>
        <w:rPr>
          <w:rFonts w:hint="eastAsia" w:ascii="仿宋" w:hAnsi="仿宋" w:eastAsia="仿宋" w:cs="仿宋"/>
          <w:b/>
          <w:color w:val="auto"/>
          <w:spacing w:val="-17"/>
          <w:sz w:val="32"/>
          <w:szCs w:val="32"/>
          <w:highlight w:val="none"/>
        </w:rPr>
        <w:t xml:space="preserve">培训 </w:t>
      </w:r>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1、甲方应提供必要测试条件（如场地、电源、水源等）。</w:t>
      </w:r>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2、乙方负责甲方有关人员的培训。培训时间、地点：</w:t>
      </w:r>
      <w:r>
        <w:rPr>
          <w:rFonts w:hint="eastAsia" w:ascii="仿宋" w:hAnsi="仿宋" w:eastAsia="仿宋" w:cs="仿宋"/>
          <w:color w:val="auto"/>
          <w:sz w:val="32"/>
          <w:szCs w:val="32"/>
          <w:highlight w:val="none"/>
          <w:u w:val="single"/>
        </w:rPr>
        <w:t xml:space="preserve">甲方指定地点 </w:t>
      </w:r>
      <w:r>
        <w:rPr>
          <w:rFonts w:hint="eastAsia" w:ascii="仿宋" w:hAnsi="仿宋" w:eastAsia="仿宋" w:cs="仿宋"/>
          <w:color w:val="auto"/>
          <w:sz w:val="32"/>
          <w:szCs w:val="32"/>
          <w:highlight w:val="none"/>
        </w:rPr>
        <w:t>。</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w:t>
      </w:r>
      <w:r>
        <w:rPr>
          <w:rFonts w:hint="eastAsia" w:ascii="仿宋" w:hAnsi="仿宋" w:eastAsia="仿宋" w:cs="仿宋"/>
          <w:b/>
          <w:color w:val="auto"/>
          <w:spacing w:val="31"/>
          <w:sz w:val="32"/>
          <w:szCs w:val="32"/>
          <w:highlight w:val="none"/>
        </w:rPr>
        <w:t>条 售</w:t>
      </w:r>
      <w:r>
        <w:rPr>
          <w:rFonts w:hint="eastAsia" w:ascii="仿宋" w:hAnsi="仿宋" w:eastAsia="仿宋" w:cs="仿宋"/>
          <w:b/>
          <w:color w:val="auto"/>
          <w:sz w:val="32"/>
          <w:szCs w:val="32"/>
          <w:highlight w:val="none"/>
        </w:rPr>
        <w:t>后服务</w:t>
      </w:r>
    </w:p>
    <w:p>
      <w:pPr>
        <w:spacing w:line="560" w:lineRule="exact"/>
        <w:ind w:firstLine="640" w:firstLineChars="200"/>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详见货物需求</w:t>
      </w:r>
    </w:p>
    <w:p>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付款方式：</w:t>
      </w:r>
      <w:r>
        <w:rPr>
          <w:rFonts w:hint="eastAsia" w:ascii="仿宋" w:hAnsi="仿宋" w:eastAsia="仿宋" w:cs="仿宋"/>
          <w:bCs/>
          <w:color w:val="auto"/>
          <w:w w:val="99"/>
          <w:sz w:val="32"/>
          <w:szCs w:val="32"/>
          <w:highlight w:val="none"/>
          <w:lang w:eastAsia="zh-CN"/>
        </w:rPr>
        <w:t>详见第二章</w:t>
      </w:r>
      <w:r>
        <w:rPr>
          <w:rFonts w:hint="eastAsia" w:ascii="仿宋" w:hAnsi="仿宋" w:eastAsia="仿宋" w:cs="仿宋"/>
          <w:bCs/>
          <w:color w:val="auto"/>
          <w:sz w:val="32"/>
          <w:szCs w:val="32"/>
          <w:highlight w:val="none"/>
        </w:rPr>
        <w:t>。</w:t>
      </w:r>
    </w:p>
    <w:p>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履约保证金：</w:t>
      </w:r>
      <w:r>
        <w:rPr>
          <w:rFonts w:hint="eastAsia" w:ascii="仿宋" w:hAnsi="仿宋" w:eastAsia="仿宋" w:cs="仿宋"/>
          <w:b/>
          <w:color w:val="auto"/>
          <w:spacing w:val="-1"/>
          <w:w w:val="99"/>
          <w:sz w:val="32"/>
          <w:szCs w:val="32"/>
          <w:highlight w:val="none"/>
          <w:lang w:eastAsia="zh-CN"/>
        </w:rPr>
        <w:t>详见采购需求</w:t>
      </w:r>
      <w:r>
        <w:rPr>
          <w:rFonts w:hint="eastAsia" w:ascii="仿宋" w:hAnsi="仿宋" w:eastAsia="仿宋" w:cs="仿宋"/>
          <w:b/>
          <w:color w:val="auto"/>
          <w:spacing w:val="-1"/>
          <w:w w:val="99"/>
          <w:sz w:val="32"/>
          <w:szCs w:val="32"/>
          <w:highlight w:val="none"/>
        </w:rPr>
        <w:t>。</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第十条</w:t>
      </w:r>
      <w:r>
        <w:rPr>
          <w:rFonts w:hint="eastAsia" w:ascii="仿宋" w:hAnsi="仿宋" w:eastAsia="仿宋" w:cs="仿宋"/>
          <w:b/>
          <w:color w:val="auto"/>
          <w:spacing w:val="50"/>
          <w:w w:val="150"/>
          <w:sz w:val="32"/>
          <w:szCs w:val="32"/>
          <w:highlight w:val="none"/>
        </w:rPr>
        <w:t xml:space="preserve"> </w:t>
      </w:r>
      <w:r>
        <w:rPr>
          <w:rFonts w:hint="eastAsia" w:ascii="仿宋" w:hAnsi="仿宋" w:eastAsia="仿宋" w:cs="仿宋"/>
          <w:b/>
          <w:color w:val="auto"/>
          <w:spacing w:val="-6"/>
          <w:sz w:val="32"/>
          <w:szCs w:val="32"/>
          <w:highlight w:val="none"/>
        </w:rPr>
        <w:t>税费</w:t>
      </w:r>
    </w:p>
    <w:p>
      <w:pPr>
        <w:spacing w:line="560" w:lineRule="exact"/>
        <w:ind w:firstLine="628"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本合同执行中相关的一切税费均由乙方负担，合同另有约定的除外。</w:t>
      </w:r>
    </w:p>
    <w:p>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第十一条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质量保证及售后服务</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1、乙方应按采购文件规定的服务内容及要求向甲方提供合格的服务，其中货物部分为未经使用的</w:t>
      </w:r>
      <w:r>
        <w:rPr>
          <w:rFonts w:hint="eastAsia" w:ascii="仿宋" w:hAnsi="仿宋" w:eastAsia="仿宋" w:cs="仿宋"/>
          <w:color w:val="auto"/>
          <w:spacing w:val="-10"/>
          <w:w w:val="95"/>
          <w:sz w:val="32"/>
          <w:szCs w:val="32"/>
          <w:highlight w:val="none"/>
        </w:rPr>
        <w:t>全</w:t>
      </w:r>
      <w:r>
        <w:rPr>
          <w:rFonts w:hint="eastAsia" w:ascii="仿宋" w:hAnsi="仿宋" w:eastAsia="仿宋" w:cs="仿宋"/>
          <w:color w:val="auto"/>
          <w:spacing w:val="-1"/>
          <w:w w:val="95"/>
          <w:sz w:val="32"/>
          <w:szCs w:val="32"/>
          <w:highlight w:val="none"/>
        </w:rPr>
        <w:t>新产品。不符合要求的，根据实际情况，经双方协商，可按以下办法处理：</w:t>
      </w:r>
    </w:p>
    <w:p>
      <w:pPr>
        <w:pStyle w:val="13"/>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⑴更换：由乙方承担所发生的全部费用。</w:t>
      </w:r>
    </w:p>
    <w:p>
      <w:pPr>
        <w:pStyle w:val="13"/>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⑵贬值处理：由甲乙双方合议定价。</w:t>
      </w:r>
    </w:p>
    <w:p>
      <w:pPr>
        <w:pStyle w:val="13"/>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⑶退货处理：乙方应退还甲方支付的合同款，同时应承担货物部分的直接费用</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运输、保险、检验、货款利息及银行手续费等</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.如在使用过程中发生质量问题，乙方在接到甲方通知后到达甲方现场处理的时间（</w:t>
      </w:r>
      <w:r>
        <w:rPr>
          <w:rFonts w:hint="eastAsia" w:ascii="仿宋" w:hAnsi="仿宋" w:eastAsia="仿宋" w:cs="仿宋"/>
          <w:color w:val="auto"/>
          <w:spacing w:val="1"/>
          <w:w w:val="99"/>
          <w:sz w:val="32"/>
          <w:szCs w:val="32"/>
          <w:highlight w:val="none"/>
        </w:rPr>
        <w:t>按投标文件承</w:t>
      </w:r>
      <w:r>
        <w:rPr>
          <w:rFonts w:hint="eastAsia" w:ascii="仿宋" w:hAnsi="仿宋" w:eastAsia="仿宋" w:cs="仿宋"/>
          <w:color w:val="auto"/>
          <w:spacing w:val="-1"/>
          <w:w w:val="99"/>
          <w:sz w:val="32"/>
          <w:szCs w:val="32"/>
          <w:highlight w:val="none"/>
        </w:rPr>
        <w:t>诺的数据填写）</w:t>
      </w:r>
      <w:r>
        <w:rPr>
          <w:rFonts w:hint="eastAsia" w:ascii="仿宋" w:hAnsi="仿宋" w:eastAsia="仿宋" w:cs="仿宋"/>
          <w:color w:val="auto"/>
          <w:w w:val="99"/>
          <w:sz w:val="32"/>
          <w:szCs w:val="32"/>
          <w:highlight w:val="none"/>
        </w:rPr>
        <w:t>小时内。</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5"/>
          <w:w w:val="99"/>
          <w:sz w:val="32"/>
          <w:szCs w:val="32"/>
          <w:highlight w:val="none"/>
        </w:rPr>
        <w:t>.</w:t>
      </w:r>
      <w:r>
        <w:rPr>
          <w:rFonts w:hint="eastAsia" w:ascii="仿宋" w:hAnsi="仿宋" w:eastAsia="仿宋" w:cs="仿宋"/>
          <w:b/>
          <w:color w:val="auto"/>
          <w:w w:val="99"/>
          <w:sz w:val="32"/>
          <w:szCs w:val="32"/>
          <w:highlight w:val="none"/>
        </w:rPr>
        <w:t>质保期要求：</w:t>
      </w:r>
      <w:r>
        <w:rPr>
          <w:rFonts w:hint="eastAsia" w:ascii="仿宋" w:hAnsi="仿宋" w:eastAsia="仿宋" w:cs="仿宋"/>
          <w:color w:val="auto"/>
          <w:spacing w:val="-3"/>
          <w:w w:val="99"/>
          <w:sz w:val="32"/>
          <w:szCs w:val="32"/>
          <w:highlight w:val="none"/>
        </w:rPr>
        <w:t>项目涉及的所有设备必须是具备厂家合法渠道的全新正品，按国家有关产品“三包”规定执行“三包”，自交货安装并验收合格之日起，质保期内，乙方将负责处理并解决故障，并免费更换</w:t>
      </w:r>
      <w:r>
        <w:rPr>
          <w:rFonts w:hint="eastAsia" w:ascii="仿宋" w:hAnsi="仿宋" w:eastAsia="仿宋" w:cs="仿宋"/>
          <w:color w:val="auto"/>
          <w:spacing w:val="-1"/>
          <w:w w:val="99"/>
          <w:sz w:val="32"/>
          <w:szCs w:val="32"/>
          <w:highlight w:val="none"/>
        </w:rPr>
        <w:t>有故障的零、部件，一切费用由乙方负责。其中：</w:t>
      </w:r>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1.系统或应用软件质量保证期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年（以</w:t>
      </w:r>
      <w:r>
        <w:rPr>
          <w:rFonts w:hint="eastAsia" w:ascii="仿宋" w:hAnsi="仿宋" w:eastAsia="仿宋" w:cs="仿宋"/>
          <w:color w:val="auto"/>
          <w:spacing w:val="-2"/>
          <w:sz w:val="32"/>
          <w:szCs w:val="32"/>
          <w:highlight w:val="none"/>
        </w:rPr>
        <w:t>厂家售后服务承诺为准），自系统终验合格之日起计算；</w:t>
      </w:r>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2.硬件设备质量保证期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年，自货物开</w:t>
      </w:r>
      <w:r>
        <w:rPr>
          <w:rFonts w:hint="eastAsia" w:ascii="仿宋" w:hAnsi="仿宋" w:eastAsia="仿宋" w:cs="仿宋"/>
          <w:color w:val="auto"/>
          <w:spacing w:val="-2"/>
          <w:sz w:val="32"/>
          <w:szCs w:val="32"/>
          <w:highlight w:val="none"/>
        </w:rPr>
        <w:t>箱验收安装调试合格之日起计算。</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第十二</w:t>
      </w:r>
      <w:r>
        <w:rPr>
          <w:rFonts w:hint="eastAsia" w:ascii="仿宋" w:hAnsi="仿宋" w:eastAsia="仿宋" w:cs="仿宋"/>
          <w:b/>
          <w:color w:val="auto"/>
          <w:spacing w:val="28"/>
          <w:sz w:val="32"/>
          <w:szCs w:val="32"/>
          <w:highlight w:val="none"/>
        </w:rPr>
        <w:t>条 调</w:t>
      </w:r>
      <w:r>
        <w:rPr>
          <w:rFonts w:hint="eastAsia" w:ascii="仿宋" w:hAnsi="仿宋" w:eastAsia="仿宋" w:cs="仿宋"/>
          <w:b/>
          <w:color w:val="auto"/>
          <w:sz w:val="32"/>
          <w:szCs w:val="32"/>
          <w:highlight w:val="none"/>
        </w:rPr>
        <w:t>试和验收（本条款适用于甲方自行验收，委托第三方验收的另行规定</w:t>
      </w:r>
      <w:r>
        <w:rPr>
          <w:rFonts w:hint="eastAsia" w:ascii="仿宋" w:hAnsi="仿宋" w:eastAsia="仿宋" w:cs="仿宋"/>
          <w:b/>
          <w:color w:val="auto"/>
          <w:spacing w:val="-10"/>
          <w:sz w:val="32"/>
          <w:szCs w:val="32"/>
          <w:highlight w:val="none"/>
        </w:rPr>
        <w:t>）</w:t>
      </w:r>
    </w:p>
    <w:p>
      <w:pPr>
        <w:pStyle w:val="13"/>
        <w:spacing w:line="560" w:lineRule="exact"/>
        <w:ind w:firstLine="63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2"/>
          <w:w w:val="99"/>
          <w:sz w:val="32"/>
          <w:szCs w:val="32"/>
          <w:highlight w:val="none"/>
        </w:rPr>
        <w:t>.甲方对乙方提交的服务（含服务伴随的货物、工程）</w:t>
      </w:r>
      <w:r>
        <w:rPr>
          <w:rFonts w:hint="eastAsia" w:ascii="仿宋" w:hAnsi="仿宋" w:eastAsia="仿宋" w:cs="仿宋"/>
          <w:color w:val="auto"/>
          <w:spacing w:val="1"/>
          <w:w w:val="99"/>
          <w:sz w:val="32"/>
          <w:szCs w:val="32"/>
          <w:highlight w:val="none"/>
        </w:rPr>
        <w:t>依据采购文件上的技术规格要求和国家有关</w:t>
      </w:r>
      <w:r>
        <w:rPr>
          <w:rFonts w:hint="eastAsia" w:ascii="仿宋" w:hAnsi="仿宋" w:eastAsia="仿宋" w:cs="仿宋"/>
          <w:color w:val="auto"/>
          <w:spacing w:val="-5"/>
          <w:w w:val="99"/>
          <w:sz w:val="32"/>
          <w:szCs w:val="32"/>
          <w:highlight w:val="none"/>
        </w:rPr>
        <w:t>质量标准进行现场初步验收，货物外观、说明书符合采购文件技术要求的，给予签收，初步验收不合格的</w:t>
      </w:r>
      <w:r>
        <w:rPr>
          <w:rFonts w:hint="eastAsia" w:ascii="仿宋" w:hAnsi="仿宋" w:eastAsia="仿宋" w:cs="仿宋"/>
          <w:color w:val="auto"/>
          <w:spacing w:val="-1"/>
          <w:w w:val="99"/>
          <w:sz w:val="32"/>
          <w:szCs w:val="32"/>
          <w:highlight w:val="none"/>
        </w:rPr>
        <w:t>不予签收。货到后，甲方应当在到货（安装、调试完</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后七个工作日内进行验收。</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.本项目服务伴随的货物乙方交货前应对产品作出全面检查和对验收文件进行整理，并列出清单，</w:t>
      </w:r>
      <w:r>
        <w:rPr>
          <w:rFonts w:hint="eastAsia" w:ascii="仿宋" w:hAnsi="仿宋" w:eastAsia="仿宋" w:cs="仿宋"/>
          <w:color w:val="auto"/>
          <w:spacing w:val="-1"/>
          <w:w w:val="99"/>
          <w:sz w:val="32"/>
          <w:szCs w:val="32"/>
          <w:highlight w:val="none"/>
        </w:rPr>
        <w:t>作为甲方收货验收和使用的技术条件依据，检验的结果应随货物交甲方。</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.甲方对乙方提供的本项目服务伴随的货物在使用前进行调试时，乙方需负责安装并培训甲方的使</w:t>
      </w:r>
      <w:r>
        <w:rPr>
          <w:rFonts w:hint="eastAsia" w:ascii="仿宋" w:hAnsi="仿宋" w:eastAsia="仿宋" w:cs="仿宋"/>
          <w:color w:val="auto"/>
          <w:spacing w:val="-1"/>
          <w:w w:val="99"/>
          <w:sz w:val="32"/>
          <w:szCs w:val="32"/>
          <w:highlight w:val="none"/>
        </w:rPr>
        <w:t>用操作人员，并协助甲方一起调试，直到符合技术要求，甲方才做最终验收。</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.本项目服务伴随的货物中，对技术复杂的货物，甲方应请国家认可的专业检测机构参与初步验收</w:t>
      </w:r>
      <w:r>
        <w:rPr>
          <w:rFonts w:hint="eastAsia" w:ascii="仿宋" w:hAnsi="仿宋" w:eastAsia="仿宋" w:cs="仿宋"/>
          <w:color w:val="auto"/>
          <w:spacing w:val="-1"/>
          <w:w w:val="99"/>
          <w:sz w:val="32"/>
          <w:szCs w:val="32"/>
          <w:highlight w:val="none"/>
        </w:rPr>
        <w:t>及最终验收，并由其出具质量检测报告。</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.验收时乙方必须在现场，验收完毕后作出验收结果报告；验收费用按采购文件约定承担方负责。</w:t>
      </w:r>
    </w:p>
    <w:p>
      <w:pPr>
        <w:pStyle w:val="13"/>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6</w:t>
      </w:r>
      <w:r>
        <w:rPr>
          <w:rFonts w:hint="eastAsia" w:ascii="仿宋" w:hAnsi="仿宋" w:eastAsia="仿宋" w:cs="仿宋"/>
          <w:color w:val="auto"/>
          <w:spacing w:val="2"/>
          <w:w w:val="99"/>
          <w:sz w:val="32"/>
          <w:szCs w:val="32"/>
          <w:highlight w:val="none"/>
        </w:rPr>
        <w:t>.本项目服务伴随的货物部分，甲方应当在到货（安装、调试完</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后七个工作日内进行验收，逾期</w:t>
      </w:r>
      <w:r>
        <w:rPr>
          <w:rFonts w:hint="eastAsia" w:ascii="仿宋" w:hAnsi="仿宋" w:eastAsia="仿宋" w:cs="仿宋"/>
          <w:color w:val="auto"/>
          <w:spacing w:val="-4"/>
          <w:w w:val="99"/>
          <w:sz w:val="32"/>
          <w:szCs w:val="32"/>
          <w:highlight w:val="none"/>
        </w:rPr>
        <w:t>不验收的，乙方可视同验收合格。验收合格后由甲乙双方签署货物验收单并加盖甲方公章，甲乙双方各执</w:t>
      </w:r>
      <w:r>
        <w:rPr>
          <w:rFonts w:hint="eastAsia" w:ascii="仿宋" w:hAnsi="仿宋" w:eastAsia="仿宋" w:cs="仿宋"/>
          <w:color w:val="auto"/>
          <w:w w:val="99"/>
          <w:sz w:val="32"/>
          <w:szCs w:val="32"/>
          <w:highlight w:val="none"/>
        </w:rPr>
        <w:t>一份。</w:t>
      </w:r>
    </w:p>
    <w:p>
      <w:pPr>
        <w:pStyle w:val="13"/>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7</w:t>
      </w:r>
      <w:r>
        <w:rPr>
          <w:rFonts w:hint="eastAsia" w:ascii="仿宋" w:hAnsi="仿宋" w:eastAsia="仿宋" w:cs="仿宋"/>
          <w:color w:val="auto"/>
          <w:spacing w:val="1"/>
          <w:w w:val="99"/>
          <w:sz w:val="32"/>
          <w:szCs w:val="32"/>
          <w:highlight w:val="none"/>
        </w:rPr>
        <w:t>.甲方委托采购代理机构组织的验收项目，其验收时间以该项目验收方案确定的验收时间为准，验</w:t>
      </w:r>
      <w:r>
        <w:rPr>
          <w:rFonts w:hint="eastAsia" w:ascii="仿宋" w:hAnsi="仿宋" w:eastAsia="仿宋" w:cs="仿宋"/>
          <w:color w:val="auto"/>
          <w:spacing w:val="-4"/>
          <w:w w:val="99"/>
          <w:sz w:val="32"/>
          <w:szCs w:val="32"/>
          <w:highlight w:val="none"/>
        </w:rPr>
        <w:t>收结果以该项目验收报告结论为准。在验收过程中发现乙方有违约问题，可暂缓资金结算，待违约问题解</w:t>
      </w:r>
      <w:r>
        <w:rPr>
          <w:rFonts w:hint="eastAsia" w:ascii="仿宋" w:hAnsi="仿宋" w:eastAsia="仿宋" w:cs="仿宋"/>
          <w:color w:val="auto"/>
          <w:spacing w:val="-1"/>
          <w:w w:val="99"/>
          <w:sz w:val="32"/>
          <w:szCs w:val="32"/>
          <w:highlight w:val="none"/>
        </w:rPr>
        <w:t>决后，方可办理资金结算事宜。</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8.甲方对验收有异议的，以书面形式提出，在验收后五个工作日内以书面形式向乙方提出</w:t>
      </w:r>
      <w:r>
        <w:rPr>
          <w:rFonts w:hint="eastAsia" w:ascii="仿宋" w:hAnsi="仿宋" w:eastAsia="仿宋" w:cs="仿宋"/>
          <w:color w:val="auto"/>
          <w:spacing w:val="-3"/>
          <w:w w:val="95"/>
          <w:sz w:val="32"/>
          <w:szCs w:val="32"/>
          <w:highlight w:val="none"/>
        </w:rPr>
        <w:t>，乙方应</w:t>
      </w:r>
      <w:r>
        <w:rPr>
          <w:rFonts w:hint="eastAsia" w:ascii="仿宋" w:hAnsi="仿宋" w:eastAsia="仿宋" w:cs="仿宋"/>
          <w:color w:val="auto"/>
          <w:w w:val="95"/>
          <w:sz w:val="32"/>
          <w:szCs w:val="32"/>
          <w:highlight w:val="none"/>
        </w:rPr>
        <w:t>自收到甲方书面异议后</w:t>
      </w:r>
      <w:r>
        <w:rPr>
          <w:rFonts w:hint="eastAsia" w:ascii="仿宋" w:hAnsi="仿宋" w:eastAsia="仿宋" w:cs="仿宋"/>
          <w:color w:val="auto"/>
          <w:spacing w:val="50"/>
          <w:w w:val="150"/>
          <w:sz w:val="32"/>
          <w:szCs w:val="32"/>
          <w:highlight w:val="none"/>
        </w:rPr>
        <w:t xml:space="preserve"> </w:t>
      </w:r>
      <w:r>
        <w:rPr>
          <w:rFonts w:hint="eastAsia" w:ascii="仿宋" w:hAnsi="仿宋" w:eastAsia="仿宋" w:cs="仿宋"/>
          <w:color w:val="auto"/>
          <w:w w:val="95"/>
          <w:sz w:val="32"/>
          <w:szCs w:val="32"/>
          <w:highlight w:val="none"/>
          <w:u w:val="single"/>
        </w:rPr>
        <w:t>10</w:t>
      </w:r>
      <w:r>
        <w:rPr>
          <w:rFonts w:hint="eastAsia" w:ascii="仿宋" w:hAnsi="仿宋" w:eastAsia="仿宋" w:cs="仿宋"/>
          <w:color w:val="auto"/>
          <w:spacing w:val="42"/>
          <w:w w:val="150"/>
          <w:sz w:val="32"/>
          <w:szCs w:val="32"/>
          <w:highlight w:val="none"/>
        </w:rPr>
        <w:t xml:space="preserve"> </w:t>
      </w:r>
      <w:r>
        <w:rPr>
          <w:rFonts w:hint="eastAsia" w:ascii="仿宋" w:hAnsi="仿宋" w:eastAsia="仿宋" w:cs="仿宋"/>
          <w:color w:val="auto"/>
          <w:w w:val="95"/>
          <w:sz w:val="32"/>
          <w:szCs w:val="32"/>
          <w:highlight w:val="none"/>
        </w:rPr>
        <w:t>日内及时予以，否</w:t>
      </w:r>
      <w:r>
        <w:rPr>
          <w:rFonts w:hint="eastAsia" w:ascii="仿宋" w:hAnsi="仿宋" w:eastAsia="仿宋" w:cs="仿宋"/>
          <w:color w:val="auto"/>
          <w:spacing w:val="-1"/>
          <w:w w:val="95"/>
          <w:sz w:val="32"/>
          <w:szCs w:val="32"/>
          <w:highlight w:val="none"/>
        </w:rPr>
        <w:t>则甲方有权不出具服务验收合格单。</w:t>
      </w:r>
    </w:p>
    <w:p>
      <w:pPr>
        <w:pStyle w:val="13"/>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9</w:t>
      </w:r>
      <w:r>
        <w:rPr>
          <w:rFonts w:hint="eastAsia" w:ascii="仿宋" w:hAnsi="仿宋" w:eastAsia="仿宋" w:cs="仿宋"/>
          <w:color w:val="auto"/>
          <w:spacing w:val="1"/>
          <w:w w:val="99"/>
          <w:sz w:val="32"/>
          <w:szCs w:val="32"/>
          <w:highlight w:val="none"/>
        </w:rPr>
        <w:t>.甲乙双方应按照双方合同、招标文件、乙方投标文件验收，甲方在初步验收或者最终验收过程中</w:t>
      </w:r>
      <w:r>
        <w:rPr>
          <w:rFonts w:hint="eastAsia" w:ascii="仿宋" w:hAnsi="仿宋" w:eastAsia="仿宋" w:cs="仿宋"/>
          <w:color w:val="auto"/>
          <w:spacing w:val="-4"/>
          <w:w w:val="99"/>
          <w:sz w:val="32"/>
          <w:szCs w:val="32"/>
          <w:highlight w:val="none"/>
        </w:rPr>
        <w:t>如发现乙方提供的服务成果不满足招标文件、乙方投标文件及本合同规定的，可暂缓向乙方付款，直到乙</w:t>
      </w:r>
      <w:r>
        <w:rPr>
          <w:rFonts w:hint="eastAsia" w:ascii="仿宋" w:hAnsi="仿宋" w:eastAsia="仿宋" w:cs="仿宋"/>
          <w:color w:val="auto"/>
          <w:spacing w:val="-1"/>
          <w:w w:val="99"/>
          <w:sz w:val="32"/>
          <w:szCs w:val="32"/>
          <w:highlight w:val="none"/>
        </w:rPr>
        <w:t>方及时完善并提交相应的服务成果且经甲方验收合格后，方可办理付款。</w:t>
      </w:r>
    </w:p>
    <w:p>
      <w:pPr>
        <w:pStyle w:val="13"/>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10.其他未尽事宜应严格按照《关于印发广西壮族自治区政府采购项目履约验收管理办法的通知》[桂</w:t>
      </w:r>
      <w:r>
        <w:rPr>
          <w:rFonts w:hint="eastAsia" w:ascii="仿宋" w:hAnsi="仿宋" w:eastAsia="仿宋" w:cs="仿宋"/>
          <w:color w:val="auto"/>
          <w:w w:val="95"/>
          <w:sz w:val="32"/>
          <w:szCs w:val="32"/>
          <w:highlight w:val="none"/>
        </w:rPr>
        <w:t>财采〔2015〕22</w:t>
      </w:r>
      <w:r>
        <w:rPr>
          <w:rFonts w:hint="eastAsia" w:ascii="仿宋" w:hAnsi="仿宋" w:eastAsia="仿宋" w:cs="仿宋"/>
          <w:color w:val="auto"/>
          <w:spacing w:val="-6"/>
          <w:w w:val="95"/>
          <w:sz w:val="32"/>
          <w:szCs w:val="32"/>
          <w:highlight w:val="none"/>
        </w:rPr>
        <w:t xml:space="preserve"> 号]以及《财政部关于进一步加强政府采购需求和履约验收管理的指导意见》[财库〔</w:t>
      </w:r>
      <w:r>
        <w:rPr>
          <w:rFonts w:hint="eastAsia" w:ascii="仿宋" w:hAnsi="仿宋" w:eastAsia="仿宋" w:cs="仿宋"/>
          <w:color w:val="auto"/>
          <w:w w:val="95"/>
          <w:sz w:val="32"/>
          <w:szCs w:val="32"/>
          <w:highlight w:val="none"/>
        </w:rPr>
        <w:t>2016〕</w:t>
      </w:r>
      <w:r>
        <w:rPr>
          <w:rFonts w:hint="eastAsia" w:ascii="仿宋" w:hAnsi="仿宋" w:eastAsia="仿宋" w:cs="仿宋"/>
          <w:color w:val="auto"/>
          <w:spacing w:val="40"/>
          <w:sz w:val="32"/>
          <w:szCs w:val="32"/>
          <w:highlight w:val="none"/>
        </w:rPr>
        <w:t xml:space="preserve"> </w:t>
      </w:r>
      <w:r>
        <w:rPr>
          <w:rFonts w:hint="eastAsia" w:ascii="仿宋" w:hAnsi="仿宋" w:eastAsia="仿宋" w:cs="仿宋"/>
          <w:color w:val="auto"/>
          <w:sz w:val="32"/>
          <w:szCs w:val="32"/>
          <w:highlight w:val="none"/>
        </w:rPr>
        <w:t>205</w:t>
      </w:r>
      <w:r>
        <w:rPr>
          <w:rFonts w:hint="eastAsia" w:ascii="仿宋" w:hAnsi="仿宋" w:eastAsia="仿宋" w:cs="仿宋"/>
          <w:color w:val="auto"/>
          <w:spacing w:val="-7"/>
          <w:sz w:val="32"/>
          <w:szCs w:val="32"/>
          <w:highlight w:val="none"/>
        </w:rPr>
        <w:t xml:space="preserve"> 号]规定执行。</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第十三</w:t>
      </w:r>
      <w:r>
        <w:rPr>
          <w:rFonts w:hint="eastAsia" w:ascii="仿宋" w:hAnsi="仿宋" w:eastAsia="仿宋" w:cs="仿宋"/>
          <w:b/>
          <w:color w:val="auto"/>
          <w:spacing w:val="28"/>
          <w:sz w:val="32"/>
          <w:szCs w:val="32"/>
          <w:highlight w:val="none"/>
        </w:rPr>
        <w:t>条 货</w:t>
      </w:r>
      <w:r>
        <w:rPr>
          <w:rFonts w:hint="eastAsia" w:ascii="仿宋" w:hAnsi="仿宋" w:eastAsia="仿宋" w:cs="仿宋"/>
          <w:b/>
          <w:color w:val="auto"/>
          <w:sz w:val="32"/>
          <w:szCs w:val="32"/>
          <w:highlight w:val="none"/>
        </w:rPr>
        <w:t>物包装、发运及运输（指本项目服务伴随的货物部分</w:t>
      </w:r>
      <w:r>
        <w:rPr>
          <w:rFonts w:hint="eastAsia" w:ascii="仿宋" w:hAnsi="仿宋" w:eastAsia="仿宋" w:cs="仿宋"/>
          <w:b/>
          <w:color w:val="auto"/>
          <w:spacing w:val="-10"/>
          <w:sz w:val="32"/>
          <w:szCs w:val="32"/>
          <w:highlight w:val="none"/>
        </w:rPr>
        <w:t>）</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.乙方应在货物发运前对其进行满足运输距离、防潮、防震、防锈和防破损装卸等要求包装，以保</w:t>
      </w:r>
      <w:r>
        <w:rPr>
          <w:rFonts w:hint="eastAsia" w:ascii="仿宋" w:hAnsi="仿宋" w:eastAsia="仿宋" w:cs="仿宋"/>
          <w:color w:val="auto"/>
          <w:spacing w:val="-1"/>
          <w:w w:val="99"/>
          <w:sz w:val="32"/>
          <w:szCs w:val="32"/>
          <w:highlight w:val="none"/>
        </w:rPr>
        <w:t>证货物安全运达甲方指定地点。</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.使用说明书（货物属于进口产品的，供货时应同时附上中文使用说明书</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、质量检验证明书、随</w:t>
      </w:r>
      <w:r>
        <w:rPr>
          <w:rFonts w:hint="eastAsia" w:ascii="仿宋" w:hAnsi="仿宋" w:eastAsia="仿宋" w:cs="仿宋"/>
          <w:color w:val="auto"/>
          <w:spacing w:val="-1"/>
          <w:w w:val="99"/>
          <w:sz w:val="32"/>
          <w:szCs w:val="32"/>
          <w:highlight w:val="none"/>
        </w:rPr>
        <w:t>配附件和工具以及清单一并附于货物内。</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3.乙方在货物发运手续办理完毕后二十四小时内或者货到甲方四十八小时前通知甲方，以准备接货</w:t>
      </w:r>
      <w:r>
        <w:rPr>
          <w:rFonts w:hint="eastAsia" w:ascii="仿宋" w:hAnsi="仿宋" w:eastAsia="仿宋" w:cs="仿宋"/>
          <w:color w:val="auto"/>
          <w:spacing w:val="-10"/>
          <w:w w:val="95"/>
          <w:sz w:val="32"/>
          <w:szCs w:val="32"/>
          <w:highlight w:val="none"/>
        </w:rPr>
        <w:t>。</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.货物在交付甲方前发生的风险均由乙方负责。</w:t>
      </w:r>
    </w:p>
    <w:p>
      <w:pPr>
        <w:pStyle w:val="13"/>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4"/>
          <w:w w:val="99"/>
          <w:sz w:val="32"/>
          <w:szCs w:val="32"/>
          <w:highlight w:val="none"/>
        </w:rPr>
        <w:t>.货物在规定的交付期限内由乙方送达甲方指定的地点视为交付，乙方同时需通知甲方货物已送达。</w:t>
      </w:r>
    </w:p>
    <w:p>
      <w:pPr>
        <w:pStyle w:val="13"/>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违约责任</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1"/>
          <w:w w:val="99"/>
          <w:sz w:val="32"/>
          <w:szCs w:val="32"/>
          <w:highlight w:val="none"/>
        </w:rPr>
        <w:t>.除不可抗力原因外，乙方所提供的服务（含服务伴随的货物的产品名称、商标品牌、生产厂家、</w:t>
      </w:r>
      <w:r>
        <w:rPr>
          <w:rFonts w:hint="eastAsia" w:ascii="仿宋" w:hAnsi="仿宋" w:eastAsia="仿宋" w:cs="仿宋"/>
          <w:color w:val="auto"/>
          <w:spacing w:val="-3"/>
          <w:w w:val="99"/>
          <w:sz w:val="32"/>
          <w:szCs w:val="32"/>
          <w:highlight w:val="none"/>
        </w:rPr>
        <w:t>规格型号、技术参数，以及工程</w:t>
      </w:r>
      <w:r>
        <w:rPr>
          <w:rFonts w:hint="eastAsia" w:ascii="仿宋" w:hAnsi="仿宋" w:eastAsia="仿宋" w:cs="仿宋"/>
          <w:color w:val="auto"/>
          <w:spacing w:val="-5"/>
          <w:w w:val="99"/>
          <w:sz w:val="32"/>
          <w:szCs w:val="32"/>
          <w:highlight w:val="none"/>
        </w:rPr>
        <w:t>）</w:t>
      </w:r>
      <w:r>
        <w:rPr>
          <w:rFonts w:hint="eastAsia" w:ascii="仿宋" w:hAnsi="仿宋" w:eastAsia="仿宋" w:cs="仿宋"/>
          <w:color w:val="auto"/>
          <w:spacing w:val="-3"/>
          <w:w w:val="99"/>
          <w:sz w:val="32"/>
          <w:szCs w:val="32"/>
          <w:highlight w:val="none"/>
        </w:rPr>
        <w:t>质量不合格的，应及时完善或更换，完善或更换不及时的按逾期交货处</w:t>
      </w:r>
      <w:r>
        <w:rPr>
          <w:rFonts w:hint="eastAsia" w:ascii="仿宋" w:hAnsi="仿宋" w:eastAsia="仿宋" w:cs="仿宋"/>
          <w:color w:val="auto"/>
          <w:spacing w:val="-8"/>
          <w:w w:val="99"/>
          <w:sz w:val="32"/>
          <w:szCs w:val="32"/>
          <w:highlight w:val="none"/>
        </w:rPr>
        <w:t>罚；因质量问题甲方不同意接收的或者特殊情况甲方同意接收的，乙方应向甲方支付合同总金额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w w:val="99"/>
          <w:sz w:val="32"/>
          <w:szCs w:val="32"/>
          <w:highlight w:val="none"/>
        </w:rPr>
        <w:t>的违约</w:t>
      </w:r>
      <w:r>
        <w:rPr>
          <w:rFonts w:hint="eastAsia" w:ascii="仿宋" w:hAnsi="仿宋" w:eastAsia="仿宋" w:cs="仿宋"/>
          <w:color w:val="auto"/>
          <w:spacing w:val="-1"/>
          <w:w w:val="99"/>
          <w:sz w:val="32"/>
          <w:szCs w:val="32"/>
          <w:highlight w:val="none"/>
        </w:rPr>
        <w:t>金并赔偿甲方经济损失。</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.乙方提供的服务</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含服务伴随的货物、工程</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如侵犯了第三方合法权益而引发的任何纠纷或者诉讼，均由乙方负责交涉并承担全部责任。</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.本项目服务伴随的货物部分，因包装、运输引起的货物损坏，按质量不合格处罚。</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.本项目服务伴随的货物部分，甲方无故延期接收货物、乙方逾期交货的，每天向对方偿付合同总金额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2"/>
          <w:w w:val="99"/>
          <w:sz w:val="32"/>
          <w:szCs w:val="32"/>
          <w:highlight w:val="none"/>
        </w:rPr>
        <w:t>‰违约金，但违约金累计不得超过合同总金额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spacing w:val="-2"/>
          <w:w w:val="99"/>
          <w:sz w:val="32"/>
          <w:szCs w:val="32"/>
          <w:highlight w:val="none"/>
          <w:u w:val="single"/>
        </w:rPr>
        <w:t>0</w:t>
      </w:r>
      <w:r>
        <w:rPr>
          <w:rFonts w:hint="eastAsia" w:ascii="仿宋" w:hAnsi="仿宋" w:eastAsia="仿宋" w:cs="仿宋"/>
          <w:color w:val="auto"/>
          <w:spacing w:val="1"/>
          <w:w w:val="99"/>
          <w:sz w:val="32"/>
          <w:szCs w:val="32"/>
          <w:highlight w:val="none"/>
          <w:u w:val="single"/>
        </w:rPr>
        <w:t>%</w:t>
      </w:r>
      <w:r>
        <w:rPr>
          <w:rFonts w:hint="eastAsia" w:ascii="仿宋" w:hAnsi="仿宋" w:eastAsia="仿宋" w:cs="仿宋"/>
          <w:color w:val="auto"/>
          <w:spacing w:val="-4"/>
          <w:w w:val="99"/>
          <w:sz w:val="32"/>
          <w:szCs w:val="32"/>
          <w:highlight w:val="none"/>
        </w:rPr>
        <w:t>，超过</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w w:val="99"/>
          <w:sz w:val="32"/>
          <w:szCs w:val="32"/>
          <w:highlight w:val="none"/>
          <w:u w:val="singl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2"/>
          <w:w w:val="99"/>
          <w:sz w:val="32"/>
          <w:szCs w:val="32"/>
          <w:highlight w:val="none"/>
        </w:rPr>
        <w:t>天对方有权解除合同，违约方承担因此</w:t>
      </w:r>
      <w:r>
        <w:rPr>
          <w:rFonts w:hint="eastAsia" w:ascii="仿宋" w:hAnsi="仿宋" w:eastAsia="仿宋" w:cs="仿宋"/>
          <w:color w:val="auto"/>
          <w:spacing w:val="-1"/>
          <w:w w:val="99"/>
          <w:sz w:val="32"/>
          <w:szCs w:val="32"/>
          <w:highlight w:val="none"/>
        </w:rPr>
        <w:t>给对方造成经济损失；甲方延期支付货款的，每天向乙方偿付延期合同总金额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2"/>
          <w:w w:val="99"/>
          <w:sz w:val="32"/>
          <w:szCs w:val="32"/>
          <w:highlight w:val="none"/>
          <w:u w:val="single"/>
        </w:rPr>
        <w:t>3</w:t>
      </w:r>
      <w:r>
        <w:rPr>
          <w:rFonts w:hint="eastAsia" w:ascii="仿宋" w:hAnsi="仿宋" w:eastAsia="仿宋" w:cs="仿宋"/>
          <w:color w:val="auto"/>
          <w:spacing w:val="2"/>
          <w:w w:val="99"/>
          <w:sz w:val="32"/>
          <w:szCs w:val="32"/>
          <w:highlight w:val="none"/>
          <w:u w:val="single"/>
        </w:rPr>
        <w:t>‰</w:t>
      </w:r>
      <w:r>
        <w:rPr>
          <w:rFonts w:hint="eastAsia" w:ascii="仿宋" w:hAnsi="仿宋" w:eastAsia="仿宋" w:cs="仿宋"/>
          <w:color w:val="auto"/>
          <w:spacing w:val="-1"/>
          <w:w w:val="99"/>
          <w:sz w:val="32"/>
          <w:szCs w:val="32"/>
          <w:highlight w:val="none"/>
        </w:rPr>
        <w:t>滞纳金，但滞纳金累计不得超过延期合同总金额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u w:val="single"/>
        </w:rPr>
        <w:t>。</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1"/>
          <w:w w:val="99"/>
          <w:sz w:val="32"/>
          <w:szCs w:val="32"/>
          <w:highlight w:val="none"/>
        </w:rPr>
        <w:t>.乙方未按本合同和投标文件中规定的服务承诺提供售后服务的，乙方应按本合同总金额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rPr>
        <w:t>向甲方</w:t>
      </w:r>
      <w:r>
        <w:rPr>
          <w:rFonts w:hint="eastAsia" w:ascii="仿宋" w:hAnsi="仿宋" w:eastAsia="仿宋" w:cs="仿宋"/>
          <w:color w:val="auto"/>
          <w:spacing w:val="-1"/>
          <w:w w:val="99"/>
          <w:sz w:val="32"/>
          <w:szCs w:val="32"/>
          <w:highlight w:val="none"/>
        </w:rPr>
        <w:t>支付违约金。</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6</w:t>
      </w:r>
      <w:r>
        <w:rPr>
          <w:rFonts w:hint="eastAsia" w:ascii="仿宋" w:hAnsi="仿宋" w:eastAsia="仿宋" w:cs="仿宋"/>
          <w:color w:val="auto"/>
          <w:spacing w:val="-1"/>
          <w:w w:val="99"/>
          <w:sz w:val="32"/>
          <w:szCs w:val="32"/>
          <w:highlight w:val="none"/>
        </w:rPr>
        <w:t>.乙方提供的货物在质量保证期内，因设计、工艺或者材料的缺陷和其他质量原因造成的问题，由乙方负责，费用从余款中扣除，不足另补。</w:t>
      </w:r>
    </w:p>
    <w:p>
      <w:pPr>
        <w:pStyle w:val="13"/>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7</w:t>
      </w:r>
      <w:r>
        <w:rPr>
          <w:rFonts w:hint="eastAsia" w:ascii="仿宋" w:hAnsi="仿宋" w:eastAsia="仿宋" w:cs="仿宋"/>
          <w:color w:val="auto"/>
          <w:spacing w:val="-1"/>
          <w:w w:val="99"/>
          <w:sz w:val="32"/>
          <w:szCs w:val="32"/>
          <w:highlight w:val="none"/>
        </w:rPr>
        <w:t>.甲乙双方有其他违约行为的，由违约方向对方支付违约内容涉及合同总金额的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不足以赔偿经济损失的按实际赔偿。</w:t>
      </w:r>
    </w:p>
    <w:p>
      <w:pPr>
        <w:pStyle w:val="13"/>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第十五</w:t>
      </w:r>
      <w:r>
        <w:rPr>
          <w:rFonts w:hint="eastAsia" w:ascii="仿宋" w:hAnsi="仿宋" w:eastAsia="仿宋" w:cs="仿宋"/>
          <w:b/>
          <w:color w:val="auto"/>
          <w:spacing w:val="32"/>
          <w:sz w:val="32"/>
          <w:szCs w:val="32"/>
          <w:highlight w:val="none"/>
        </w:rPr>
        <w:t>条 不</w:t>
      </w:r>
      <w:r>
        <w:rPr>
          <w:rFonts w:hint="eastAsia" w:ascii="仿宋" w:hAnsi="仿宋" w:eastAsia="仿宋" w:cs="仿宋"/>
          <w:b/>
          <w:color w:val="auto"/>
          <w:sz w:val="32"/>
          <w:szCs w:val="32"/>
          <w:highlight w:val="none"/>
        </w:rPr>
        <w:t>可抗力事件处</w:t>
      </w:r>
      <w:r>
        <w:rPr>
          <w:rFonts w:hint="eastAsia" w:ascii="仿宋" w:hAnsi="仿宋" w:eastAsia="仿宋" w:cs="仿宋"/>
          <w:b/>
          <w:color w:val="auto"/>
          <w:spacing w:val="-10"/>
          <w:sz w:val="32"/>
          <w:szCs w:val="32"/>
          <w:highlight w:val="none"/>
        </w:rPr>
        <w:t>理</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.在合同有效期内，任何一方因不可抗力事件导致不能履行合同，则合同履行期可延长，其延长期</w:t>
      </w:r>
      <w:r>
        <w:rPr>
          <w:rFonts w:hint="eastAsia" w:ascii="仿宋" w:hAnsi="仿宋" w:eastAsia="仿宋" w:cs="仿宋"/>
          <w:color w:val="auto"/>
          <w:spacing w:val="-1"/>
          <w:w w:val="99"/>
          <w:sz w:val="32"/>
          <w:szCs w:val="32"/>
          <w:highlight w:val="none"/>
        </w:rPr>
        <w:t>与不可抗力影响期相同。</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1"/>
          <w:w w:val="95"/>
          <w:sz w:val="32"/>
          <w:szCs w:val="32"/>
          <w:highlight w:val="none"/>
        </w:rPr>
        <w:t>.不可抗力事件发生后，应立即通知对方，并寄送有关权威机构出具的证明。</w:t>
      </w:r>
    </w:p>
    <w:p>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.不可抗力事件延续一百二十天以上，双方应通过友好协商，确定是否继续履行合同。</w:t>
      </w:r>
    </w:p>
    <w:p>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第十六条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合同争议解决</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.因服务质量问题发生争议的，应邀请国家认可的质量检测机构进行鉴定。服务符合标准的，鉴定</w:t>
      </w:r>
      <w:r>
        <w:rPr>
          <w:rFonts w:hint="eastAsia" w:ascii="仿宋" w:hAnsi="仿宋" w:eastAsia="仿宋" w:cs="仿宋"/>
          <w:color w:val="auto"/>
          <w:spacing w:val="-1"/>
          <w:w w:val="99"/>
          <w:sz w:val="32"/>
          <w:szCs w:val="32"/>
          <w:highlight w:val="none"/>
        </w:rPr>
        <w:t>费由甲方承担；服务不符合标准的，鉴定费由乙方承担。</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.因履行本合同引起的或者与本合同有关的争议，甲乙双方应首先通过友好协商解决，如果协商不</w:t>
      </w:r>
      <w:r>
        <w:rPr>
          <w:rFonts w:hint="eastAsia" w:ascii="仿宋" w:hAnsi="仿宋" w:eastAsia="仿宋" w:cs="仿宋"/>
          <w:color w:val="auto"/>
          <w:spacing w:val="-1"/>
          <w:w w:val="99"/>
          <w:sz w:val="32"/>
          <w:szCs w:val="32"/>
          <w:highlight w:val="none"/>
        </w:rPr>
        <w:t>能解决，可向甲方所在地有管辖权人民法院提起诉讼。</w:t>
      </w:r>
    </w:p>
    <w:p>
      <w:pPr>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3.诉讼期间，本合同继续履行。</w:t>
      </w:r>
    </w:p>
    <w:p>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第十七</w:t>
      </w:r>
      <w:r>
        <w:rPr>
          <w:rFonts w:hint="eastAsia" w:ascii="仿宋" w:hAnsi="仿宋" w:eastAsia="仿宋" w:cs="仿宋"/>
          <w:b/>
          <w:color w:val="auto"/>
          <w:spacing w:val="35"/>
          <w:sz w:val="32"/>
          <w:szCs w:val="32"/>
          <w:highlight w:val="none"/>
        </w:rPr>
        <w:t>条 合</w:t>
      </w:r>
      <w:r>
        <w:rPr>
          <w:rFonts w:hint="eastAsia" w:ascii="仿宋" w:hAnsi="仿宋" w:eastAsia="仿宋" w:cs="仿宋"/>
          <w:b/>
          <w:color w:val="auto"/>
          <w:sz w:val="32"/>
          <w:szCs w:val="32"/>
          <w:highlight w:val="none"/>
        </w:rPr>
        <w:t>同生效及其他</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.合同经双方法定代表人或者授权代表签字并加盖单位公章后生效（</w:t>
      </w:r>
      <w:r>
        <w:rPr>
          <w:rFonts w:hint="eastAsia" w:ascii="仿宋" w:hAnsi="仿宋" w:eastAsia="仿宋" w:cs="仿宋"/>
          <w:color w:val="auto"/>
          <w:spacing w:val="1"/>
          <w:w w:val="99"/>
          <w:sz w:val="32"/>
          <w:szCs w:val="32"/>
          <w:highlight w:val="none"/>
        </w:rPr>
        <w:t>委托代理人签字的需后附法定</w:t>
      </w:r>
      <w:r>
        <w:rPr>
          <w:rFonts w:hint="eastAsia" w:ascii="仿宋" w:hAnsi="仿宋" w:eastAsia="仿宋" w:cs="仿宋"/>
          <w:color w:val="auto"/>
          <w:spacing w:val="-1"/>
          <w:w w:val="99"/>
          <w:sz w:val="32"/>
          <w:szCs w:val="32"/>
          <w:highlight w:val="none"/>
        </w:rPr>
        <w:t>代表人授权委托书，格式自拟</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.合同执行中涉及采购资金和采购内容修改或者补充的，须经财政部门审批，并签订书面补充协议报</w:t>
      </w:r>
      <w:r>
        <w:rPr>
          <w:rFonts w:hint="eastAsia" w:ascii="仿宋" w:hAnsi="仿宋" w:eastAsia="仿宋" w:cs="仿宋"/>
          <w:color w:val="auto"/>
          <w:spacing w:val="-1"/>
          <w:w w:val="99"/>
          <w:sz w:val="32"/>
          <w:szCs w:val="32"/>
          <w:highlight w:val="none"/>
        </w:rPr>
        <w:t>财政部门备案，方可作为主合同不可分割的一部分。</w:t>
      </w:r>
    </w:p>
    <w:p>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.本合同未尽事宜，遵照《中华人民共和国民法典》有关条文执行。</w:t>
      </w:r>
    </w:p>
    <w:p>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合同的变更、终止与转让</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.除《中华人民共和国政府采购法》第五十条规定的情形外，本合同一经签订，甲乙双方不得擅自</w:t>
      </w:r>
      <w:r>
        <w:rPr>
          <w:rFonts w:hint="eastAsia" w:ascii="仿宋" w:hAnsi="仿宋" w:eastAsia="仿宋" w:cs="仿宋"/>
          <w:color w:val="auto"/>
          <w:spacing w:val="-1"/>
          <w:w w:val="99"/>
          <w:sz w:val="32"/>
          <w:szCs w:val="32"/>
          <w:highlight w:val="none"/>
        </w:rPr>
        <w:t>变更、中止或者终止。</w:t>
      </w:r>
    </w:p>
    <w:p>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.乙方不得擅自转让其应履行的合同义务。</w:t>
      </w:r>
    </w:p>
    <w:p>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签订本合同依据</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color w:val="auto"/>
          <w:spacing w:val="-2"/>
          <w:w w:val="95"/>
          <w:sz w:val="32"/>
          <w:szCs w:val="32"/>
          <w:highlight w:val="none"/>
        </w:rPr>
        <w:t>.中标通知书；</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2"/>
          <w:w w:val="95"/>
          <w:sz w:val="32"/>
          <w:szCs w:val="32"/>
          <w:highlight w:val="none"/>
        </w:rPr>
        <w:t>.投标报价明细表；</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.商务条款偏离表和服务需求、技术需求偏离表；</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.投标文件中的其他相关文件。</w:t>
      </w:r>
    </w:p>
    <w:p>
      <w:pPr>
        <w:pStyle w:val="13"/>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5</w:t>
      </w:r>
      <w:r>
        <w:rPr>
          <w:rFonts w:hint="eastAsia" w:ascii="仿宋" w:hAnsi="仿宋" w:eastAsia="仿宋" w:cs="仿宋"/>
          <w:color w:val="auto"/>
          <w:spacing w:val="1"/>
          <w:w w:val="99"/>
          <w:sz w:val="32"/>
          <w:szCs w:val="32"/>
          <w:highlight w:val="none"/>
        </w:rPr>
        <w:t>.上述合同文件互相补充和解释。如果合同文件之间存在矛盾或者不一致之处，以上述文件的排列</w:t>
      </w:r>
      <w:r>
        <w:rPr>
          <w:rFonts w:hint="eastAsia" w:ascii="仿宋" w:hAnsi="仿宋" w:eastAsia="仿宋" w:cs="仿宋"/>
          <w:color w:val="auto"/>
          <w:spacing w:val="-1"/>
          <w:w w:val="99"/>
          <w:sz w:val="32"/>
          <w:szCs w:val="32"/>
          <w:highlight w:val="none"/>
        </w:rPr>
        <w:t>顺序在先者为准。</w:t>
      </w:r>
    </w:p>
    <w:p>
      <w:pPr>
        <w:pStyle w:val="13"/>
        <w:spacing w:line="560" w:lineRule="exact"/>
        <w:ind w:firstLine="643" w:firstLineChars="20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第二十</w:t>
      </w:r>
      <w:r>
        <w:rPr>
          <w:rFonts w:hint="eastAsia" w:ascii="仿宋" w:hAnsi="仿宋" w:eastAsia="仿宋" w:cs="仿宋"/>
          <w:b/>
          <w:color w:val="auto"/>
          <w:spacing w:val="20"/>
          <w:sz w:val="32"/>
          <w:szCs w:val="32"/>
          <w:highlight w:val="none"/>
        </w:rPr>
        <w:t xml:space="preserve">条 </w:t>
      </w:r>
      <w:r>
        <w:rPr>
          <w:rFonts w:hint="eastAsia" w:ascii="仿宋" w:hAnsi="仿宋" w:eastAsia="仿宋" w:cs="仿宋"/>
          <w:color w:val="auto"/>
          <w:sz w:val="32"/>
          <w:szCs w:val="32"/>
          <w:highlight w:val="none"/>
        </w:rPr>
        <w:t>本合同一式</w:t>
      </w:r>
      <w:r>
        <w:rPr>
          <w:rFonts w:hint="eastAsia" w:ascii="仿宋" w:hAnsi="仿宋" w:eastAsia="仿宋" w:cs="仿宋"/>
          <w:color w:val="auto"/>
          <w:sz w:val="32"/>
          <w:szCs w:val="32"/>
          <w:highlight w:val="none"/>
          <w:lang w:eastAsia="zh-CN"/>
        </w:rPr>
        <w:t>伍</w:t>
      </w:r>
      <w:r>
        <w:rPr>
          <w:rFonts w:hint="eastAsia" w:ascii="仿宋" w:hAnsi="仿宋" w:eastAsia="仿宋" w:cs="仿宋"/>
          <w:color w:val="auto"/>
          <w:sz w:val="32"/>
          <w:szCs w:val="32"/>
          <w:highlight w:val="none"/>
        </w:rPr>
        <w:t>份，具有同等法律效力，采购代理机构</w:t>
      </w:r>
      <w:r>
        <w:rPr>
          <w:rFonts w:hint="eastAsia" w:ascii="仿宋" w:hAnsi="仿宋" w:eastAsia="仿宋" w:cs="仿宋"/>
          <w:color w:val="auto"/>
          <w:spacing w:val="-2"/>
          <w:sz w:val="32"/>
          <w:szCs w:val="32"/>
          <w:highlight w:val="none"/>
        </w:rPr>
        <w:t>一份，甲乙双方各</w:t>
      </w:r>
      <w:r>
        <w:rPr>
          <w:rFonts w:hint="eastAsia" w:ascii="仿宋" w:hAnsi="仿宋" w:eastAsia="仿宋" w:cs="仿宋"/>
          <w:color w:val="auto"/>
          <w:spacing w:val="-2"/>
          <w:sz w:val="32"/>
          <w:szCs w:val="32"/>
          <w:highlight w:val="none"/>
          <w:lang w:eastAsia="zh-CN"/>
        </w:rPr>
        <w:t>贰</w:t>
      </w:r>
      <w:r>
        <w:rPr>
          <w:rFonts w:hint="eastAsia" w:ascii="仿宋" w:hAnsi="仿宋" w:eastAsia="仿宋" w:cs="仿宋"/>
          <w:color w:val="auto"/>
          <w:spacing w:val="-2"/>
          <w:sz w:val="32"/>
          <w:szCs w:val="32"/>
          <w:highlight w:val="none"/>
        </w:rPr>
        <w:t>份（可根据需要另增加）。</w:t>
      </w:r>
    </w:p>
    <w:p>
      <w:pPr>
        <w:pStyle w:val="13"/>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本合同自签订之日起2个工作日内</w:t>
      </w:r>
      <w:r>
        <w:rPr>
          <w:rFonts w:hint="eastAsia" w:ascii="仿宋" w:hAnsi="仿宋" w:eastAsia="仿宋" w:cs="仿宋"/>
          <w:color w:val="auto"/>
          <w:spacing w:val="-11"/>
          <w:w w:val="95"/>
          <w:sz w:val="32"/>
          <w:szCs w:val="32"/>
          <w:highlight w:val="none"/>
        </w:rPr>
        <w:t>，甲方应当将采购合同在广西壮族自治区财政厅指定的媒体上公告。</w:t>
      </w:r>
    </w:p>
    <w:tbl>
      <w:tblPr>
        <w:tblStyle w:val="25"/>
        <w:tblW w:w="0" w:type="auto"/>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4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甲方（章</w:t>
            </w:r>
            <w:r>
              <w:rPr>
                <w:rFonts w:hint="eastAsia" w:ascii="仿宋" w:hAnsi="仿宋" w:eastAsia="仿宋" w:cs="仿宋"/>
                <w:color w:val="auto"/>
                <w:spacing w:val="-10"/>
                <w:w w:val="95"/>
                <w:sz w:val="32"/>
                <w:szCs w:val="32"/>
                <w:highlight w:val="none"/>
              </w:rPr>
              <w:t>）</w:t>
            </w:r>
          </w:p>
          <w:p>
            <w:pPr>
              <w:pStyle w:val="46"/>
              <w:spacing w:line="560" w:lineRule="exact"/>
              <w:rPr>
                <w:rFonts w:ascii="仿宋" w:hAnsi="仿宋" w:eastAsia="仿宋" w:cs="仿宋"/>
                <w:color w:val="auto"/>
                <w:sz w:val="32"/>
                <w:szCs w:val="32"/>
                <w:highlight w:val="none"/>
              </w:rPr>
            </w:pPr>
          </w:p>
          <w:p>
            <w:pPr>
              <w:pStyle w:val="46"/>
              <w:spacing w:line="560" w:lineRule="exact"/>
              <w:ind w:firstLine="640" w:firstLineChars="200"/>
              <w:rPr>
                <w:rFonts w:ascii="仿宋" w:hAnsi="仿宋" w:eastAsia="仿宋" w:cs="仿宋"/>
                <w:color w:val="auto"/>
                <w:sz w:val="32"/>
                <w:szCs w:val="32"/>
                <w:highlight w:val="none"/>
              </w:rPr>
            </w:pPr>
          </w:p>
          <w:p>
            <w:pPr>
              <w:pStyle w:val="46"/>
              <w:tabs>
                <w:tab w:val="left" w:pos="523"/>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乙方（章</w:t>
            </w:r>
            <w:r>
              <w:rPr>
                <w:rFonts w:hint="eastAsia" w:ascii="仿宋" w:hAnsi="仿宋" w:eastAsia="仿宋" w:cs="仿宋"/>
                <w:color w:val="auto"/>
                <w:spacing w:val="-10"/>
                <w:w w:val="95"/>
                <w:sz w:val="32"/>
                <w:szCs w:val="32"/>
                <w:highlight w:val="none"/>
              </w:rPr>
              <w:t>）</w:t>
            </w:r>
          </w:p>
          <w:p>
            <w:pPr>
              <w:pStyle w:val="46"/>
              <w:spacing w:line="560" w:lineRule="exact"/>
              <w:rPr>
                <w:rFonts w:ascii="仿宋" w:hAnsi="仿宋" w:eastAsia="仿宋" w:cs="仿宋"/>
                <w:color w:val="auto"/>
                <w:sz w:val="32"/>
                <w:szCs w:val="32"/>
                <w:highlight w:val="none"/>
              </w:rPr>
            </w:pPr>
          </w:p>
          <w:p>
            <w:pPr>
              <w:pStyle w:val="46"/>
              <w:spacing w:line="560" w:lineRule="exact"/>
              <w:ind w:firstLine="640" w:firstLineChars="200"/>
              <w:rPr>
                <w:rFonts w:ascii="仿宋" w:hAnsi="仿宋" w:eastAsia="仿宋" w:cs="仿宋"/>
                <w:color w:val="auto"/>
                <w:sz w:val="32"/>
                <w:szCs w:val="32"/>
                <w:highlight w:val="none"/>
              </w:rPr>
            </w:pPr>
          </w:p>
          <w:p>
            <w:pPr>
              <w:pStyle w:val="46"/>
              <w:tabs>
                <w:tab w:val="left" w:pos="525"/>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法定代表人：</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法定代表人（负责人</w:t>
            </w:r>
            <w:r>
              <w:rPr>
                <w:rFonts w:hint="eastAsia" w:ascii="仿宋" w:hAnsi="仿宋" w:eastAsia="仿宋" w:cs="仿宋"/>
                <w:color w:val="auto"/>
                <w:spacing w:val="-5"/>
                <w:w w:val="95"/>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7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c>
          <w:tcPr>
            <w:tcW w:w="4623"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999" w:type="dxa"/>
            <w:gridSpan w:val="2"/>
          </w:tcPr>
          <w:p>
            <w:pPr>
              <w:pStyle w:val="46"/>
              <w:spacing w:line="560" w:lineRule="exact"/>
              <w:ind w:firstLine="596" w:firstLineChars="200"/>
              <w:rPr>
                <w:rFonts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经办人：</w:t>
            </w:r>
          </w:p>
          <w:p>
            <w:pPr>
              <w:pStyle w:val="46"/>
              <w:tabs>
                <w:tab w:val="left" w:pos="8050"/>
                <w:tab w:val="left" w:pos="8679"/>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bl>
    <w:p>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NumType w:fmt="decimal"/>
          <w:cols w:space="0" w:num="1"/>
          <w:rtlGutter w:val="0"/>
          <w:docGrid w:linePitch="0" w:charSpace="0"/>
        </w:sectPr>
      </w:pPr>
    </w:p>
    <w:p>
      <w:pPr>
        <w:pStyle w:val="13"/>
        <w:rPr>
          <w:color w:val="auto"/>
          <w:sz w:val="18"/>
          <w:highlight w:val="none"/>
        </w:rPr>
      </w:pPr>
    </w:p>
    <w:p>
      <w:pPr>
        <w:spacing w:before="70"/>
        <w:ind w:left="120" w:right="117"/>
        <w:jc w:val="center"/>
        <w:rPr>
          <w:b/>
          <w:color w:val="auto"/>
          <w:sz w:val="21"/>
          <w:highlight w:val="none"/>
        </w:rPr>
      </w:pPr>
      <w:r>
        <w:rPr>
          <w:b/>
          <w:color w:val="auto"/>
          <w:spacing w:val="-4"/>
          <w:sz w:val="21"/>
          <w:highlight w:val="none"/>
        </w:rPr>
        <w:t>合 同 附 件</w:t>
      </w:r>
    </w:p>
    <w:p>
      <w:pPr>
        <w:pStyle w:val="13"/>
        <w:spacing w:before="11" w:after="1"/>
        <w:rPr>
          <w:b/>
          <w:color w:val="auto"/>
          <w:sz w:val="10"/>
          <w:highlight w:val="none"/>
        </w:rPr>
      </w:pPr>
    </w:p>
    <w:tbl>
      <w:tblPr>
        <w:tblStyle w:val="25"/>
        <w:tblW w:w="0" w:type="auto"/>
        <w:tblInd w:w="10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4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522" w:type="dxa"/>
            <w:gridSpan w:val="2"/>
          </w:tcPr>
          <w:p>
            <w:pPr>
              <w:pStyle w:val="46"/>
              <w:spacing w:before="1"/>
              <w:ind w:left="527"/>
              <w:rPr>
                <w:b/>
                <w:color w:val="auto"/>
                <w:sz w:val="21"/>
                <w:highlight w:val="none"/>
              </w:rPr>
            </w:pPr>
            <w:r>
              <w:rPr>
                <w:b/>
                <w:color w:val="auto"/>
                <w:sz w:val="21"/>
                <w:highlight w:val="none"/>
              </w:rPr>
              <w:t>1</w:t>
            </w:r>
            <w:r>
              <w:rPr>
                <w:b/>
                <w:color w:val="auto"/>
                <w:spacing w:val="-4"/>
                <w:sz w:val="21"/>
                <w:highlight w:val="none"/>
              </w:rPr>
              <w:t>. 供应商承诺具体事项：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522" w:type="dxa"/>
            <w:gridSpan w:val="2"/>
          </w:tcPr>
          <w:p>
            <w:pPr>
              <w:pStyle w:val="46"/>
              <w:spacing w:before="1"/>
              <w:ind w:left="527"/>
              <w:rPr>
                <w:b/>
                <w:color w:val="auto"/>
                <w:sz w:val="21"/>
                <w:highlight w:val="none"/>
              </w:rPr>
            </w:pPr>
            <w:r>
              <w:rPr>
                <w:b/>
                <w:color w:val="auto"/>
                <w:sz w:val="21"/>
                <w:highlight w:val="none"/>
              </w:rPr>
              <w:t>2</w:t>
            </w:r>
            <w:r>
              <w:rPr>
                <w:b/>
                <w:color w:val="auto"/>
                <w:spacing w:val="-4"/>
                <w:sz w:val="21"/>
                <w:highlight w:val="none"/>
              </w:rPr>
              <w:t>. 服务具体事项：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8522" w:type="dxa"/>
            <w:gridSpan w:val="2"/>
          </w:tcPr>
          <w:p>
            <w:pPr>
              <w:pStyle w:val="46"/>
              <w:spacing w:line="268" w:lineRule="exact"/>
              <w:ind w:left="527"/>
              <w:rPr>
                <w:b/>
                <w:color w:val="auto"/>
                <w:sz w:val="21"/>
                <w:highlight w:val="none"/>
              </w:rPr>
            </w:pPr>
            <w:r>
              <w:rPr>
                <w:b/>
                <w:color w:val="auto"/>
                <w:sz w:val="21"/>
                <w:highlight w:val="none"/>
              </w:rPr>
              <w:t>3</w:t>
            </w:r>
            <w:r>
              <w:rPr>
                <w:b/>
                <w:color w:val="auto"/>
                <w:spacing w:val="-4"/>
                <w:sz w:val="21"/>
                <w:highlight w:val="none"/>
              </w:rPr>
              <w:t>. 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4248" w:type="dxa"/>
          </w:tcPr>
          <w:p>
            <w:pPr>
              <w:pStyle w:val="46"/>
              <w:spacing w:before="33"/>
              <w:ind w:left="107"/>
              <w:rPr>
                <w:b/>
                <w:color w:val="auto"/>
                <w:sz w:val="21"/>
                <w:highlight w:val="none"/>
              </w:rPr>
            </w:pPr>
            <w:r>
              <w:rPr>
                <w:b/>
                <w:color w:val="auto"/>
                <w:w w:val="95"/>
                <w:sz w:val="21"/>
                <w:highlight w:val="none"/>
              </w:rPr>
              <w:t>甲方（章</w:t>
            </w:r>
            <w:r>
              <w:rPr>
                <w:b/>
                <w:color w:val="auto"/>
                <w:spacing w:val="-10"/>
                <w:w w:val="95"/>
                <w:sz w:val="21"/>
                <w:highlight w:val="none"/>
              </w:rPr>
              <w:t>）</w:t>
            </w:r>
          </w:p>
          <w:p>
            <w:pPr>
              <w:pStyle w:val="46"/>
              <w:rPr>
                <w:b/>
                <w:color w:val="auto"/>
                <w:sz w:val="20"/>
                <w:highlight w:val="none"/>
              </w:rPr>
            </w:pPr>
          </w:p>
          <w:p>
            <w:pPr>
              <w:pStyle w:val="46"/>
              <w:rPr>
                <w:b/>
                <w:color w:val="auto"/>
                <w:sz w:val="20"/>
                <w:highlight w:val="none"/>
              </w:rPr>
            </w:pPr>
          </w:p>
          <w:p>
            <w:pPr>
              <w:pStyle w:val="46"/>
              <w:rPr>
                <w:b/>
                <w:color w:val="auto"/>
                <w:sz w:val="20"/>
                <w:highlight w:val="none"/>
              </w:rPr>
            </w:pPr>
          </w:p>
          <w:p>
            <w:pPr>
              <w:pStyle w:val="46"/>
              <w:spacing w:before="9"/>
              <w:rPr>
                <w:b/>
                <w:color w:val="auto"/>
                <w:sz w:val="14"/>
                <w:highlight w:val="none"/>
              </w:rPr>
            </w:pPr>
          </w:p>
          <w:p>
            <w:pPr>
              <w:pStyle w:val="46"/>
              <w:tabs>
                <w:tab w:val="left" w:pos="2846"/>
                <w:tab w:val="left" w:pos="3374"/>
              </w:tabs>
              <w:ind w:left="2320"/>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c>
          <w:tcPr>
            <w:tcW w:w="4274" w:type="dxa"/>
          </w:tcPr>
          <w:p>
            <w:pPr>
              <w:pStyle w:val="46"/>
              <w:spacing w:before="33"/>
              <w:ind w:left="107"/>
              <w:rPr>
                <w:b/>
                <w:color w:val="auto"/>
                <w:sz w:val="21"/>
                <w:highlight w:val="none"/>
              </w:rPr>
            </w:pPr>
            <w:r>
              <w:rPr>
                <w:b/>
                <w:color w:val="auto"/>
                <w:w w:val="95"/>
                <w:sz w:val="21"/>
                <w:highlight w:val="none"/>
              </w:rPr>
              <w:t>乙方（章</w:t>
            </w:r>
            <w:r>
              <w:rPr>
                <w:b/>
                <w:color w:val="auto"/>
                <w:spacing w:val="-10"/>
                <w:w w:val="95"/>
                <w:sz w:val="21"/>
                <w:highlight w:val="none"/>
              </w:rPr>
              <w:t>）</w:t>
            </w:r>
          </w:p>
          <w:p>
            <w:pPr>
              <w:pStyle w:val="46"/>
              <w:rPr>
                <w:b/>
                <w:color w:val="auto"/>
                <w:sz w:val="20"/>
                <w:highlight w:val="none"/>
              </w:rPr>
            </w:pPr>
          </w:p>
          <w:p>
            <w:pPr>
              <w:pStyle w:val="46"/>
              <w:rPr>
                <w:b/>
                <w:color w:val="auto"/>
                <w:sz w:val="20"/>
                <w:highlight w:val="none"/>
              </w:rPr>
            </w:pPr>
          </w:p>
          <w:p>
            <w:pPr>
              <w:pStyle w:val="46"/>
              <w:rPr>
                <w:b/>
                <w:color w:val="auto"/>
                <w:sz w:val="20"/>
                <w:highlight w:val="none"/>
              </w:rPr>
            </w:pPr>
          </w:p>
          <w:p>
            <w:pPr>
              <w:pStyle w:val="46"/>
              <w:spacing w:before="9"/>
              <w:rPr>
                <w:b/>
                <w:color w:val="auto"/>
                <w:sz w:val="14"/>
                <w:highlight w:val="none"/>
              </w:rPr>
            </w:pPr>
          </w:p>
          <w:p>
            <w:pPr>
              <w:pStyle w:val="46"/>
              <w:tabs>
                <w:tab w:val="left" w:pos="2740"/>
                <w:tab w:val="left" w:pos="3268"/>
              </w:tabs>
              <w:ind w:left="2212"/>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r>
    </w:tbl>
    <w:p>
      <w:pPr>
        <w:pStyle w:val="13"/>
        <w:spacing w:before="2"/>
        <w:ind w:left="789"/>
        <w:rPr>
          <w:color w:val="auto"/>
          <w:highlight w:val="none"/>
        </w:rPr>
      </w:pPr>
      <w:r>
        <w:rPr>
          <w:color w:val="auto"/>
          <w:spacing w:val="-1"/>
          <w:w w:val="95"/>
          <w:highlight w:val="none"/>
        </w:rPr>
        <w:t>注：服务事项填不下时可另加附页</w:t>
      </w:r>
    </w:p>
    <w:p>
      <w:pPr>
        <w:rPr>
          <w:color w:val="auto"/>
          <w:highlight w:val="none"/>
        </w:rPr>
        <w:sectPr>
          <w:headerReference r:id="rId5" w:type="default"/>
          <w:footerReference r:id="rId6"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3"/>
        <w:spacing w:before="8"/>
        <w:rPr>
          <w:color w:val="auto"/>
          <w:sz w:val="25"/>
          <w:highlight w:val="none"/>
        </w:rPr>
      </w:pPr>
    </w:p>
    <w:p>
      <w:pPr>
        <w:pStyle w:val="2"/>
        <w:spacing w:before="38"/>
        <w:rPr>
          <w:color w:val="auto"/>
          <w:sz w:val="48"/>
          <w:highlight w:val="none"/>
        </w:rPr>
      </w:pPr>
      <w:bookmarkStart w:id="66" w:name="_Toc26872"/>
      <w:r>
        <w:rPr>
          <w:color w:val="auto"/>
          <w:highlight w:val="none"/>
        </w:rPr>
        <w:t>第六</w:t>
      </w:r>
      <w:r>
        <w:rPr>
          <w:color w:val="auto"/>
          <w:spacing w:val="65"/>
          <w:highlight w:val="none"/>
        </w:rPr>
        <w:t>章 投</w:t>
      </w:r>
      <w:r>
        <w:rPr>
          <w:color w:val="auto"/>
          <w:highlight w:val="none"/>
        </w:rPr>
        <w:t>标文件格</w:t>
      </w:r>
      <w:r>
        <w:rPr>
          <w:color w:val="auto"/>
          <w:spacing w:val="-10"/>
          <w:highlight w:val="none"/>
        </w:rPr>
        <w:t>式</w:t>
      </w:r>
      <w:bookmarkEnd w:id="66"/>
      <w:r>
        <w:rPr>
          <w:rFonts w:hint="eastAsia"/>
          <w:color w:val="auto"/>
          <w:spacing w:val="-10"/>
          <w:highlight w:val="none"/>
        </w:rPr>
        <w:t xml:space="preserve"> </w:t>
      </w:r>
    </w:p>
    <w:p>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9"/>
        <w:rPr>
          <w:rFonts w:ascii="仿宋" w:hAnsi="仿宋" w:eastAsia="仿宋" w:cs="仿宋"/>
          <w:color w:val="auto"/>
          <w:sz w:val="40"/>
          <w:szCs w:val="40"/>
          <w:highlight w:val="none"/>
        </w:rPr>
      </w:pPr>
      <w:bookmarkStart w:id="67" w:name="_Toc9651"/>
      <w:r>
        <w:rPr>
          <w:rFonts w:hint="eastAsia" w:ascii="仿宋" w:hAnsi="仿宋" w:eastAsia="仿宋" w:cs="仿宋"/>
          <w:color w:val="auto"/>
          <w:w w:val="95"/>
          <w:sz w:val="40"/>
          <w:szCs w:val="40"/>
          <w:highlight w:val="none"/>
        </w:rPr>
        <w:t>一、投标文件封面格</w:t>
      </w:r>
      <w:r>
        <w:rPr>
          <w:rFonts w:hint="eastAsia" w:ascii="仿宋" w:hAnsi="仿宋" w:eastAsia="仿宋" w:cs="仿宋"/>
          <w:color w:val="auto"/>
          <w:spacing w:val="-10"/>
          <w:w w:val="95"/>
          <w:sz w:val="40"/>
          <w:szCs w:val="40"/>
          <w:highlight w:val="none"/>
        </w:rPr>
        <w:t>式</w:t>
      </w:r>
      <w:bookmarkEnd w:id="67"/>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5"/>
        <w:spacing w:before="218"/>
        <w:rPr>
          <w:rFonts w:ascii="仿宋" w:hAnsi="仿宋" w:eastAsia="仿宋" w:cs="仿宋"/>
          <w:color w:val="auto"/>
          <w:sz w:val="52"/>
          <w:szCs w:val="52"/>
          <w:highlight w:val="none"/>
        </w:rPr>
      </w:pPr>
      <w:r>
        <w:rPr>
          <w:rFonts w:hint="eastAsia" w:ascii="仿宋" w:hAnsi="仿宋" w:eastAsia="仿宋" w:cs="仿宋"/>
          <w:color w:val="auto"/>
          <w:spacing w:val="-4"/>
          <w:sz w:val="96"/>
          <w:szCs w:val="96"/>
          <w:highlight w:val="none"/>
        </w:rPr>
        <w:t>投标文件</w:t>
      </w:r>
    </w:p>
    <w:p>
      <w:pPr>
        <w:pStyle w:val="13"/>
        <w:rPr>
          <w:b/>
          <w:color w:val="auto"/>
          <w:sz w:val="32"/>
          <w:highlight w:val="none"/>
        </w:rPr>
      </w:pPr>
    </w:p>
    <w:p>
      <w:pPr>
        <w:pStyle w:val="13"/>
        <w:rPr>
          <w:b/>
          <w:color w:val="auto"/>
          <w:sz w:val="45"/>
          <w:highlight w:val="none"/>
        </w:rPr>
      </w:pPr>
    </w:p>
    <w:p>
      <w:pPr>
        <w:pStyle w:val="10"/>
        <w:spacing w:before="1"/>
        <w:ind w:left="120" w:right="115" w:firstLine="0"/>
        <w:jc w:val="center"/>
        <w:rPr>
          <w:rFonts w:ascii="仿宋" w:hAnsi="仿宋" w:eastAsia="仿宋" w:cs="仿宋"/>
          <w:color w:val="auto"/>
          <w:sz w:val="32"/>
          <w:szCs w:val="32"/>
          <w:highlight w:val="none"/>
        </w:rPr>
      </w:pPr>
      <w:bookmarkStart w:id="68" w:name="_Toc7555"/>
      <w:r>
        <w:rPr>
          <w:rFonts w:hint="eastAsia" w:ascii="仿宋" w:hAnsi="仿宋" w:eastAsia="仿宋" w:cs="仿宋"/>
          <w:color w:val="auto"/>
          <w:w w:val="95"/>
          <w:sz w:val="32"/>
          <w:szCs w:val="32"/>
          <w:highlight w:val="none"/>
        </w:rPr>
        <w:t>（全流程电子文件</w:t>
      </w:r>
      <w:r>
        <w:rPr>
          <w:rFonts w:hint="eastAsia" w:ascii="仿宋" w:hAnsi="仿宋" w:eastAsia="仿宋" w:cs="仿宋"/>
          <w:color w:val="auto"/>
          <w:spacing w:val="-10"/>
          <w:w w:val="95"/>
          <w:sz w:val="32"/>
          <w:szCs w:val="32"/>
          <w:highlight w:val="none"/>
        </w:rPr>
        <w:t>）</w:t>
      </w:r>
      <w:bookmarkEnd w:id="68"/>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rPr>
          <w:b/>
          <w:color w:val="auto"/>
          <w:sz w:val="19"/>
          <w:highlight w:val="none"/>
        </w:rPr>
      </w:pP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投标截止时间前不得解密</w:t>
      </w:r>
    </w:p>
    <w:p>
      <w:pPr>
        <w:spacing w:line="600" w:lineRule="exact"/>
        <w:ind w:firstLine="3160" w:firstLineChars="10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9"/>
        <w:rPr>
          <w:rFonts w:ascii="仿宋" w:hAnsi="仿宋" w:eastAsia="仿宋" w:cs="仿宋"/>
          <w:color w:val="auto"/>
          <w:w w:val="95"/>
          <w:sz w:val="40"/>
          <w:szCs w:val="40"/>
          <w:highlight w:val="none"/>
        </w:rPr>
      </w:pPr>
      <w:bookmarkStart w:id="69" w:name="_Toc20668"/>
      <w:r>
        <w:rPr>
          <w:rFonts w:hint="eastAsia" w:ascii="仿宋" w:hAnsi="仿宋" w:eastAsia="仿宋" w:cs="仿宋"/>
          <w:color w:val="auto"/>
          <w:w w:val="95"/>
          <w:sz w:val="40"/>
          <w:szCs w:val="40"/>
          <w:highlight w:val="none"/>
        </w:rPr>
        <w:t>二、报价文件格式</w:t>
      </w:r>
      <w:bookmarkEnd w:id="69"/>
    </w:p>
    <w:p>
      <w:pPr>
        <w:pStyle w:val="10"/>
        <w:tabs>
          <w:tab w:val="left" w:pos="977"/>
        </w:tabs>
        <w:ind w:left="615"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1.报价文件封面格式：</w:t>
      </w:r>
    </w:p>
    <w:p>
      <w:pPr>
        <w:pStyle w:val="13"/>
        <w:rPr>
          <w:rFonts w:ascii="仿宋" w:hAnsi="仿宋" w:eastAsia="仿宋" w:cs="仿宋"/>
          <w:b/>
          <w:bCs/>
          <w:color w:val="auto"/>
          <w:w w:val="95"/>
          <w:sz w:val="40"/>
          <w:szCs w:val="40"/>
          <w:highlight w:val="none"/>
        </w:rPr>
      </w:pP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spacing w:before="6"/>
        <w:rPr>
          <w:b/>
          <w:color w:val="auto"/>
          <w:sz w:val="18"/>
          <w:highlight w:val="none"/>
        </w:rPr>
      </w:pPr>
    </w:p>
    <w:p>
      <w:pPr>
        <w:pStyle w:val="5"/>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报价文件</w:t>
      </w: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spacing w:before="3"/>
        <w:rPr>
          <w:b/>
          <w:color w:val="auto"/>
          <w:sz w:val="17"/>
          <w:highlight w:val="none"/>
        </w:rPr>
      </w:pP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pPr>
        <w:spacing w:line="600" w:lineRule="exact"/>
        <w:ind w:firstLine="3160" w:firstLineChars="10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日</w:t>
      </w:r>
    </w:p>
    <w:p>
      <w:pPr>
        <w:spacing w:line="600" w:lineRule="exact"/>
        <w:ind w:firstLine="3160" w:firstLineChars="10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717"/>
        </w:tabs>
        <w:spacing w:before="131"/>
        <w:ind w:left="471" w:firstLine="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1.报价文件目</w:t>
      </w:r>
      <w:r>
        <w:rPr>
          <w:rFonts w:hint="eastAsia" w:ascii="仿宋" w:hAnsi="仿宋" w:eastAsia="仿宋" w:cs="仿宋"/>
          <w:color w:val="auto"/>
          <w:spacing w:val="-10"/>
          <w:w w:val="95"/>
          <w:sz w:val="32"/>
          <w:szCs w:val="32"/>
          <w:highlight w:val="none"/>
        </w:rPr>
        <w:t>录</w:t>
      </w:r>
    </w:p>
    <w:p>
      <w:pPr>
        <w:pStyle w:val="13"/>
        <w:spacing w:before="207"/>
        <w:ind w:left="472"/>
        <w:rPr>
          <w:color w:val="auto"/>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977"/>
        </w:tabs>
        <w:ind w:left="0" w:firstLine="0"/>
        <w:rPr>
          <w:rFonts w:ascii="仿宋" w:hAnsi="仿宋" w:eastAsia="仿宋" w:cs="仿宋"/>
          <w:color w:val="auto"/>
          <w:sz w:val="40"/>
          <w:szCs w:val="40"/>
          <w:highlight w:val="none"/>
        </w:rPr>
      </w:pPr>
      <w:r>
        <w:rPr>
          <w:rFonts w:hint="eastAsia" w:ascii="仿宋" w:hAnsi="仿宋" w:eastAsia="仿宋" w:cs="仿宋"/>
          <w:color w:val="auto"/>
          <w:w w:val="95"/>
          <w:sz w:val="40"/>
          <w:szCs w:val="40"/>
          <w:highlight w:val="none"/>
        </w:rPr>
        <w:t>投标函格式</w:t>
      </w:r>
      <w:r>
        <w:rPr>
          <w:rFonts w:hint="eastAsia" w:ascii="仿宋" w:hAnsi="仿宋" w:eastAsia="仿宋" w:cs="仿宋"/>
          <w:color w:val="auto"/>
          <w:spacing w:val="-10"/>
          <w:w w:val="95"/>
          <w:sz w:val="40"/>
          <w:szCs w:val="40"/>
          <w:highlight w:val="none"/>
        </w:rPr>
        <w:t>：</w:t>
      </w:r>
    </w:p>
    <w:p>
      <w:pPr>
        <w:pStyle w:val="5"/>
        <w:spacing w:line="360" w:lineRule="auto"/>
        <w:ind w:left="0" w:right="0"/>
        <w:rPr>
          <w:rFonts w:ascii="仿宋" w:hAnsi="仿宋" w:eastAsia="仿宋" w:cs="仿宋"/>
          <w:color w:val="auto"/>
          <w:highlight w:val="none"/>
        </w:rPr>
      </w:pPr>
      <w:r>
        <w:rPr>
          <w:rFonts w:hint="eastAsia" w:ascii="仿宋" w:hAnsi="仿宋" w:eastAsia="仿宋" w:cs="仿宋"/>
          <w:color w:val="auto"/>
          <w:spacing w:val="-4"/>
          <w:sz w:val="40"/>
          <w:szCs w:val="40"/>
          <w:highlight w:val="none"/>
        </w:rPr>
        <w:t>投 标 函</w:t>
      </w:r>
    </w:p>
    <w:p>
      <w:pPr>
        <w:spacing w:line="600" w:lineRule="exact"/>
        <w:rPr>
          <w:rFonts w:ascii="仿宋" w:hAnsi="仿宋" w:eastAsia="仿宋" w:cs="仿宋"/>
          <w:color w:val="auto"/>
          <w:sz w:val="32"/>
          <w:szCs w:val="32"/>
          <w:highlight w:val="none"/>
          <w:u w:val="single"/>
        </w:rPr>
      </w:pPr>
      <w:r>
        <w:rPr>
          <w:rFonts w:hint="eastAsia" w:ascii="仿宋" w:hAnsi="仿宋" w:eastAsia="仿宋" w:cs="仿宋"/>
          <w:color w:val="auto"/>
          <w:spacing w:val="-1"/>
          <w:sz w:val="32"/>
          <w:szCs w:val="32"/>
          <w:highlight w:val="none"/>
        </w:rPr>
        <w:t>致：</w:t>
      </w:r>
      <w:r>
        <w:rPr>
          <w:rFonts w:hint="eastAsia" w:ascii="仿宋" w:hAnsi="仿宋" w:eastAsia="仿宋" w:cs="仿宋"/>
          <w:color w:val="auto"/>
          <w:spacing w:val="-1"/>
          <w:sz w:val="32"/>
          <w:szCs w:val="32"/>
          <w:highlight w:val="none"/>
          <w:u w:val="single"/>
        </w:rPr>
        <w:t>（采购人名称或采购代理机构名称）</w:t>
      </w:r>
    </w:p>
    <w:p>
      <w:pPr>
        <w:tabs>
          <w:tab w:val="left" w:pos="5392"/>
          <w:tab w:val="left" w:pos="6155"/>
          <w:tab w:val="left" w:pos="9635"/>
        </w:tabs>
        <w:spacing w:line="6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根据贵方</w:t>
      </w:r>
      <w:r>
        <w:rPr>
          <w:rFonts w:hint="eastAsia" w:ascii="仿宋" w:hAnsi="仿宋" w:eastAsia="仿宋" w:cs="仿宋"/>
          <w:color w:val="auto"/>
          <w:spacing w:val="40"/>
          <w:sz w:val="32"/>
          <w:szCs w:val="32"/>
          <w:highlight w:val="none"/>
          <w:u w:val="single"/>
        </w:rPr>
        <w:t xml:space="preserve"> </w:t>
      </w:r>
      <w:r>
        <w:rPr>
          <w:rFonts w:hint="eastAsia" w:ascii="仿宋" w:hAnsi="仿宋" w:eastAsia="仿宋" w:cs="仿宋"/>
          <w:color w:val="auto"/>
          <w:sz w:val="32"/>
          <w:szCs w:val="32"/>
          <w:highlight w:val="none"/>
          <w:u w:val="single"/>
        </w:rPr>
        <w:t xml:space="preserve">项目名称     </w:t>
      </w: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）的招标文件，签字代表</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6"/>
          <w:sz w:val="32"/>
          <w:szCs w:val="32"/>
          <w:highlight w:val="none"/>
        </w:rPr>
        <w:t>（姓</w:t>
      </w:r>
      <w:r>
        <w:rPr>
          <w:rFonts w:hint="eastAsia" w:ascii="仿宋" w:hAnsi="仿宋" w:eastAsia="仿宋" w:cs="仿宋"/>
          <w:color w:val="auto"/>
          <w:spacing w:val="-2"/>
          <w:sz w:val="32"/>
          <w:szCs w:val="32"/>
          <w:highlight w:val="none"/>
        </w:rPr>
        <w:t>名）经正式授权并代表投标人</w:t>
      </w:r>
      <w:r>
        <w:rPr>
          <w:rFonts w:hint="eastAsia" w:ascii="仿宋" w:hAnsi="仿宋" w:eastAsia="仿宋" w:cs="仿宋"/>
          <w:color w:val="auto"/>
          <w:spacing w:val="-2"/>
          <w:sz w:val="32"/>
          <w:szCs w:val="32"/>
          <w:highlight w:val="none"/>
          <w:u w:val="single"/>
        </w:rPr>
        <w:t xml:space="preserve">  （投标人名称）</w:t>
      </w:r>
      <w:r>
        <w:rPr>
          <w:rFonts w:hint="eastAsia" w:ascii="仿宋" w:hAnsi="仿宋" w:eastAsia="仿宋" w:cs="仿宋"/>
          <w:color w:val="auto"/>
          <w:spacing w:val="-2"/>
          <w:sz w:val="32"/>
          <w:szCs w:val="32"/>
          <w:highlight w:val="none"/>
        </w:rPr>
        <w:t>提交投标文件。</w:t>
      </w:r>
    </w:p>
    <w:p>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据此函，我方宣布同意如下：</w:t>
      </w:r>
    </w:p>
    <w:p>
      <w:pPr>
        <w:tabs>
          <w:tab w:val="left" w:pos="1196"/>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2.我方在投标之前已经完全理解并接受招标文件的各项规定和要求，对招标文件的合理性、合法性不再有异议。</w:t>
      </w:r>
    </w:p>
    <w:p>
      <w:pPr>
        <w:tabs>
          <w:tab w:val="left" w:pos="1194"/>
          <w:tab w:val="left" w:pos="5032"/>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3.本投标有效期自投标截止之日</w:t>
      </w:r>
      <w:r>
        <w:rPr>
          <w:rFonts w:hint="eastAsia" w:ascii="仿宋" w:hAnsi="仿宋" w:eastAsia="仿宋" w:cs="仿宋"/>
          <w:color w:val="auto"/>
          <w:spacing w:val="-10"/>
          <w:sz w:val="32"/>
          <w:szCs w:val="32"/>
          <w:highlight w:val="none"/>
        </w:rPr>
        <w:t>起</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w:t>
      </w:r>
      <w:r>
        <w:rPr>
          <w:rFonts w:hint="eastAsia" w:ascii="仿宋" w:hAnsi="仿宋" w:eastAsia="仿宋" w:cs="仿宋"/>
          <w:color w:val="auto"/>
          <w:spacing w:val="-10"/>
          <w:sz w:val="32"/>
          <w:szCs w:val="32"/>
          <w:highlight w:val="none"/>
        </w:rPr>
        <w:t>。</w:t>
      </w:r>
    </w:p>
    <w:p>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4.如中标，本投标文件至本项目合同履行完毕止均保持有效，我方将按“招标文件”及政府采购法律、法规的规定履行合同责任和义务。</w:t>
      </w:r>
    </w:p>
    <w:p>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5.我方同意按照贵方要求提供与投标有关的一切数据或者资料。</w:t>
      </w:r>
    </w:p>
    <w:p>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6.我方向贵方提交的所有投标文件、资料都是准确的和真实的。</w:t>
      </w:r>
    </w:p>
    <w:p>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7.以上事项如有虚假或者隐瞒，我方愿意承担一切后果，并不再寻求任何旨在减轻或者免除法律责任的辩解。</w:t>
      </w:r>
    </w:p>
    <w:p>
      <w:pPr>
        <w:tabs>
          <w:tab w:val="left" w:pos="1194"/>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8.根据《中华人民共和国政府采购法实施条例》第五十条要求对政府采购合同进行公告，</w:t>
      </w:r>
      <w:r>
        <w:rPr>
          <w:rFonts w:hint="eastAsia" w:ascii="仿宋" w:hAnsi="仿宋" w:eastAsia="仿宋" w:cs="仿宋"/>
          <w:color w:val="auto"/>
          <w:sz w:val="32"/>
          <w:szCs w:val="32"/>
          <w:highlight w:val="none"/>
        </w:rPr>
        <w:t>但政府采购合同中涉及国家秘密、商业秘密的内容除外。我方就对本次投标文件进行注明如下：（两项内容中必须选择一项）</w:t>
      </w:r>
    </w:p>
    <w:p>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□我方本次投标文件内容中未涉及商业秘密；</w:t>
      </w:r>
    </w:p>
    <w:p>
      <w:pPr>
        <w:tabs>
          <w:tab w:val="left" w:pos="8752"/>
        </w:tabs>
        <w:spacing w:line="560" w:lineRule="exact"/>
        <w:ind w:firstLine="632" w:firstLineChars="200"/>
        <w:rPr>
          <w:rFonts w:ascii="仿宋" w:hAnsi="仿宋" w:eastAsia="仿宋" w:cs="仿宋"/>
          <w:color w:val="auto"/>
          <w:spacing w:val="-10"/>
          <w:sz w:val="32"/>
          <w:szCs w:val="32"/>
          <w:highlight w:val="none"/>
        </w:rPr>
      </w:pPr>
      <w:r>
        <w:rPr>
          <w:rFonts w:hint="eastAsia" w:ascii="仿宋" w:hAnsi="仿宋" w:eastAsia="仿宋" w:cs="仿宋"/>
          <w:color w:val="auto"/>
          <w:spacing w:val="-2"/>
          <w:sz w:val="32"/>
          <w:szCs w:val="32"/>
          <w:highlight w:val="none"/>
        </w:rPr>
        <w:t>□我方本次投标文件涉及商业秘密的内容有：</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pPr>
        <w:tabs>
          <w:tab w:val="left" w:pos="8752"/>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9.投标人信息：</w:t>
      </w:r>
    </w:p>
    <w:p>
      <w:pPr>
        <w:tabs>
          <w:tab w:val="left" w:pos="581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47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38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邮编</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42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电子邮箱</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59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法定代表人（负责人）姓名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法定代表人（负责人）身份证号码：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授权委托代理人姓名：</w:t>
      </w:r>
      <w:r>
        <w:rPr>
          <w:rFonts w:hint="eastAsia" w:ascii="仿宋" w:hAnsi="仿宋" w:eastAsia="仿宋" w:cs="仿宋"/>
          <w:color w:val="auto"/>
          <w:sz w:val="32"/>
          <w:szCs w:val="32"/>
          <w:highlight w:val="none"/>
          <w:u w:val="single"/>
        </w:rPr>
        <w:tab/>
      </w:r>
    </w:p>
    <w:p>
      <w:pPr>
        <w:tabs>
          <w:tab w:val="left" w:pos="599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pPr>
        <w:pStyle w:val="13"/>
        <w:spacing w:line="600" w:lineRule="exact"/>
        <w:rPr>
          <w:rFonts w:ascii="仿宋" w:hAnsi="仿宋" w:eastAsia="仿宋" w:cs="仿宋"/>
          <w:color w:val="auto"/>
          <w:sz w:val="32"/>
          <w:szCs w:val="32"/>
          <w:highlight w:val="none"/>
        </w:rPr>
      </w:pPr>
    </w:p>
    <w:p>
      <w:pPr>
        <w:tabs>
          <w:tab w:val="left" w:pos="9371"/>
        </w:tabs>
        <w:spacing w:line="600" w:lineRule="exact"/>
        <w:ind w:firstLine="2560" w:firstLineChars="8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5"/>
          <w:sz w:val="32"/>
          <w:szCs w:val="32"/>
          <w:highlight w:val="none"/>
          <w:u w:val="single"/>
        </w:rPr>
        <w:t xml:space="preserve">                     </w:t>
      </w:r>
    </w:p>
    <w:p>
      <w:pPr>
        <w:pStyle w:val="13"/>
        <w:spacing w:line="600" w:lineRule="exact"/>
        <w:rPr>
          <w:rFonts w:ascii="仿宋" w:hAnsi="仿宋" w:eastAsia="仿宋" w:cs="仿宋"/>
          <w:color w:val="auto"/>
          <w:sz w:val="32"/>
          <w:szCs w:val="32"/>
          <w:highlight w:val="none"/>
        </w:rPr>
      </w:pPr>
    </w:p>
    <w:p>
      <w:pPr>
        <w:tabs>
          <w:tab w:val="left" w:pos="6952"/>
          <w:tab w:val="left" w:pos="7672"/>
          <w:tab w:val="left" w:pos="8512"/>
        </w:tabs>
        <w:spacing w:line="600" w:lineRule="exact"/>
        <w:ind w:firstLine="5760" w:firstLineChars="1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日</w:t>
      </w:r>
    </w:p>
    <w:p>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spacing w:before="1"/>
        <w:jc w:val="center"/>
        <w:rPr>
          <w:rFonts w:ascii="仿宋" w:hAnsi="仿宋" w:eastAsia="仿宋" w:cs="仿宋"/>
          <w:b/>
          <w:bCs/>
          <w:color w:val="auto"/>
          <w:w w:val="95"/>
          <w:sz w:val="40"/>
          <w:szCs w:val="40"/>
          <w:highlight w:val="none"/>
        </w:rPr>
      </w:pPr>
    </w:p>
    <w:p>
      <w:pPr>
        <w:spacing w:before="1"/>
        <w:jc w:val="center"/>
        <w:rPr>
          <w:rFonts w:ascii="仿宋" w:hAnsi="仿宋" w:eastAsia="仿宋" w:cs="仿宋"/>
          <w:b/>
          <w:bCs/>
          <w:color w:val="auto"/>
          <w:w w:val="95"/>
          <w:sz w:val="40"/>
          <w:szCs w:val="40"/>
          <w:highlight w:val="none"/>
        </w:rPr>
      </w:pPr>
    </w:p>
    <w:p>
      <w:pPr>
        <w:spacing w:before="1"/>
        <w:jc w:val="center"/>
        <w:rPr>
          <w:rFonts w:ascii="仿宋" w:hAnsi="仿宋" w:eastAsia="仿宋" w:cs="仿宋"/>
          <w:b/>
          <w:bCs/>
          <w:color w:val="auto"/>
          <w:w w:val="95"/>
          <w:sz w:val="40"/>
          <w:szCs w:val="40"/>
          <w:highlight w:val="none"/>
        </w:rPr>
      </w:pPr>
    </w:p>
    <w:p>
      <w:pPr>
        <w:spacing w:before="1"/>
        <w:jc w:val="center"/>
        <w:rPr>
          <w:rFonts w:ascii="仿宋" w:hAnsi="仿宋" w:eastAsia="仿宋" w:cs="仿宋"/>
          <w:b/>
          <w:bCs/>
          <w:color w:val="auto"/>
          <w:w w:val="95"/>
          <w:sz w:val="40"/>
          <w:szCs w:val="40"/>
          <w:highlight w:val="none"/>
        </w:rPr>
      </w:pPr>
    </w:p>
    <w:p>
      <w:pPr>
        <w:spacing w:before="1"/>
        <w:jc w:val="center"/>
        <w:rPr>
          <w:rFonts w:ascii="仿宋" w:hAnsi="仿宋" w:eastAsia="仿宋" w:cs="仿宋"/>
          <w:b/>
          <w:bCs/>
          <w:color w:val="auto"/>
          <w:w w:val="95"/>
          <w:sz w:val="40"/>
          <w:szCs w:val="40"/>
          <w:highlight w:val="none"/>
        </w:rPr>
      </w:pPr>
    </w:p>
    <w:p>
      <w:pPr>
        <w:spacing w:before="1"/>
        <w:jc w:val="center"/>
        <w:rPr>
          <w:rFonts w:ascii="仿宋" w:hAnsi="仿宋" w:eastAsia="仿宋" w:cs="仿宋"/>
          <w:b/>
          <w:bCs/>
          <w:color w:val="auto"/>
          <w:w w:val="95"/>
          <w:sz w:val="40"/>
          <w:szCs w:val="40"/>
          <w:highlight w:val="none"/>
        </w:rPr>
      </w:pPr>
    </w:p>
    <w:p>
      <w:pPr>
        <w:spacing w:before="1"/>
        <w:jc w:val="center"/>
        <w:rPr>
          <w:rFonts w:ascii="仿宋" w:hAnsi="仿宋" w:eastAsia="仿宋" w:cs="仿宋"/>
          <w:b/>
          <w:bCs/>
          <w:color w:val="auto"/>
          <w:w w:val="95"/>
          <w:sz w:val="40"/>
          <w:szCs w:val="40"/>
          <w:highlight w:val="none"/>
        </w:rPr>
      </w:pPr>
    </w:p>
    <w:p>
      <w:pPr>
        <w:spacing w:before="1"/>
        <w:jc w:val="center"/>
        <w:rPr>
          <w:rFonts w:ascii="仿宋" w:hAnsi="仿宋" w:eastAsia="仿宋" w:cs="仿宋"/>
          <w:b/>
          <w:bCs/>
          <w:color w:val="auto"/>
          <w:w w:val="95"/>
          <w:sz w:val="40"/>
          <w:szCs w:val="40"/>
          <w:highlight w:val="none"/>
        </w:rPr>
      </w:pPr>
    </w:p>
    <w:p>
      <w:pPr>
        <w:spacing w:before="1"/>
        <w:jc w:val="center"/>
        <w:rPr>
          <w:rFonts w:ascii="仿宋" w:hAnsi="仿宋" w:eastAsia="仿宋" w:cs="仿宋"/>
          <w:b/>
          <w:bCs/>
          <w:color w:val="auto"/>
          <w:w w:val="95"/>
          <w:sz w:val="40"/>
          <w:szCs w:val="40"/>
          <w:highlight w:val="none"/>
        </w:rPr>
      </w:pPr>
    </w:p>
    <w:p>
      <w:pPr>
        <w:spacing w:before="1"/>
        <w:jc w:val="both"/>
        <w:rPr>
          <w:rFonts w:ascii="仿宋" w:hAnsi="仿宋" w:eastAsia="仿宋" w:cs="仿宋"/>
          <w:b/>
          <w:bCs/>
          <w:color w:val="auto"/>
          <w:w w:val="95"/>
          <w:sz w:val="40"/>
          <w:szCs w:val="40"/>
          <w:highlight w:val="none"/>
        </w:rPr>
      </w:pPr>
    </w:p>
    <w:p>
      <w:pPr>
        <w:spacing w:before="1"/>
        <w:jc w:val="both"/>
        <w:rPr>
          <w:rFonts w:ascii="仿宋" w:hAnsi="仿宋" w:eastAsia="仿宋" w:cs="仿宋"/>
          <w:b/>
          <w:bCs/>
          <w:color w:val="auto"/>
          <w:w w:val="95"/>
          <w:sz w:val="40"/>
          <w:szCs w:val="40"/>
          <w:highlight w:val="none"/>
        </w:rPr>
      </w:pPr>
    </w:p>
    <w:p>
      <w:pPr>
        <w:spacing w:before="1"/>
        <w:jc w:val="both"/>
        <w:rPr>
          <w:b/>
          <w:bCs/>
          <w:color w:val="auto"/>
          <w:sz w:val="33"/>
          <w:highlight w:val="none"/>
        </w:rPr>
      </w:pPr>
      <w:r>
        <w:rPr>
          <w:rFonts w:hint="eastAsia" w:ascii="仿宋" w:hAnsi="仿宋" w:eastAsia="仿宋" w:cs="仿宋"/>
          <w:b/>
          <w:bCs/>
          <w:color w:val="auto"/>
          <w:w w:val="95"/>
          <w:sz w:val="40"/>
          <w:szCs w:val="40"/>
          <w:highlight w:val="none"/>
        </w:rPr>
        <w:t>开标一览表（格式）</w:t>
      </w:r>
    </w:p>
    <w:p>
      <w:pPr>
        <w:pStyle w:val="13"/>
        <w:spacing w:line="560" w:lineRule="exact"/>
        <w:jc w:val="center"/>
        <w:rPr>
          <w:rFonts w:hint="eastAsia" w:eastAsia="仿宋"/>
          <w:b/>
          <w:bCs/>
          <w:color w:val="auto"/>
          <w:sz w:val="18"/>
          <w:highlight w:val="none"/>
          <w:lang w:eastAsia="zh-CN"/>
        </w:rPr>
      </w:pPr>
      <w:r>
        <w:rPr>
          <w:rFonts w:hint="eastAsia" w:ascii="仿宋" w:hAnsi="仿宋" w:eastAsia="仿宋" w:cs="仿宋"/>
          <w:b/>
          <w:bCs/>
          <w:color w:val="auto"/>
          <w:spacing w:val="-4"/>
          <w:sz w:val="40"/>
          <w:szCs w:val="40"/>
          <w:highlight w:val="none"/>
        </w:rPr>
        <w:t>开标一览表</w:t>
      </w:r>
      <w:r>
        <w:rPr>
          <w:rFonts w:hint="eastAsia" w:ascii="仿宋" w:hAnsi="仿宋" w:eastAsia="仿宋" w:cs="仿宋"/>
          <w:b/>
          <w:bCs/>
          <w:color w:val="auto"/>
          <w:spacing w:val="-4"/>
          <w:sz w:val="40"/>
          <w:szCs w:val="40"/>
          <w:highlight w:val="none"/>
          <w:lang w:eastAsia="zh-CN"/>
        </w:rPr>
        <w:t>（适用</w:t>
      </w:r>
      <w:r>
        <w:rPr>
          <w:rFonts w:hint="eastAsia" w:ascii="仿宋" w:hAnsi="仿宋" w:eastAsia="仿宋" w:cs="仿宋"/>
          <w:b/>
          <w:bCs/>
          <w:color w:val="auto"/>
          <w:spacing w:val="-4"/>
          <w:sz w:val="40"/>
          <w:szCs w:val="40"/>
          <w:highlight w:val="none"/>
          <w:lang w:val="en-US" w:eastAsia="zh-CN"/>
        </w:rPr>
        <w:t>1-6标段及9标段</w:t>
      </w:r>
      <w:r>
        <w:rPr>
          <w:rFonts w:hint="eastAsia" w:ascii="仿宋" w:hAnsi="仿宋" w:eastAsia="仿宋" w:cs="仿宋"/>
          <w:b/>
          <w:bCs/>
          <w:color w:val="auto"/>
          <w:spacing w:val="-4"/>
          <w:sz w:val="40"/>
          <w:szCs w:val="40"/>
          <w:highlight w:val="none"/>
          <w:lang w:eastAsia="zh-CN"/>
        </w:rPr>
        <w:t>）</w:t>
      </w:r>
    </w:p>
    <w:p>
      <w:pPr>
        <w:tabs>
          <w:tab w:val="left" w:pos="3051"/>
          <w:tab w:val="left" w:pos="4072"/>
          <w:tab w:val="left" w:pos="6771"/>
        </w:tabs>
        <w:spacing w:line="560" w:lineRule="exact"/>
        <w:rPr>
          <w:rFonts w:ascii="仿宋" w:hAnsi="仿宋" w:eastAsia="仿宋" w:cs="仿宋"/>
          <w:color w:val="auto"/>
          <w:sz w:val="32"/>
          <w:szCs w:val="32"/>
          <w:highlight w:val="none"/>
        </w:rPr>
      </w:pPr>
    </w:p>
    <w:p>
      <w:pPr>
        <w:tabs>
          <w:tab w:val="left" w:pos="3051"/>
          <w:tab w:val="left" w:pos="4072"/>
          <w:tab w:val="left" w:pos="6771"/>
        </w:tabs>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项目编号</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none"/>
          <w:lang w:val="en-US" w:eastAsia="zh-CN"/>
        </w:rPr>
        <w:t>分标：_________</w:t>
      </w:r>
    </w:p>
    <w:tbl>
      <w:tblPr>
        <w:tblStyle w:val="25"/>
        <w:tblW w:w="977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825"/>
        <w:gridCol w:w="1087"/>
        <w:gridCol w:w="1872"/>
        <w:gridCol w:w="2016"/>
        <w:gridCol w:w="1065"/>
        <w:gridCol w:w="1515"/>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660"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序号</w:t>
            </w:r>
          </w:p>
        </w:tc>
        <w:tc>
          <w:tcPr>
            <w:tcW w:w="825"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设备名称</w:t>
            </w:r>
          </w:p>
        </w:tc>
        <w:tc>
          <w:tcPr>
            <w:tcW w:w="1087" w:type="dxa"/>
          </w:tcPr>
          <w:p>
            <w:pPr>
              <w:pStyle w:val="46"/>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pacing w:val="-6"/>
                <w:sz w:val="32"/>
                <w:szCs w:val="32"/>
                <w:highlight w:val="none"/>
                <w:lang w:eastAsia="zh-CN"/>
              </w:rPr>
              <w:t>数量</w:t>
            </w:r>
            <w:r>
              <w:rPr>
                <w:rFonts w:hint="eastAsia" w:ascii="仿宋" w:hAnsi="仿宋" w:eastAsia="仿宋" w:cs="仿宋"/>
                <w:color w:val="auto"/>
                <w:spacing w:val="-6"/>
                <w:sz w:val="32"/>
                <w:szCs w:val="32"/>
                <w:highlight w:val="none"/>
                <w:lang w:val="en-US" w:eastAsia="zh-CN"/>
              </w:rPr>
              <w:t>/</w:t>
            </w:r>
            <w:r>
              <w:rPr>
                <w:rFonts w:hint="eastAsia" w:ascii="仿宋" w:hAnsi="仿宋" w:eastAsia="仿宋" w:cs="仿宋"/>
                <w:color w:val="auto"/>
                <w:spacing w:val="-6"/>
                <w:sz w:val="32"/>
                <w:szCs w:val="32"/>
                <w:highlight w:val="none"/>
              </w:rPr>
              <w:t>单</w:t>
            </w:r>
            <w:r>
              <w:rPr>
                <w:rFonts w:hint="eastAsia" w:ascii="仿宋" w:hAnsi="仿宋" w:eastAsia="仿宋" w:cs="仿宋"/>
                <w:color w:val="auto"/>
                <w:spacing w:val="-10"/>
                <w:sz w:val="32"/>
                <w:szCs w:val="32"/>
                <w:highlight w:val="none"/>
              </w:rPr>
              <w:t>位</w:t>
            </w:r>
            <w:r>
              <w:rPr>
                <w:rFonts w:hint="eastAsia" w:ascii="仿宋" w:hAnsi="仿宋" w:eastAsia="仿宋" w:cs="仿宋"/>
                <w:color w:val="auto"/>
                <w:spacing w:val="-10"/>
                <w:sz w:val="32"/>
                <w:szCs w:val="32"/>
                <w:highlight w:val="none"/>
                <w:lang w:eastAsia="zh-CN"/>
              </w:rPr>
              <w:t>①</w:t>
            </w:r>
          </w:p>
        </w:tc>
        <w:tc>
          <w:tcPr>
            <w:tcW w:w="1872"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品牌、规格型号、生产厂家</w:t>
            </w:r>
          </w:p>
        </w:tc>
        <w:tc>
          <w:tcPr>
            <w:tcW w:w="2016"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招标需求</w:t>
            </w:r>
          </w:p>
        </w:tc>
        <w:tc>
          <w:tcPr>
            <w:tcW w:w="1065" w:type="dxa"/>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单价②</w:t>
            </w:r>
            <w:r>
              <w:rPr>
                <w:rFonts w:hint="eastAsia" w:ascii="仿宋" w:hAnsi="仿宋" w:eastAsia="仿宋" w:cs="仿宋"/>
                <w:color w:val="auto"/>
                <w:sz w:val="32"/>
                <w:szCs w:val="32"/>
                <w:highlight w:val="none"/>
                <w:lang w:val="en-US" w:eastAsia="zh-CN"/>
              </w:rPr>
              <w:t>（元）</w:t>
            </w:r>
          </w:p>
        </w:tc>
        <w:tc>
          <w:tcPr>
            <w:tcW w:w="1515" w:type="dxa"/>
            <w:vAlign w:val="top"/>
          </w:tcPr>
          <w:p>
            <w:pPr>
              <w:pStyle w:val="46"/>
              <w:spacing w:line="56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总价</w:t>
            </w:r>
            <w:r>
              <w:rPr>
                <w:rFonts w:hint="eastAsia" w:ascii="仿宋" w:hAnsi="仿宋" w:eastAsia="仿宋" w:cs="仿宋"/>
                <w:color w:val="auto"/>
                <w:sz w:val="32"/>
                <w:szCs w:val="32"/>
                <w:highlight w:val="none"/>
                <w:lang w:val="en-US" w:eastAsia="zh-CN"/>
              </w:rPr>
              <w:t>=①*②（元）</w:t>
            </w:r>
          </w:p>
        </w:tc>
        <w:tc>
          <w:tcPr>
            <w:tcW w:w="735" w:type="dxa"/>
            <w:vAlign w:val="top"/>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825"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pPr>
              <w:pStyle w:val="46"/>
              <w:spacing w:line="560" w:lineRule="exact"/>
              <w:ind w:firstLine="640" w:firstLineChars="200"/>
              <w:rPr>
                <w:rFonts w:ascii="仿宋" w:hAnsi="仿宋" w:eastAsia="仿宋" w:cs="仿宋"/>
                <w:color w:val="auto"/>
                <w:sz w:val="32"/>
                <w:szCs w:val="32"/>
                <w:highlight w:val="none"/>
              </w:rPr>
            </w:pPr>
          </w:p>
        </w:tc>
        <w:tc>
          <w:tcPr>
            <w:tcW w:w="1872" w:type="dxa"/>
          </w:tcPr>
          <w:p>
            <w:pPr>
              <w:pStyle w:val="46"/>
              <w:spacing w:line="560" w:lineRule="exact"/>
              <w:ind w:firstLine="640" w:firstLineChars="200"/>
              <w:rPr>
                <w:rFonts w:ascii="仿宋" w:hAnsi="仿宋" w:eastAsia="仿宋" w:cs="仿宋"/>
                <w:color w:val="auto"/>
                <w:sz w:val="32"/>
                <w:szCs w:val="32"/>
                <w:highlight w:val="none"/>
              </w:rPr>
            </w:pPr>
          </w:p>
        </w:tc>
        <w:tc>
          <w:tcPr>
            <w:tcW w:w="2016" w:type="dxa"/>
          </w:tcPr>
          <w:p>
            <w:pPr>
              <w:pStyle w:val="46"/>
              <w:spacing w:line="560" w:lineRule="exact"/>
              <w:ind w:firstLine="640" w:firstLineChars="200"/>
              <w:rPr>
                <w:rFonts w:ascii="仿宋" w:hAnsi="仿宋" w:eastAsia="仿宋" w:cs="仿宋"/>
                <w:color w:val="auto"/>
                <w:sz w:val="32"/>
                <w:szCs w:val="32"/>
                <w:highlight w:val="none"/>
              </w:rPr>
            </w:pPr>
          </w:p>
        </w:tc>
        <w:tc>
          <w:tcPr>
            <w:tcW w:w="1065" w:type="dxa"/>
          </w:tcPr>
          <w:p>
            <w:pPr>
              <w:pStyle w:val="46"/>
              <w:spacing w:line="560" w:lineRule="exact"/>
              <w:ind w:firstLine="640" w:firstLineChars="200"/>
              <w:rPr>
                <w:rFonts w:ascii="仿宋" w:hAnsi="仿宋" w:eastAsia="仿宋" w:cs="仿宋"/>
                <w:color w:val="auto"/>
                <w:sz w:val="32"/>
                <w:szCs w:val="32"/>
                <w:highlight w:val="none"/>
              </w:rPr>
            </w:pPr>
          </w:p>
        </w:tc>
        <w:tc>
          <w:tcPr>
            <w:tcW w:w="1515" w:type="dxa"/>
          </w:tcPr>
          <w:p>
            <w:pPr>
              <w:pStyle w:val="46"/>
              <w:spacing w:line="560" w:lineRule="exact"/>
              <w:ind w:firstLine="640" w:firstLineChars="200"/>
              <w:rPr>
                <w:rFonts w:ascii="仿宋" w:hAnsi="仿宋" w:eastAsia="仿宋" w:cs="仿宋"/>
                <w:color w:val="auto"/>
                <w:sz w:val="32"/>
                <w:szCs w:val="32"/>
                <w:highlight w:val="none"/>
              </w:rPr>
            </w:pPr>
          </w:p>
        </w:tc>
        <w:tc>
          <w:tcPr>
            <w:tcW w:w="735" w:type="dxa"/>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p>
        </w:tc>
        <w:tc>
          <w:tcPr>
            <w:tcW w:w="825"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pPr>
              <w:pStyle w:val="46"/>
              <w:spacing w:line="560" w:lineRule="exact"/>
              <w:ind w:firstLine="640" w:firstLineChars="200"/>
              <w:rPr>
                <w:rFonts w:ascii="仿宋" w:hAnsi="仿宋" w:eastAsia="仿宋" w:cs="仿宋"/>
                <w:color w:val="auto"/>
                <w:sz w:val="32"/>
                <w:szCs w:val="32"/>
                <w:highlight w:val="none"/>
              </w:rPr>
            </w:pPr>
          </w:p>
        </w:tc>
        <w:tc>
          <w:tcPr>
            <w:tcW w:w="1872" w:type="dxa"/>
          </w:tcPr>
          <w:p>
            <w:pPr>
              <w:pStyle w:val="46"/>
              <w:spacing w:line="560" w:lineRule="exact"/>
              <w:ind w:firstLine="640" w:firstLineChars="200"/>
              <w:rPr>
                <w:rFonts w:ascii="仿宋" w:hAnsi="仿宋" w:eastAsia="仿宋" w:cs="仿宋"/>
                <w:color w:val="auto"/>
                <w:sz w:val="32"/>
                <w:szCs w:val="32"/>
                <w:highlight w:val="none"/>
              </w:rPr>
            </w:pPr>
          </w:p>
        </w:tc>
        <w:tc>
          <w:tcPr>
            <w:tcW w:w="2016" w:type="dxa"/>
          </w:tcPr>
          <w:p>
            <w:pPr>
              <w:pStyle w:val="46"/>
              <w:spacing w:line="560" w:lineRule="exact"/>
              <w:ind w:firstLine="640" w:firstLineChars="200"/>
              <w:rPr>
                <w:rFonts w:ascii="仿宋" w:hAnsi="仿宋" w:eastAsia="仿宋" w:cs="仿宋"/>
                <w:color w:val="auto"/>
                <w:sz w:val="32"/>
                <w:szCs w:val="32"/>
                <w:highlight w:val="none"/>
              </w:rPr>
            </w:pPr>
          </w:p>
        </w:tc>
        <w:tc>
          <w:tcPr>
            <w:tcW w:w="1065" w:type="dxa"/>
          </w:tcPr>
          <w:p>
            <w:pPr>
              <w:pStyle w:val="46"/>
              <w:spacing w:line="560" w:lineRule="exact"/>
              <w:ind w:firstLine="640" w:firstLineChars="200"/>
              <w:rPr>
                <w:rFonts w:ascii="仿宋" w:hAnsi="仿宋" w:eastAsia="仿宋" w:cs="仿宋"/>
                <w:color w:val="auto"/>
                <w:sz w:val="32"/>
                <w:szCs w:val="32"/>
                <w:highlight w:val="none"/>
              </w:rPr>
            </w:pPr>
          </w:p>
        </w:tc>
        <w:tc>
          <w:tcPr>
            <w:tcW w:w="1515" w:type="dxa"/>
          </w:tcPr>
          <w:p>
            <w:pPr>
              <w:pStyle w:val="46"/>
              <w:spacing w:line="560" w:lineRule="exact"/>
              <w:ind w:firstLine="640" w:firstLineChars="200"/>
              <w:rPr>
                <w:rFonts w:ascii="仿宋" w:hAnsi="仿宋" w:eastAsia="仿宋" w:cs="仿宋"/>
                <w:color w:val="auto"/>
                <w:sz w:val="32"/>
                <w:szCs w:val="32"/>
                <w:highlight w:val="none"/>
              </w:rPr>
            </w:pPr>
          </w:p>
        </w:tc>
        <w:tc>
          <w:tcPr>
            <w:tcW w:w="735" w:type="dxa"/>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p>
        </w:tc>
        <w:tc>
          <w:tcPr>
            <w:tcW w:w="825"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pPr>
              <w:pStyle w:val="46"/>
              <w:spacing w:line="560" w:lineRule="exact"/>
              <w:ind w:firstLine="640" w:firstLineChars="200"/>
              <w:rPr>
                <w:rFonts w:ascii="仿宋" w:hAnsi="仿宋" w:eastAsia="仿宋" w:cs="仿宋"/>
                <w:color w:val="auto"/>
                <w:sz w:val="32"/>
                <w:szCs w:val="32"/>
                <w:highlight w:val="none"/>
              </w:rPr>
            </w:pPr>
          </w:p>
        </w:tc>
        <w:tc>
          <w:tcPr>
            <w:tcW w:w="1872" w:type="dxa"/>
          </w:tcPr>
          <w:p>
            <w:pPr>
              <w:pStyle w:val="46"/>
              <w:spacing w:line="560" w:lineRule="exact"/>
              <w:ind w:firstLine="640" w:firstLineChars="200"/>
              <w:rPr>
                <w:rFonts w:ascii="仿宋" w:hAnsi="仿宋" w:eastAsia="仿宋" w:cs="仿宋"/>
                <w:color w:val="auto"/>
                <w:sz w:val="32"/>
                <w:szCs w:val="32"/>
                <w:highlight w:val="none"/>
              </w:rPr>
            </w:pPr>
          </w:p>
        </w:tc>
        <w:tc>
          <w:tcPr>
            <w:tcW w:w="2016" w:type="dxa"/>
          </w:tcPr>
          <w:p>
            <w:pPr>
              <w:pStyle w:val="46"/>
              <w:spacing w:line="560" w:lineRule="exact"/>
              <w:ind w:firstLine="640" w:firstLineChars="200"/>
              <w:rPr>
                <w:rFonts w:ascii="仿宋" w:hAnsi="仿宋" w:eastAsia="仿宋" w:cs="仿宋"/>
                <w:color w:val="auto"/>
                <w:sz w:val="32"/>
                <w:szCs w:val="32"/>
                <w:highlight w:val="none"/>
              </w:rPr>
            </w:pPr>
          </w:p>
        </w:tc>
        <w:tc>
          <w:tcPr>
            <w:tcW w:w="1065" w:type="dxa"/>
          </w:tcPr>
          <w:p>
            <w:pPr>
              <w:pStyle w:val="46"/>
              <w:spacing w:line="560" w:lineRule="exact"/>
              <w:ind w:firstLine="640" w:firstLineChars="200"/>
              <w:rPr>
                <w:rFonts w:ascii="仿宋" w:hAnsi="仿宋" w:eastAsia="仿宋" w:cs="仿宋"/>
                <w:color w:val="auto"/>
                <w:sz w:val="32"/>
                <w:szCs w:val="32"/>
                <w:highlight w:val="none"/>
              </w:rPr>
            </w:pPr>
          </w:p>
        </w:tc>
        <w:tc>
          <w:tcPr>
            <w:tcW w:w="1515" w:type="dxa"/>
          </w:tcPr>
          <w:p>
            <w:pPr>
              <w:pStyle w:val="46"/>
              <w:spacing w:line="560" w:lineRule="exact"/>
              <w:ind w:firstLine="640" w:firstLineChars="200"/>
              <w:rPr>
                <w:rFonts w:ascii="仿宋" w:hAnsi="仿宋" w:eastAsia="仿宋" w:cs="仿宋"/>
                <w:color w:val="auto"/>
                <w:sz w:val="32"/>
                <w:szCs w:val="32"/>
                <w:highlight w:val="none"/>
              </w:rPr>
            </w:pPr>
          </w:p>
        </w:tc>
        <w:tc>
          <w:tcPr>
            <w:tcW w:w="735" w:type="dxa"/>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p>
        </w:tc>
        <w:tc>
          <w:tcPr>
            <w:tcW w:w="825"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pPr>
              <w:pStyle w:val="46"/>
              <w:spacing w:line="560" w:lineRule="exact"/>
              <w:ind w:firstLine="640" w:firstLineChars="200"/>
              <w:rPr>
                <w:rFonts w:ascii="仿宋" w:hAnsi="仿宋" w:eastAsia="仿宋" w:cs="仿宋"/>
                <w:color w:val="auto"/>
                <w:sz w:val="32"/>
                <w:szCs w:val="32"/>
                <w:highlight w:val="none"/>
              </w:rPr>
            </w:pPr>
          </w:p>
        </w:tc>
        <w:tc>
          <w:tcPr>
            <w:tcW w:w="1872" w:type="dxa"/>
          </w:tcPr>
          <w:p>
            <w:pPr>
              <w:pStyle w:val="46"/>
              <w:spacing w:line="560" w:lineRule="exact"/>
              <w:ind w:firstLine="640" w:firstLineChars="200"/>
              <w:rPr>
                <w:rFonts w:ascii="仿宋" w:hAnsi="仿宋" w:eastAsia="仿宋" w:cs="仿宋"/>
                <w:color w:val="auto"/>
                <w:sz w:val="32"/>
                <w:szCs w:val="32"/>
                <w:highlight w:val="none"/>
              </w:rPr>
            </w:pPr>
          </w:p>
        </w:tc>
        <w:tc>
          <w:tcPr>
            <w:tcW w:w="2016" w:type="dxa"/>
          </w:tcPr>
          <w:p>
            <w:pPr>
              <w:pStyle w:val="46"/>
              <w:spacing w:line="560" w:lineRule="exact"/>
              <w:ind w:firstLine="640" w:firstLineChars="200"/>
              <w:rPr>
                <w:rFonts w:ascii="仿宋" w:hAnsi="仿宋" w:eastAsia="仿宋" w:cs="仿宋"/>
                <w:color w:val="auto"/>
                <w:sz w:val="32"/>
                <w:szCs w:val="32"/>
                <w:highlight w:val="none"/>
              </w:rPr>
            </w:pPr>
          </w:p>
        </w:tc>
        <w:tc>
          <w:tcPr>
            <w:tcW w:w="1065" w:type="dxa"/>
          </w:tcPr>
          <w:p>
            <w:pPr>
              <w:pStyle w:val="46"/>
              <w:spacing w:line="560" w:lineRule="exact"/>
              <w:ind w:firstLine="640" w:firstLineChars="200"/>
              <w:rPr>
                <w:rFonts w:ascii="仿宋" w:hAnsi="仿宋" w:eastAsia="仿宋" w:cs="仿宋"/>
                <w:color w:val="auto"/>
                <w:sz w:val="32"/>
                <w:szCs w:val="32"/>
                <w:highlight w:val="none"/>
              </w:rPr>
            </w:pPr>
          </w:p>
        </w:tc>
        <w:tc>
          <w:tcPr>
            <w:tcW w:w="1515" w:type="dxa"/>
          </w:tcPr>
          <w:p>
            <w:pPr>
              <w:pStyle w:val="46"/>
              <w:spacing w:line="560" w:lineRule="exact"/>
              <w:ind w:firstLine="640" w:firstLineChars="200"/>
              <w:rPr>
                <w:rFonts w:ascii="仿宋" w:hAnsi="仿宋" w:eastAsia="仿宋" w:cs="仿宋"/>
                <w:color w:val="auto"/>
                <w:sz w:val="32"/>
                <w:szCs w:val="32"/>
                <w:highlight w:val="none"/>
              </w:rPr>
            </w:pPr>
          </w:p>
        </w:tc>
        <w:tc>
          <w:tcPr>
            <w:tcW w:w="735" w:type="dxa"/>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N</w:t>
            </w:r>
          </w:p>
        </w:tc>
        <w:tc>
          <w:tcPr>
            <w:tcW w:w="825"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pPr>
              <w:pStyle w:val="46"/>
              <w:spacing w:line="560" w:lineRule="exact"/>
              <w:ind w:firstLine="640" w:firstLineChars="200"/>
              <w:rPr>
                <w:rFonts w:ascii="仿宋" w:hAnsi="仿宋" w:eastAsia="仿宋" w:cs="仿宋"/>
                <w:color w:val="auto"/>
                <w:sz w:val="32"/>
                <w:szCs w:val="32"/>
                <w:highlight w:val="none"/>
              </w:rPr>
            </w:pPr>
          </w:p>
        </w:tc>
        <w:tc>
          <w:tcPr>
            <w:tcW w:w="1872" w:type="dxa"/>
          </w:tcPr>
          <w:p>
            <w:pPr>
              <w:pStyle w:val="46"/>
              <w:spacing w:line="560" w:lineRule="exact"/>
              <w:ind w:firstLine="640" w:firstLineChars="200"/>
              <w:rPr>
                <w:rFonts w:ascii="仿宋" w:hAnsi="仿宋" w:eastAsia="仿宋" w:cs="仿宋"/>
                <w:color w:val="auto"/>
                <w:sz w:val="32"/>
                <w:szCs w:val="32"/>
                <w:highlight w:val="none"/>
              </w:rPr>
            </w:pPr>
          </w:p>
        </w:tc>
        <w:tc>
          <w:tcPr>
            <w:tcW w:w="2016" w:type="dxa"/>
          </w:tcPr>
          <w:p>
            <w:pPr>
              <w:pStyle w:val="46"/>
              <w:spacing w:line="560" w:lineRule="exact"/>
              <w:ind w:firstLine="640" w:firstLineChars="200"/>
              <w:rPr>
                <w:rFonts w:ascii="仿宋" w:hAnsi="仿宋" w:eastAsia="仿宋" w:cs="仿宋"/>
                <w:color w:val="auto"/>
                <w:sz w:val="32"/>
                <w:szCs w:val="32"/>
                <w:highlight w:val="none"/>
              </w:rPr>
            </w:pPr>
          </w:p>
        </w:tc>
        <w:tc>
          <w:tcPr>
            <w:tcW w:w="1065" w:type="dxa"/>
          </w:tcPr>
          <w:p>
            <w:pPr>
              <w:pStyle w:val="46"/>
              <w:spacing w:line="560" w:lineRule="exact"/>
              <w:ind w:firstLine="640" w:firstLineChars="200"/>
              <w:rPr>
                <w:rFonts w:ascii="仿宋" w:hAnsi="仿宋" w:eastAsia="仿宋" w:cs="仿宋"/>
                <w:color w:val="auto"/>
                <w:sz w:val="32"/>
                <w:szCs w:val="32"/>
                <w:highlight w:val="none"/>
              </w:rPr>
            </w:pPr>
          </w:p>
        </w:tc>
        <w:tc>
          <w:tcPr>
            <w:tcW w:w="1515" w:type="dxa"/>
          </w:tcPr>
          <w:p>
            <w:pPr>
              <w:pStyle w:val="46"/>
              <w:spacing w:line="560" w:lineRule="exact"/>
              <w:ind w:firstLine="640" w:firstLineChars="200"/>
              <w:rPr>
                <w:rFonts w:ascii="仿宋" w:hAnsi="仿宋" w:eastAsia="仿宋" w:cs="仿宋"/>
                <w:color w:val="auto"/>
                <w:sz w:val="32"/>
                <w:szCs w:val="32"/>
                <w:highlight w:val="none"/>
              </w:rPr>
            </w:pPr>
          </w:p>
        </w:tc>
        <w:tc>
          <w:tcPr>
            <w:tcW w:w="735" w:type="dxa"/>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85" w:type="dxa"/>
            <w:gridSpan w:val="2"/>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投标总价</w:t>
            </w:r>
          </w:p>
        </w:tc>
        <w:tc>
          <w:tcPr>
            <w:tcW w:w="8290" w:type="dxa"/>
            <w:gridSpan w:val="6"/>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485" w:type="dxa"/>
            <w:gridSpan w:val="2"/>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合同履行期限</w:t>
            </w:r>
          </w:p>
        </w:tc>
        <w:tc>
          <w:tcPr>
            <w:tcW w:w="8290" w:type="dxa"/>
            <w:gridSpan w:val="6"/>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85" w:type="dxa"/>
            <w:gridSpan w:val="2"/>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供货地点</w:t>
            </w:r>
          </w:p>
        </w:tc>
        <w:tc>
          <w:tcPr>
            <w:tcW w:w="8290" w:type="dxa"/>
            <w:gridSpan w:val="6"/>
          </w:tcPr>
          <w:p>
            <w:pPr>
              <w:pStyle w:val="46"/>
              <w:spacing w:line="560" w:lineRule="exact"/>
              <w:ind w:firstLine="640" w:firstLineChars="200"/>
              <w:rPr>
                <w:rFonts w:ascii="仿宋" w:hAnsi="仿宋" w:eastAsia="仿宋" w:cs="仿宋"/>
                <w:color w:val="auto"/>
                <w:sz w:val="32"/>
                <w:szCs w:val="32"/>
                <w:highlight w:val="none"/>
              </w:rPr>
            </w:pPr>
          </w:p>
        </w:tc>
      </w:tr>
    </w:tbl>
    <w:p>
      <w:pPr>
        <w:spacing w:line="560" w:lineRule="exact"/>
        <w:ind w:firstLine="620" w:firstLineChars="200"/>
        <w:rPr>
          <w:rFonts w:ascii="仿宋" w:hAnsi="仿宋" w:eastAsia="仿宋" w:cs="仿宋"/>
          <w:color w:val="auto"/>
          <w:sz w:val="32"/>
          <w:szCs w:val="28"/>
          <w:highlight w:val="none"/>
        </w:rPr>
      </w:pPr>
      <w:r>
        <w:rPr>
          <w:rFonts w:hint="eastAsia" w:ascii="仿宋" w:hAnsi="仿宋" w:eastAsia="仿宋" w:cs="仿宋"/>
          <w:color w:val="auto"/>
          <w:spacing w:val="-5"/>
          <w:sz w:val="32"/>
          <w:szCs w:val="28"/>
          <w:highlight w:val="none"/>
        </w:rPr>
        <w:t>注：</w:t>
      </w:r>
    </w:p>
    <w:p>
      <w:pPr>
        <w:pStyle w:val="45"/>
        <w:tabs>
          <w:tab w:val="left" w:pos="1194"/>
        </w:tabs>
        <w:spacing w:line="560" w:lineRule="exact"/>
        <w:ind w:left="0" w:firstLine="608" w:firstLineChars="200"/>
        <w:rPr>
          <w:rFonts w:ascii="仿宋" w:hAnsi="仿宋" w:eastAsia="仿宋" w:cs="仿宋"/>
          <w:color w:val="auto"/>
          <w:sz w:val="32"/>
          <w:szCs w:val="28"/>
          <w:highlight w:val="none"/>
        </w:rPr>
      </w:pPr>
      <w:r>
        <w:rPr>
          <w:rFonts w:hint="eastAsia" w:ascii="仿宋" w:hAnsi="仿宋" w:eastAsia="仿宋" w:cs="仿宋"/>
          <w:color w:val="auto"/>
          <w:w w:val="95"/>
          <w:sz w:val="32"/>
          <w:szCs w:val="28"/>
          <w:highlight w:val="none"/>
        </w:rPr>
        <w:t>1.投标人的开标一览表必须加盖投标人有效电子公章，</w:t>
      </w:r>
      <w:r>
        <w:rPr>
          <w:rFonts w:hint="eastAsia" w:ascii="仿宋" w:hAnsi="仿宋" w:eastAsia="仿宋" w:cs="仿宋"/>
          <w:b/>
          <w:color w:val="auto"/>
          <w:w w:val="95"/>
          <w:sz w:val="32"/>
          <w:szCs w:val="28"/>
          <w:highlight w:val="none"/>
        </w:rPr>
        <w:t>否则其投标作无效标处理</w:t>
      </w:r>
      <w:r>
        <w:rPr>
          <w:rFonts w:hint="eastAsia" w:ascii="仿宋" w:hAnsi="仿宋" w:eastAsia="仿宋" w:cs="仿宋"/>
          <w:color w:val="auto"/>
          <w:spacing w:val="-10"/>
          <w:w w:val="95"/>
          <w:sz w:val="32"/>
          <w:szCs w:val="28"/>
          <w:highlight w:val="none"/>
        </w:rPr>
        <w:t>。</w:t>
      </w:r>
    </w:p>
    <w:p>
      <w:pPr>
        <w:pStyle w:val="45"/>
        <w:tabs>
          <w:tab w:val="left" w:pos="1194"/>
        </w:tabs>
        <w:spacing w:line="560" w:lineRule="exact"/>
        <w:ind w:left="0" w:firstLine="632" w:firstLineChars="200"/>
        <w:rPr>
          <w:rFonts w:hint="eastAsia" w:ascii="仿宋" w:hAnsi="仿宋" w:eastAsia="仿宋" w:cs="仿宋"/>
          <w:b/>
          <w:color w:val="auto"/>
          <w:spacing w:val="-2"/>
          <w:sz w:val="32"/>
          <w:szCs w:val="28"/>
          <w:highlight w:val="none"/>
        </w:rPr>
      </w:pPr>
      <w:r>
        <w:rPr>
          <w:rFonts w:hint="eastAsia" w:ascii="仿宋" w:hAnsi="仿宋" w:eastAsia="仿宋" w:cs="仿宋"/>
          <w:color w:val="auto"/>
          <w:spacing w:val="-2"/>
          <w:sz w:val="32"/>
          <w:szCs w:val="28"/>
          <w:highlight w:val="none"/>
        </w:rPr>
        <w:t>2.报价一经涂改，应在涂改处加盖投标人公章或者由法定代表人或者授权委托人签字或者加盖投标人有效电子公章</w:t>
      </w:r>
      <w:r>
        <w:rPr>
          <w:rFonts w:hint="eastAsia" w:ascii="仿宋" w:hAnsi="仿宋" w:eastAsia="仿宋" w:cs="仿宋"/>
          <w:b/>
          <w:color w:val="auto"/>
          <w:spacing w:val="-2"/>
          <w:sz w:val="32"/>
          <w:szCs w:val="28"/>
          <w:highlight w:val="none"/>
        </w:rPr>
        <w:t>，否则其投标作无效标处理。</w:t>
      </w:r>
    </w:p>
    <w:p>
      <w:pPr>
        <w:pStyle w:val="13"/>
        <w:spacing w:line="560" w:lineRule="exact"/>
        <w:rPr>
          <w:color w:val="auto"/>
          <w:sz w:val="24"/>
          <w:highlight w:val="none"/>
        </w:rPr>
      </w:pPr>
    </w:p>
    <w:p>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 xml:space="preserve">投标人（电子签章）： </w:t>
      </w:r>
    </w:p>
    <w:p>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日期：</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年</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月</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日</w:t>
      </w:r>
    </w:p>
    <w:p>
      <w:pPr>
        <w:tabs>
          <w:tab w:val="left" w:pos="1194"/>
        </w:tabs>
        <w:spacing w:line="560" w:lineRule="exact"/>
        <w:ind w:firstLine="636" w:firstLineChars="200"/>
        <w:rPr>
          <w:rFonts w:ascii="仿宋" w:hAnsi="仿宋" w:eastAsia="仿宋" w:cs="仿宋"/>
          <w:color w:val="auto"/>
          <w:spacing w:val="-1"/>
          <w:sz w:val="32"/>
          <w:szCs w:val="28"/>
          <w:highlight w:val="none"/>
        </w:rPr>
      </w:pPr>
    </w:p>
    <w:p>
      <w:pPr>
        <w:tabs>
          <w:tab w:val="left" w:pos="1194"/>
        </w:tabs>
        <w:spacing w:line="560" w:lineRule="exact"/>
        <w:ind w:firstLine="787" w:firstLineChars="200"/>
        <w:jc w:val="center"/>
        <w:rPr>
          <w:rFonts w:hint="eastAsia" w:ascii="仿宋" w:hAnsi="仿宋" w:eastAsia="仿宋" w:cs="仿宋"/>
          <w:b/>
          <w:bCs/>
          <w:color w:val="auto"/>
          <w:spacing w:val="-4"/>
          <w:sz w:val="40"/>
          <w:szCs w:val="40"/>
          <w:highlight w:val="none"/>
          <w:lang w:eastAsia="zh-CN"/>
        </w:rPr>
      </w:pPr>
      <w:r>
        <w:rPr>
          <w:rFonts w:hint="eastAsia" w:ascii="仿宋" w:hAnsi="仿宋" w:eastAsia="仿宋" w:cs="仿宋"/>
          <w:b/>
          <w:bCs/>
          <w:color w:val="auto"/>
          <w:spacing w:val="-4"/>
          <w:sz w:val="40"/>
          <w:szCs w:val="40"/>
          <w:highlight w:val="none"/>
        </w:rPr>
        <w:t>开标一览表</w:t>
      </w:r>
      <w:r>
        <w:rPr>
          <w:rFonts w:hint="eastAsia" w:ascii="仿宋" w:hAnsi="仿宋" w:eastAsia="仿宋" w:cs="仿宋"/>
          <w:b/>
          <w:bCs/>
          <w:color w:val="auto"/>
          <w:spacing w:val="-4"/>
          <w:sz w:val="40"/>
          <w:szCs w:val="40"/>
          <w:highlight w:val="none"/>
          <w:lang w:eastAsia="zh-CN"/>
        </w:rPr>
        <w:t>（适用</w:t>
      </w:r>
      <w:r>
        <w:rPr>
          <w:rFonts w:hint="eastAsia" w:ascii="仿宋" w:hAnsi="仿宋" w:eastAsia="仿宋" w:cs="仿宋"/>
          <w:b/>
          <w:bCs/>
          <w:color w:val="auto"/>
          <w:spacing w:val="-4"/>
          <w:sz w:val="40"/>
          <w:szCs w:val="40"/>
          <w:highlight w:val="none"/>
          <w:lang w:val="en-US" w:eastAsia="zh-CN"/>
        </w:rPr>
        <w:t>7-8标段</w:t>
      </w:r>
      <w:r>
        <w:rPr>
          <w:rFonts w:hint="eastAsia" w:ascii="仿宋" w:hAnsi="仿宋" w:eastAsia="仿宋" w:cs="仿宋"/>
          <w:b/>
          <w:bCs/>
          <w:color w:val="auto"/>
          <w:spacing w:val="-4"/>
          <w:sz w:val="40"/>
          <w:szCs w:val="40"/>
          <w:highlight w:val="none"/>
          <w:lang w:eastAsia="zh-CN"/>
        </w:rPr>
        <w:t>）</w:t>
      </w:r>
    </w:p>
    <w:p>
      <w:pPr>
        <w:bidi w:val="0"/>
        <w:jc w:val="center"/>
        <w:rPr>
          <w:rFonts w:hint="eastAsia" w:ascii="宋体" w:hAnsi="宋体" w:eastAsia="宋体" w:cs="宋体"/>
          <w:sz w:val="22"/>
          <w:szCs w:val="22"/>
          <w:lang w:val="en-US" w:eastAsia="zh-CN" w:bidi="ar-SA"/>
        </w:rPr>
      </w:pPr>
    </w:p>
    <w:p>
      <w:pPr>
        <w:tabs>
          <w:tab w:val="left" w:pos="1462"/>
        </w:tabs>
        <w:bidi w:val="0"/>
        <w:jc w:val="left"/>
        <w:rPr>
          <w:rFonts w:hint="eastAsia"/>
          <w:lang w:val="en-US" w:eastAsia="zh-CN"/>
        </w:rPr>
      </w:pPr>
      <w:r>
        <w:rPr>
          <w:rFonts w:hint="eastAsia"/>
          <w:lang w:val="en-US" w:eastAsia="zh-CN"/>
        </w:rPr>
        <w:tab/>
      </w:r>
    </w:p>
    <w:tbl>
      <w:tblPr>
        <w:tblStyle w:val="26"/>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433"/>
        <w:gridCol w:w="1266"/>
        <w:gridCol w:w="1060"/>
        <w:gridCol w:w="106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84"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2430"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
              </w:rPr>
              <w:t>建设内容</w:t>
            </w:r>
            <w:r>
              <w:rPr>
                <w:rFonts w:hint="eastAsia"/>
                <w:b/>
                <w:bCs/>
                <w:sz w:val="28"/>
                <w:szCs w:val="28"/>
                <w:lang w:eastAsia="zh-CN"/>
              </w:rPr>
              <w:t>（采购需求）</w:t>
            </w:r>
          </w:p>
        </w:tc>
        <w:tc>
          <w:tcPr>
            <w:tcW w:w="694"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val="en-US" w:eastAsia="zh-CN"/>
              </w:rPr>
            </w:pPr>
            <w:r>
              <w:rPr>
                <w:rFonts w:hint="eastAsia"/>
                <w:b/>
                <w:bCs/>
                <w:sz w:val="28"/>
                <w:szCs w:val="28"/>
                <w:lang w:eastAsia="zh"/>
              </w:rPr>
              <w:t>数量</w:t>
            </w:r>
            <w:r>
              <w:rPr>
                <w:rFonts w:hint="eastAsia"/>
                <w:b/>
                <w:bCs/>
                <w:sz w:val="28"/>
                <w:szCs w:val="28"/>
                <w:lang w:val="en-US" w:eastAsia="zh-CN"/>
              </w:rPr>
              <w:t>/单位①</w:t>
            </w:r>
          </w:p>
        </w:tc>
        <w:tc>
          <w:tcPr>
            <w:tcW w:w="581" w:type="pct"/>
            <w:vAlign w:val="top"/>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单价②</w:t>
            </w:r>
            <w:r>
              <w:rPr>
                <w:rFonts w:hint="eastAsia"/>
                <w:b/>
                <w:bCs/>
                <w:sz w:val="28"/>
                <w:szCs w:val="28"/>
                <w:lang w:val="en-US" w:eastAsia="zh-CN"/>
              </w:rPr>
              <w:t>（元）</w:t>
            </w:r>
          </w:p>
        </w:tc>
        <w:tc>
          <w:tcPr>
            <w:tcW w:w="582" w:type="pct"/>
            <w:vAlign w:val="top"/>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总价</w:t>
            </w:r>
            <w:r>
              <w:rPr>
                <w:rFonts w:hint="eastAsia"/>
                <w:b/>
                <w:bCs/>
                <w:sz w:val="28"/>
                <w:szCs w:val="28"/>
                <w:lang w:val="en-US" w:eastAsia="zh-CN"/>
              </w:rPr>
              <w:t>=①*②（元）</w:t>
            </w:r>
          </w:p>
        </w:tc>
        <w:tc>
          <w:tcPr>
            <w:tcW w:w="327"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2430"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p>
        </w:tc>
        <w:tc>
          <w:tcPr>
            <w:tcW w:w="694"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1"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2"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327"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pPr>
        <w:tabs>
          <w:tab w:val="left" w:pos="1462"/>
        </w:tabs>
        <w:bidi w:val="0"/>
        <w:jc w:val="left"/>
        <w:rPr>
          <w:rFonts w:hint="eastAsia"/>
          <w:lang w:val="en-US" w:eastAsia="zh-CN"/>
        </w:rPr>
      </w:pPr>
    </w:p>
    <w:p>
      <w:pPr>
        <w:spacing w:line="560" w:lineRule="exact"/>
        <w:ind w:firstLine="620" w:firstLineChars="200"/>
        <w:rPr>
          <w:rFonts w:ascii="仿宋" w:hAnsi="仿宋" w:eastAsia="仿宋" w:cs="仿宋"/>
          <w:color w:val="auto"/>
          <w:sz w:val="32"/>
          <w:szCs w:val="28"/>
          <w:highlight w:val="none"/>
        </w:rPr>
      </w:pPr>
      <w:r>
        <w:rPr>
          <w:rFonts w:hint="eastAsia" w:ascii="仿宋" w:hAnsi="仿宋" w:eastAsia="仿宋" w:cs="仿宋"/>
          <w:color w:val="auto"/>
          <w:spacing w:val="-5"/>
          <w:sz w:val="32"/>
          <w:szCs w:val="28"/>
          <w:highlight w:val="none"/>
        </w:rPr>
        <w:t>注：</w:t>
      </w:r>
    </w:p>
    <w:p>
      <w:pPr>
        <w:pStyle w:val="45"/>
        <w:tabs>
          <w:tab w:val="left" w:pos="1194"/>
        </w:tabs>
        <w:spacing w:line="560" w:lineRule="exact"/>
        <w:ind w:left="0" w:firstLine="608" w:firstLineChars="200"/>
        <w:rPr>
          <w:rFonts w:ascii="仿宋" w:hAnsi="仿宋" w:eastAsia="仿宋" w:cs="仿宋"/>
          <w:color w:val="auto"/>
          <w:sz w:val="32"/>
          <w:szCs w:val="28"/>
          <w:highlight w:val="none"/>
        </w:rPr>
      </w:pPr>
      <w:r>
        <w:rPr>
          <w:rFonts w:hint="eastAsia" w:ascii="仿宋" w:hAnsi="仿宋" w:eastAsia="仿宋" w:cs="仿宋"/>
          <w:color w:val="auto"/>
          <w:w w:val="95"/>
          <w:sz w:val="32"/>
          <w:szCs w:val="28"/>
          <w:highlight w:val="none"/>
        </w:rPr>
        <w:t>1.投标人的开标一览表必须加盖投标人有效电子公章，</w:t>
      </w:r>
      <w:r>
        <w:rPr>
          <w:rFonts w:hint="eastAsia" w:ascii="仿宋" w:hAnsi="仿宋" w:eastAsia="仿宋" w:cs="仿宋"/>
          <w:b/>
          <w:color w:val="auto"/>
          <w:w w:val="95"/>
          <w:sz w:val="32"/>
          <w:szCs w:val="28"/>
          <w:highlight w:val="none"/>
        </w:rPr>
        <w:t>否则其投标作无效标处理</w:t>
      </w:r>
      <w:r>
        <w:rPr>
          <w:rFonts w:hint="eastAsia" w:ascii="仿宋" w:hAnsi="仿宋" w:eastAsia="仿宋" w:cs="仿宋"/>
          <w:color w:val="auto"/>
          <w:spacing w:val="-10"/>
          <w:w w:val="95"/>
          <w:sz w:val="32"/>
          <w:szCs w:val="28"/>
          <w:highlight w:val="none"/>
        </w:rPr>
        <w:t>。</w:t>
      </w:r>
    </w:p>
    <w:p>
      <w:pPr>
        <w:pStyle w:val="45"/>
        <w:tabs>
          <w:tab w:val="left" w:pos="1194"/>
        </w:tabs>
        <w:spacing w:line="560" w:lineRule="exact"/>
        <w:ind w:left="0" w:firstLine="632" w:firstLineChars="200"/>
        <w:rPr>
          <w:rFonts w:hint="eastAsia" w:ascii="仿宋" w:hAnsi="仿宋" w:eastAsia="仿宋" w:cs="仿宋"/>
          <w:b/>
          <w:color w:val="auto"/>
          <w:spacing w:val="-2"/>
          <w:sz w:val="32"/>
          <w:szCs w:val="28"/>
          <w:highlight w:val="none"/>
        </w:rPr>
      </w:pPr>
      <w:r>
        <w:rPr>
          <w:rFonts w:hint="eastAsia" w:ascii="仿宋" w:hAnsi="仿宋" w:eastAsia="仿宋" w:cs="仿宋"/>
          <w:color w:val="auto"/>
          <w:spacing w:val="-2"/>
          <w:sz w:val="32"/>
          <w:szCs w:val="28"/>
          <w:highlight w:val="none"/>
        </w:rPr>
        <w:t>2.报价一经涂改，应在涂改处加盖投标人公章或者由法定代表人或者授权委托人签字或者加盖投标人有效电子公章</w:t>
      </w:r>
      <w:r>
        <w:rPr>
          <w:rFonts w:hint="eastAsia" w:ascii="仿宋" w:hAnsi="仿宋" w:eastAsia="仿宋" w:cs="仿宋"/>
          <w:b/>
          <w:color w:val="auto"/>
          <w:spacing w:val="-2"/>
          <w:sz w:val="32"/>
          <w:szCs w:val="28"/>
          <w:highlight w:val="none"/>
        </w:rPr>
        <w:t>，否则其投标作无效标处理。</w:t>
      </w:r>
    </w:p>
    <w:p>
      <w:pPr>
        <w:pStyle w:val="13"/>
        <w:spacing w:line="560" w:lineRule="exact"/>
        <w:rPr>
          <w:color w:val="auto"/>
          <w:sz w:val="24"/>
          <w:highlight w:val="none"/>
        </w:rPr>
      </w:pPr>
    </w:p>
    <w:p>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 xml:space="preserve">投标人（电子签章）： </w:t>
      </w:r>
    </w:p>
    <w:p>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日期：</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年</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月</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日</w:t>
      </w:r>
    </w:p>
    <w:p>
      <w:pPr>
        <w:spacing w:before="1"/>
        <w:jc w:val="both"/>
        <w:rPr>
          <w:rFonts w:hint="eastAsia" w:ascii="仿宋" w:hAnsi="仿宋" w:eastAsia="仿宋" w:cs="仿宋"/>
          <w:b/>
          <w:bCs/>
          <w:color w:val="auto"/>
          <w:w w:val="95"/>
          <w:sz w:val="40"/>
          <w:szCs w:val="40"/>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tabs>
          <w:tab w:val="left" w:pos="3172"/>
        </w:tabs>
        <w:bidi w:val="0"/>
        <w:jc w:val="left"/>
        <w:rPr>
          <w:rFonts w:hint="eastAsia"/>
          <w:lang w:val="en-US" w:eastAsia="zh-CN"/>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spacing w:before="1"/>
        <w:jc w:val="both"/>
        <w:rPr>
          <w:b/>
          <w:color w:val="auto"/>
          <w:sz w:val="19"/>
          <w:highlight w:val="none"/>
        </w:rPr>
      </w:pPr>
      <w:r>
        <w:rPr>
          <w:rFonts w:hint="eastAsia" w:ascii="仿宋" w:hAnsi="仿宋" w:eastAsia="仿宋" w:cs="仿宋"/>
          <w:b/>
          <w:bCs/>
          <w:color w:val="auto"/>
          <w:w w:val="95"/>
          <w:sz w:val="40"/>
          <w:szCs w:val="40"/>
          <w:highlight w:val="none"/>
        </w:rPr>
        <w:t>投标报价明细表格式</w:t>
      </w:r>
    </w:p>
    <w:p>
      <w:pPr>
        <w:pStyle w:val="13"/>
        <w:spacing w:line="560" w:lineRule="exact"/>
        <w:jc w:val="center"/>
        <w:rPr>
          <w:b/>
          <w:color w:val="auto"/>
          <w:sz w:val="28"/>
          <w:highlight w:val="none"/>
        </w:rPr>
      </w:pPr>
      <w:r>
        <w:rPr>
          <w:rFonts w:hint="eastAsia" w:ascii="仿宋" w:hAnsi="仿宋" w:eastAsia="仿宋" w:cs="仿宋"/>
          <w:b/>
          <w:bCs/>
          <w:color w:val="auto"/>
          <w:spacing w:val="-4"/>
          <w:sz w:val="40"/>
          <w:szCs w:val="40"/>
          <w:highlight w:val="none"/>
        </w:rPr>
        <w:t>投标报价明细表</w:t>
      </w:r>
      <w:r>
        <w:rPr>
          <w:rFonts w:hint="eastAsia" w:ascii="仿宋" w:hAnsi="仿宋" w:eastAsia="仿宋" w:cs="仿宋"/>
          <w:b/>
          <w:bCs/>
          <w:color w:val="auto"/>
          <w:spacing w:val="-4"/>
          <w:sz w:val="40"/>
          <w:szCs w:val="40"/>
          <w:highlight w:val="none"/>
          <w:lang w:eastAsia="zh-CN"/>
        </w:rPr>
        <w:t>（适用</w:t>
      </w:r>
      <w:r>
        <w:rPr>
          <w:rFonts w:hint="eastAsia" w:ascii="仿宋" w:hAnsi="仿宋" w:eastAsia="仿宋" w:cs="仿宋"/>
          <w:b/>
          <w:bCs/>
          <w:color w:val="auto"/>
          <w:spacing w:val="-4"/>
          <w:sz w:val="40"/>
          <w:szCs w:val="40"/>
          <w:highlight w:val="none"/>
          <w:lang w:val="en-US" w:eastAsia="zh-CN"/>
        </w:rPr>
        <w:t>1-6标段及9标段</w:t>
      </w:r>
      <w:r>
        <w:rPr>
          <w:rFonts w:hint="eastAsia" w:ascii="仿宋" w:hAnsi="仿宋" w:eastAsia="仿宋" w:cs="仿宋"/>
          <w:b/>
          <w:bCs/>
          <w:color w:val="auto"/>
          <w:spacing w:val="-4"/>
          <w:sz w:val="40"/>
          <w:szCs w:val="40"/>
          <w:highlight w:val="none"/>
          <w:lang w:eastAsia="zh-CN"/>
        </w:rPr>
        <w:t>）</w:t>
      </w:r>
    </w:p>
    <w:p>
      <w:pPr>
        <w:tabs>
          <w:tab w:val="left" w:pos="3411"/>
          <w:tab w:val="left" w:pos="5632"/>
          <w:tab w:val="left" w:pos="8331"/>
        </w:tabs>
        <w:spacing w:line="56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项目名称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rPr>
        <w:t>项目编号</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分标：_________</w:t>
      </w:r>
    </w:p>
    <w:tbl>
      <w:tblPr>
        <w:tblStyle w:val="25"/>
        <w:tblW w:w="9811"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900"/>
        <w:gridCol w:w="1185"/>
        <w:gridCol w:w="2040"/>
        <w:gridCol w:w="1425"/>
        <w:gridCol w:w="1006"/>
        <w:gridCol w:w="1740"/>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20"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序号</w:t>
            </w:r>
          </w:p>
        </w:tc>
        <w:tc>
          <w:tcPr>
            <w:tcW w:w="900"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设备名称</w:t>
            </w:r>
          </w:p>
        </w:tc>
        <w:tc>
          <w:tcPr>
            <w:tcW w:w="1185" w:type="dxa"/>
          </w:tcPr>
          <w:p>
            <w:pPr>
              <w:pStyle w:val="46"/>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lang w:eastAsia="zh-CN"/>
              </w:rPr>
              <w:t>数量</w:t>
            </w:r>
            <w:r>
              <w:rPr>
                <w:rFonts w:hint="eastAsia" w:ascii="仿宋" w:hAnsi="仿宋" w:eastAsia="仿宋" w:cs="仿宋"/>
                <w:color w:val="auto"/>
                <w:spacing w:val="-6"/>
                <w:sz w:val="32"/>
                <w:szCs w:val="32"/>
                <w:highlight w:val="none"/>
                <w:lang w:val="en-US" w:eastAsia="zh-CN"/>
              </w:rPr>
              <w:t>/</w:t>
            </w:r>
            <w:r>
              <w:rPr>
                <w:rFonts w:hint="eastAsia" w:ascii="仿宋" w:hAnsi="仿宋" w:eastAsia="仿宋" w:cs="仿宋"/>
                <w:color w:val="auto"/>
                <w:spacing w:val="-6"/>
                <w:sz w:val="32"/>
                <w:szCs w:val="32"/>
                <w:highlight w:val="none"/>
              </w:rPr>
              <w:t>单</w:t>
            </w:r>
            <w:r>
              <w:rPr>
                <w:rFonts w:hint="eastAsia" w:ascii="仿宋" w:hAnsi="仿宋" w:eastAsia="仿宋" w:cs="仿宋"/>
                <w:color w:val="auto"/>
                <w:spacing w:val="-10"/>
                <w:sz w:val="32"/>
                <w:szCs w:val="32"/>
                <w:highlight w:val="none"/>
              </w:rPr>
              <w:t>位</w:t>
            </w:r>
            <w:r>
              <w:rPr>
                <w:rFonts w:hint="eastAsia" w:ascii="仿宋" w:hAnsi="仿宋" w:eastAsia="仿宋" w:cs="仿宋"/>
                <w:color w:val="auto"/>
                <w:sz w:val="32"/>
                <w:szCs w:val="32"/>
                <w:highlight w:val="none"/>
                <w:lang w:val="en-US" w:eastAsia="zh-CN"/>
              </w:rPr>
              <w:t>①</w:t>
            </w:r>
          </w:p>
        </w:tc>
        <w:tc>
          <w:tcPr>
            <w:tcW w:w="2040"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品牌、规格型号、生产厂家</w:t>
            </w:r>
          </w:p>
        </w:tc>
        <w:tc>
          <w:tcPr>
            <w:tcW w:w="1425"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招标需求</w:t>
            </w:r>
          </w:p>
        </w:tc>
        <w:tc>
          <w:tcPr>
            <w:tcW w:w="1006" w:type="dxa"/>
            <w:vAlign w:val="top"/>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单价②</w:t>
            </w:r>
            <w:r>
              <w:rPr>
                <w:rFonts w:hint="eastAsia" w:ascii="仿宋" w:hAnsi="仿宋" w:eastAsia="仿宋" w:cs="仿宋"/>
                <w:color w:val="auto"/>
                <w:sz w:val="32"/>
                <w:szCs w:val="32"/>
                <w:highlight w:val="none"/>
                <w:lang w:val="en-US" w:eastAsia="zh-CN"/>
              </w:rPr>
              <w:t>（元）</w:t>
            </w:r>
          </w:p>
        </w:tc>
        <w:tc>
          <w:tcPr>
            <w:tcW w:w="1740" w:type="dxa"/>
            <w:vAlign w:val="top"/>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总价</w:t>
            </w:r>
            <w:r>
              <w:rPr>
                <w:rFonts w:hint="eastAsia" w:ascii="仿宋" w:hAnsi="仿宋" w:eastAsia="仿宋" w:cs="仿宋"/>
                <w:color w:val="auto"/>
                <w:sz w:val="32"/>
                <w:szCs w:val="32"/>
                <w:highlight w:val="none"/>
                <w:lang w:val="en-US" w:eastAsia="zh-CN"/>
              </w:rPr>
              <w:t>=①*②（元）</w:t>
            </w:r>
          </w:p>
        </w:tc>
        <w:tc>
          <w:tcPr>
            <w:tcW w:w="795" w:type="dxa"/>
            <w:vAlign w:val="top"/>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p>
        </w:tc>
        <w:tc>
          <w:tcPr>
            <w:tcW w:w="90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p>
        </w:tc>
        <w:tc>
          <w:tcPr>
            <w:tcW w:w="90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p>
        </w:tc>
        <w:tc>
          <w:tcPr>
            <w:tcW w:w="90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w:t>
            </w:r>
          </w:p>
        </w:tc>
        <w:tc>
          <w:tcPr>
            <w:tcW w:w="90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N</w:t>
            </w:r>
          </w:p>
        </w:tc>
        <w:tc>
          <w:tcPr>
            <w:tcW w:w="900" w:type="dxa"/>
            <w:vAlign w:val="top"/>
          </w:tcPr>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pPr>
              <w:pStyle w:val="46"/>
              <w:spacing w:line="560" w:lineRule="exact"/>
              <w:ind w:firstLine="640" w:firstLineChars="200"/>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20" w:type="dxa"/>
            <w:gridSpan w:val="2"/>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投标总价</w:t>
            </w:r>
          </w:p>
        </w:tc>
        <w:tc>
          <w:tcPr>
            <w:tcW w:w="8191" w:type="dxa"/>
            <w:gridSpan w:val="6"/>
          </w:tcPr>
          <w:p>
            <w:pPr>
              <w:pStyle w:val="46"/>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人民币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20" w:type="dxa"/>
            <w:gridSpan w:val="2"/>
          </w:tcPr>
          <w:p>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合同履行期限</w:t>
            </w:r>
          </w:p>
        </w:tc>
        <w:tc>
          <w:tcPr>
            <w:tcW w:w="8191" w:type="dxa"/>
            <w:gridSpan w:val="6"/>
          </w:tcPr>
          <w:p>
            <w:pPr>
              <w:pStyle w:val="46"/>
              <w:spacing w:line="560" w:lineRule="exact"/>
              <w:ind w:firstLine="640" w:firstLineChars="200"/>
              <w:rPr>
                <w:rFonts w:hint="eastAsia" w:ascii="仿宋" w:hAnsi="仿宋" w:eastAsia="仿宋" w:cs="仿宋"/>
                <w:color w:val="auto"/>
                <w:sz w:val="32"/>
                <w:szCs w:val="3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20" w:type="dxa"/>
            <w:gridSpan w:val="2"/>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供货地点</w:t>
            </w:r>
          </w:p>
        </w:tc>
        <w:tc>
          <w:tcPr>
            <w:tcW w:w="8191" w:type="dxa"/>
            <w:gridSpan w:val="6"/>
          </w:tcPr>
          <w:p>
            <w:pPr>
              <w:pStyle w:val="46"/>
              <w:spacing w:line="560" w:lineRule="exact"/>
              <w:ind w:firstLine="640" w:firstLineChars="200"/>
              <w:rPr>
                <w:rFonts w:ascii="仿宋" w:hAnsi="仿宋" w:eastAsia="仿宋" w:cs="仿宋"/>
                <w:color w:val="auto"/>
                <w:sz w:val="32"/>
                <w:szCs w:val="32"/>
                <w:highlight w:val="none"/>
              </w:rPr>
            </w:pPr>
          </w:p>
        </w:tc>
      </w:tr>
    </w:tbl>
    <w:p>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备注：</w:t>
      </w:r>
    </w:p>
    <w:p>
      <w:pPr>
        <w:pStyle w:val="45"/>
        <w:tabs>
          <w:tab w:val="left" w:pos="1194"/>
        </w:tabs>
        <w:spacing w:line="560" w:lineRule="exact"/>
        <w:ind w:left="0"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2"/>
          <w:sz w:val="32"/>
          <w:szCs w:val="32"/>
          <w:highlight w:val="none"/>
        </w:rPr>
        <w:t>该表必须加盖投标人有效电子公章并由法定代表人或者其委托代理人签字，</w:t>
      </w:r>
      <w:r>
        <w:rPr>
          <w:rFonts w:hint="eastAsia" w:ascii="仿宋" w:hAnsi="仿宋" w:eastAsia="仿宋" w:cs="仿宋"/>
          <w:b/>
          <w:color w:val="auto"/>
          <w:spacing w:val="-2"/>
          <w:sz w:val="32"/>
          <w:szCs w:val="32"/>
          <w:highlight w:val="none"/>
        </w:rPr>
        <w:t>否则其投标作无效标处理</w:t>
      </w:r>
      <w:r>
        <w:rPr>
          <w:rFonts w:hint="eastAsia" w:ascii="仿宋" w:hAnsi="仿宋" w:eastAsia="仿宋" w:cs="仿宋"/>
          <w:color w:val="auto"/>
          <w:spacing w:val="-2"/>
          <w:sz w:val="32"/>
          <w:szCs w:val="32"/>
          <w:highlight w:val="none"/>
        </w:rPr>
        <w:t>。</w:t>
      </w:r>
    </w:p>
    <w:p>
      <w:pPr>
        <w:pStyle w:val="45"/>
        <w:tabs>
          <w:tab w:val="left" w:pos="1196"/>
        </w:tabs>
        <w:spacing w:line="560" w:lineRule="exact"/>
        <w:ind w:left="0" w:firstLine="632" w:firstLineChars="200"/>
        <w:rPr>
          <w:rFonts w:hint="eastAsia" w:ascii="仿宋" w:hAnsi="仿宋" w:eastAsia="仿宋" w:cs="仿宋"/>
          <w:b/>
          <w:color w:val="auto"/>
          <w:spacing w:val="-2"/>
          <w:sz w:val="32"/>
          <w:szCs w:val="32"/>
          <w:highlight w:val="none"/>
        </w:rPr>
      </w:pPr>
      <w:r>
        <w:rPr>
          <w:rFonts w:hint="eastAsia" w:ascii="仿宋" w:hAnsi="仿宋" w:eastAsia="仿宋" w:cs="仿宋"/>
          <w:color w:val="auto"/>
          <w:spacing w:val="-2"/>
          <w:sz w:val="32"/>
          <w:szCs w:val="32"/>
          <w:highlight w:val="none"/>
          <w:lang w:val="en-US" w:eastAsia="zh-CN"/>
        </w:rPr>
        <w:t>2</w:t>
      </w:r>
      <w:r>
        <w:rPr>
          <w:rFonts w:hint="eastAsia" w:ascii="仿宋" w:hAnsi="仿宋" w:eastAsia="仿宋" w:cs="仿宋"/>
          <w:color w:val="auto"/>
          <w:spacing w:val="-2"/>
          <w:sz w:val="32"/>
          <w:szCs w:val="32"/>
          <w:highlight w:val="none"/>
        </w:rPr>
        <w:t>.报价一经涂改，应在涂改处加盖投标人有效电子公章或者由法定代表人或者授权委托人签字或者盖章</w:t>
      </w:r>
      <w:r>
        <w:rPr>
          <w:rFonts w:hint="eastAsia" w:ascii="仿宋" w:hAnsi="仿宋" w:eastAsia="仿宋" w:cs="仿宋"/>
          <w:b/>
          <w:color w:val="auto"/>
          <w:spacing w:val="-2"/>
          <w:sz w:val="32"/>
          <w:szCs w:val="32"/>
          <w:highlight w:val="none"/>
        </w:rPr>
        <w:t>，否则其投标作无效标处理。</w:t>
      </w:r>
    </w:p>
    <w:p>
      <w:pPr>
        <w:tabs>
          <w:tab w:val="left" w:pos="9411"/>
        </w:tabs>
        <w:spacing w:line="560" w:lineRule="exact"/>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法定代表人或者其委托代理人签字</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7851"/>
        </w:tabs>
        <w:spacing w:line="560" w:lineRule="exact"/>
        <w:ind w:firstLine="1920" w:firstLineChars="6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u w:val="single"/>
        </w:rPr>
        <w:tab/>
      </w:r>
    </w:p>
    <w:p>
      <w:pPr>
        <w:tabs>
          <w:tab w:val="left" w:pos="7851"/>
        </w:tabs>
        <w:spacing w:line="560" w:lineRule="exact"/>
        <w:ind w:firstLine="1800" w:firstLineChars="6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日</w:t>
      </w:r>
      <w:r>
        <w:rPr>
          <w:rFonts w:hint="eastAsia" w:ascii="仿宋" w:hAnsi="仿宋" w:eastAsia="仿宋" w:cs="仿宋"/>
          <w:color w:val="auto"/>
          <w:sz w:val="32"/>
          <w:szCs w:val="32"/>
          <w:highlight w:val="none"/>
        </w:rPr>
        <w:t xml:space="preserve">期： </w:t>
      </w:r>
      <w:r>
        <w:rPr>
          <w:rFonts w:hint="eastAsia" w:ascii="仿宋" w:hAnsi="仿宋" w:eastAsia="仿宋" w:cs="仿宋"/>
          <w:color w:val="auto"/>
          <w:sz w:val="32"/>
          <w:szCs w:val="32"/>
          <w:highlight w:val="none"/>
          <w:u w:val="single"/>
        </w:rPr>
        <w:tab/>
      </w:r>
    </w:p>
    <w:p>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3"/>
        <w:spacing w:before="6"/>
        <w:rPr>
          <w:rFonts w:ascii="Times New Roman"/>
          <w:color w:val="auto"/>
          <w:sz w:val="10"/>
          <w:highlight w:val="none"/>
        </w:rPr>
      </w:pPr>
    </w:p>
    <w:p>
      <w:pPr>
        <w:tabs>
          <w:tab w:val="left" w:pos="1194"/>
        </w:tabs>
        <w:spacing w:line="560" w:lineRule="exact"/>
        <w:ind w:firstLine="787" w:firstLineChars="200"/>
        <w:jc w:val="center"/>
        <w:rPr>
          <w:rFonts w:hint="eastAsia" w:ascii="仿宋" w:hAnsi="仿宋" w:eastAsia="仿宋" w:cs="仿宋"/>
          <w:b/>
          <w:bCs/>
          <w:color w:val="auto"/>
          <w:spacing w:val="-4"/>
          <w:sz w:val="40"/>
          <w:szCs w:val="40"/>
          <w:highlight w:val="none"/>
          <w:lang w:eastAsia="zh-CN"/>
        </w:rPr>
      </w:pPr>
      <w:bookmarkStart w:id="70" w:name="_Toc14590"/>
      <w:r>
        <w:rPr>
          <w:rFonts w:hint="eastAsia" w:ascii="仿宋" w:hAnsi="仿宋" w:eastAsia="仿宋" w:cs="仿宋"/>
          <w:b/>
          <w:bCs/>
          <w:color w:val="auto"/>
          <w:spacing w:val="-4"/>
          <w:sz w:val="40"/>
          <w:szCs w:val="40"/>
          <w:highlight w:val="none"/>
        </w:rPr>
        <w:t>投标报价明细表</w:t>
      </w:r>
      <w:r>
        <w:rPr>
          <w:rFonts w:hint="eastAsia" w:ascii="仿宋" w:hAnsi="仿宋" w:eastAsia="仿宋" w:cs="仿宋"/>
          <w:b/>
          <w:bCs/>
          <w:color w:val="auto"/>
          <w:spacing w:val="-4"/>
          <w:sz w:val="40"/>
          <w:szCs w:val="40"/>
          <w:highlight w:val="none"/>
          <w:lang w:eastAsia="zh-CN"/>
        </w:rPr>
        <w:t>（适用</w:t>
      </w:r>
      <w:r>
        <w:rPr>
          <w:rFonts w:hint="eastAsia" w:ascii="仿宋" w:hAnsi="仿宋" w:eastAsia="仿宋" w:cs="仿宋"/>
          <w:b/>
          <w:bCs/>
          <w:color w:val="auto"/>
          <w:spacing w:val="-4"/>
          <w:sz w:val="40"/>
          <w:szCs w:val="40"/>
          <w:highlight w:val="none"/>
          <w:lang w:val="en-US" w:eastAsia="zh-CN"/>
        </w:rPr>
        <w:t>7-8标段</w:t>
      </w:r>
      <w:r>
        <w:rPr>
          <w:rFonts w:hint="eastAsia" w:ascii="仿宋" w:hAnsi="仿宋" w:eastAsia="仿宋" w:cs="仿宋"/>
          <w:b/>
          <w:bCs/>
          <w:color w:val="auto"/>
          <w:spacing w:val="-4"/>
          <w:sz w:val="40"/>
          <w:szCs w:val="40"/>
          <w:highlight w:val="none"/>
          <w:lang w:eastAsia="zh-CN"/>
        </w:rPr>
        <w:t>）</w:t>
      </w:r>
    </w:p>
    <w:p>
      <w:pPr>
        <w:pStyle w:val="9"/>
        <w:spacing w:before="61"/>
        <w:rPr>
          <w:rFonts w:hint="eastAsia" w:ascii="仿宋" w:hAnsi="仿宋" w:eastAsia="仿宋" w:cs="仿宋"/>
          <w:color w:val="auto"/>
          <w:w w:val="95"/>
          <w:sz w:val="40"/>
          <w:szCs w:val="40"/>
          <w:highlight w:val="none"/>
        </w:rPr>
      </w:pPr>
    </w:p>
    <w:p>
      <w:pPr>
        <w:bidi w:val="0"/>
        <w:rPr>
          <w:rFonts w:hint="eastAsia"/>
        </w:rPr>
      </w:pPr>
    </w:p>
    <w:p>
      <w:pPr>
        <w:tabs>
          <w:tab w:val="left" w:pos="2362"/>
        </w:tabs>
        <w:bidi w:val="0"/>
        <w:jc w:val="left"/>
        <w:rPr>
          <w:rFonts w:hint="eastAsia" w:eastAsia="宋体"/>
          <w:lang w:eastAsia="zh-CN"/>
        </w:rPr>
      </w:pPr>
      <w:r>
        <w:rPr>
          <w:rFonts w:hint="eastAsia"/>
          <w:lang w:eastAsia="zh-CN"/>
        </w:rPr>
        <w:tab/>
      </w:r>
    </w:p>
    <w:tbl>
      <w:tblPr>
        <w:tblStyle w:val="26"/>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433"/>
        <w:gridCol w:w="1266"/>
        <w:gridCol w:w="1060"/>
        <w:gridCol w:w="106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84"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2430"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
              </w:rPr>
              <w:t>建设内容</w:t>
            </w:r>
            <w:r>
              <w:rPr>
                <w:rFonts w:hint="eastAsia"/>
                <w:b/>
                <w:bCs/>
                <w:sz w:val="28"/>
                <w:szCs w:val="28"/>
                <w:lang w:eastAsia="zh-CN"/>
              </w:rPr>
              <w:t>（采购需求）</w:t>
            </w:r>
          </w:p>
        </w:tc>
        <w:tc>
          <w:tcPr>
            <w:tcW w:w="694"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val="en-US" w:eastAsia="zh-CN"/>
              </w:rPr>
            </w:pPr>
            <w:r>
              <w:rPr>
                <w:rFonts w:hint="eastAsia"/>
                <w:b/>
                <w:bCs/>
                <w:sz w:val="28"/>
                <w:szCs w:val="28"/>
                <w:lang w:eastAsia="zh"/>
              </w:rPr>
              <w:t>数量</w:t>
            </w:r>
            <w:r>
              <w:rPr>
                <w:rFonts w:hint="eastAsia"/>
                <w:b/>
                <w:bCs/>
                <w:sz w:val="28"/>
                <w:szCs w:val="28"/>
                <w:lang w:val="en-US" w:eastAsia="zh-CN"/>
              </w:rPr>
              <w:t>/单位①</w:t>
            </w:r>
          </w:p>
        </w:tc>
        <w:tc>
          <w:tcPr>
            <w:tcW w:w="581" w:type="pct"/>
            <w:vAlign w:val="top"/>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单价②</w:t>
            </w:r>
            <w:r>
              <w:rPr>
                <w:rFonts w:hint="eastAsia"/>
                <w:b/>
                <w:bCs/>
                <w:sz w:val="28"/>
                <w:szCs w:val="28"/>
                <w:lang w:val="en-US" w:eastAsia="zh-CN"/>
              </w:rPr>
              <w:t>（元）</w:t>
            </w:r>
          </w:p>
        </w:tc>
        <w:tc>
          <w:tcPr>
            <w:tcW w:w="582" w:type="pct"/>
            <w:vAlign w:val="top"/>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总价</w:t>
            </w:r>
            <w:r>
              <w:rPr>
                <w:rFonts w:hint="eastAsia"/>
                <w:b/>
                <w:bCs/>
                <w:sz w:val="28"/>
                <w:szCs w:val="28"/>
                <w:lang w:val="en-US" w:eastAsia="zh-CN"/>
              </w:rPr>
              <w:t>=①*②（元）</w:t>
            </w:r>
          </w:p>
        </w:tc>
        <w:tc>
          <w:tcPr>
            <w:tcW w:w="327"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2430"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p>
        </w:tc>
        <w:tc>
          <w:tcPr>
            <w:tcW w:w="694"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1"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2"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327" w:type="pct"/>
            <w:vAlign w:val="center"/>
          </w:tcPr>
          <w:p>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备注：</w:t>
      </w:r>
    </w:p>
    <w:p>
      <w:pPr>
        <w:pStyle w:val="45"/>
        <w:tabs>
          <w:tab w:val="left" w:pos="1194"/>
        </w:tabs>
        <w:spacing w:line="560" w:lineRule="exact"/>
        <w:ind w:left="0"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2"/>
          <w:sz w:val="32"/>
          <w:szCs w:val="32"/>
          <w:highlight w:val="none"/>
        </w:rPr>
        <w:t>该表必须加盖投标人有效电子公章并由法定代表人或者其委托代理人签字，</w:t>
      </w:r>
      <w:r>
        <w:rPr>
          <w:rFonts w:hint="eastAsia" w:ascii="仿宋" w:hAnsi="仿宋" w:eastAsia="仿宋" w:cs="仿宋"/>
          <w:b/>
          <w:color w:val="auto"/>
          <w:spacing w:val="-2"/>
          <w:sz w:val="32"/>
          <w:szCs w:val="32"/>
          <w:highlight w:val="none"/>
        </w:rPr>
        <w:t>否则其投标作无效标处理</w:t>
      </w:r>
      <w:r>
        <w:rPr>
          <w:rFonts w:hint="eastAsia" w:ascii="仿宋" w:hAnsi="仿宋" w:eastAsia="仿宋" w:cs="仿宋"/>
          <w:color w:val="auto"/>
          <w:spacing w:val="-2"/>
          <w:sz w:val="32"/>
          <w:szCs w:val="32"/>
          <w:highlight w:val="none"/>
        </w:rPr>
        <w:t>。</w:t>
      </w:r>
    </w:p>
    <w:p>
      <w:pPr>
        <w:pStyle w:val="45"/>
        <w:tabs>
          <w:tab w:val="left" w:pos="1196"/>
        </w:tabs>
        <w:spacing w:line="560" w:lineRule="exact"/>
        <w:ind w:left="0" w:firstLine="632" w:firstLineChars="200"/>
        <w:rPr>
          <w:rFonts w:hint="eastAsia" w:ascii="仿宋" w:hAnsi="仿宋" w:eastAsia="仿宋" w:cs="仿宋"/>
          <w:b/>
          <w:color w:val="auto"/>
          <w:spacing w:val="-2"/>
          <w:sz w:val="32"/>
          <w:szCs w:val="32"/>
          <w:highlight w:val="none"/>
        </w:rPr>
      </w:pPr>
      <w:r>
        <w:rPr>
          <w:rFonts w:hint="eastAsia" w:ascii="仿宋" w:hAnsi="仿宋" w:eastAsia="仿宋" w:cs="仿宋"/>
          <w:color w:val="auto"/>
          <w:spacing w:val="-2"/>
          <w:sz w:val="32"/>
          <w:szCs w:val="32"/>
          <w:highlight w:val="none"/>
          <w:lang w:val="en-US" w:eastAsia="zh-CN"/>
        </w:rPr>
        <w:t>2</w:t>
      </w:r>
      <w:r>
        <w:rPr>
          <w:rFonts w:hint="eastAsia" w:ascii="仿宋" w:hAnsi="仿宋" w:eastAsia="仿宋" w:cs="仿宋"/>
          <w:color w:val="auto"/>
          <w:spacing w:val="-2"/>
          <w:sz w:val="32"/>
          <w:szCs w:val="32"/>
          <w:highlight w:val="none"/>
        </w:rPr>
        <w:t>.报价一经涂改，应在涂改处加盖投标人有效电子公章或者由法定代表人或者授权委托人签字或者盖章</w:t>
      </w:r>
      <w:r>
        <w:rPr>
          <w:rFonts w:hint="eastAsia" w:ascii="仿宋" w:hAnsi="仿宋" w:eastAsia="仿宋" w:cs="仿宋"/>
          <w:b/>
          <w:color w:val="auto"/>
          <w:spacing w:val="-2"/>
          <w:sz w:val="32"/>
          <w:szCs w:val="32"/>
          <w:highlight w:val="none"/>
        </w:rPr>
        <w:t>，否则其投标作无效标处理。</w:t>
      </w:r>
    </w:p>
    <w:p>
      <w:pPr>
        <w:tabs>
          <w:tab w:val="left" w:pos="9411"/>
        </w:tabs>
        <w:spacing w:line="560" w:lineRule="exact"/>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法定代表人或者其委托代理人签字</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7851"/>
        </w:tabs>
        <w:spacing w:line="560" w:lineRule="exact"/>
        <w:ind w:firstLine="1920" w:firstLineChars="6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u w:val="single"/>
        </w:rPr>
        <w:tab/>
      </w:r>
    </w:p>
    <w:p>
      <w:pPr>
        <w:tabs>
          <w:tab w:val="left" w:pos="2362"/>
        </w:tabs>
        <w:bidi w:val="0"/>
        <w:ind w:firstLine="1800" w:firstLineChars="600"/>
        <w:jc w:val="left"/>
        <w:rPr>
          <w:rFonts w:hint="eastAsia" w:eastAsia="宋体"/>
          <w:lang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0"/>
          <w:sz w:val="32"/>
          <w:szCs w:val="32"/>
          <w:highlight w:val="none"/>
        </w:rPr>
        <w:t>日</w:t>
      </w:r>
      <w:r>
        <w:rPr>
          <w:rFonts w:hint="eastAsia" w:ascii="仿宋" w:hAnsi="仿宋" w:eastAsia="仿宋" w:cs="仿宋"/>
          <w:color w:val="auto"/>
          <w:sz w:val="32"/>
          <w:szCs w:val="32"/>
          <w:highlight w:val="none"/>
        </w:rPr>
        <w:t xml:space="preserve">期： </w:t>
      </w:r>
      <w:r>
        <w:rPr>
          <w:rFonts w:hint="eastAsia" w:ascii="仿宋" w:hAnsi="仿宋" w:eastAsia="仿宋" w:cs="仿宋"/>
          <w:color w:val="auto"/>
          <w:sz w:val="32"/>
          <w:szCs w:val="32"/>
          <w:highlight w:val="none"/>
          <w:u w:val="single"/>
        </w:rPr>
        <w:tab/>
      </w:r>
    </w:p>
    <w:p>
      <w:pPr>
        <w:pStyle w:val="9"/>
        <w:spacing w:before="61"/>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三、资格证明文件格式</w:t>
      </w:r>
      <w:bookmarkEnd w:id="70"/>
    </w:p>
    <w:p>
      <w:pPr>
        <w:pStyle w:val="13"/>
        <w:spacing w:before="11"/>
        <w:rPr>
          <w:rFonts w:ascii="仿宋" w:hAnsi="仿宋" w:eastAsia="仿宋" w:cs="仿宋"/>
          <w:b/>
          <w:bCs/>
          <w:color w:val="auto"/>
          <w:w w:val="95"/>
          <w:sz w:val="40"/>
          <w:szCs w:val="40"/>
          <w:highlight w:val="none"/>
        </w:rPr>
      </w:pPr>
    </w:p>
    <w:p>
      <w:pPr>
        <w:pStyle w:val="10"/>
        <w:numPr>
          <w:ilvl w:val="0"/>
          <w:numId w:val="21"/>
        </w:numPr>
        <w:tabs>
          <w:tab w:val="left" w:pos="893"/>
        </w:tabs>
        <w:ind w:hanging="421"/>
        <w:jc w:val="left"/>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资格证明文件封面格式：</w:t>
      </w: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13"/>
        <w:rPr>
          <w:b/>
          <w:color w:val="auto"/>
          <w:sz w:val="20"/>
          <w:highlight w:val="none"/>
        </w:rPr>
      </w:pPr>
    </w:p>
    <w:p>
      <w:pPr>
        <w:pStyle w:val="5"/>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资格证明文件</w:t>
      </w:r>
    </w:p>
    <w:p>
      <w:pPr>
        <w:pStyle w:val="13"/>
        <w:rPr>
          <w:b/>
          <w:color w:val="auto"/>
          <w:sz w:val="20"/>
          <w:highlight w:val="none"/>
        </w:rPr>
      </w:pPr>
    </w:p>
    <w:p>
      <w:pPr>
        <w:pStyle w:val="13"/>
        <w:spacing w:line="600" w:lineRule="exact"/>
        <w:rPr>
          <w:rFonts w:ascii="仿宋" w:hAnsi="仿宋" w:eastAsia="仿宋" w:cs="仿宋"/>
          <w:b/>
          <w:color w:val="auto"/>
          <w:sz w:val="32"/>
          <w:szCs w:val="32"/>
          <w:highlight w:val="none"/>
        </w:rPr>
      </w:pPr>
    </w:p>
    <w:p>
      <w:pPr>
        <w:pStyle w:val="13"/>
        <w:spacing w:line="600" w:lineRule="exact"/>
        <w:rPr>
          <w:rFonts w:ascii="仿宋" w:hAnsi="仿宋" w:eastAsia="仿宋" w:cs="仿宋"/>
          <w:b/>
          <w:color w:val="auto"/>
          <w:sz w:val="32"/>
          <w:szCs w:val="32"/>
          <w:highlight w:val="none"/>
        </w:rPr>
      </w:pPr>
    </w:p>
    <w:p>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pPr>
        <w:pStyle w:val="13"/>
        <w:spacing w:line="600" w:lineRule="exact"/>
        <w:rPr>
          <w:rFonts w:ascii="仿宋" w:hAnsi="仿宋" w:eastAsia="仿宋" w:cs="仿宋"/>
          <w:color w:val="auto"/>
          <w:sz w:val="32"/>
          <w:szCs w:val="32"/>
          <w:highlight w:val="none"/>
        </w:rPr>
      </w:pPr>
    </w:p>
    <w:p>
      <w:pPr>
        <w:tabs>
          <w:tab w:val="left" w:pos="1125"/>
          <w:tab w:val="left" w:pos="1605"/>
        </w:tabs>
        <w:spacing w:line="60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pPr>
        <w:spacing w:line="600" w:lineRule="exac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893"/>
        </w:tabs>
        <w:spacing w:before="131"/>
        <w:ind w:left="471" w:firstLine="0"/>
        <w:rPr>
          <w:rFonts w:ascii="仿宋" w:hAnsi="仿宋" w:eastAsia="仿宋" w:cs="仿宋"/>
          <w:b w:val="0"/>
          <w:color w:val="auto"/>
          <w:sz w:val="32"/>
          <w:szCs w:val="32"/>
          <w:highlight w:val="none"/>
        </w:rPr>
      </w:pPr>
      <w:r>
        <w:rPr>
          <w:rFonts w:hint="eastAsia" w:ascii="仿宋" w:hAnsi="仿宋" w:eastAsia="仿宋" w:cs="仿宋"/>
          <w:color w:val="auto"/>
          <w:w w:val="95"/>
          <w:sz w:val="32"/>
          <w:szCs w:val="32"/>
          <w:highlight w:val="none"/>
        </w:rPr>
        <w:t>资格证明文件</w:t>
      </w:r>
      <w:r>
        <w:rPr>
          <w:rFonts w:hint="eastAsia" w:ascii="仿宋" w:hAnsi="仿宋" w:eastAsia="仿宋" w:cs="仿宋"/>
          <w:color w:val="auto"/>
          <w:spacing w:val="-5"/>
          <w:w w:val="95"/>
          <w:sz w:val="32"/>
          <w:szCs w:val="32"/>
          <w:highlight w:val="none"/>
        </w:rPr>
        <w:t>目录</w:t>
      </w:r>
    </w:p>
    <w:p>
      <w:pPr>
        <w:pStyle w:val="13"/>
        <w:spacing w:before="207"/>
        <w:ind w:left="892"/>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pP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投标声明格式</w:t>
      </w:r>
    </w:p>
    <w:p>
      <w:pPr>
        <w:pStyle w:val="5"/>
        <w:spacing w:line="600" w:lineRule="atLeast"/>
        <w:ind w:left="0" w:right="0"/>
        <w:rPr>
          <w:color w:val="auto"/>
          <w:highlight w:val="none"/>
        </w:rPr>
      </w:pPr>
      <w:r>
        <w:rPr>
          <w:rFonts w:hint="eastAsia" w:ascii="仿宋" w:hAnsi="仿宋" w:eastAsia="仿宋" w:cs="仿宋"/>
          <w:color w:val="auto"/>
          <w:w w:val="95"/>
          <w:sz w:val="36"/>
          <w:szCs w:val="36"/>
          <w:highlight w:val="none"/>
        </w:rPr>
        <w:t>投标声</w:t>
      </w:r>
      <w:r>
        <w:rPr>
          <w:rFonts w:hint="eastAsia" w:ascii="仿宋" w:hAnsi="仿宋" w:eastAsia="仿宋" w:cs="仿宋"/>
          <w:color w:val="auto"/>
          <w:spacing w:val="-10"/>
          <w:w w:val="95"/>
          <w:sz w:val="36"/>
          <w:szCs w:val="36"/>
          <w:highlight w:val="none"/>
        </w:rPr>
        <w:t>明</w:t>
      </w:r>
    </w:p>
    <w:p>
      <w:pPr>
        <w:spacing w:line="560" w:lineRule="exact"/>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（采购人名称或采购代理机构名称</w:t>
      </w:r>
      <w:r>
        <w:rPr>
          <w:rFonts w:hint="eastAsia" w:ascii="仿宋" w:hAnsi="仿宋" w:eastAsia="仿宋" w:cs="仿宋"/>
          <w:color w:val="auto"/>
          <w:spacing w:val="-5"/>
          <w:sz w:val="32"/>
          <w:szCs w:val="28"/>
          <w:highlight w:val="none"/>
        </w:rPr>
        <w:t>）：</w:t>
      </w:r>
    </w:p>
    <w:p>
      <w:pPr>
        <w:tabs>
          <w:tab w:val="left" w:pos="4598"/>
          <w:tab w:val="left" w:pos="7358"/>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我方参加贵单位组织</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项目（项目编号：</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 xml:space="preserve"> ）的政府采购活动。我方在此郑重声明：</w:t>
      </w:r>
    </w:p>
    <w:p>
      <w:pPr>
        <w:tabs>
          <w:tab w:val="left" w:pos="1194"/>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tabs>
          <w:tab w:val="left" w:pos="1299"/>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tabs>
          <w:tab w:val="left" w:pos="1313"/>
        </w:tabs>
        <w:spacing w:line="560" w:lineRule="exact"/>
        <w:ind w:firstLine="636" w:firstLineChars="200"/>
        <w:jc w:val="both"/>
        <w:rPr>
          <w:rFonts w:ascii="仿宋" w:hAnsi="仿宋" w:eastAsia="仿宋" w:cs="仿宋"/>
          <w:color w:val="auto"/>
          <w:sz w:val="32"/>
          <w:szCs w:val="28"/>
          <w:highlight w:val="none"/>
        </w:rPr>
      </w:pPr>
      <w:r>
        <w:rPr>
          <w:rFonts w:hint="eastAsia" w:ascii="仿宋" w:hAnsi="仿宋" w:eastAsia="仿宋" w:cs="仿宋"/>
          <w:color w:val="auto"/>
          <w:spacing w:val="-1"/>
          <w:sz w:val="32"/>
          <w:szCs w:val="28"/>
          <w:highlight w:val="none"/>
        </w:rPr>
        <w:t>3.我方承诺符合《中华人民共和国政府采购法》第二十二条规定：</w:t>
      </w:r>
    </w:p>
    <w:p>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（一）</w:t>
      </w:r>
      <w:r>
        <w:rPr>
          <w:rFonts w:hint="eastAsia" w:ascii="仿宋" w:hAnsi="仿宋" w:eastAsia="仿宋" w:cs="仿宋"/>
          <w:color w:val="auto"/>
          <w:spacing w:val="-1"/>
          <w:sz w:val="32"/>
          <w:szCs w:val="28"/>
          <w:highlight w:val="none"/>
        </w:rPr>
        <w:t>具有独立承担民事责任的能力；</w:t>
      </w:r>
    </w:p>
    <w:p>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（二）</w:t>
      </w:r>
      <w:r>
        <w:rPr>
          <w:rFonts w:hint="eastAsia" w:ascii="仿宋" w:hAnsi="仿宋" w:eastAsia="仿宋" w:cs="仿宋"/>
          <w:color w:val="auto"/>
          <w:spacing w:val="-1"/>
          <w:sz w:val="32"/>
          <w:szCs w:val="28"/>
          <w:highlight w:val="none"/>
        </w:rPr>
        <w:t>具有良好的商业信誉和健全的财务会计制度；</w:t>
      </w:r>
    </w:p>
    <w:p>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（三）</w:t>
      </w:r>
      <w:r>
        <w:rPr>
          <w:rFonts w:hint="eastAsia" w:ascii="仿宋" w:hAnsi="仿宋" w:eastAsia="仿宋" w:cs="仿宋"/>
          <w:color w:val="auto"/>
          <w:spacing w:val="-1"/>
          <w:sz w:val="32"/>
          <w:szCs w:val="28"/>
          <w:highlight w:val="none"/>
        </w:rPr>
        <w:t>具有履行合同所必需的设备和专业技术能力；</w:t>
      </w:r>
    </w:p>
    <w:p>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（四）</w:t>
      </w:r>
      <w:r>
        <w:rPr>
          <w:rFonts w:hint="eastAsia" w:ascii="仿宋" w:hAnsi="仿宋" w:eastAsia="仿宋" w:cs="仿宋"/>
          <w:color w:val="auto"/>
          <w:spacing w:val="-1"/>
          <w:sz w:val="32"/>
          <w:szCs w:val="28"/>
          <w:highlight w:val="none"/>
        </w:rPr>
        <w:t>有依法缴纳税收和社会保障资金的良好记录；</w:t>
      </w:r>
    </w:p>
    <w:p>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（五）</w:t>
      </w:r>
      <w:r>
        <w:rPr>
          <w:rFonts w:hint="eastAsia" w:ascii="仿宋" w:hAnsi="仿宋" w:eastAsia="仿宋" w:cs="仿宋"/>
          <w:color w:val="auto"/>
          <w:spacing w:val="-1"/>
          <w:sz w:val="32"/>
          <w:szCs w:val="28"/>
          <w:highlight w:val="none"/>
        </w:rPr>
        <w:t>参加政府采购活动前三年内，在经营活动中没有重大违法记录；</w:t>
      </w:r>
    </w:p>
    <w:p>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（六）</w:t>
      </w:r>
      <w:r>
        <w:rPr>
          <w:rFonts w:hint="eastAsia" w:ascii="仿宋" w:hAnsi="仿宋" w:eastAsia="仿宋" w:cs="仿宋"/>
          <w:color w:val="auto"/>
          <w:spacing w:val="-1"/>
          <w:sz w:val="32"/>
          <w:szCs w:val="28"/>
          <w:highlight w:val="none"/>
        </w:rPr>
        <w:t>法律、行政法规规定的其他条件。</w:t>
      </w:r>
    </w:p>
    <w:p>
      <w:pPr>
        <w:tabs>
          <w:tab w:val="left" w:pos="1194"/>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4.以上事项如有虚假或者隐瞒，我方愿意承担一切后果，并不再寻求任何旨在减轻或者免除法律责任的辩解。</w:t>
      </w:r>
    </w:p>
    <w:p>
      <w:pPr>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特此承诺。</w:t>
      </w:r>
    </w:p>
    <w:p>
      <w:pPr>
        <w:pStyle w:val="10"/>
        <w:spacing w:line="560" w:lineRule="exact"/>
        <w:rPr>
          <w:rFonts w:ascii="仿宋" w:hAnsi="仿宋" w:eastAsia="仿宋" w:cs="仿宋"/>
          <w:color w:val="auto"/>
          <w:sz w:val="32"/>
          <w:szCs w:val="32"/>
          <w:highlight w:val="none"/>
        </w:rPr>
      </w:pPr>
    </w:p>
    <w:p>
      <w:pPr>
        <w:pStyle w:val="13"/>
        <w:spacing w:line="560" w:lineRule="exact"/>
        <w:ind w:firstLine="643" w:firstLineChars="200"/>
        <w:rPr>
          <w:rFonts w:ascii="仿宋" w:hAnsi="仿宋" w:eastAsia="仿宋" w:cs="仿宋"/>
          <w:b/>
          <w:color w:val="auto"/>
          <w:sz w:val="32"/>
          <w:szCs w:val="24"/>
          <w:highlight w:val="none"/>
        </w:rPr>
      </w:pPr>
    </w:p>
    <w:p>
      <w:pPr>
        <w:tabs>
          <w:tab w:val="left" w:pos="9291"/>
        </w:tabs>
        <w:spacing w:before="173"/>
        <w:ind w:left="4792"/>
        <w:rPr>
          <w:rFonts w:ascii="仿宋" w:hAnsi="仿宋" w:eastAsia="仿宋" w:cs="仿宋"/>
          <w:color w:val="auto"/>
          <w:spacing w:val="-2"/>
          <w:sz w:val="32"/>
          <w:szCs w:val="28"/>
          <w:highlight w:val="none"/>
          <w:u w:val="single"/>
        </w:rPr>
      </w:pPr>
      <w:r>
        <w:rPr>
          <w:rFonts w:hint="eastAsia" w:ascii="仿宋" w:hAnsi="仿宋" w:eastAsia="仿宋" w:cs="仿宋"/>
          <w:color w:val="auto"/>
          <w:spacing w:val="-2"/>
          <w:sz w:val="32"/>
          <w:szCs w:val="28"/>
          <w:highlight w:val="none"/>
        </w:rPr>
        <w:t>投标人（电子签章）：</w:t>
      </w:r>
      <w:r>
        <w:rPr>
          <w:rFonts w:hint="eastAsia" w:ascii="仿宋" w:hAnsi="仿宋" w:eastAsia="仿宋" w:cs="仿宋"/>
          <w:color w:val="auto"/>
          <w:spacing w:val="-2"/>
          <w:sz w:val="32"/>
          <w:szCs w:val="28"/>
          <w:highlight w:val="none"/>
          <w:u w:val="single"/>
        </w:rPr>
        <w:t xml:space="preserve">      </w:t>
      </w:r>
    </w:p>
    <w:p>
      <w:pPr>
        <w:tabs>
          <w:tab w:val="left" w:pos="9291"/>
        </w:tabs>
        <w:spacing w:line="560" w:lineRule="exact"/>
        <w:ind w:firstLine="5372" w:firstLineChars="1700"/>
        <w:rPr>
          <w:rFonts w:ascii="仿宋" w:hAnsi="仿宋" w:eastAsia="仿宋" w:cs="仿宋"/>
          <w:color w:val="auto"/>
          <w:spacing w:val="-2"/>
          <w:sz w:val="32"/>
          <w:szCs w:val="28"/>
          <w:highlight w:val="none"/>
        </w:rPr>
      </w:pPr>
      <w:r>
        <w:rPr>
          <w:rFonts w:hint="eastAsia" w:ascii="仿宋" w:hAnsi="仿宋" w:eastAsia="仿宋" w:cs="仿宋"/>
          <w:color w:val="auto"/>
          <w:spacing w:val="-2"/>
          <w:sz w:val="32"/>
          <w:szCs w:val="28"/>
          <w:highlight w:val="none"/>
        </w:rPr>
        <w:t>年  月  日</w:t>
      </w:r>
    </w:p>
    <w:p>
      <w:pPr>
        <w:tabs>
          <w:tab w:val="left" w:pos="9291"/>
        </w:tabs>
        <w:spacing w:line="560" w:lineRule="exact"/>
        <w:rPr>
          <w:rFonts w:ascii="仿宋" w:hAnsi="仿宋" w:eastAsia="仿宋" w:cs="仿宋"/>
          <w:color w:val="auto"/>
          <w:spacing w:val="-2"/>
          <w:sz w:val="32"/>
          <w:szCs w:val="28"/>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893"/>
        </w:tabs>
        <w:ind w:left="471" w:firstLine="0"/>
        <w:rPr>
          <w:color w:val="auto"/>
          <w:sz w:val="20"/>
          <w:highlight w:val="none"/>
        </w:rPr>
      </w:pPr>
      <w:bookmarkStart w:id="71" w:name="_Toc17571"/>
      <w:bookmarkStart w:id="72" w:name="_Toc16691"/>
      <w:r>
        <w:rPr>
          <w:rFonts w:hint="eastAsia" w:ascii="仿宋" w:hAnsi="仿宋" w:eastAsia="仿宋" w:cs="仿宋"/>
          <w:color w:val="auto"/>
          <w:w w:val="95"/>
          <w:sz w:val="40"/>
          <w:szCs w:val="40"/>
          <w:highlight w:val="none"/>
        </w:rPr>
        <w:t>中小企业声明函格式</w:t>
      </w:r>
      <w:bookmarkEnd w:id="71"/>
    </w:p>
    <w:p>
      <w:pPr>
        <w:pStyle w:val="9"/>
        <w:ind w:left="4027"/>
        <w:rPr>
          <w:rFonts w:ascii="仿宋" w:hAnsi="仿宋" w:eastAsia="仿宋" w:cs="仿宋"/>
          <w:color w:val="auto"/>
          <w:sz w:val="36"/>
          <w:szCs w:val="36"/>
          <w:highlight w:val="none"/>
        </w:rPr>
      </w:pPr>
      <w:r>
        <w:rPr>
          <w:rFonts w:hint="eastAsia" w:ascii="仿宋" w:hAnsi="仿宋" w:eastAsia="仿宋" w:cs="仿宋"/>
          <w:color w:val="auto"/>
          <w:w w:val="95"/>
          <w:sz w:val="36"/>
          <w:szCs w:val="36"/>
          <w:highlight w:val="none"/>
        </w:rPr>
        <w:t>中小企业声明函</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中小企业声明函（货物） 本公司（联合体）郑重声明，根据《政府采购促进中小企业发展管理办法》（财库﹝2020﹞46 号）的规定，本公司 （联合体）参加</w:t>
      </w:r>
      <w:r>
        <w:rPr>
          <w:rFonts w:hint="eastAsia" w:ascii="仿宋" w:hAnsi="仿宋" w:eastAsia="仿宋" w:cs="仿宋"/>
          <w:color w:val="auto"/>
          <w:sz w:val="32"/>
          <w:szCs w:val="32"/>
          <w:highlight w:val="none"/>
          <w:u w:val="single"/>
        </w:rPr>
        <w:t>（采购单位名称）</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 （含联合体中的中小企业、签订分包意向协议的中小企业） 的具体情况如下：</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w:t>
      </w:r>
      <w:r>
        <w:rPr>
          <w:rFonts w:hint="eastAsia" w:ascii="仿宋" w:hAnsi="仿宋" w:eastAsia="仿宋" w:cs="仿宋"/>
          <w:color w:val="auto"/>
          <w:sz w:val="32"/>
          <w:szCs w:val="32"/>
          <w:highlight w:val="none"/>
          <w:u w:val="single"/>
        </w:rPr>
        <w:t xml:space="preserve"> （标的名称）</w:t>
      </w:r>
      <w:r>
        <w:rPr>
          <w:rFonts w:hint="eastAsia" w:ascii="仿宋" w:hAnsi="仿宋" w:eastAsia="仿宋" w:cs="仿宋"/>
          <w:color w:val="auto"/>
          <w:sz w:val="32"/>
          <w:szCs w:val="32"/>
          <w:highlight w:val="none"/>
        </w:rPr>
        <w:t xml:space="preserve"> ，属于</w:t>
      </w:r>
      <w:r>
        <w:rPr>
          <w:rFonts w:hint="eastAsia" w:ascii="仿宋" w:hAnsi="仿宋" w:eastAsia="仿宋" w:cs="仿宋"/>
          <w:color w:val="auto"/>
          <w:sz w:val="32"/>
          <w:szCs w:val="32"/>
          <w:highlight w:val="none"/>
          <w:u w:val="single"/>
        </w:rPr>
        <w:t>（</w:t>
      </w:r>
      <w:r>
        <w:rPr>
          <w:rFonts w:hint="eastAsia" w:ascii="仿宋" w:hAnsi="仿宋" w:eastAsia="仿宋" w:cs="仿宋"/>
          <w:color w:val="auto"/>
          <w:sz w:val="32"/>
          <w:szCs w:val="32"/>
          <w:highlight w:val="none"/>
          <w:u w:val="single"/>
          <w:lang w:eastAsia="zh-CN"/>
        </w:rPr>
        <w:t>招标</w:t>
      </w:r>
      <w:r>
        <w:rPr>
          <w:rFonts w:hint="eastAsia" w:ascii="仿宋" w:hAnsi="仿宋" w:eastAsia="仿宋" w:cs="仿宋"/>
          <w:color w:val="auto"/>
          <w:sz w:val="32"/>
          <w:szCs w:val="32"/>
          <w:highlight w:val="none"/>
          <w:u w:val="single"/>
        </w:rPr>
        <w:t>文件中明确的所属行业）</w:t>
      </w:r>
      <w:r>
        <w:rPr>
          <w:rFonts w:hint="eastAsia" w:ascii="仿宋" w:hAnsi="仿宋" w:eastAsia="仿宋" w:cs="仿宋"/>
          <w:color w:val="auto"/>
          <w:sz w:val="32"/>
          <w:szCs w:val="32"/>
          <w:highlight w:val="none"/>
        </w:rPr>
        <w:t xml:space="preserve"> 行业；制造商为</w:t>
      </w:r>
      <w:r>
        <w:rPr>
          <w:rFonts w:hint="eastAsia" w:ascii="仿宋" w:hAnsi="仿宋" w:eastAsia="仿宋" w:cs="仿宋"/>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 1，属于</w:t>
      </w:r>
      <w:r>
        <w:rPr>
          <w:rFonts w:hint="eastAsia" w:ascii="仿宋" w:hAnsi="仿宋" w:eastAsia="仿宋" w:cs="仿宋"/>
          <w:color w:val="auto"/>
          <w:sz w:val="32"/>
          <w:szCs w:val="32"/>
          <w:highlight w:val="none"/>
          <w:u w:val="single"/>
        </w:rPr>
        <w:t>（中型企业、小 型企业、微型企业）</w:t>
      </w:r>
      <w:r>
        <w:rPr>
          <w:rFonts w:hint="eastAsia" w:ascii="仿宋" w:hAnsi="仿宋" w:eastAsia="仿宋" w:cs="仿宋"/>
          <w:color w:val="auto"/>
          <w:sz w:val="32"/>
          <w:szCs w:val="32"/>
          <w:highlight w:val="none"/>
        </w:rPr>
        <w:t>；</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w:t>
      </w:r>
      <w:r>
        <w:rPr>
          <w:rFonts w:hint="eastAsia" w:ascii="仿宋" w:hAnsi="仿宋" w:eastAsia="仿宋" w:cs="仿宋"/>
          <w:color w:val="auto"/>
          <w:sz w:val="32"/>
          <w:szCs w:val="32"/>
          <w:highlight w:val="none"/>
          <w:u w:val="single"/>
        </w:rPr>
        <w:t xml:space="preserve"> （标的名称） </w:t>
      </w:r>
      <w:r>
        <w:rPr>
          <w:rFonts w:hint="eastAsia" w:ascii="仿宋" w:hAnsi="仿宋" w:eastAsia="仿宋" w:cs="仿宋"/>
          <w:color w:val="auto"/>
          <w:sz w:val="32"/>
          <w:szCs w:val="32"/>
          <w:highlight w:val="none"/>
        </w:rPr>
        <w:t>，属于</w:t>
      </w:r>
      <w:r>
        <w:rPr>
          <w:rFonts w:hint="eastAsia" w:ascii="仿宋" w:hAnsi="仿宋" w:eastAsia="仿宋" w:cs="仿宋"/>
          <w:color w:val="auto"/>
          <w:sz w:val="32"/>
          <w:szCs w:val="32"/>
          <w:highlight w:val="none"/>
          <w:u w:val="single"/>
        </w:rPr>
        <w:t>（</w:t>
      </w:r>
      <w:r>
        <w:rPr>
          <w:rFonts w:hint="eastAsia" w:ascii="仿宋" w:hAnsi="仿宋" w:eastAsia="仿宋" w:cs="仿宋"/>
          <w:color w:val="auto"/>
          <w:sz w:val="32"/>
          <w:szCs w:val="32"/>
          <w:highlight w:val="none"/>
          <w:u w:val="single"/>
          <w:lang w:eastAsia="zh-CN"/>
        </w:rPr>
        <w:t>招标</w:t>
      </w:r>
      <w:r>
        <w:rPr>
          <w:rFonts w:hint="eastAsia" w:ascii="仿宋" w:hAnsi="仿宋" w:eastAsia="仿宋" w:cs="仿宋"/>
          <w:color w:val="auto"/>
          <w:sz w:val="32"/>
          <w:szCs w:val="32"/>
          <w:highlight w:val="none"/>
          <w:u w:val="single"/>
        </w:rPr>
        <w:t xml:space="preserve">文件中明确的所属行业） </w:t>
      </w:r>
      <w:r>
        <w:rPr>
          <w:rFonts w:hint="eastAsia" w:ascii="仿宋" w:hAnsi="仿宋" w:eastAsia="仿宋" w:cs="仿宋"/>
          <w:color w:val="auto"/>
          <w:sz w:val="32"/>
          <w:szCs w:val="32"/>
          <w:highlight w:val="none"/>
        </w:rPr>
        <w:t>行业；制造商为</w:t>
      </w:r>
      <w:r>
        <w:rPr>
          <w:rFonts w:hint="eastAsia" w:ascii="仿宋" w:hAnsi="仿宋" w:eastAsia="仿宋" w:cs="仿宋"/>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 万元，属于</w:t>
      </w:r>
      <w:r>
        <w:rPr>
          <w:rFonts w:hint="eastAsia" w:ascii="仿宋" w:hAnsi="仿宋" w:eastAsia="仿宋" w:cs="仿宋"/>
          <w:color w:val="auto"/>
          <w:sz w:val="32"/>
          <w:szCs w:val="32"/>
          <w:highlight w:val="none"/>
          <w:u w:val="single"/>
        </w:rPr>
        <w:t>（中型企业、小型 企业、微型企业）</w:t>
      </w:r>
      <w:r>
        <w:rPr>
          <w:rFonts w:hint="eastAsia" w:ascii="仿宋" w:hAnsi="仿宋" w:eastAsia="仿宋" w:cs="仿宋"/>
          <w:color w:val="auto"/>
          <w:sz w:val="32"/>
          <w:szCs w:val="32"/>
          <w:highlight w:val="none"/>
        </w:rPr>
        <w:t>；</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 </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 法承担相应责任。</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w:t>
      </w:r>
      <w:r>
        <w:rPr>
          <w:rFonts w:hint="eastAsia" w:ascii="仿宋" w:hAnsi="仿宋" w:eastAsia="仿宋" w:cs="仿宋"/>
          <w:color w:val="auto"/>
          <w:spacing w:val="-2"/>
          <w:sz w:val="32"/>
          <w:szCs w:val="28"/>
          <w:highlight w:val="none"/>
        </w:rPr>
        <w:t>电子签章</w:t>
      </w:r>
      <w:r>
        <w:rPr>
          <w:rFonts w:hint="eastAsia" w:ascii="仿宋" w:hAnsi="仿宋" w:eastAsia="仿宋" w:cs="仿宋"/>
          <w:color w:val="auto"/>
          <w:sz w:val="32"/>
          <w:szCs w:val="32"/>
          <w:highlight w:val="none"/>
        </w:rPr>
        <w:t>）：</w:t>
      </w:r>
      <w:r>
        <w:rPr>
          <w:rStyle w:val="47"/>
          <w:rFonts w:hint="eastAsia" w:ascii="仿宋" w:hAnsi="仿宋" w:eastAsia="仿宋" w:cs="仿宋"/>
          <w:color w:val="auto"/>
          <w:sz w:val="32"/>
          <w:szCs w:val="32"/>
          <w:highlight w:val="none"/>
        </w:rPr>
        <w:t>________</w:t>
      </w:r>
    </w:p>
    <w:p>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日 期：</w:t>
      </w:r>
      <w:r>
        <w:rPr>
          <w:rStyle w:val="47"/>
          <w:rFonts w:hint="eastAsia" w:ascii="仿宋" w:hAnsi="仿宋" w:eastAsia="仿宋" w:cs="仿宋"/>
          <w:color w:val="auto"/>
          <w:sz w:val="32"/>
          <w:szCs w:val="32"/>
          <w:highlight w:val="none"/>
        </w:rPr>
        <w:t>________</w:t>
      </w:r>
    </w:p>
    <w:p>
      <w:pPr>
        <w:spacing w:line="460" w:lineRule="exact"/>
        <w:ind w:firstLine="640" w:firstLineChars="200"/>
        <w:rPr>
          <w:rFonts w:ascii="仿宋" w:hAnsi="仿宋" w:eastAsia="仿宋" w:cs="仿宋"/>
          <w:color w:val="auto"/>
          <w:sz w:val="30"/>
          <w:szCs w:val="30"/>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vertAlign w:val="superscript"/>
        </w:rPr>
        <w:t>1</w:t>
      </w:r>
      <w:r>
        <w:rPr>
          <w:rFonts w:hint="eastAsia" w:ascii="仿宋" w:hAnsi="仿宋" w:eastAsia="仿宋" w:cs="仿宋"/>
          <w:color w:val="auto"/>
          <w:sz w:val="32"/>
          <w:szCs w:val="32"/>
          <w:highlight w:val="none"/>
        </w:rPr>
        <w:t>从业人员、营业收入、资产总额填报上一年度数据，无上一年度数据的新成立企业可不填报。</w:t>
      </w:r>
      <w:r>
        <w:rPr>
          <w:rStyle w:val="47"/>
          <w:rFonts w:ascii="仿宋" w:hAnsi="仿宋" w:eastAsia="仿宋"/>
          <w:color w:val="auto"/>
          <w:spacing w:val="6"/>
          <w:sz w:val="28"/>
          <w:szCs w:val="28"/>
          <w:highlight w:val="none"/>
        </w:rPr>
        <w:t xml:space="preserve">  </w:t>
      </w:r>
      <w:r>
        <w:rPr>
          <w:rFonts w:hint="eastAsia" w:ascii="仿宋" w:hAnsi="仿宋" w:eastAsia="仿宋" w:cs="仿宋"/>
          <w:color w:val="auto"/>
          <w:spacing w:val="-2"/>
          <w:sz w:val="30"/>
          <w:szCs w:val="30"/>
          <w:highlight w:val="none"/>
        </w:rPr>
        <w:t>。</w:t>
      </w:r>
    </w:p>
    <w:p>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893"/>
        </w:tabs>
        <w:ind w:left="471" w:firstLine="0"/>
        <w:rPr>
          <w:color w:val="auto"/>
          <w:highlight w:val="none"/>
        </w:rPr>
      </w:pPr>
      <w:bookmarkStart w:id="73" w:name="_Toc13799"/>
      <w:r>
        <w:rPr>
          <w:rFonts w:hint="eastAsia" w:ascii="仿宋" w:hAnsi="仿宋" w:eastAsia="仿宋" w:cs="仿宋"/>
          <w:color w:val="auto"/>
          <w:w w:val="95"/>
          <w:sz w:val="40"/>
          <w:szCs w:val="40"/>
          <w:highlight w:val="none"/>
        </w:rPr>
        <w:t>残疾人福利性单位声明函格式</w:t>
      </w:r>
      <w:bookmarkEnd w:id="73"/>
    </w:p>
    <w:p>
      <w:pPr>
        <w:pStyle w:val="9"/>
        <w:jc w:val="center"/>
        <w:rPr>
          <w:color w:val="auto"/>
          <w:sz w:val="34"/>
          <w:highlight w:val="none"/>
        </w:rPr>
      </w:pPr>
      <w:r>
        <w:rPr>
          <w:rFonts w:hint="eastAsia" w:ascii="仿宋" w:hAnsi="仿宋" w:eastAsia="仿宋" w:cs="仿宋"/>
          <w:color w:val="auto"/>
          <w:w w:val="95"/>
          <w:sz w:val="36"/>
          <w:szCs w:val="36"/>
          <w:highlight w:val="none"/>
        </w:rPr>
        <w:t>残疾人福利性单位声明函</w:t>
      </w:r>
    </w:p>
    <w:p>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本单位对上述声明的真实性负责。如有虚假，将依法承担相应责任。 </w:t>
      </w:r>
    </w:p>
    <w:p>
      <w:pPr>
        <w:snapToGrid w:val="0"/>
        <w:spacing w:line="560" w:lineRule="exact"/>
        <w:ind w:firstLine="4160" w:firstLineChars="13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单位名称（</w:t>
      </w:r>
      <w:r>
        <w:rPr>
          <w:rFonts w:hint="eastAsia" w:ascii="仿宋" w:hAnsi="仿宋" w:eastAsia="仿宋" w:cs="仿宋"/>
          <w:color w:val="auto"/>
          <w:spacing w:val="-2"/>
          <w:sz w:val="32"/>
          <w:szCs w:val="28"/>
          <w:highlight w:val="none"/>
        </w:rPr>
        <w:t>电子签章</w:t>
      </w:r>
      <w:r>
        <w:rPr>
          <w:rStyle w:val="47"/>
          <w:rFonts w:hint="eastAsia" w:ascii="仿宋" w:hAnsi="仿宋" w:eastAsia="仿宋" w:cs="仿宋"/>
          <w:color w:val="auto"/>
          <w:sz w:val="32"/>
          <w:szCs w:val="32"/>
          <w:highlight w:val="none"/>
        </w:rPr>
        <w:t>）：________</w:t>
      </w:r>
    </w:p>
    <w:p>
      <w:pPr>
        <w:spacing w:before="156" w:after="156" w:line="360" w:lineRule="auto"/>
        <w:ind w:firstLine="5440" w:firstLineChars="1700"/>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日 期：________</w:t>
      </w:r>
    </w:p>
    <w:p>
      <w:pPr>
        <w:pStyle w:val="9"/>
        <w:spacing w:before="61"/>
        <w:ind w:left="1137"/>
        <w:rPr>
          <w:rFonts w:ascii="仿宋" w:hAnsi="仿宋" w:eastAsia="仿宋" w:cs="仿宋"/>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四、商务文件格式</w:t>
      </w:r>
      <w:bookmarkEnd w:id="72"/>
    </w:p>
    <w:p>
      <w:pPr>
        <w:pStyle w:val="10"/>
        <w:tabs>
          <w:tab w:val="left" w:pos="893"/>
        </w:tabs>
        <w:ind w:left="471" w:firstLine="0"/>
        <w:rPr>
          <w:rFonts w:ascii="仿宋" w:hAnsi="仿宋" w:eastAsia="仿宋" w:cs="仿宋"/>
          <w:color w:val="auto"/>
          <w:w w:val="95"/>
          <w:sz w:val="40"/>
          <w:szCs w:val="40"/>
          <w:highlight w:val="none"/>
        </w:rPr>
      </w:pPr>
    </w:p>
    <w:p>
      <w:pPr>
        <w:pStyle w:val="10"/>
        <w:tabs>
          <w:tab w:val="left" w:pos="893"/>
        </w:tabs>
        <w:ind w:left="471" w:firstLine="0"/>
        <w:rPr>
          <w:rFonts w:ascii="仿宋" w:hAnsi="仿宋" w:eastAsia="仿宋" w:cs="仿宋"/>
          <w:color w:val="auto"/>
          <w:w w:val="95"/>
          <w:sz w:val="40"/>
          <w:szCs w:val="40"/>
          <w:highlight w:val="none"/>
        </w:rPr>
      </w:pPr>
      <w:bookmarkStart w:id="74" w:name="_Toc28411"/>
      <w:r>
        <w:rPr>
          <w:rFonts w:hint="eastAsia" w:ascii="仿宋" w:hAnsi="仿宋" w:eastAsia="仿宋" w:cs="仿宋"/>
          <w:color w:val="auto"/>
          <w:w w:val="95"/>
          <w:sz w:val="40"/>
          <w:szCs w:val="40"/>
          <w:highlight w:val="none"/>
        </w:rPr>
        <w:t>商务文件封面格式：</w:t>
      </w:r>
      <w:bookmarkEnd w:id="74"/>
    </w:p>
    <w:p>
      <w:pPr>
        <w:pStyle w:val="13"/>
        <w:rPr>
          <w:b/>
          <w:color w:val="auto"/>
          <w:sz w:val="20"/>
          <w:highlight w:val="none"/>
        </w:rPr>
      </w:pPr>
    </w:p>
    <w:p>
      <w:pPr>
        <w:pStyle w:val="13"/>
        <w:rPr>
          <w:b/>
          <w:color w:val="auto"/>
          <w:sz w:val="20"/>
          <w:highlight w:val="none"/>
        </w:rPr>
      </w:pPr>
    </w:p>
    <w:p>
      <w:pPr>
        <w:pStyle w:val="5"/>
        <w:spacing w:before="219"/>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商务文件</w:t>
      </w:r>
    </w:p>
    <w:p>
      <w:pPr>
        <w:pStyle w:val="13"/>
        <w:rPr>
          <w:b/>
          <w:color w:val="auto"/>
          <w:sz w:val="20"/>
          <w:highlight w:val="none"/>
        </w:rPr>
      </w:pPr>
    </w:p>
    <w:p>
      <w:pPr>
        <w:pStyle w:val="13"/>
        <w:spacing w:before="5"/>
        <w:rPr>
          <w:b/>
          <w:color w:val="auto"/>
          <w:sz w:val="18"/>
          <w:highlight w:val="none"/>
        </w:rPr>
      </w:pPr>
    </w:p>
    <w:p>
      <w:pPr>
        <w:spacing w:line="600" w:lineRule="atLeast"/>
        <w:ind w:left="1320" w:leftChars="600"/>
        <w:rPr>
          <w:rFonts w:ascii="仿宋" w:hAnsi="仿宋" w:eastAsia="仿宋" w:cs="仿宋"/>
          <w:color w:val="auto"/>
          <w:spacing w:val="-2"/>
          <w:sz w:val="32"/>
          <w:szCs w:val="32"/>
          <w:highlight w:val="none"/>
        </w:rPr>
      </w:pPr>
    </w:p>
    <w:p>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项目编号：</w:t>
      </w:r>
    </w:p>
    <w:p>
      <w:pPr>
        <w:spacing w:line="600" w:lineRule="atLeas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pPr>
        <w:tabs>
          <w:tab w:val="left" w:pos="479"/>
          <w:tab w:val="left" w:pos="959"/>
        </w:tabs>
        <w:spacing w:line="600" w:lineRule="atLeast"/>
        <w:ind w:firstLine="2100" w:firstLineChars="700"/>
        <w:jc w:val="both"/>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pPr>
        <w:spacing w:line="600" w:lineRule="atLeas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9"/>
        <w:tabs>
          <w:tab w:val="left" w:pos="756"/>
        </w:tabs>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商务文件目录</w:t>
      </w:r>
    </w:p>
    <w:p>
      <w:pPr>
        <w:pStyle w:val="13"/>
        <w:spacing w:before="232"/>
        <w:ind w:left="472"/>
        <w:rPr>
          <w:rFonts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pPr>
        <w:rPr>
          <w:rFonts w:ascii="仿宋" w:hAnsi="仿宋" w:eastAsia="仿宋" w:cs="仿宋"/>
          <w:b/>
          <w:bCs/>
          <w:color w:val="auto"/>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893"/>
        </w:tabs>
        <w:ind w:left="0" w:firstLine="0"/>
        <w:rPr>
          <w:rFonts w:ascii="仿宋" w:hAnsi="仿宋" w:eastAsia="仿宋" w:cs="仿宋"/>
          <w:color w:val="auto"/>
          <w:w w:val="95"/>
          <w:sz w:val="40"/>
          <w:szCs w:val="40"/>
          <w:highlight w:val="none"/>
        </w:rPr>
      </w:pPr>
      <w:bookmarkStart w:id="75" w:name="_Toc28620"/>
      <w:r>
        <w:rPr>
          <w:rFonts w:hint="eastAsia" w:ascii="仿宋" w:hAnsi="仿宋" w:eastAsia="仿宋" w:cs="仿宋"/>
          <w:color w:val="auto"/>
          <w:w w:val="95"/>
          <w:sz w:val="40"/>
          <w:szCs w:val="40"/>
          <w:highlight w:val="none"/>
        </w:rPr>
        <w:t>投标人参加本项目无串通投标行为的承诺函格式</w:t>
      </w:r>
      <w:bookmarkEnd w:id="75"/>
    </w:p>
    <w:p>
      <w:pPr>
        <w:pStyle w:val="10"/>
        <w:tabs>
          <w:tab w:val="left" w:pos="893"/>
        </w:tabs>
        <w:ind w:left="471" w:firstLine="0"/>
        <w:jc w:val="center"/>
        <w:rPr>
          <w:rFonts w:ascii="仿宋" w:hAnsi="仿宋" w:eastAsia="仿宋" w:cs="仿宋"/>
          <w:color w:val="auto"/>
          <w:w w:val="95"/>
          <w:sz w:val="32"/>
          <w:szCs w:val="32"/>
          <w:highlight w:val="none"/>
        </w:rPr>
      </w:pPr>
      <w:bookmarkStart w:id="76" w:name="_Toc9034"/>
      <w:r>
        <w:rPr>
          <w:rFonts w:hint="eastAsia" w:ascii="仿宋" w:hAnsi="仿宋" w:eastAsia="仿宋" w:cs="仿宋"/>
          <w:color w:val="auto"/>
          <w:w w:val="95"/>
          <w:sz w:val="32"/>
          <w:szCs w:val="32"/>
          <w:highlight w:val="none"/>
        </w:rPr>
        <w:t>投标人参加本项目无串通投标行为的承诺函</w:t>
      </w:r>
      <w:bookmarkEnd w:id="76"/>
    </w:p>
    <w:p>
      <w:pPr>
        <w:pStyle w:val="10"/>
        <w:spacing w:line="560" w:lineRule="exact"/>
        <w:ind w:left="0" w:firstLine="534" w:firstLineChars="200"/>
        <w:rPr>
          <w:rFonts w:ascii="仿宋" w:hAnsi="仿宋" w:eastAsia="仿宋" w:cs="仿宋"/>
          <w:color w:val="auto"/>
          <w:sz w:val="28"/>
          <w:szCs w:val="28"/>
          <w:highlight w:val="none"/>
        </w:rPr>
      </w:pPr>
      <w:bookmarkStart w:id="77" w:name="_Toc10670"/>
      <w:r>
        <w:rPr>
          <w:rFonts w:hint="eastAsia" w:ascii="仿宋" w:hAnsi="仿宋" w:eastAsia="仿宋" w:cs="仿宋"/>
          <w:color w:val="auto"/>
          <w:w w:val="95"/>
          <w:sz w:val="28"/>
          <w:szCs w:val="28"/>
          <w:highlight w:val="none"/>
        </w:rPr>
        <w:t>一、我方承诺无下列相互串通投标的情形</w:t>
      </w:r>
      <w:r>
        <w:rPr>
          <w:rFonts w:hint="eastAsia" w:ascii="仿宋" w:hAnsi="仿宋" w:eastAsia="仿宋" w:cs="仿宋"/>
          <w:color w:val="auto"/>
          <w:spacing w:val="-10"/>
          <w:w w:val="95"/>
          <w:sz w:val="28"/>
          <w:szCs w:val="28"/>
          <w:highlight w:val="none"/>
        </w:rPr>
        <w:t>：</w:t>
      </w:r>
      <w:bookmarkEnd w:id="77"/>
    </w:p>
    <w:p>
      <w:pPr>
        <w:tabs>
          <w:tab w:val="left" w:pos="1185"/>
        </w:tabs>
        <w:spacing w:line="560" w:lineRule="exact"/>
        <w:ind w:firstLine="528" w:firstLineChars="200"/>
        <w:rPr>
          <w:rFonts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 xml:space="preserve">1.不同投标人的投标文件由同一单位或者个人编制；或者不同投标人报名的 </w:t>
      </w:r>
      <w:r>
        <w:rPr>
          <w:rFonts w:hint="eastAsia" w:ascii="仿宋" w:hAnsi="仿宋" w:eastAsia="仿宋" w:cs="仿宋"/>
          <w:color w:val="auto"/>
          <w:spacing w:val="-2"/>
          <w:sz w:val="28"/>
          <w:szCs w:val="28"/>
          <w:highlight w:val="none"/>
        </w:rPr>
        <w:t>IP</w:t>
      </w:r>
      <w:r>
        <w:rPr>
          <w:rFonts w:hint="eastAsia" w:ascii="仿宋" w:hAnsi="仿宋" w:eastAsia="仿宋" w:cs="仿宋"/>
          <w:color w:val="auto"/>
          <w:spacing w:val="-11"/>
          <w:sz w:val="28"/>
          <w:szCs w:val="28"/>
          <w:highlight w:val="none"/>
        </w:rPr>
        <w:t xml:space="preserve"> 地址一致</w:t>
      </w:r>
      <w:r>
        <w:rPr>
          <w:rFonts w:hint="eastAsia" w:ascii="仿宋" w:hAnsi="仿宋" w:eastAsia="仿宋" w:cs="仿宋"/>
          <w:color w:val="auto"/>
          <w:spacing w:val="-6"/>
          <w:sz w:val="28"/>
          <w:szCs w:val="28"/>
          <w:highlight w:val="none"/>
        </w:rPr>
        <w:t>的；</w:t>
      </w:r>
    </w:p>
    <w:p>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2.不同投标人委托同一单位或者个人办理投标事宜；</w:t>
      </w:r>
    </w:p>
    <w:p>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3.不同的投标人的投标文件载明的项目管理员或者联系人员为同一个人；</w:t>
      </w:r>
    </w:p>
    <w:p>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4.不同投标人的电子投标文件异常一致；</w:t>
      </w:r>
    </w:p>
    <w:p>
      <w:pPr>
        <w:tabs>
          <w:tab w:val="left" w:pos="1185"/>
        </w:tabs>
        <w:spacing w:line="560" w:lineRule="exact"/>
        <w:ind w:firstLine="556" w:firstLineChars="200"/>
        <w:rPr>
          <w:rFonts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5.不同投标人的电子投标文件资料相互混装；</w:t>
      </w:r>
    </w:p>
    <w:p>
      <w:pPr>
        <w:pStyle w:val="45"/>
        <w:tabs>
          <w:tab w:val="left" w:pos="1185"/>
        </w:tabs>
        <w:spacing w:line="560" w:lineRule="exact"/>
        <w:ind w:left="0" w:firstLine="554" w:firstLineChars="200"/>
        <w:outlineLvl w:val="1"/>
        <w:rPr>
          <w:rFonts w:ascii="仿宋" w:hAnsi="仿宋" w:eastAsia="仿宋" w:cs="仿宋"/>
          <w:b/>
          <w:color w:val="auto"/>
          <w:sz w:val="28"/>
          <w:szCs w:val="28"/>
          <w:highlight w:val="none"/>
        </w:rPr>
      </w:pPr>
      <w:bookmarkStart w:id="78" w:name="_Toc11226"/>
      <w:r>
        <w:rPr>
          <w:rFonts w:hint="eastAsia" w:ascii="仿宋" w:hAnsi="仿宋" w:eastAsia="仿宋" w:cs="仿宋"/>
          <w:b/>
          <w:color w:val="auto"/>
          <w:spacing w:val="-2"/>
          <w:sz w:val="28"/>
          <w:szCs w:val="28"/>
          <w:highlight w:val="none"/>
        </w:rPr>
        <w:t>二、我方承诺无下列恶意串通的情形：</w:t>
      </w:r>
      <w:bookmarkEnd w:id="78"/>
    </w:p>
    <w:p>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1.投标人直接或者间接从采购人或者采购代理机构处获得其他投标人的相关信息并修改其投标文件或者响应文件；</w:t>
      </w:r>
    </w:p>
    <w:p>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2.投标人按照采购人或者采购代理机构的授意撤换、修改投标文件或者响应文件；</w:t>
      </w:r>
    </w:p>
    <w:p>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3.投标人之间协商技术方案等投标文件或者响应文件的实质性内容；</w:t>
      </w:r>
    </w:p>
    <w:p>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4.属于同一集团、协会、商会等组织成员的投标人按照该组织要求协同参加政府采购活</w:t>
      </w:r>
      <w:r>
        <w:rPr>
          <w:rFonts w:hint="eastAsia" w:ascii="仿宋" w:hAnsi="仿宋" w:eastAsia="仿宋" w:cs="仿宋"/>
          <w:color w:val="auto"/>
          <w:spacing w:val="-6"/>
          <w:sz w:val="28"/>
          <w:szCs w:val="28"/>
          <w:highlight w:val="none"/>
        </w:rPr>
        <w:t>动；</w:t>
      </w:r>
    </w:p>
    <w:p>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5.投标人之间商定部分投标人放弃参加政府采购活动或者放弃中标；</w:t>
      </w:r>
    </w:p>
    <w:p>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6.投标人与采购人或者采购代理机构之间、投标人相互之间，为谋求特定投标人中标或者排斥其他投标人的其他串通行为。</w:t>
      </w:r>
    </w:p>
    <w:p>
      <w:pPr>
        <w:pStyle w:val="10"/>
        <w:spacing w:line="560" w:lineRule="exact"/>
        <w:ind w:left="0" w:firstLine="552" w:firstLineChars="200"/>
        <w:rPr>
          <w:color w:val="auto"/>
          <w:sz w:val="22"/>
          <w:highlight w:val="none"/>
        </w:rPr>
      </w:pPr>
      <w:r>
        <w:rPr>
          <w:rFonts w:hint="eastAsia" w:ascii="仿宋" w:hAnsi="仿宋" w:eastAsia="仿宋" w:cs="仿宋"/>
          <w:color w:val="auto"/>
          <w:spacing w:val="-1"/>
          <w:w w:val="99"/>
          <w:sz w:val="28"/>
          <w:szCs w:val="28"/>
          <w:highlight w:val="none"/>
        </w:rPr>
        <w:t>以上情形一经核查属实，我方愿意承担一切后果，并不再寻求任何旨在减轻或者免除法</w:t>
      </w:r>
      <w:r>
        <w:rPr>
          <w:rFonts w:hint="eastAsia" w:ascii="仿宋" w:hAnsi="仿宋" w:eastAsia="仿宋" w:cs="仿宋"/>
          <w:color w:val="auto"/>
          <w:w w:val="99"/>
          <w:sz w:val="28"/>
          <w:szCs w:val="28"/>
          <w:highlight w:val="none"/>
        </w:rPr>
        <w:t>律责任的辩解。</w:t>
      </w:r>
    </w:p>
    <w:p>
      <w:pPr>
        <w:spacing w:line="560" w:lineRule="exact"/>
        <w:ind w:firstLine="3640" w:firstLineChars="1300"/>
        <w:outlineLvl w:val="1"/>
        <w:rPr>
          <w:rFonts w:ascii="仿宋" w:hAnsi="仿宋" w:eastAsia="仿宋" w:cs="仿宋"/>
          <w:color w:val="auto"/>
          <w:sz w:val="28"/>
          <w:szCs w:val="28"/>
          <w:highlight w:val="none"/>
        </w:rPr>
      </w:pPr>
      <w:bookmarkStart w:id="79" w:name="_Toc15740"/>
      <w:r>
        <w:rPr>
          <w:rFonts w:hint="eastAsia" w:ascii="仿宋" w:hAnsi="仿宋" w:eastAsia="仿宋" w:cs="仿宋"/>
          <w:color w:val="auto"/>
          <w:sz w:val="28"/>
          <w:szCs w:val="28"/>
          <w:highlight w:val="none"/>
        </w:rPr>
        <w:t>投标人名称（电子签章</w:t>
      </w:r>
      <w:r>
        <w:rPr>
          <w:rFonts w:hint="eastAsia" w:ascii="仿宋" w:hAnsi="仿宋" w:eastAsia="仿宋" w:cs="仿宋"/>
          <w:color w:val="auto"/>
          <w:spacing w:val="-10"/>
          <w:sz w:val="28"/>
          <w:szCs w:val="28"/>
          <w:highlight w:val="none"/>
        </w:rPr>
        <w:t>）</w:t>
      </w:r>
      <w:bookmarkEnd w:id="79"/>
    </w:p>
    <w:p>
      <w:pPr>
        <w:tabs>
          <w:tab w:val="left" w:pos="6952"/>
          <w:tab w:val="left" w:pos="7672"/>
          <w:tab w:val="left" w:pos="8512"/>
        </w:tabs>
        <w:spacing w:line="560" w:lineRule="exact"/>
        <w:ind w:firstLine="4160" w:firstLineChars="1600"/>
        <w:outlineLvl w:val="1"/>
        <w:rPr>
          <w:rFonts w:ascii="仿宋" w:hAnsi="仿宋" w:eastAsia="仿宋" w:cs="仿宋"/>
          <w:color w:val="auto"/>
          <w:sz w:val="28"/>
          <w:szCs w:val="28"/>
          <w:highlight w:val="none"/>
        </w:rPr>
      </w:pPr>
      <w:bookmarkStart w:id="80" w:name="_Toc30608"/>
      <w:r>
        <w:rPr>
          <w:rFonts w:hint="eastAsia" w:ascii="仿宋" w:hAnsi="仿宋" w:eastAsia="仿宋" w:cs="仿宋"/>
          <w:color w:val="auto"/>
          <w:spacing w:val="-10"/>
          <w:sz w:val="28"/>
          <w:szCs w:val="28"/>
          <w:highlight w:val="none"/>
        </w:rPr>
        <w:t>年  月  日</w:t>
      </w:r>
      <w:bookmarkEnd w:id="80"/>
    </w:p>
    <w:p>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893"/>
        </w:tabs>
        <w:ind w:left="0" w:firstLine="0"/>
        <w:rPr>
          <w:rFonts w:ascii="仿宋" w:hAnsi="仿宋" w:eastAsia="仿宋" w:cs="仿宋"/>
          <w:color w:val="auto"/>
          <w:w w:val="95"/>
          <w:sz w:val="40"/>
          <w:szCs w:val="40"/>
          <w:highlight w:val="none"/>
        </w:rPr>
      </w:pPr>
      <w:bookmarkStart w:id="81" w:name="_Toc5653"/>
      <w:r>
        <w:rPr>
          <w:rFonts w:hint="eastAsia" w:ascii="仿宋" w:hAnsi="仿宋" w:eastAsia="仿宋" w:cs="仿宋"/>
          <w:color w:val="auto"/>
          <w:w w:val="95"/>
          <w:sz w:val="40"/>
          <w:szCs w:val="40"/>
          <w:highlight w:val="none"/>
        </w:rPr>
        <w:t>法定代表人（负责人）身份证明格式</w:t>
      </w:r>
      <w:bookmarkEnd w:id="81"/>
    </w:p>
    <w:p>
      <w:pPr>
        <w:pStyle w:val="13"/>
        <w:spacing w:before="2"/>
        <w:rPr>
          <w:b/>
          <w:color w:val="auto"/>
          <w:sz w:val="22"/>
          <w:highlight w:val="none"/>
        </w:rPr>
      </w:pPr>
    </w:p>
    <w:p>
      <w:pPr>
        <w:pStyle w:val="5"/>
        <w:spacing w:before="1"/>
        <w:ind w:left="646" w:right="104"/>
        <w:rPr>
          <w:rFonts w:ascii="仿宋" w:hAnsi="仿宋" w:eastAsia="仿宋" w:cs="仿宋"/>
          <w:color w:val="auto"/>
          <w:w w:val="95"/>
          <w:highlight w:val="none"/>
        </w:rPr>
      </w:pPr>
      <w:r>
        <w:rPr>
          <w:rFonts w:hint="eastAsia" w:ascii="仿宋" w:hAnsi="仿宋" w:eastAsia="仿宋" w:cs="仿宋"/>
          <w:color w:val="auto"/>
          <w:w w:val="95"/>
          <w:highlight w:val="none"/>
        </w:rPr>
        <w:t>法定代表人（负责人）身份证明</w:t>
      </w:r>
    </w:p>
    <w:p>
      <w:pPr>
        <w:tabs>
          <w:tab w:val="left" w:pos="89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人</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1732"/>
          <w:tab w:val="left" w:pos="899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地</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姓</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性</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别</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龄</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职</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务</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647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2692"/>
          <w:tab w:val="left" w:pos="60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u w:val="single"/>
        </w:rPr>
        <w:t>（投标人名称）</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rPr>
        <w:t>的法定代表人。特此证明。</w:t>
      </w:r>
    </w:p>
    <w:p>
      <w:pPr>
        <w:pStyle w:val="13"/>
        <w:spacing w:line="560" w:lineRule="exact"/>
        <w:ind w:firstLine="640" w:firstLineChars="200"/>
        <w:rPr>
          <w:rFonts w:ascii="仿宋" w:hAnsi="仿宋" w:eastAsia="仿宋" w:cs="仿宋"/>
          <w:color w:val="auto"/>
          <w:sz w:val="32"/>
          <w:szCs w:val="32"/>
          <w:highlight w:val="none"/>
        </w:rPr>
      </w:pPr>
    </w:p>
    <w:p>
      <w:pPr>
        <w:pStyle w:val="13"/>
        <w:spacing w:line="560" w:lineRule="exact"/>
        <w:rPr>
          <w:rFonts w:ascii="仿宋" w:hAnsi="仿宋" w:eastAsia="仿宋" w:cs="仿宋"/>
          <w:color w:val="auto"/>
          <w:sz w:val="32"/>
          <w:szCs w:val="32"/>
          <w:highlight w:val="none"/>
        </w:rPr>
      </w:pPr>
    </w:p>
    <w:p>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附件：法定代表人有效身份证正反面复印件</w:t>
      </w:r>
    </w:p>
    <w:p>
      <w:pPr>
        <w:pStyle w:val="13"/>
        <w:rPr>
          <w:color w:val="auto"/>
          <w:sz w:val="24"/>
          <w:highlight w:val="none"/>
        </w:rPr>
      </w:pPr>
    </w:p>
    <w:p>
      <w:pPr>
        <w:pStyle w:val="13"/>
        <w:spacing w:before="12"/>
        <w:rPr>
          <w:color w:val="auto"/>
          <w:sz w:val="29"/>
          <w:highlight w:val="none"/>
        </w:rPr>
      </w:pPr>
    </w:p>
    <w:p>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投标人名称（电子签章）</w:t>
      </w:r>
    </w:p>
    <w:p>
      <w:pPr>
        <w:pStyle w:val="13"/>
        <w:rPr>
          <w:color w:val="auto"/>
          <w:sz w:val="20"/>
          <w:highlight w:val="none"/>
        </w:rPr>
      </w:pPr>
    </w:p>
    <w:p>
      <w:pPr>
        <w:pStyle w:val="13"/>
        <w:spacing w:before="5"/>
        <w:rPr>
          <w:color w:val="auto"/>
          <w:sz w:val="25"/>
          <w:highlight w:val="none"/>
        </w:rPr>
      </w:pPr>
    </w:p>
    <w:p>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年</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月</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日</w:t>
      </w:r>
    </w:p>
    <w:p>
      <w:pPr>
        <w:pStyle w:val="13"/>
        <w:rPr>
          <w:color w:val="auto"/>
          <w:sz w:val="20"/>
          <w:highlight w:val="none"/>
        </w:rPr>
      </w:pPr>
    </w:p>
    <w:p>
      <w:pPr>
        <w:pStyle w:val="13"/>
        <w:rPr>
          <w:color w:val="auto"/>
          <w:sz w:val="18"/>
          <w:highlight w:val="none"/>
        </w:rPr>
      </w:pPr>
    </w:p>
    <w:p>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0"/>
        <w:tabs>
          <w:tab w:val="left" w:pos="893"/>
        </w:tabs>
        <w:ind w:left="0" w:firstLine="0"/>
        <w:rPr>
          <w:rFonts w:ascii="仿宋" w:hAnsi="仿宋" w:eastAsia="仿宋" w:cs="仿宋"/>
          <w:color w:val="auto"/>
          <w:w w:val="95"/>
          <w:sz w:val="40"/>
          <w:szCs w:val="40"/>
          <w:highlight w:val="none"/>
        </w:rPr>
      </w:pPr>
      <w:bookmarkStart w:id="82" w:name="_Toc18231"/>
      <w:r>
        <w:rPr>
          <w:rFonts w:hint="eastAsia" w:ascii="仿宋" w:hAnsi="仿宋" w:eastAsia="仿宋" w:cs="仿宋"/>
          <w:color w:val="auto"/>
          <w:w w:val="95"/>
          <w:sz w:val="40"/>
          <w:szCs w:val="40"/>
          <w:highlight w:val="none"/>
        </w:rPr>
        <w:t>法定代表人授权委托书格式</w:t>
      </w:r>
      <w:bookmarkEnd w:id="82"/>
    </w:p>
    <w:p>
      <w:pPr>
        <w:pStyle w:val="5"/>
        <w:spacing w:before="54"/>
        <w:ind w:right="118"/>
        <w:rPr>
          <w:color w:val="auto"/>
          <w:sz w:val="40"/>
          <w:szCs w:val="28"/>
          <w:highlight w:val="none"/>
        </w:rPr>
      </w:pPr>
      <w:r>
        <w:rPr>
          <w:rFonts w:hint="eastAsia" w:ascii="仿宋" w:hAnsi="仿宋" w:eastAsia="仿宋" w:cs="仿宋"/>
          <w:color w:val="auto"/>
          <w:w w:val="95"/>
          <w:sz w:val="36"/>
          <w:szCs w:val="36"/>
          <w:highlight w:val="none"/>
        </w:rPr>
        <w:t>法定代表人授权委托书（如有委托时）</w:t>
      </w:r>
    </w:p>
    <w:p>
      <w:pPr>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采购人名称或采购代理机构名称</w:t>
      </w:r>
      <w:r>
        <w:rPr>
          <w:rFonts w:hint="eastAsia" w:ascii="仿宋" w:hAnsi="仿宋" w:eastAsia="仿宋" w:cs="仿宋"/>
          <w:color w:val="auto"/>
          <w:spacing w:val="-10"/>
          <w:sz w:val="32"/>
          <w:szCs w:val="32"/>
          <w:highlight w:val="none"/>
        </w:rPr>
        <w:t>：</w:t>
      </w:r>
    </w:p>
    <w:p>
      <w:pPr>
        <w:tabs>
          <w:tab w:val="left" w:pos="2179"/>
          <w:tab w:val="left" w:pos="4180"/>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我</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（姓名）</w:t>
      </w: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（投标人名称）的法定代表人（负责人），现授权委</w:t>
      </w:r>
      <w:r>
        <w:rPr>
          <w:rFonts w:hint="eastAsia" w:ascii="仿宋" w:hAnsi="仿宋" w:eastAsia="仿宋" w:cs="仿宋"/>
          <w:color w:val="auto"/>
          <w:spacing w:val="-10"/>
          <w:sz w:val="32"/>
          <w:szCs w:val="32"/>
          <w:highlight w:val="none"/>
        </w:rPr>
        <w:t>托</w:t>
      </w:r>
      <w:r>
        <w:rPr>
          <w:rFonts w:hint="eastAsia" w:ascii="仿宋" w:hAnsi="仿宋" w:eastAsia="仿宋" w:cs="仿宋"/>
          <w:color w:val="auto"/>
          <w:spacing w:val="-2"/>
          <w:sz w:val="32"/>
          <w:szCs w:val="32"/>
          <w:highlight w:val="none"/>
          <w:u w:val="single"/>
        </w:rPr>
        <w:t xml:space="preserve">（姓名） </w:t>
      </w:r>
      <w:r>
        <w:rPr>
          <w:rFonts w:hint="eastAsia" w:ascii="仿宋" w:hAnsi="仿宋" w:eastAsia="仿宋" w:cs="仿宋"/>
          <w:color w:val="auto"/>
          <w:spacing w:val="-2"/>
          <w:sz w:val="32"/>
          <w:szCs w:val="32"/>
          <w:highlight w:val="none"/>
        </w:rPr>
        <w:t>以我方的名义参加</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2"/>
          <w:sz w:val="32"/>
          <w:szCs w:val="32"/>
          <w:highlight w:val="none"/>
        </w:rPr>
        <w:t>项目的投标活动，并代表我方全权办理针对上述项目的所有采购程序和环节的具体事务和签署相关文件。</w:t>
      </w:r>
    </w:p>
    <w:p>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我方对委托代理人的签字事项负全部责任。</w:t>
      </w:r>
    </w:p>
    <w:p>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u w:val="single"/>
        </w:rPr>
        <w:t>本授权书自签署之日起生效，在撤销授权的书面通知以前，本授权书一直有效。委托代理人在授权书有效期内签署的所有文件不因授权的撤销而失效。</w:t>
      </w:r>
    </w:p>
    <w:p>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委托代理人无转委托权，特此委托。</w:t>
      </w:r>
    </w:p>
    <w:p>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附：委托代理人有效身份证正反面复印件</w:t>
      </w:r>
    </w:p>
    <w:p>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委托代理人签字：</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法定代表人（负责人）签字：</w:t>
      </w:r>
      <w:r>
        <w:rPr>
          <w:rFonts w:hint="eastAsia" w:ascii="仿宋" w:hAnsi="仿宋" w:eastAsia="仿宋" w:cs="仿宋"/>
          <w:color w:val="auto"/>
          <w:sz w:val="32"/>
          <w:szCs w:val="32"/>
          <w:highlight w:val="none"/>
          <w:u w:val="single"/>
        </w:rPr>
        <w:t xml:space="preserve">    </w:t>
      </w:r>
    </w:p>
    <w:p>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所在部门职务：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 xml:space="preserve">       </w:t>
      </w:r>
    </w:p>
    <w:p>
      <w:pPr>
        <w:tabs>
          <w:tab w:val="left" w:pos="66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tabs>
          <w:tab w:val="left" w:pos="7931"/>
          <w:tab w:val="left" w:pos="8651"/>
        </w:tabs>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投标人（电子签章）：</w:t>
      </w:r>
    </w:p>
    <w:p>
      <w:pPr>
        <w:tabs>
          <w:tab w:val="left" w:pos="7931"/>
          <w:tab w:val="left" w:pos="8651"/>
        </w:tabs>
        <w:spacing w:line="560" w:lineRule="exact"/>
        <w:ind w:firstLine="1500" w:firstLineChars="5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  日</w:t>
      </w:r>
    </w:p>
    <w:p>
      <w:pPr>
        <w:spacing w:line="560" w:lineRule="exact"/>
        <w:ind w:firstLine="632"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sz w:val="32"/>
          <w:szCs w:val="32"/>
          <w:highlight w:val="none"/>
        </w:rPr>
        <w:t>注：1.法定代表人（负责人）和其委托代理人必须在授权委托书上亲笔签名，不得使用印章、签名章或者其他电子制版签名代替，</w:t>
      </w:r>
      <w:r>
        <w:rPr>
          <w:rFonts w:hint="eastAsia" w:ascii="仿宋" w:hAnsi="仿宋" w:eastAsia="仿宋" w:cs="仿宋"/>
          <w:b/>
          <w:color w:val="auto"/>
          <w:spacing w:val="-2"/>
          <w:sz w:val="32"/>
          <w:szCs w:val="32"/>
          <w:highlight w:val="none"/>
        </w:rPr>
        <w:t>否则作无效投标处理</w:t>
      </w:r>
      <w:r>
        <w:rPr>
          <w:rFonts w:hint="eastAsia" w:ascii="仿宋" w:hAnsi="仿宋" w:eastAsia="仿宋" w:cs="仿宋"/>
          <w:color w:val="auto"/>
          <w:spacing w:val="-2"/>
          <w:sz w:val="32"/>
          <w:szCs w:val="32"/>
          <w:highlight w:val="none"/>
        </w:rPr>
        <w:t>；</w:t>
      </w:r>
      <w:r>
        <w:rPr>
          <w:rFonts w:hint="eastAsia" w:ascii="仿宋" w:hAnsi="仿宋" w:eastAsia="仿宋" w:cs="仿宋"/>
          <w:color w:val="auto"/>
          <w:sz w:val="32"/>
          <w:szCs w:val="32"/>
          <w:highlight w:val="none"/>
        </w:rPr>
        <w:t>2.以联合体形式投标的，本授权委托书应由联合体牵头人的法定代表人（负责人）</w:t>
      </w:r>
      <w:r>
        <w:rPr>
          <w:rFonts w:hint="eastAsia" w:ascii="仿宋" w:hAnsi="仿宋" w:eastAsia="仿宋" w:cs="仿宋"/>
          <w:color w:val="auto"/>
          <w:spacing w:val="-5"/>
          <w:sz w:val="32"/>
          <w:szCs w:val="32"/>
          <w:highlight w:val="none"/>
        </w:rPr>
        <w:t>按上</w:t>
      </w:r>
      <w:r>
        <w:rPr>
          <w:rFonts w:hint="eastAsia" w:ascii="仿宋" w:hAnsi="仿宋" w:eastAsia="仿宋" w:cs="仿宋"/>
          <w:color w:val="auto"/>
          <w:spacing w:val="-2"/>
          <w:sz w:val="32"/>
          <w:szCs w:val="32"/>
          <w:highlight w:val="none"/>
        </w:rPr>
        <w:t>述规定签署；3.供应商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0"/>
        <w:tabs>
          <w:tab w:val="left" w:pos="893"/>
        </w:tabs>
        <w:ind w:left="0" w:firstLine="0"/>
        <w:rPr>
          <w:rFonts w:ascii="仿宋" w:hAnsi="仿宋" w:eastAsia="仿宋" w:cs="仿宋"/>
          <w:color w:val="auto"/>
          <w:w w:val="95"/>
          <w:sz w:val="40"/>
          <w:szCs w:val="40"/>
          <w:highlight w:val="none"/>
        </w:rPr>
      </w:pPr>
      <w:bookmarkStart w:id="83" w:name="_Toc29935"/>
      <w:r>
        <w:rPr>
          <w:rFonts w:hint="eastAsia" w:ascii="仿宋" w:hAnsi="仿宋" w:eastAsia="仿宋" w:cs="仿宋"/>
          <w:color w:val="auto"/>
          <w:w w:val="95"/>
          <w:sz w:val="40"/>
          <w:szCs w:val="40"/>
          <w:highlight w:val="none"/>
        </w:rPr>
        <w:t>商务条款偏离表格式</w:t>
      </w:r>
      <w:bookmarkEnd w:id="83"/>
    </w:p>
    <w:p>
      <w:pPr>
        <w:pStyle w:val="13"/>
        <w:rPr>
          <w:b/>
          <w:color w:val="auto"/>
          <w:sz w:val="20"/>
          <w:highlight w:val="none"/>
        </w:rPr>
      </w:pPr>
    </w:p>
    <w:p>
      <w:pPr>
        <w:pStyle w:val="13"/>
        <w:rPr>
          <w:b/>
          <w:color w:val="auto"/>
          <w:sz w:val="20"/>
          <w:highlight w:val="none"/>
        </w:rPr>
      </w:pPr>
    </w:p>
    <w:p>
      <w:pPr>
        <w:pStyle w:val="13"/>
        <w:spacing w:before="7"/>
        <w:rPr>
          <w:b/>
          <w:color w:val="auto"/>
          <w:sz w:val="16"/>
          <w:highlight w:val="none"/>
        </w:rPr>
      </w:pPr>
    </w:p>
    <w:tbl>
      <w:tblPr>
        <w:tblStyle w:val="25"/>
        <w:tblW w:w="9655"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0"/>
        <w:gridCol w:w="2700"/>
        <w:gridCol w:w="2550"/>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000" w:type="dxa"/>
          </w:tcPr>
          <w:p>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项目</w:t>
            </w:r>
          </w:p>
        </w:tc>
        <w:tc>
          <w:tcPr>
            <w:tcW w:w="2700"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招标文件商务条款要求</w:t>
            </w:r>
          </w:p>
        </w:tc>
        <w:tc>
          <w:tcPr>
            <w:tcW w:w="2550"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投标人的承诺</w:t>
            </w:r>
          </w:p>
        </w:tc>
        <w:tc>
          <w:tcPr>
            <w:tcW w:w="1405"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3000" w:type="dxa"/>
          </w:tcPr>
          <w:p>
            <w:pPr>
              <w:pStyle w:val="46"/>
              <w:adjustRightInd w:val="0"/>
              <w:spacing w:line="560" w:lineRule="exact"/>
              <w:rPr>
                <w:rFonts w:hint="eastAsia" w:ascii="仿宋" w:hAnsi="仿宋" w:eastAsia="仿宋" w:cs="仿宋"/>
                <w:color w:val="auto"/>
                <w:sz w:val="32"/>
                <w:szCs w:val="32"/>
                <w:highlight w:val="none"/>
                <w:lang w:eastAsia="zh-CN"/>
              </w:rPr>
            </w:pPr>
          </w:p>
        </w:tc>
        <w:tc>
          <w:tcPr>
            <w:tcW w:w="2700" w:type="dxa"/>
          </w:tcPr>
          <w:p>
            <w:pPr>
              <w:pStyle w:val="46"/>
              <w:spacing w:line="560" w:lineRule="exact"/>
              <w:rPr>
                <w:rFonts w:ascii="仿宋" w:hAnsi="仿宋" w:eastAsia="仿宋" w:cs="仿宋"/>
                <w:color w:val="auto"/>
                <w:sz w:val="32"/>
                <w:szCs w:val="32"/>
                <w:highlight w:val="none"/>
              </w:rPr>
            </w:pPr>
          </w:p>
        </w:tc>
        <w:tc>
          <w:tcPr>
            <w:tcW w:w="2550" w:type="dxa"/>
          </w:tcPr>
          <w:p>
            <w:pPr>
              <w:pStyle w:val="46"/>
              <w:spacing w:line="560" w:lineRule="exact"/>
              <w:rPr>
                <w:rFonts w:ascii="仿宋" w:hAnsi="仿宋" w:eastAsia="仿宋" w:cs="仿宋"/>
                <w:color w:val="auto"/>
                <w:sz w:val="32"/>
                <w:szCs w:val="32"/>
                <w:highlight w:val="none"/>
              </w:rPr>
            </w:pPr>
          </w:p>
        </w:tc>
        <w:tc>
          <w:tcPr>
            <w:tcW w:w="1405" w:type="dxa"/>
          </w:tcPr>
          <w:p>
            <w:pPr>
              <w:pStyle w:val="46"/>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000" w:type="dxa"/>
          </w:tcPr>
          <w:p>
            <w:pPr>
              <w:pStyle w:val="46"/>
              <w:spacing w:line="560" w:lineRule="exact"/>
              <w:rPr>
                <w:rFonts w:ascii="仿宋" w:hAnsi="仿宋" w:eastAsia="仿宋" w:cs="仿宋"/>
                <w:color w:val="auto"/>
                <w:sz w:val="32"/>
                <w:szCs w:val="32"/>
                <w:highlight w:val="none"/>
              </w:rPr>
            </w:pPr>
          </w:p>
        </w:tc>
        <w:tc>
          <w:tcPr>
            <w:tcW w:w="2700" w:type="dxa"/>
          </w:tcPr>
          <w:p>
            <w:pPr>
              <w:pStyle w:val="46"/>
              <w:spacing w:line="560" w:lineRule="exact"/>
              <w:rPr>
                <w:rFonts w:ascii="仿宋" w:hAnsi="仿宋" w:eastAsia="仿宋" w:cs="仿宋"/>
                <w:color w:val="auto"/>
                <w:sz w:val="32"/>
                <w:szCs w:val="32"/>
                <w:highlight w:val="none"/>
              </w:rPr>
            </w:pPr>
          </w:p>
        </w:tc>
        <w:tc>
          <w:tcPr>
            <w:tcW w:w="2550" w:type="dxa"/>
          </w:tcPr>
          <w:p>
            <w:pPr>
              <w:pStyle w:val="46"/>
              <w:spacing w:line="560" w:lineRule="exact"/>
              <w:rPr>
                <w:rFonts w:ascii="仿宋" w:hAnsi="仿宋" w:eastAsia="仿宋" w:cs="仿宋"/>
                <w:color w:val="auto"/>
                <w:sz w:val="32"/>
                <w:szCs w:val="32"/>
                <w:highlight w:val="none"/>
              </w:rPr>
            </w:pPr>
          </w:p>
        </w:tc>
        <w:tc>
          <w:tcPr>
            <w:tcW w:w="1405" w:type="dxa"/>
          </w:tcPr>
          <w:p>
            <w:pPr>
              <w:pStyle w:val="46"/>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000" w:type="dxa"/>
          </w:tcPr>
          <w:p>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2700" w:type="dxa"/>
          </w:tcPr>
          <w:p>
            <w:pPr>
              <w:pStyle w:val="46"/>
              <w:spacing w:line="560" w:lineRule="exact"/>
              <w:rPr>
                <w:rFonts w:ascii="仿宋" w:hAnsi="仿宋" w:eastAsia="仿宋" w:cs="仿宋"/>
                <w:color w:val="auto"/>
                <w:sz w:val="32"/>
                <w:szCs w:val="32"/>
                <w:highlight w:val="none"/>
              </w:rPr>
            </w:pPr>
          </w:p>
        </w:tc>
        <w:tc>
          <w:tcPr>
            <w:tcW w:w="2550" w:type="dxa"/>
          </w:tcPr>
          <w:p>
            <w:pPr>
              <w:pStyle w:val="46"/>
              <w:spacing w:line="560" w:lineRule="exact"/>
              <w:rPr>
                <w:rFonts w:ascii="仿宋" w:hAnsi="仿宋" w:eastAsia="仿宋" w:cs="仿宋"/>
                <w:color w:val="auto"/>
                <w:sz w:val="32"/>
                <w:szCs w:val="32"/>
                <w:highlight w:val="none"/>
              </w:rPr>
            </w:pPr>
          </w:p>
        </w:tc>
        <w:tc>
          <w:tcPr>
            <w:tcW w:w="1405" w:type="dxa"/>
          </w:tcPr>
          <w:p>
            <w:pPr>
              <w:pStyle w:val="46"/>
              <w:spacing w:line="560" w:lineRule="exact"/>
              <w:rPr>
                <w:rFonts w:ascii="仿宋" w:hAnsi="仿宋" w:eastAsia="仿宋" w:cs="仿宋"/>
                <w:color w:val="auto"/>
                <w:sz w:val="32"/>
                <w:szCs w:val="32"/>
                <w:highlight w:val="none"/>
              </w:rPr>
            </w:pPr>
          </w:p>
        </w:tc>
      </w:tr>
    </w:tbl>
    <w:p>
      <w:pPr>
        <w:pStyle w:val="13"/>
        <w:spacing w:before="7"/>
        <w:rPr>
          <w:b/>
          <w:color w:val="auto"/>
          <w:sz w:val="7"/>
          <w:highlight w:val="none"/>
        </w:rPr>
      </w:pPr>
    </w:p>
    <w:p>
      <w:pPr>
        <w:pStyle w:val="10"/>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pPr>
        <w:tabs>
          <w:tab w:val="left" w:pos="1498"/>
        </w:tabs>
        <w:spacing w:line="560" w:lineRule="atLeas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1.说明：应对照招标文件“第二章 采购需求”中的商务条款逐条实质性响应，并作出偏离说明。</w:t>
      </w:r>
    </w:p>
    <w:p>
      <w:pPr>
        <w:pStyle w:val="45"/>
        <w:tabs>
          <w:tab w:val="left" w:pos="1379"/>
        </w:tabs>
        <w:spacing w:line="560" w:lineRule="atLeast"/>
        <w:ind w:left="0" w:firstLine="564" w:firstLineChars="200"/>
        <w:rPr>
          <w:rFonts w:ascii="仿宋" w:hAnsi="仿宋" w:eastAsia="仿宋" w:cs="仿宋"/>
          <w:color w:val="auto"/>
          <w:sz w:val="32"/>
          <w:szCs w:val="32"/>
          <w:highlight w:val="none"/>
        </w:rPr>
      </w:pPr>
      <w:r>
        <w:rPr>
          <w:rFonts w:hint="eastAsia" w:ascii="仿宋" w:hAnsi="仿宋" w:eastAsia="仿宋" w:cs="仿宋"/>
          <w:color w:val="auto"/>
          <w:spacing w:val="-19"/>
          <w:sz w:val="32"/>
          <w:szCs w:val="32"/>
          <w:highlight w:val="none"/>
        </w:rPr>
        <w:t>2.投标人应根据自身的承诺，对照招标文件要求在“偏离说明”中注明“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60"/>
          <w:sz w:val="32"/>
          <w:szCs w:val="32"/>
          <w:highlight w:val="none"/>
        </w:rPr>
        <w:t>”、</w:t>
      </w:r>
      <w:r>
        <w:rPr>
          <w:rFonts w:hint="eastAsia" w:ascii="仿宋" w:hAnsi="仿宋" w:eastAsia="仿宋" w:cs="仿宋"/>
          <w:color w:val="auto"/>
          <w:spacing w:val="-2"/>
          <w:sz w:val="32"/>
          <w:szCs w:val="32"/>
          <w:highlight w:val="none"/>
        </w:rPr>
        <w:t xml:space="preserve"> “</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”或者“</w:t>
      </w:r>
      <w:r>
        <w:rPr>
          <w:rFonts w:hint="eastAsia" w:ascii="仿宋" w:hAnsi="仿宋" w:eastAsia="仿宋" w:cs="仿宋"/>
          <w:b/>
          <w:color w:val="auto"/>
          <w:spacing w:val="-2"/>
          <w:sz w:val="32"/>
          <w:szCs w:val="32"/>
          <w:highlight w:val="none"/>
        </w:rPr>
        <w:t>无偏离</w:t>
      </w:r>
      <w:r>
        <w:rPr>
          <w:rFonts w:hint="eastAsia" w:ascii="仿宋" w:hAnsi="仿宋" w:eastAsia="仿宋" w:cs="仿宋"/>
          <w:color w:val="auto"/>
          <w:spacing w:val="-2"/>
          <w:sz w:val="32"/>
          <w:szCs w:val="32"/>
          <w:highlight w:val="none"/>
        </w:rPr>
        <w:t>”。既不属于“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2"/>
          <w:sz w:val="32"/>
          <w:szCs w:val="32"/>
          <w:highlight w:val="none"/>
        </w:rPr>
        <w:t>”也不属于“</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”即为“</w:t>
      </w:r>
      <w:r>
        <w:rPr>
          <w:rFonts w:hint="eastAsia" w:ascii="仿宋" w:hAnsi="仿宋" w:eastAsia="仿宋" w:cs="仿宋"/>
          <w:b/>
          <w:color w:val="auto"/>
          <w:spacing w:val="-2"/>
          <w:sz w:val="32"/>
          <w:szCs w:val="32"/>
          <w:highlight w:val="none"/>
        </w:rPr>
        <w:t>无</w:t>
      </w:r>
      <w:r>
        <w:rPr>
          <w:rFonts w:hint="eastAsia" w:ascii="仿宋" w:hAnsi="仿宋" w:eastAsia="仿宋" w:cs="仿宋"/>
          <w:b/>
          <w:color w:val="auto"/>
          <w:spacing w:val="-4"/>
          <w:sz w:val="32"/>
          <w:szCs w:val="32"/>
          <w:highlight w:val="none"/>
        </w:rPr>
        <w:t>偏离</w:t>
      </w:r>
      <w:r>
        <w:rPr>
          <w:rFonts w:hint="eastAsia" w:ascii="仿宋" w:hAnsi="仿宋" w:eastAsia="仿宋" w:cs="仿宋"/>
          <w:color w:val="auto"/>
          <w:spacing w:val="-4"/>
          <w:sz w:val="32"/>
          <w:szCs w:val="32"/>
          <w:highlight w:val="none"/>
        </w:rPr>
        <w:t>”。</w:t>
      </w:r>
    </w:p>
    <w:p>
      <w:pPr>
        <w:pStyle w:val="13"/>
        <w:spacing w:line="560" w:lineRule="atLeast"/>
        <w:rPr>
          <w:rFonts w:ascii="仿宋" w:hAnsi="仿宋" w:eastAsia="仿宋" w:cs="仿宋"/>
          <w:b/>
          <w:color w:val="auto"/>
          <w:spacing w:val="-2"/>
          <w:sz w:val="32"/>
          <w:szCs w:val="32"/>
          <w:highlight w:val="none"/>
        </w:rPr>
      </w:pPr>
    </w:p>
    <w:p>
      <w:pPr>
        <w:tabs>
          <w:tab w:val="left" w:pos="5756"/>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 xml:space="preserve">投标人（ 电子签章） ： </w:t>
      </w:r>
      <w:r>
        <w:rPr>
          <w:rFonts w:hint="eastAsia" w:ascii="仿宋" w:hAnsi="仿宋" w:eastAsia="仿宋" w:cs="仿宋"/>
          <w:bCs/>
          <w:color w:val="auto"/>
          <w:spacing w:val="-2"/>
          <w:sz w:val="32"/>
          <w:szCs w:val="32"/>
          <w:highlight w:val="none"/>
        </w:rPr>
        <w:tab/>
      </w:r>
    </w:p>
    <w:p>
      <w:pPr>
        <w:tabs>
          <w:tab w:val="left" w:pos="1737"/>
          <w:tab w:val="left" w:pos="3795"/>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日</w:t>
      </w:r>
      <w:r>
        <w:rPr>
          <w:rFonts w:hint="eastAsia" w:ascii="仿宋" w:hAnsi="仿宋" w:eastAsia="仿宋" w:cs="仿宋"/>
          <w:bCs/>
          <w:color w:val="auto"/>
          <w:spacing w:val="-2"/>
          <w:sz w:val="32"/>
          <w:szCs w:val="32"/>
          <w:highlight w:val="none"/>
        </w:rPr>
        <w:tab/>
      </w:r>
      <w:r>
        <w:rPr>
          <w:rFonts w:hint="eastAsia" w:ascii="仿宋" w:hAnsi="仿宋" w:eastAsia="仿宋" w:cs="仿宋"/>
          <w:bCs/>
          <w:color w:val="auto"/>
          <w:spacing w:val="-2"/>
          <w:sz w:val="32"/>
          <w:szCs w:val="32"/>
          <w:highlight w:val="none"/>
        </w:rPr>
        <w:t xml:space="preserve">期： </w:t>
      </w:r>
      <w:r>
        <w:rPr>
          <w:rFonts w:hint="eastAsia" w:ascii="仿宋" w:hAnsi="仿宋" w:eastAsia="仿宋" w:cs="仿宋"/>
          <w:bCs/>
          <w:color w:val="auto"/>
          <w:spacing w:val="-2"/>
          <w:sz w:val="32"/>
          <w:szCs w:val="32"/>
          <w:highlight w:val="none"/>
        </w:rPr>
        <w:tab/>
      </w:r>
    </w:p>
    <w:p>
      <w:pPr>
        <w:spacing w:line="560" w:lineRule="atLeast"/>
        <w:ind w:firstLine="635" w:firstLineChars="200"/>
        <w:rPr>
          <w:rFonts w:ascii="仿宋" w:hAnsi="仿宋" w:eastAsia="仿宋" w:cs="仿宋"/>
          <w:b/>
          <w:color w:val="auto"/>
          <w:spacing w:val="-2"/>
          <w:sz w:val="32"/>
          <w:szCs w:val="32"/>
          <w:highlight w:val="none"/>
        </w:rPr>
        <w:sectPr>
          <w:headerReference r:id="rId7" w:type="default"/>
          <w:footerReference r:id="rId8"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3"/>
        <w:spacing w:before="7"/>
        <w:rPr>
          <w:rFonts w:ascii="Times New Roman"/>
          <w:color w:val="auto"/>
          <w:sz w:val="15"/>
          <w:highlight w:val="none"/>
        </w:rPr>
      </w:pPr>
    </w:p>
    <w:p>
      <w:pPr>
        <w:pStyle w:val="10"/>
        <w:tabs>
          <w:tab w:val="left" w:pos="893"/>
        </w:tabs>
        <w:ind w:left="0" w:firstLine="0"/>
        <w:rPr>
          <w:rFonts w:ascii="仿宋" w:hAnsi="仿宋" w:eastAsia="仿宋" w:cs="仿宋"/>
          <w:color w:val="auto"/>
          <w:w w:val="95"/>
          <w:sz w:val="40"/>
          <w:szCs w:val="40"/>
          <w:highlight w:val="none"/>
        </w:rPr>
      </w:pPr>
      <w:bookmarkStart w:id="84" w:name="_Toc13016"/>
      <w:r>
        <w:rPr>
          <w:rFonts w:hint="eastAsia" w:ascii="仿宋" w:hAnsi="仿宋" w:eastAsia="仿宋" w:cs="仿宋"/>
          <w:color w:val="auto"/>
          <w:w w:val="95"/>
          <w:sz w:val="40"/>
          <w:szCs w:val="40"/>
          <w:highlight w:val="none"/>
        </w:rPr>
        <w:t>投标人类似业绩的证明文件</w:t>
      </w:r>
      <w:bookmarkEnd w:id="84"/>
    </w:p>
    <w:p>
      <w:pPr>
        <w:pStyle w:val="13"/>
        <w:rPr>
          <w:b/>
          <w:color w:val="auto"/>
          <w:sz w:val="20"/>
          <w:highlight w:val="none"/>
        </w:rPr>
      </w:pPr>
    </w:p>
    <w:p>
      <w:pPr>
        <w:pStyle w:val="13"/>
        <w:spacing w:before="2" w:after="1"/>
        <w:rPr>
          <w:b/>
          <w:color w:val="auto"/>
          <w:sz w:val="13"/>
          <w:highlight w:val="none"/>
        </w:rPr>
      </w:pPr>
    </w:p>
    <w:tbl>
      <w:tblPr>
        <w:tblStyle w:val="25"/>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2625"/>
        <w:gridCol w:w="2235"/>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770" w:type="dxa"/>
            <w:vMerge w:val="restart"/>
          </w:tcPr>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p>
        </w:tc>
        <w:tc>
          <w:tcPr>
            <w:tcW w:w="2625" w:type="dxa"/>
            <w:vMerge w:val="restart"/>
          </w:tcPr>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项目名称</w:t>
            </w:r>
          </w:p>
        </w:tc>
        <w:tc>
          <w:tcPr>
            <w:tcW w:w="2235" w:type="dxa"/>
            <w:vMerge w:val="restart"/>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合同金</w:t>
            </w:r>
            <w:r>
              <w:rPr>
                <w:rFonts w:hint="eastAsia" w:ascii="仿宋" w:hAnsi="仿宋" w:eastAsia="仿宋" w:cs="仿宋"/>
                <w:color w:val="auto"/>
                <w:spacing w:val="-10"/>
                <w:sz w:val="32"/>
                <w:szCs w:val="32"/>
                <w:highlight w:val="none"/>
              </w:rPr>
              <w:t>额</w:t>
            </w:r>
          </w:p>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（万元</w:t>
            </w:r>
            <w:r>
              <w:rPr>
                <w:rFonts w:hint="eastAsia" w:ascii="仿宋" w:hAnsi="仿宋" w:eastAsia="仿宋" w:cs="仿宋"/>
                <w:color w:val="auto"/>
                <w:spacing w:val="-10"/>
                <w:sz w:val="32"/>
                <w:szCs w:val="32"/>
                <w:highlight w:val="none"/>
              </w:rPr>
              <w:t>）</w:t>
            </w:r>
          </w:p>
        </w:tc>
        <w:tc>
          <w:tcPr>
            <w:tcW w:w="2490" w:type="dxa"/>
            <w:vMerge w:val="restart"/>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70" w:type="dxa"/>
            <w:vMerge w:val="continue"/>
            <w:tcBorders>
              <w:top w:val="nil"/>
            </w:tcBorders>
          </w:tcPr>
          <w:p>
            <w:pPr>
              <w:spacing w:line="560" w:lineRule="exact"/>
              <w:rPr>
                <w:rFonts w:ascii="仿宋" w:hAnsi="仿宋" w:eastAsia="仿宋" w:cs="仿宋"/>
                <w:color w:val="auto"/>
                <w:sz w:val="32"/>
                <w:szCs w:val="32"/>
                <w:highlight w:val="none"/>
              </w:rPr>
            </w:pPr>
          </w:p>
        </w:tc>
        <w:tc>
          <w:tcPr>
            <w:tcW w:w="2625" w:type="dxa"/>
            <w:vMerge w:val="continue"/>
            <w:tcBorders>
              <w:top w:val="nil"/>
            </w:tcBorders>
          </w:tcPr>
          <w:p>
            <w:pPr>
              <w:spacing w:line="560" w:lineRule="exact"/>
              <w:rPr>
                <w:rFonts w:ascii="仿宋" w:hAnsi="仿宋" w:eastAsia="仿宋" w:cs="仿宋"/>
                <w:color w:val="auto"/>
                <w:sz w:val="32"/>
                <w:szCs w:val="32"/>
                <w:highlight w:val="none"/>
              </w:rPr>
            </w:pPr>
          </w:p>
        </w:tc>
        <w:tc>
          <w:tcPr>
            <w:tcW w:w="2235" w:type="dxa"/>
            <w:vMerge w:val="continue"/>
            <w:tcBorders>
              <w:top w:val="nil"/>
            </w:tcBorders>
          </w:tcPr>
          <w:p>
            <w:pPr>
              <w:spacing w:line="560" w:lineRule="exact"/>
              <w:rPr>
                <w:rFonts w:ascii="仿宋" w:hAnsi="仿宋" w:eastAsia="仿宋" w:cs="仿宋"/>
                <w:color w:val="auto"/>
                <w:sz w:val="32"/>
                <w:szCs w:val="32"/>
                <w:highlight w:val="none"/>
              </w:rPr>
            </w:pPr>
          </w:p>
        </w:tc>
        <w:tc>
          <w:tcPr>
            <w:tcW w:w="2490" w:type="dxa"/>
            <w:vMerge w:val="continue"/>
            <w:tcBorders>
              <w:top w:val="nil"/>
            </w:tcBorders>
          </w:tcPr>
          <w:p>
            <w:pPr>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pPr>
              <w:pStyle w:val="46"/>
              <w:spacing w:line="560" w:lineRule="exact"/>
              <w:rPr>
                <w:rFonts w:ascii="仿宋" w:hAnsi="仿宋" w:eastAsia="仿宋" w:cs="仿宋"/>
                <w:color w:val="auto"/>
                <w:sz w:val="32"/>
                <w:szCs w:val="32"/>
                <w:highlight w:val="none"/>
              </w:rPr>
            </w:pPr>
          </w:p>
        </w:tc>
        <w:tc>
          <w:tcPr>
            <w:tcW w:w="2625" w:type="dxa"/>
          </w:tcPr>
          <w:p>
            <w:pPr>
              <w:pStyle w:val="46"/>
              <w:spacing w:line="560" w:lineRule="exact"/>
              <w:rPr>
                <w:rFonts w:ascii="仿宋" w:hAnsi="仿宋" w:eastAsia="仿宋" w:cs="仿宋"/>
                <w:color w:val="auto"/>
                <w:sz w:val="32"/>
                <w:szCs w:val="32"/>
                <w:highlight w:val="none"/>
              </w:rPr>
            </w:pPr>
          </w:p>
        </w:tc>
        <w:tc>
          <w:tcPr>
            <w:tcW w:w="2235" w:type="dxa"/>
          </w:tcPr>
          <w:p>
            <w:pPr>
              <w:pStyle w:val="46"/>
              <w:spacing w:line="560" w:lineRule="exact"/>
              <w:rPr>
                <w:rFonts w:ascii="仿宋" w:hAnsi="仿宋" w:eastAsia="仿宋" w:cs="仿宋"/>
                <w:color w:val="auto"/>
                <w:sz w:val="32"/>
                <w:szCs w:val="32"/>
                <w:highlight w:val="none"/>
              </w:rPr>
            </w:pPr>
          </w:p>
        </w:tc>
        <w:tc>
          <w:tcPr>
            <w:tcW w:w="2490" w:type="dxa"/>
          </w:tcPr>
          <w:p>
            <w:pPr>
              <w:pStyle w:val="46"/>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pPr>
              <w:pStyle w:val="46"/>
              <w:spacing w:line="560" w:lineRule="exact"/>
              <w:rPr>
                <w:rFonts w:ascii="仿宋" w:hAnsi="仿宋" w:eastAsia="仿宋" w:cs="仿宋"/>
                <w:color w:val="auto"/>
                <w:sz w:val="32"/>
                <w:szCs w:val="32"/>
                <w:highlight w:val="none"/>
              </w:rPr>
            </w:pPr>
          </w:p>
        </w:tc>
        <w:tc>
          <w:tcPr>
            <w:tcW w:w="2625" w:type="dxa"/>
          </w:tcPr>
          <w:p>
            <w:pPr>
              <w:pStyle w:val="46"/>
              <w:spacing w:line="560" w:lineRule="exact"/>
              <w:rPr>
                <w:rFonts w:ascii="仿宋" w:hAnsi="仿宋" w:eastAsia="仿宋" w:cs="仿宋"/>
                <w:color w:val="auto"/>
                <w:sz w:val="32"/>
                <w:szCs w:val="32"/>
                <w:highlight w:val="none"/>
              </w:rPr>
            </w:pPr>
          </w:p>
        </w:tc>
        <w:tc>
          <w:tcPr>
            <w:tcW w:w="2235" w:type="dxa"/>
          </w:tcPr>
          <w:p>
            <w:pPr>
              <w:pStyle w:val="46"/>
              <w:spacing w:line="560" w:lineRule="exact"/>
              <w:rPr>
                <w:rFonts w:ascii="仿宋" w:hAnsi="仿宋" w:eastAsia="仿宋" w:cs="仿宋"/>
                <w:color w:val="auto"/>
                <w:sz w:val="32"/>
                <w:szCs w:val="32"/>
                <w:highlight w:val="none"/>
              </w:rPr>
            </w:pPr>
          </w:p>
        </w:tc>
        <w:tc>
          <w:tcPr>
            <w:tcW w:w="2490" w:type="dxa"/>
          </w:tcPr>
          <w:p>
            <w:pPr>
              <w:pStyle w:val="46"/>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pPr>
              <w:pStyle w:val="46"/>
              <w:spacing w:line="560" w:lineRule="exact"/>
              <w:rPr>
                <w:rFonts w:ascii="仿宋" w:hAnsi="仿宋" w:eastAsia="仿宋" w:cs="仿宋"/>
                <w:color w:val="auto"/>
                <w:sz w:val="32"/>
                <w:szCs w:val="32"/>
                <w:highlight w:val="none"/>
              </w:rPr>
            </w:pPr>
          </w:p>
        </w:tc>
        <w:tc>
          <w:tcPr>
            <w:tcW w:w="2625" w:type="dxa"/>
          </w:tcPr>
          <w:p>
            <w:pPr>
              <w:pStyle w:val="46"/>
              <w:spacing w:line="560" w:lineRule="exact"/>
              <w:rPr>
                <w:rFonts w:ascii="仿宋" w:hAnsi="仿宋" w:eastAsia="仿宋" w:cs="仿宋"/>
                <w:color w:val="auto"/>
                <w:sz w:val="32"/>
                <w:szCs w:val="32"/>
                <w:highlight w:val="none"/>
              </w:rPr>
            </w:pPr>
          </w:p>
        </w:tc>
        <w:tc>
          <w:tcPr>
            <w:tcW w:w="2235" w:type="dxa"/>
          </w:tcPr>
          <w:p>
            <w:pPr>
              <w:pStyle w:val="46"/>
              <w:spacing w:line="560" w:lineRule="exact"/>
              <w:rPr>
                <w:rFonts w:ascii="仿宋" w:hAnsi="仿宋" w:eastAsia="仿宋" w:cs="仿宋"/>
                <w:color w:val="auto"/>
                <w:sz w:val="32"/>
                <w:szCs w:val="32"/>
                <w:highlight w:val="none"/>
              </w:rPr>
            </w:pPr>
          </w:p>
        </w:tc>
        <w:tc>
          <w:tcPr>
            <w:tcW w:w="2490" w:type="dxa"/>
          </w:tcPr>
          <w:p>
            <w:pPr>
              <w:pStyle w:val="46"/>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pPr>
              <w:pStyle w:val="46"/>
              <w:spacing w:line="560" w:lineRule="exact"/>
              <w:rPr>
                <w:rFonts w:ascii="仿宋" w:hAnsi="仿宋" w:eastAsia="仿宋" w:cs="仿宋"/>
                <w:color w:val="auto"/>
                <w:sz w:val="32"/>
                <w:szCs w:val="32"/>
                <w:highlight w:val="none"/>
              </w:rPr>
            </w:pPr>
          </w:p>
        </w:tc>
        <w:tc>
          <w:tcPr>
            <w:tcW w:w="2625" w:type="dxa"/>
          </w:tcPr>
          <w:p>
            <w:pPr>
              <w:pStyle w:val="46"/>
              <w:spacing w:line="560" w:lineRule="exact"/>
              <w:rPr>
                <w:rFonts w:ascii="仿宋" w:hAnsi="仿宋" w:eastAsia="仿宋" w:cs="仿宋"/>
                <w:color w:val="auto"/>
                <w:sz w:val="32"/>
                <w:szCs w:val="32"/>
                <w:highlight w:val="none"/>
              </w:rPr>
            </w:pPr>
          </w:p>
        </w:tc>
        <w:tc>
          <w:tcPr>
            <w:tcW w:w="2235" w:type="dxa"/>
          </w:tcPr>
          <w:p>
            <w:pPr>
              <w:pStyle w:val="46"/>
              <w:spacing w:line="560" w:lineRule="exact"/>
              <w:rPr>
                <w:rFonts w:ascii="仿宋" w:hAnsi="仿宋" w:eastAsia="仿宋" w:cs="仿宋"/>
                <w:color w:val="auto"/>
                <w:sz w:val="32"/>
                <w:szCs w:val="32"/>
                <w:highlight w:val="none"/>
              </w:rPr>
            </w:pPr>
          </w:p>
        </w:tc>
        <w:tc>
          <w:tcPr>
            <w:tcW w:w="2490" w:type="dxa"/>
          </w:tcPr>
          <w:p>
            <w:pPr>
              <w:pStyle w:val="46"/>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pPr>
              <w:pStyle w:val="46"/>
              <w:spacing w:line="560" w:lineRule="exact"/>
              <w:rPr>
                <w:rFonts w:ascii="仿宋" w:hAnsi="仿宋" w:eastAsia="仿宋" w:cs="仿宋"/>
                <w:color w:val="auto"/>
                <w:sz w:val="32"/>
                <w:szCs w:val="32"/>
                <w:highlight w:val="none"/>
              </w:rPr>
            </w:pPr>
          </w:p>
        </w:tc>
        <w:tc>
          <w:tcPr>
            <w:tcW w:w="2625" w:type="dxa"/>
          </w:tcPr>
          <w:p>
            <w:pPr>
              <w:pStyle w:val="46"/>
              <w:spacing w:line="560" w:lineRule="exact"/>
              <w:rPr>
                <w:rFonts w:ascii="仿宋" w:hAnsi="仿宋" w:eastAsia="仿宋" w:cs="仿宋"/>
                <w:color w:val="auto"/>
                <w:sz w:val="32"/>
                <w:szCs w:val="32"/>
                <w:highlight w:val="none"/>
              </w:rPr>
            </w:pPr>
          </w:p>
        </w:tc>
        <w:tc>
          <w:tcPr>
            <w:tcW w:w="2235" w:type="dxa"/>
          </w:tcPr>
          <w:p>
            <w:pPr>
              <w:pStyle w:val="46"/>
              <w:spacing w:line="560" w:lineRule="exact"/>
              <w:rPr>
                <w:rFonts w:ascii="仿宋" w:hAnsi="仿宋" w:eastAsia="仿宋" w:cs="仿宋"/>
                <w:color w:val="auto"/>
                <w:sz w:val="32"/>
                <w:szCs w:val="32"/>
                <w:highlight w:val="none"/>
              </w:rPr>
            </w:pPr>
          </w:p>
        </w:tc>
        <w:tc>
          <w:tcPr>
            <w:tcW w:w="2490" w:type="dxa"/>
          </w:tcPr>
          <w:p>
            <w:pPr>
              <w:pStyle w:val="46"/>
              <w:spacing w:line="560" w:lineRule="exact"/>
              <w:rPr>
                <w:rFonts w:ascii="仿宋" w:hAnsi="仿宋" w:eastAsia="仿宋" w:cs="仿宋"/>
                <w:color w:val="auto"/>
                <w:sz w:val="32"/>
                <w:szCs w:val="32"/>
                <w:highlight w:val="none"/>
              </w:rPr>
            </w:pPr>
          </w:p>
        </w:tc>
      </w:tr>
    </w:tbl>
    <w:p>
      <w:pPr>
        <w:pStyle w:val="13"/>
        <w:spacing w:line="560" w:lineRule="exact"/>
        <w:rPr>
          <w:rFonts w:ascii="仿宋" w:hAnsi="仿宋" w:eastAsia="仿宋" w:cs="仿宋"/>
          <w:b/>
          <w:color w:val="auto"/>
          <w:sz w:val="32"/>
          <w:szCs w:val="32"/>
          <w:highlight w:val="none"/>
        </w:rPr>
      </w:pPr>
    </w:p>
    <w:p>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注：投标人可参照上述的格式自行编制，须随表提交相应的合同复印件和用户单位验收证明并注明所在投标人商务技术文件页码。</w:t>
      </w:r>
    </w:p>
    <w:p>
      <w:pPr>
        <w:pStyle w:val="13"/>
        <w:spacing w:line="560" w:lineRule="exact"/>
        <w:rPr>
          <w:rFonts w:ascii="仿宋" w:hAnsi="仿宋" w:eastAsia="仿宋" w:cs="仿宋"/>
          <w:color w:val="auto"/>
          <w:sz w:val="32"/>
          <w:szCs w:val="32"/>
          <w:highlight w:val="none"/>
        </w:rPr>
      </w:pPr>
    </w:p>
    <w:p>
      <w:pPr>
        <w:pStyle w:val="13"/>
        <w:spacing w:line="560" w:lineRule="exact"/>
        <w:rPr>
          <w:rFonts w:ascii="仿宋" w:hAnsi="仿宋" w:eastAsia="仿宋" w:cs="仿宋"/>
          <w:color w:val="auto"/>
          <w:sz w:val="32"/>
          <w:szCs w:val="32"/>
          <w:highlight w:val="none"/>
        </w:rPr>
      </w:pPr>
    </w:p>
    <w:p>
      <w:pPr>
        <w:tabs>
          <w:tab w:val="left" w:pos="5636"/>
        </w:tabs>
        <w:spacing w:line="560" w:lineRule="exact"/>
        <w:ind w:firstLine="2560" w:firstLineChars="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投标人（电子签章）： </w:t>
      </w:r>
      <w:r>
        <w:rPr>
          <w:rFonts w:hint="eastAsia" w:ascii="仿宋" w:hAnsi="仿宋" w:eastAsia="仿宋" w:cs="仿宋"/>
          <w:color w:val="auto"/>
          <w:sz w:val="32"/>
          <w:szCs w:val="32"/>
          <w:highlight w:val="none"/>
          <w:u w:val="single"/>
        </w:rPr>
        <w:t xml:space="preserve">       </w:t>
      </w:r>
    </w:p>
    <w:p>
      <w:pPr>
        <w:pStyle w:val="13"/>
        <w:spacing w:line="560" w:lineRule="exact"/>
        <w:rPr>
          <w:rFonts w:ascii="仿宋" w:hAnsi="仿宋" w:eastAsia="仿宋" w:cs="仿宋"/>
          <w:color w:val="auto"/>
          <w:sz w:val="32"/>
          <w:szCs w:val="32"/>
          <w:highlight w:val="none"/>
        </w:rPr>
      </w:pPr>
    </w:p>
    <w:p>
      <w:pPr>
        <w:tabs>
          <w:tab w:val="left" w:pos="719"/>
          <w:tab w:val="left" w:pos="1439"/>
        </w:tabs>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pPr>
        <w:jc w:val="right"/>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9"/>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五、技术文件格式</w:t>
      </w:r>
    </w:p>
    <w:p>
      <w:pPr>
        <w:pStyle w:val="9"/>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技术文件封面格式：</w:t>
      </w:r>
    </w:p>
    <w:p>
      <w:pPr>
        <w:pStyle w:val="13"/>
        <w:rPr>
          <w:rFonts w:ascii="仿宋" w:hAnsi="仿宋" w:eastAsia="仿宋" w:cs="仿宋"/>
          <w:b/>
          <w:bCs/>
          <w:color w:val="auto"/>
          <w:w w:val="95"/>
          <w:sz w:val="40"/>
          <w:szCs w:val="40"/>
          <w:highlight w:val="none"/>
        </w:rPr>
      </w:pPr>
    </w:p>
    <w:p>
      <w:pPr>
        <w:pStyle w:val="13"/>
        <w:spacing w:before="9"/>
        <w:rPr>
          <w:rFonts w:ascii="仿宋" w:hAnsi="仿宋" w:eastAsia="仿宋" w:cs="仿宋"/>
          <w:b/>
          <w:bCs/>
          <w:color w:val="auto"/>
          <w:w w:val="95"/>
          <w:sz w:val="40"/>
          <w:szCs w:val="40"/>
          <w:highlight w:val="none"/>
        </w:rPr>
      </w:pPr>
    </w:p>
    <w:p>
      <w:pPr>
        <w:pStyle w:val="5"/>
        <w:spacing w:before="54"/>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技术文件</w:t>
      </w:r>
    </w:p>
    <w:p>
      <w:pPr>
        <w:pStyle w:val="13"/>
        <w:rPr>
          <w:b/>
          <w:color w:val="auto"/>
          <w:sz w:val="20"/>
          <w:highlight w:val="none"/>
        </w:rPr>
      </w:pPr>
    </w:p>
    <w:p>
      <w:pPr>
        <w:pStyle w:val="13"/>
        <w:spacing w:line="600" w:lineRule="exact"/>
        <w:rPr>
          <w:rFonts w:ascii="仿宋" w:hAnsi="仿宋" w:eastAsia="仿宋" w:cs="仿宋"/>
          <w:b/>
          <w:color w:val="auto"/>
          <w:sz w:val="36"/>
          <w:szCs w:val="36"/>
          <w:highlight w:val="none"/>
        </w:rPr>
      </w:pPr>
    </w:p>
    <w:p>
      <w:pPr>
        <w:spacing w:line="600" w:lineRule="exact"/>
        <w:ind w:left="1320" w:leftChars="600"/>
        <w:outlineLvl w:val="1"/>
        <w:rPr>
          <w:rFonts w:ascii="仿宋" w:hAnsi="仿宋" w:eastAsia="仿宋" w:cs="仿宋"/>
          <w:color w:val="auto"/>
          <w:spacing w:val="-2"/>
          <w:sz w:val="36"/>
          <w:szCs w:val="36"/>
          <w:highlight w:val="none"/>
        </w:rPr>
      </w:pPr>
      <w:bookmarkStart w:id="85" w:name="_Toc17564"/>
      <w:r>
        <w:rPr>
          <w:rFonts w:hint="eastAsia" w:ascii="仿宋" w:hAnsi="仿宋" w:eastAsia="仿宋" w:cs="仿宋"/>
          <w:color w:val="auto"/>
          <w:spacing w:val="-2"/>
          <w:sz w:val="36"/>
          <w:szCs w:val="36"/>
          <w:highlight w:val="none"/>
        </w:rPr>
        <w:t>项目名称：</w:t>
      </w:r>
      <w:bookmarkEnd w:id="85"/>
    </w:p>
    <w:p>
      <w:pPr>
        <w:spacing w:line="600" w:lineRule="exact"/>
        <w:ind w:left="1320" w:leftChars="600"/>
        <w:outlineLvl w:val="1"/>
        <w:rPr>
          <w:rFonts w:ascii="仿宋" w:hAnsi="仿宋" w:eastAsia="仿宋" w:cs="仿宋"/>
          <w:color w:val="auto"/>
          <w:spacing w:val="-2"/>
          <w:sz w:val="36"/>
          <w:szCs w:val="36"/>
          <w:highlight w:val="none"/>
        </w:rPr>
      </w:pPr>
      <w:bookmarkStart w:id="86" w:name="_Toc2756"/>
      <w:r>
        <w:rPr>
          <w:rFonts w:hint="eastAsia" w:ascii="仿宋" w:hAnsi="仿宋" w:eastAsia="仿宋" w:cs="仿宋"/>
          <w:color w:val="auto"/>
          <w:spacing w:val="-2"/>
          <w:sz w:val="36"/>
          <w:szCs w:val="36"/>
          <w:highlight w:val="none"/>
        </w:rPr>
        <w:t>项目编号：</w:t>
      </w:r>
      <w:bookmarkEnd w:id="86"/>
    </w:p>
    <w:p>
      <w:pPr>
        <w:spacing w:line="600" w:lineRule="exact"/>
        <w:ind w:left="1320" w:leftChars="600"/>
        <w:outlineLvl w:val="1"/>
        <w:rPr>
          <w:rFonts w:ascii="仿宋" w:hAnsi="仿宋" w:eastAsia="仿宋" w:cs="仿宋"/>
          <w:color w:val="auto"/>
          <w:spacing w:val="-2"/>
          <w:sz w:val="36"/>
          <w:szCs w:val="36"/>
          <w:highlight w:val="none"/>
        </w:rPr>
      </w:pPr>
      <w:bookmarkStart w:id="87" w:name="_Toc27680"/>
      <w:r>
        <w:rPr>
          <w:rFonts w:hint="eastAsia" w:ascii="仿宋" w:hAnsi="仿宋" w:eastAsia="仿宋" w:cs="仿宋"/>
          <w:color w:val="auto"/>
          <w:spacing w:val="-2"/>
          <w:sz w:val="36"/>
          <w:szCs w:val="36"/>
          <w:highlight w:val="none"/>
        </w:rPr>
        <w:t>投标人名称：</w:t>
      </w:r>
      <w:bookmarkEnd w:id="87"/>
    </w:p>
    <w:p>
      <w:pPr>
        <w:spacing w:line="600" w:lineRule="exact"/>
        <w:ind w:left="1320" w:leftChars="600"/>
        <w:outlineLvl w:val="1"/>
        <w:rPr>
          <w:rFonts w:ascii="仿宋" w:hAnsi="仿宋" w:eastAsia="仿宋" w:cs="仿宋"/>
          <w:color w:val="auto"/>
          <w:sz w:val="36"/>
          <w:szCs w:val="36"/>
          <w:highlight w:val="none"/>
        </w:rPr>
      </w:pPr>
      <w:bookmarkStart w:id="88" w:name="_Toc31231"/>
      <w:r>
        <w:rPr>
          <w:rFonts w:hint="eastAsia" w:ascii="仿宋" w:hAnsi="仿宋" w:eastAsia="仿宋" w:cs="仿宋"/>
          <w:color w:val="auto"/>
          <w:spacing w:val="-2"/>
          <w:sz w:val="36"/>
          <w:szCs w:val="36"/>
          <w:highlight w:val="none"/>
        </w:rPr>
        <w:t>投标人地址：</w:t>
      </w:r>
      <w:bookmarkEnd w:id="88"/>
    </w:p>
    <w:p>
      <w:pPr>
        <w:pStyle w:val="13"/>
        <w:spacing w:line="600" w:lineRule="exact"/>
        <w:rPr>
          <w:rFonts w:ascii="仿宋" w:hAnsi="仿宋" w:eastAsia="仿宋" w:cs="仿宋"/>
          <w:color w:val="auto"/>
          <w:sz w:val="36"/>
          <w:szCs w:val="36"/>
          <w:highlight w:val="none"/>
        </w:rPr>
      </w:pPr>
    </w:p>
    <w:p>
      <w:pPr>
        <w:tabs>
          <w:tab w:val="left" w:pos="2205"/>
          <w:tab w:val="left" w:pos="2925"/>
        </w:tabs>
        <w:spacing w:line="600" w:lineRule="exact"/>
        <w:jc w:val="center"/>
        <w:outlineLvl w:val="1"/>
        <w:rPr>
          <w:rFonts w:ascii="仿宋" w:hAnsi="仿宋" w:eastAsia="仿宋" w:cs="仿宋"/>
          <w:color w:val="auto"/>
          <w:sz w:val="36"/>
          <w:szCs w:val="36"/>
          <w:highlight w:val="none"/>
        </w:rPr>
      </w:pPr>
      <w:bookmarkStart w:id="89" w:name="_Toc4667"/>
      <w:r>
        <w:rPr>
          <w:rFonts w:hint="eastAsia" w:ascii="仿宋" w:hAnsi="仿宋" w:eastAsia="仿宋" w:cs="仿宋"/>
          <w:color w:val="auto"/>
          <w:spacing w:val="-10"/>
          <w:sz w:val="36"/>
          <w:szCs w:val="36"/>
          <w:highlight w:val="none"/>
        </w:rPr>
        <w:t>年  月  日</w:t>
      </w:r>
      <w:bookmarkEnd w:id="89"/>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1278" w:firstLine="0"/>
        <w:rPr>
          <w:rFonts w:ascii="仿宋" w:hAnsi="仿宋" w:eastAsia="仿宋" w:cs="仿宋"/>
          <w:color w:val="auto"/>
          <w:w w:val="95"/>
          <w:sz w:val="40"/>
          <w:szCs w:val="40"/>
          <w:highlight w:val="none"/>
        </w:rPr>
      </w:pPr>
    </w:p>
    <w:p>
      <w:pPr>
        <w:pStyle w:val="10"/>
        <w:tabs>
          <w:tab w:val="left" w:pos="1642"/>
        </w:tabs>
        <w:spacing w:before="66"/>
        <w:ind w:left="0" w:firstLine="0"/>
        <w:rPr>
          <w:rFonts w:ascii="仿宋" w:hAnsi="仿宋" w:eastAsia="仿宋" w:cs="仿宋"/>
          <w:color w:val="auto"/>
          <w:w w:val="95"/>
          <w:sz w:val="32"/>
          <w:szCs w:val="32"/>
          <w:highlight w:val="none"/>
        </w:rPr>
      </w:pPr>
    </w:p>
    <w:p>
      <w:pPr>
        <w:pStyle w:val="10"/>
        <w:tabs>
          <w:tab w:val="left" w:pos="1642"/>
        </w:tabs>
        <w:spacing w:before="66"/>
        <w:ind w:left="0" w:firstLine="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技术文件目录</w:t>
      </w:r>
    </w:p>
    <w:p>
      <w:pPr>
        <w:pStyle w:val="13"/>
        <w:spacing w:before="63"/>
        <w:ind w:firstLine="611" w:firstLineChars="200"/>
        <w:rPr>
          <w:rFonts w:ascii="仿宋" w:hAnsi="仿宋" w:eastAsia="仿宋" w:cs="仿宋"/>
          <w:b/>
          <w:bCs/>
          <w:color w:val="auto"/>
          <w:w w:val="95"/>
          <w:sz w:val="40"/>
          <w:szCs w:val="40"/>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pPr>
        <w:rPr>
          <w:rFonts w:ascii="仿宋" w:hAnsi="仿宋" w:eastAsia="仿宋" w:cs="仿宋"/>
          <w:b/>
          <w:bCs/>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3"/>
        <w:spacing w:before="1"/>
        <w:rPr>
          <w:color w:val="auto"/>
          <w:sz w:val="14"/>
          <w:highlight w:val="none"/>
        </w:rPr>
      </w:pPr>
    </w:p>
    <w:p>
      <w:pPr>
        <w:pStyle w:val="10"/>
        <w:tabs>
          <w:tab w:val="left" w:pos="1521"/>
        </w:tabs>
        <w:spacing w:before="66"/>
        <w:ind w:left="0" w:firstLine="0"/>
        <w:rPr>
          <w:rFonts w:ascii="仿宋" w:hAnsi="仿宋" w:eastAsia="仿宋" w:cs="仿宋"/>
          <w:color w:val="auto"/>
          <w:w w:val="95"/>
          <w:sz w:val="40"/>
          <w:szCs w:val="40"/>
          <w:highlight w:val="none"/>
        </w:rPr>
      </w:pPr>
      <w:bookmarkStart w:id="90" w:name="_Toc15596"/>
      <w:r>
        <w:rPr>
          <w:rFonts w:hint="eastAsia" w:ascii="仿宋" w:hAnsi="仿宋" w:eastAsia="仿宋" w:cs="仿宋"/>
          <w:color w:val="auto"/>
          <w:w w:val="95"/>
          <w:sz w:val="40"/>
          <w:szCs w:val="40"/>
          <w:highlight w:val="none"/>
        </w:rPr>
        <w:t>采购需求偏离表格式</w:t>
      </w:r>
      <w:bookmarkEnd w:id="90"/>
    </w:p>
    <w:p>
      <w:pPr>
        <w:pStyle w:val="13"/>
        <w:spacing w:before="2"/>
        <w:rPr>
          <w:b/>
          <w:color w:val="auto"/>
          <w:sz w:val="19"/>
          <w:highlight w:val="none"/>
        </w:rPr>
      </w:pPr>
    </w:p>
    <w:p>
      <w:pPr>
        <w:pStyle w:val="5"/>
        <w:spacing w:after="55"/>
        <w:ind w:left="646" w:right="507"/>
        <w:rPr>
          <w:rFonts w:ascii="仿宋" w:hAnsi="仿宋" w:eastAsia="仿宋" w:cs="仿宋"/>
          <w:color w:val="auto"/>
          <w:w w:val="95"/>
          <w:highlight w:val="none"/>
        </w:rPr>
      </w:pPr>
      <w:r>
        <w:rPr>
          <w:rFonts w:hint="eastAsia" w:ascii="仿宋" w:hAnsi="仿宋" w:eastAsia="仿宋" w:cs="仿宋"/>
          <w:color w:val="auto"/>
          <w:w w:val="95"/>
          <w:highlight w:val="none"/>
          <w:lang w:eastAsia="zh-CN"/>
        </w:rPr>
        <w:t>采购</w:t>
      </w:r>
      <w:r>
        <w:rPr>
          <w:rFonts w:hint="eastAsia" w:ascii="仿宋" w:hAnsi="仿宋" w:eastAsia="仿宋" w:cs="仿宋"/>
          <w:color w:val="auto"/>
          <w:w w:val="95"/>
          <w:highlight w:val="none"/>
        </w:rPr>
        <w:t>需求偏离表</w:t>
      </w:r>
    </w:p>
    <w:tbl>
      <w:tblPr>
        <w:tblStyle w:val="25"/>
        <w:tblW w:w="9615"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010"/>
        <w:gridCol w:w="2385"/>
        <w:gridCol w:w="249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70" w:type="dxa"/>
          </w:tcPr>
          <w:p>
            <w:pPr>
              <w:pStyle w:val="46"/>
              <w:spacing w:before="201"/>
              <w:ind w:left="186"/>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项号</w:t>
            </w:r>
          </w:p>
        </w:tc>
        <w:tc>
          <w:tcPr>
            <w:tcW w:w="2010" w:type="dxa"/>
          </w:tcPr>
          <w:p>
            <w:pPr>
              <w:pStyle w:val="46"/>
              <w:spacing w:before="201"/>
              <w:ind w:left="58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设备名称</w:t>
            </w:r>
          </w:p>
        </w:tc>
        <w:tc>
          <w:tcPr>
            <w:tcW w:w="2385" w:type="dxa"/>
          </w:tcPr>
          <w:p>
            <w:pPr>
              <w:pStyle w:val="46"/>
              <w:spacing w:before="201"/>
              <w:ind w:left="436"/>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招标要求</w:t>
            </w:r>
          </w:p>
        </w:tc>
        <w:tc>
          <w:tcPr>
            <w:tcW w:w="2490" w:type="dxa"/>
          </w:tcPr>
          <w:p>
            <w:pPr>
              <w:pStyle w:val="46"/>
              <w:spacing w:before="201"/>
              <w:ind w:left="608"/>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投标响应</w:t>
            </w:r>
          </w:p>
        </w:tc>
        <w:tc>
          <w:tcPr>
            <w:tcW w:w="1860" w:type="dxa"/>
          </w:tcPr>
          <w:p>
            <w:pPr>
              <w:pStyle w:val="46"/>
              <w:spacing w:before="201"/>
              <w:ind w:left="487"/>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pPr>
              <w:pStyle w:val="46"/>
              <w:rPr>
                <w:rFonts w:ascii="仿宋" w:hAnsi="仿宋" w:eastAsia="仿宋" w:cs="仿宋"/>
                <w:color w:val="auto"/>
                <w:sz w:val="32"/>
                <w:szCs w:val="32"/>
                <w:highlight w:val="none"/>
              </w:rPr>
            </w:pPr>
          </w:p>
        </w:tc>
        <w:tc>
          <w:tcPr>
            <w:tcW w:w="2010" w:type="dxa"/>
          </w:tcPr>
          <w:p>
            <w:pPr>
              <w:pStyle w:val="46"/>
              <w:rPr>
                <w:rFonts w:ascii="仿宋" w:hAnsi="仿宋" w:eastAsia="仿宋" w:cs="仿宋"/>
                <w:color w:val="auto"/>
                <w:sz w:val="32"/>
                <w:szCs w:val="32"/>
                <w:highlight w:val="none"/>
              </w:rPr>
            </w:pPr>
          </w:p>
        </w:tc>
        <w:tc>
          <w:tcPr>
            <w:tcW w:w="2385" w:type="dxa"/>
          </w:tcPr>
          <w:p>
            <w:pPr>
              <w:pStyle w:val="46"/>
              <w:rPr>
                <w:rFonts w:ascii="仿宋" w:hAnsi="仿宋" w:eastAsia="仿宋" w:cs="仿宋"/>
                <w:color w:val="auto"/>
                <w:sz w:val="32"/>
                <w:szCs w:val="32"/>
                <w:highlight w:val="none"/>
              </w:rPr>
            </w:pPr>
          </w:p>
        </w:tc>
        <w:tc>
          <w:tcPr>
            <w:tcW w:w="2490" w:type="dxa"/>
          </w:tcPr>
          <w:p>
            <w:pPr>
              <w:pStyle w:val="46"/>
              <w:rPr>
                <w:rFonts w:ascii="仿宋" w:hAnsi="仿宋" w:eastAsia="仿宋" w:cs="仿宋"/>
                <w:color w:val="auto"/>
                <w:sz w:val="32"/>
                <w:szCs w:val="32"/>
                <w:highlight w:val="none"/>
              </w:rPr>
            </w:pPr>
          </w:p>
        </w:tc>
        <w:tc>
          <w:tcPr>
            <w:tcW w:w="1860" w:type="dxa"/>
          </w:tcPr>
          <w:p>
            <w:pPr>
              <w:pStyle w:val="46"/>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pPr>
              <w:pStyle w:val="46"/>
              <w:rPr>
                <w:rFonts w:ascii="仿宋" w:hAnsi="仿宋" w:eastAsia="仿宋" w:cs="仿宋"/>
                <w:color w:val="auto"/>
                <w:sz w:val="32"/>
                <w:szCs w:val="32"/>
                <w:highlight w:val="none"/>
              </w:rPr>
            </w:pPr>
          </w:p>
        </w:tc>
        <w:tc>
          <w:tcPr>
            <w:tcW w:w="2010" w:type="dxa"/>
          </w:tcPr>
          <w:p>
            <w:pPr>
              <w:pStyle w:val="46"/>
              <w:rPr>
                <w:rFonts w:ascii="仿宋" w:hAnsi="仿宋" w:eastAsia="仿宋" w:cs="仿宋"/>
                <w:color w:val="auto"/>
                <w:sz w:val="32"/>
                <w:szCs w:val="32"/>
                <w:highlight w:val="none"/>
              </w:rPr>
            </w:pPr>
          </w:p>
        </w:tc>
        <w:tc>
          <w:tcPr>
            <w:tcW w:w="2385" w:type="dxa"/>
          </w:tcPr>
          <w:p>
            <w:pPr>
              <w:pStyle w:val="46"/>
              <w:rPr>
                <w:rFonts w:ascii="仿宋" w:hAnsi="仿宋" w:eastAsia="仿宋" w:cs="仿宋"/>
                <w:color w:val="auto"/>
                <w:sz w:val="32"/>
                <w:szCs w:val="32"/>
                <w:highlight w:val="none"/>
              </w:rPr>
            </w:pPr>
          </w:p>
        </w:tc>
        <w:tc>
          <w:tcPr>
            <w:tcW w:w="2490" w:type="dxa"/>
          </w:tcPr>
          <w:p>
            <w:pPr>
              <w:pStyle w:val="46"/>
              <w:rPr>
                <w:rFonts w:ascii="仿宋" w:hAnsi="仿宋" w:eastAsia="仿宋" w:cs="仿宋"/>
                <w:color w:val="auto"/>
                <w:sz w:val="32"/>
                <w:szCs w:val="32"/>
                <w:highlight w:val="none"/>
              </w:rPr>
            </w:pPr>
          </w:p>
        </w:tc>
        <w:tc>
          <w:tcPr>
            <w:tcW w:w="1860" w:type="dxa"/>
          </w:tcPr>
          <w:p>
            <w:pPr>
              <w:pStyle w:val="46"/>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pPr>
              <w:pStyle w:val="46"/>
              <w:rPr>
                <w:rFonts w:ascii="仿宋" w:hAnsi="仿宋" w:eastAsia="仿宋" w:cs="仿宋"/>
                <w:color w:val="auto"/>
                <w:sz w:val="32"/>
                <w:szCs w:val="32"/>
                <w:highlight w:val="none"/>
              </w:rPr>
            </w:pPr>
          </w:p>
        </w:tc>
        <w:tc>
          <w:tcPr>
            <w:tcW w:w="2010" w:type="dxa"/>
          </w:tcPr>
          <w:p>
            <w:pPr>
              <w:pStyle w:val="46"/>
              <w:rPr>
                <w:rFonts w:ascii="仿宋" w:hAnsi="仿宋" w:eastAsia="仿宋" w:cs="仿宋"/>
                <w:color w:val="auto"/>
                <w:sz w:val="32"/>
                <w:szCs w:val="32"/>
                <w:highlight w:val="none"/>
              </w:rPr>
            </w:pPr>
          </w:p>
        </w:tc>
        <w:tc>
          <w:tcPr>
            <w:tcW w:w="2385" w:type="dxa"/>
          </w:tcPr>
          <w:p>
            <w:pPr>
              <w:pStyle w:val="46"/>
              <w:rPr>
                <w:rFonts w:ascii="仿宋" w:hAnsi="仿宋" w:eastAsia="仿宋" w:cs="仿宋"/>
                <w:color w:val="auto"/>
                <w:sz w:val="32"/>
                <w:szCs w:val="32"/>
                <w:highlight w:val="none"/>
              </w:rPr>
            </w:pPr>
          </w:p>
        </w:tc>
        <w:tc>
          <w:tcPr>
            <w:tcW w:w="2490" w:type="dxa"/>
          </w:tcPr>
          <w:p>
            <w:pPr>
              <w:pStyle w:val="46"/>
              <w:rPr>
                <w:rFonts w:ascii="仿宋" w:hAnsi="仿宋" w:eastAsia="仿宋" w:cs="仿宋"/>
                <w:color w:val="auto"/>
                <w:sz w:val="32"/>
                <w:szCs w:val="32"/>
                <w:highlight w:val="none"/>
              </w:rPr>
            </w:pPr>
          </w:p>
        </w:tc>
        <w:tc>
          <w:tcPr>
            <w:tcW w:w="1860" w:type="dxa"/>
          </w:tcPr>
          <w:p>
            <w:pPr>
              <w:pStyle w:val="46"/>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pPr>
              <w:pStyle w:val="46"/>
              <w:rPr>
                <w:rFonts w:ascii="仿宋" w:hAnsi="仿宋" w:eastAsia="仿宋" w:cs="仿宋"/>
                <w:color w:val="auto"/>
                <w:sz w:val="32"/>
                <w:szCs w:val="32"/>
                <w:highlight w:val="none"/>
              </w:rPr>
            </w:pPr>
          </w:p>
        </w:tc>
        <w:tc>
          <w:tcPr>
            <w:tcW w:w="2010" w:type="dxa"/>
          </w:tcPr>
          <w:p>
            <w:pPr>
              <w:pStyle w:val="46"/>
              <w:rPr>
                <w:rFonts w:ascii="仿宋" w:hAnsi="仿宋" w:eastAsia="仿宋" w:cs="仿宋"/>
                <w:color w:val="auto"/>
                <w:sz w:val="32"/>
                <w:szCs w:val="32"/>
                <w:highlight w:val="none"/>
              </w:rPr>
            </w:pPr>
          </w:p>
        </w:tc>
        <w:tc>
          <w:tcPr>
            <w:tcW w:w="2385" w:type="dxa"/>
          </w:tcPr>
          <w:p>
            <w:pPr>
              <w:pStyle w:val="46"/>
              <w:rPr>
                <w:rFonts w:ascii="仿宋" w:hAnsi="仿宋" w:eastAsia="仿宋" w:cs="仿宋"/>
                <w:color w:val="auto"/>
                <w:sz w:val="32"/>
                <w:szCs w:val="32"/>
                <w:highlight w:val="none"/>
              </w:rPr>
            </w:pPr>
          </w:p>
        </w:tc>
        <w:tc>
          <w:tcPr>
            <w:tcW w:w="2490" w:type="dxa"/>
          </w:tcPr>
          <w:p>
            <w:pPr>
              <w:pStyle w:val="46"/>
              <w:rPr>
                <w:rFonts w:ascii="仿宋" w:hAnsi="仿宋" w:eastAsia="仿宋" w:cs="仿宋"/>
                <w:color w:val="auto"/>
                <w:sz w:val="32"/>
                <w:szCs w:val="32"/>
                <w:highlight w:val="none"/>
              </w:rPr>
            </w:pPr>
          </w:p>
        </w:tc>
        <w:tc>
          <w:tcPr>
            <w:tcW w:w="1860" w:type="dxa"/>
          </w:tcPr>
          <w:p>
            <w:pPr>
              <w:pStyle w:val="46"/>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pPr>
              <w:pStyle w:val="46"/>
              <w:rPr>
                <w:rFonts w:ascii="仿宋" w:hAnsi="仿宋" w:eastAsia="仿宋" w:cs="仿宋"/>
                <w:color w:val="auto"/>
                <w:sz w:val="32"/>
                <w:szCs w:val="32"/>
                <w:highlight w:val="none"/>
              </w:rPr>
            </w:pPr>
          </w:p>
        </w:tc>
        <w:tc>
          <w:tcPr>
            <w:tcW w:w="2010" w:type="dxa"/>
          </w:tcPr>
          <w:p>
            <w:pPr>
              <w:pStyle w:val="46"/>
              <w:rPr>
                <w:rFonts w:ascii="仿宋" w:hAnsi="仿宋" w:eastAsia="仿宋" w:cs="仿宋"/>
                <w:color w:val="auto"/>
                <w:sz w:val="32"/>
                <w:szCs w:val="32"/>
                <w:highlight w:val="none"/>
              </w:rPr>
            </w:pPr>
          </w:p>
        </w:tc>
        <w:tc>
          <w:tcPr>
            <w:tcW w:w="2385" w:type="dxa"/>
          </w:tcPr>
          <w:p>
            <w:pPr>
              <w:pStyle w:val="46"/>
              <w:rPr>
                <w:rFonts w:ascii="仿宋" w:hAnsi="仿宋" w:eastAsia="仿宋" w:cs="仿宋"/>
                <w:color w:val="auto"/>
                <w:sz w:val="32"/>
                <w:szCs w:val="32"/>
                <w:highlight w:val="none"/>
              </w:rPr>
            </w:pPr>
          </w:p>
        </w:tc>
        <w:tc>
          <w:tcPr>
            <w:tcW w:w="2490" w:type="dxa"/>
          </w:tcPr>
          <w:p>
            <w:pPr>
              <w:pStyle w:val="46"/>
              <w:rPr>
                <w:rFonts w:ascii="仿宋" w:hAnsi="仿宋" w:eastAsia="仿宋" w:cs="仿宋"/>
                <w:color w:val="auto"/>
                <w:sz w:val="32"/>
                <w:szCs w:val="32"/>
                <w:highlight w:val="none"/>
              </w:rPr>
            </w:pPr>
          </w:p>
        </w:tc>
        <w:tc>
          <w:tcPr>
            <w:tcW w:w="1860" w:type="dxa"/>
          </w:tcPr>
          <w:p>
            <w:pPr>
              <w:pStyle w:val="46"/>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70" w:type="dxa"/>
          </w:tcPr>
          <w:p>
            <w:pPr>
              <w:pStyle w:val="46"/>
              <w:rPr>
                <w:rFonts w:ascii="仿宋" w:hAnsi="仿宋" w:eastAsia="仿宋" w:cs="仿宋"/>
                <w:color w:val="auto"/>
                <w:sz w:val="32"/>
                <w:szCs w:val="32"/>
                <w:highlight w:val="none"/>
              </w:rPr>
            </w:pPr>
          </w:p>
        </w:tc>
        <w:tc>
          <w:tcPr>
            <w:tcW w:w="2010" w:type="dxa"/>
          </w:tcPr>
          <w:p>
            <w:pPr>
              <w:pStyle w:val="46"/>
              <w:rPr>
                <w:rFonts w:ascii="仿宋" w:hAnsi="仿宋" w:eastAsia="仿宋" w:cs="仿宋"/>
                <w:color w:val="auto"/>
                <w:sz w:val="32"/>
                <w:szCs w:val="32"/>
                <w:highlight w:val="none"/>
              </w:rPr>
            </w:pPr>
          </w:p>
        </w:tc>
        <w:tc>
          <w:tcPr>
            <w:tcW w:w="2385" w:type="dxa"/>
          </w:tcPr>
          <w:p>
            <w:pPr>
              <w:pStyle w:val="46"/>
              <w:rPr>
                <w:rFonts w:ascii="仿宋" w:hAnsi="仿宋" w:eastAsia="仿宋" w:cs="仿宋"/>
                <w:color w:val="auto"/>
                <w:sz w:val="32"/>
                <w:szCs w:val="32"/>
                <w:highlight w:val="none"/>
              </w:rPr>
            </w:pPr>
          </w:p>
        </w:tc>
        <w:tc>
          <w:tcPr>
            <w:tcW w:w="2490" w:type="dxa"/>
          </w:tcPr>
          <w:p>
            <w:pPr>
              <w:pStyle w:val="46"/>
              <w:rPr>
                <w:rFonts w:ascii="仿宋" w:hAnsi="仿宋" w:eastAsia="仿宋" w:cs="仿宋"/>
                <w:color w:val="auto"/>
                <w:sz w:val="32"/>
                <w:szCs w:val="32"/>
                <w:highlight w:val="none"/>
              </w:rPr>
            </w:pPr>
          </w:p>
        </w:tc>
        <w:tc>
          <w:tcPr>
            <w:tcW w:w="1860" w:type="dxa"/>
          </w:tcPr>
          <w:p>
            <w:pPr>
              <w:pStyle w:val="46"/>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pPr>
              <w:pStyle w:val="46"/>
              <w:rPr>
                <w:rFonts w:ascii="仿宋" w:hAnsi="仿宋" w:eastAsia="仿宋" w:cs="仿宋"/>
                <w:color w:val="auto"/>
                <w:sz w:val="32"/>
                <w:szCs w:val="32"/>
                <w:highlight w:val="none"/>
              </w:rPr>
            </w:pPr>
          </w:p>
        </w:tc>
        <w:tc>
          <w:tcPr>
            <w:tcW w:w="2010" w:type="dxa"/>
          </w:tcPr>
          <w:p>
            <w:pPr>
              <w:pStyle w:val="46"/>
              <w:rPr>
                <w:rFonts w:ascii="仿宋" w:hAnsi="仿宋" w:eastAsia="仿宋" w:cs="仿宋"/>
                <w:color w:val="auto"/>
                <w:sz w:val="32"/>
                <w:szCs w:val="32"/>
                <w:highlight w:val="none"/>
              </w:rPr>
            </w:pPr>
          </w:p>
        </w:tc>
        <w:tc>
          <w:tcPr>
            <w:tcW w:w="2385" w:type="dxa"/>
          </w:tcPr>
          <w:p>
            <w:pPr>
              <w:pStyle w:val="46"/>
              <w:rPr>
                <w:rFonts w:ascii="仿宋" w:hAnsi="仿宋" w:eastAsia="仿宋" w:cs="仿宋"/>
                <w:color w:val="auto"/>
                <w:sz w:val="32"/>
                <w:szCs w:val="32"/>
                <w:highlight w:val="none"/>
              </w:rPr>
            </w:pPr>
          </w:p>
        </w:tc>
        <w:tc>
          <w:tcPr>
            <w:tcW w:w="2490" w:type="dxa"/>
          </w:tcPr>
          <w:p>
            <w:pPr>
              <w:pStyle w:val="46"/>
              <w:rPr>
                <w:rFonts w:ascii="仿宋" w:hAnsi="仿宋" w:eastAsia="仿宋" w:cs="仿宋"/>
                <w:color w:val="auto"/>
                <w:sz w:val="32"/>
                <w:szCs w:val="32"/>
                <w:highlight w:val="none"/>
              </w:rPr>
            </w:pPr>
          </w:p>
        </w:tc>
        <w:tc>
          <w:tcPr>
            <w:tcW w:w="1860" w:type="dxa"/>
          </w:tcPr>
          <w:p>
            <w:pPr>
              <w:pStyle w:val="46"/>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pPr>
              <w:pStyle w:val="46"/>
              <w:rPr>
                <w:rFonts w:ascii="仿宋" w:hAnsi="仿宋" w:eastAsia="仿宋" w:cs="仿宋"/>
                <w:color w:val="auto"/>
                <w:sz w:val="32"/>
                <w:szCs w:val="32"/>
                <w:highlight w:val="none"/>
              </w:rPr>
            </w:pPr>
          </w:p>
        </w:tc>
        <w:tc>
          <w:tcPr>
            <w:tcW w:w="2010" w:type="dxa"/>
          </w:tcPr>
          <w:p>
            <w:pPr>
              <w:pStyle w:val="46"/>
              <w:rPr>
                <w:rFonts w:ascii="仿宋" w:hAnsi="仿宋" w:eastAsia="仿宋" w:cs="仿宋"/>
                <w:color w:val="auto"/>
                <w:sz w:val="32"/>
                <w:szCs w:val="32"/>
                <w:highlight w:val="none"/>
              </w:rPr>
            </w:pPr>
          </w:p>
        </w:tc>
        <w:tc>
          <w:tcPr>
            <w:tcW w:w="2385" w:type="dxa"/>
          </w:tcPr>
          <w:p>
            <w:pPr>
              <w:pStyle w:val="46"/>
              <w:rPr>
                <w:rFonts w:ascii="仿宋" w:hAnsi="仿宋" w:eastAsia="仿宋" w:cs="仿宋"/>
                <w:color w:val="auto"/>
                <w:sz w:val="32"/>
                <w:szCs w:val="32"/>
                <w:highlight w:val="none"/>
              </w:rPr>
            </w:pPr>
          </w:p>
        </w:tc>
        <w:tc>
          <w:tcPr>
            <w:tcW w:w="2490" w:type="dxa"/>
          </w:tcPr>
          <w:p>
            <w:pPr>
              <w:pStyle w:val="46"/>
              <w:rPr>
                <w:rFonts w:ascii="仿宋" w:hAnsi="仿宋" w:eastAsia="仿宋" w:cs="仿宋"/>
                <w:color w:val="auto"/>
                <w:sz w:val="32"/>
                <w:szCs w:val="32"/>
                <w:highlight w:val="none"/>
              </w:rPr>
            </w:pPr>
          </w:p>
        </w:tc>
        <w:tc>
          <w:tcPr>
            <w:tcW w:w="1860" w:type="dxa"/>
          </w:tcPr>
          <w:p>
            <w:pPr>
              <w:pStyle w:val="46"/>
              <w:rPr>
                <w:rFonts w:ascii="仿宋" w:hAnsi="仿宋" w:eastAsia="仿宋" w:cs="仿宋"/>
                <w:color w:val="auto"/>
                <w:sz w:val="32"/>
                <w:szCs w:val="32"/>
                <w:highlight w:val="none"/>
              </w:rPr>
            </w:pPr>
          </w:p>
        </w:tc>
      </w:tr>
    </w:tbl>
    <w:p>
      <w:pPr>
        <w:pStyle w:val="10"/>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pPr>
        <w:tabs>
          <w:tab w:val="left" w:pos="1498"/>
        </w:tabs>
        <w:spacing w:line="560" w:lineRule="exact"/>
        <w:ind w:firstLine="624" w:firstLineChars="200"/>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1.说明：应对照招标文件“第二章 采购需求”中的需求逐条实</w:t>
      </w:r>
      <w:r>
        <w:rPr>
          <w:rFonts w:hint="eastAsia" w:ascii="仿宋" w:hAnsi="仿宋" w:eastAsia="仿宋" w:cs="仿宋"/>
          <w:color w:val="auto"/>
          <w:spacing w:val="-2"/>
          <w:sz w:val="32"/>
          <w:szCs w:val="28"/>
          <w:highlight w:val="none"/>
        </w:rPr>
        <w:t>质性响应，并作出偏离说明。</w:t>
      </w:r>
    </w:p>
    <w:p>
      <w:pPr>
        <w:pStyle w:val="45"/>
        <w:tabs>
          <w:tab w:val="left" w:pos="1379"/>
        </w:tabs>
        <w:spacing w:line="560" w:lineRule="exact"/>
        <w:ind w:left="0" w:firstLine="624" w:firstLineChars="200"/>
        <w:jc w:val="both"/>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2.投标人应根据自身的承诺，对照招标文件要求，在“偏离说明”中注明“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”或者“</w:t>
      </w:r>
      <w:r>
        <w:rPr>
          <w:rFonts w:hint="eastAsia" w:ascii="仿宋" w:hAnsi="仿宋" w:eastAsia="仿宋" w:cs="仿宋"/>
          <w:b/>
          <w:color w:val="auto"/>
          <w:spacing w:val="-4"/>
          <w:sz w:val="32"/>
          <w:szCs w:val="28"/>
          <w:highlight w:val="none"/>
        </w:rPr>
        <w:t>无偏离</w:t>
      </w:r>
      <w:r>
        <w:rPr>
          <w:rFonts w:hint="eastAsia" w:ascii="仿宋" w:hAnsi="仿宋" w:eastAsia="仿宋" w:cs="仿宋"/>
          <w:color w:val="auto"/>
          <w:spacing w:val="-4"/>
          <w:sz w:val="32"/>
          <w:szCs w:val="28"/>
          <w:highlight w:val="none"/>
        </w:rPr>
        <w:t>”。既不属于“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”也不属于“</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”即</w:t>
      </w:r>
      <w:r>
        <w:rPr>
          <w:rFonts w:hint="eastAsia" w:ascii="仿宋" w:hAnsi="仿宋" w:eastAsia="仿宋" w:cs="仿宋"/>
          <w:color w:val="auto"/>
          <w:spacing w:val="-2"/>
          <w:sz w:val="32"/>
          <w:szCs w:val="28"/>
          <w:highlight w:val="none"/>
        </w:rPr>
        <w:t>为“</w:t>
      </w:r>
      <w:r>
        <w:rPr>
          <w:rFonts w:hint="eastAsia" w:ascii="仿宋" w:hAnsi="仿宋" w:eastAsia="仿宋" w:cs="仿宋"/>
          <w:b/>
          <w:color w:val="auto"/>
          <w:spacing w:val="-2"/>
          <w:sz w:val="32"/>
          <w:szCs w:val="28"/>
          <w:highlight w:val="none"/>
        </w:rPr>
        <w:t>无偏离</w:t>
      </w:r>
      <w:r>
        <w:rPr>
          <w:rFonts w:hint="eastAsia" w:ascii="仿宋" w:hAnsi="仿宋" w:eastAsia="仿宋" w:cs="仿宋"/>
          <w:color w:val="auto"/>
          <w:spacing w:val="-2"/>
          <w:sz w:val="32"/>
          <w:szCs w:val="28"/>
          <w:highlight w:val="none"/>
        </w:rPr>
        <w:t>”。</w:t>
      </w:r>
    </w:p>
    <w:p>
      <w:pPr>
        <w:pStyle w:val="13"/>
        <w:rPr>
          <w:rFonts w:ascii="仿宋" w:hAnsi="仿宋" w:eastAsia="仿宋" w:cs="仿宋"/>
          <w:color w:val="auto"/>
          <w:spacing w:val="-4"/>
          <w:sz w:val="32"/>
          <w:szCs w:val="28"/>
          <w:highlight w:val="none"/>
        </w:rPr>
      </w:pPr>
    </w:p>
    <w:p>
      <w:pPr>
        <w:pStyle w:val="13"/>
        <w:spacing w:before="5"/>
        <w:rPr>
          <w:rFonts w:ascii="仿宋" w:hAnsi="仿宋" w:eastAsia="仿宋" w:cs="仿宋"/>
          <w:color w:val="auto"/>
          <w:spacing w:val="-4"/>
          <w:sz w:val="32"/>
          <w:szCs w:val="28"/>
          <w:highlight w:val="none"/>
        </w:rPr>
      </w:pPr>
    </w:p>
    <w:p>
      <w:pPr>
        <w:tabs>
          <w:tab w:val="left" w:pos="9395"/>
        </w:tabs>
        <w:ind w:left="4776"/>
        <w:rPr>
          <w:rFonts w:ascii="仿宋" w:hAnsi="仿宋" w:eastAsia="仿宋" w:cs="仿宋"/>
          <w:color w:val="auto"/>
          <w:spacing w:val="-4"/>
          <w:sz w:val="32"/>
          <w:szCs w:val="28"/>
          <w:highlight w:val="none"/>
          <w:u w:val="single"/>
        </w:rPr>
      </w:pPr>
      <w:r>
        <w:rPr>
          <w:rFonts w:hint="eastAsia" w:ascii="仿宋" w:hAnsi="仿宋" w:eastAsia="仿宋" w:cs="仿宋"/>
          <w:color w:val="auto"/>
          <w:spacing w:val="-4"/>
          <w:sz w:val="32"/>
          <w:szCs w:val="28"/>
          <w:highlight w:val="none"/>
        </w:rPr>
        <w:t>投标人（ 电子签章） ：</w:t>
      </w:r>
      <w:r>
        <w:rPr>
          <w:rFonts w:hint="eastAsia" w:ascii="仿宋" w:hAnsi="仿宋" w:eastAsia="仿宋" w:cs="仿宋"/>
          <w:color w:val="auto"/>
          <w:spacing w:val="-4"/>
          <w:sz w:val="32"/>
          <w:szCs w:val="28"/>
          <w:highlight w:val="none"/>
          <w:u w:val="single"/>
        </w:rPr>
        <w:t xml:space="preserve">     </w:t>
      </w:r>
    </w:p>
    <w:p>
      <w:pPr>
        <w:pStyle w:val="13"/>
        <w:rPr>
          <w:rFonts w:ascii="仿宋" w:hAnsi="仿宋" w:eastAsia="仿宋" w:cs="仿宋"/>
          <w:color w:val="auto"/>
          <w:spacing w:val="-4"/>
          <w:sz w:val="32"/>
          <w:szCs w:val="28"/>
          <w:highlight w:val="none"/>
        </w:rPr>
      </w:pPr>
    </w:p>
    <w:p>
      <w:pPr>
        <w:tabs>
          <w:tab w:val="left" w:pos="7115"/>
        </w:tabs>
        <w:spacing w:before="185"/>
        <w:ind w:left="4776"/>
        <w:rPr>
          <w:rFonts w:ascii="Times New Roman" w:eastAsia="Times New Roman"/>
          <w:color w:val="auto"/>
          <w:sz w:val="24"/>
          <w:highlight w:val="none"/>
          <w:u w:val="single"/>
        </w:rPr>
      </w:pPr>
      <w:r>
        <w:rPr>
          <w:rFonts w:hint="eastAsia" w:ascii="仿宋" w:hAnsi="仿宋" w:eastAsia="仿宋" w:cs="仿宋"/>
          <w:color w:val="auto"/>
          <w:spacing w:val="-4"/>
          <w:sz w:val="32"/>
          <w:szCs w:val="28"/>
          <w:highlight w:val="none"/>
        </w:rPr>
        <w:t>日 期：</w:t>
      </w:r>
      <w:r>
        <w:rPr>
          <w:rFonts w:hint="eastAsia" w:ascii="仿宋" w:hAnsi="仿宋" w:eastAsia="仿宋" w:cs="仿宋"/>
          <w:color w:val="auto"/>
          <w:spacing w:val="-4"/>
          <w:sz w:val="32"/>
          <w:szCs w:val="28"/>
          <w:highlight w:val="none"/>
          <w:u w:val="single"/>
        </w:rPr>
        <w:t xml:space="preserve"> </w:t>
      </w:r>
      <w:r>
        <w:rPr>
          <w:rFonts w:hint="eastAsia" w:ascii="仿宋" w:hAnsi="仿宋" w:eastAsia="仿宋" w:cs="仿宋"/>
          <w:color w:val="auto"/>
          <w:spacing w:val="-4"/>
          <w:sz w:val="32"/>
          <w:szCs w:val="28"/>
          <w:highlight w:val="none"/>
          <w:u w:val="single"/>
        </w:rPr>
        <w:tab/>
      </w:r>
    </w:p>
    <w:p>
      <w:pPr>
        <w:rPr>
          <w:rFonts w:ascii="Times New Roman" w:eastAsia="Times New Roman"/>
          <w:color w:val="auto"/>
          <w:sz w:val="24"/>
          <w:highlight w:val="none"/>
          <w:u w:val="singl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3"/>
        <w:spacing w:before="7"/>
        <w:rPr>
          <w:rFonts w:ascii="Times New Roman"/>
          <w:color w:val="auto"/>
          <w:sz w:val="15"/>
          <w:highlight w:val="none"/>
        </w:rPr>
      </w:pPr>
    </w:p>
    <w:p>
      <w:pPr>
        <w:pStyle w:val="10"/>
        <w:tabs>
          <w:tab w:val="left" w:pos="1521"/>
        </w:tabs>
        <w:spacing w:before="66"/>
        <w:ind w:left="0" w:firstLine="0"/>
        <w:rPr>
          <w:rFonts w:ascii="仿宋" w:hAnsi="仿宋" w:eastAsia="仿宋" w:cs="仿宋"/>
          <w:color w:val="auto"/>
          <w:w w:val="95"/>
          <w:sz w:val="40"/>
          <w:szCs w:val="40"/>
          <w:highlight w:val="none"/>
        </w:rPr>
      </w:pPr>
      <w:bookmarkStart w:id="91" w:name="_Toc30686"/>
      <w:r>
        <w:rPr>
          <w:rFonts w:hint="eastAsia" w:ascii="仿宋" w:hAnsi="仿宋" w:eastAsia="仿宋" w:cs="仿宋"/>
          <w:color w:val="auto"/>
          <w:w w:val="95"/>
          <w:sz w:val="40"/>
          <w:szCs w:val="40"/>
          <w:highlight w:val="none"/>
        </w:rPr>
        <w:t>项目实施人员一览表格式</w:t>
      </w:r>
      <w:bookmarkEnd w:id="91"/>
    </w:p>
    <w:p>
      <w:pPr>
        <w:pStyle w:val="10"/>
        <w:tabs>
          <w:tab w:val="left" w:pos="1521"/>
        </w:tabs>
        <w:spacing w:before="66"/>
        <w:ind w:left="0" w:firstLine="0"/>
        <w:jc w:val="center"/>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项目实施人员一览表</w:t>
      </w:r>
    </w:p>
    <w:p>
      <w:pPr>
        <w:pStyle w:val="13"/>
        <w:rPr>
          <w:b/>
          <w:color w:val="auto"/>
          <w:sz w:val="20"/>
          <w:highlight w:val="none"/>
        </w:rPr>
      </w:pPr>
    </w:p>
    <w:p>
      <w:pPr>
        <w:pStyle w:val="13"/>
        <w:spacing w:before="6" w:after="1"/>
        <w:rPr>
          <w:b/>
          <w:color w:val="auto"/>
          <w:sz w:val="13"/>
          <w:highlight w:val="none"/>
        </w:rPr>
      </w:pPr>
    </w:p>
    <w:tbl>
      <w:tblPr>
        <w:tblStyle w:val="25"/>
        <w:tblW w:w="0" w:type="auto"/>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035"/>
        <w:gridCol w:w="2215"/>
        <w:gridCol w:w="1420"/>
        <w:gridCol w:w="169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1065" w:type="dxa"/>
          </w:tcPr>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姓名</w:t>
            </w:r>
          </w:p>
        </w:tc>
        <w:tc>
          <w:tcPr>
            <w:tcW w:w="1035" w:type="dxa"/>
          </w:tcPr>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职务</w:t>
            </w:r>
          </w:p>
        </w:tc>
        <w:tc>
          <w:tcPr>
            <w:tcW w:w="2215" w:type="dxa"/>
          </w:tcPr>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专业技术资格</w:t>
            </w:r>
          </w:p>
          <w:p>
            <w:pPr>
              <w:pStyle w:val="46"/>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（职称）或者职业资格或者执业资格证或者其他证书</w:t>
            </w:r>
          </w:p>
        </w:tc>
        <w:tc>
          <w:tcPr>
            <w:tcW w:w="1420" w:type="dxa"/>
          </w:tcPr>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证书编号</w:t>
            </w:r>
          </w:p>
        </w:tc>
        <w:tc>
          <w:tcPr>
            <w:tcW w:w="1698" w:type="dxa"/>
          </w:tcPr>
          <w:p>
            <w:pPr>
              <w:pStyle w:val="46"/>
              <w:spacing w:line="560" w:lineRule="exact"/>
              <w:rPr>
                <w:rFonts w:ascii="仿宋" w:hAnsi="仿宋" w:eastAsia="仿宋" w:cs="仿宋"/>
                <w:b/>
                <w:color w:val="auto"/>
                <w:sz w:val="32"/>
                <w:szCs w:val="32"/>
                <w:highlight w:val="none"/>
              </w:rPr>
            </w:pPr>
          </w:p>
          <w:p>
            <w:pPr>
              <w:pStyle w:val="46"/>
              <w:spacing w:line="560" w:lineRule="exact"/>
              <w:ind w:hanging="12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参加本单位</w:t>
            </w:r>
            <w:r>
              <w:rPr>
                <w:rFonts w:hint="eastAsia" w:ascii="仿宋" w:hAnsi="仿宋" w:eastAsia="仿宋" w:cs="仿宋"/>
                <w:color w:val="auto"/>
                <w:spacing w:val="-4"/>
                <w:sz w:val="32"/>
                <w:szCs w:val="32"/>
                <w:highlight w:val="none"/>
              </w:rPr>
              <w:t>工作时间</w:t>
            </w:r>
          </w:p>
        </w:tc>
        <w:tc>
          <w:tcPr>
            <w:tcW w:w="1843" w:type="dxa"/>
          </w:tcPr>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b/>
                <w:color w:val="auto"/>
                <w:sz w:val="32"/>
                <w:szCs w:val="32"/>
                <w:highlight w:val="none"/>
              </w:rPr>
            </w:pPr>
          </w:p>
          <w:p>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pPr>
              <w:pStyle w:val="46"/>
              <w:spacing w:line="560" w:lineRule="exact"/>
              <w:rPr>
                <w:rFonts w:ascii="仿宋" w:hAnsi="仿宋" w:eastAsia="仿宋" w:cs="仿宋"/>
                <w:color w:val="auto"/>
                <w:sz w:val="32"/>
                <w:szCs w:val="32"/>
                <w:highlight w:val="none"/>
              </w:rPr>
            </w:pPr>
          </w:p>
        </w:tc>
        <w:tc>
          <w:tcPr>
            <w:tcW w:w="1035" w:type="dxa"/>
          </w:tcPr>
          <w:p>
            <w:pPr>
              <w:pStyle w:val="46"/>
              <w:spacing w:line="560" w:lineRule="exact"/>
              <w:rPr>
                <w:rFonts w:ascii="仿宋" w:hAnsi="仿宋" w:eastAsia="仿宋" w:cs="仿宋"/>
                <w:color w:val="auto"/>
                <w:sz w:val="32"/>
                <w:szCs w:val="32"/>
                <w:highlight w:val="none"/>
              </w:rPr>
            </w:pPr>
          </w:p>
        </w:tc>
        <w:tc>
          <w:tcPr>
            <w:tcW w:w="2215" w:type="dxa"/>
          </w:tcPr>
          <w:p>
            <w:pPr>
              <w:pStyle w:val="46"/>
              <w:spacing w:line="560" w:lineRule="exact"/>
              <w:rPr>
                <w:rFonts w:ascii="仿宋" w:hAnsi="仿宋" w:eastAsia="仿宋" w:cs="仿宋"/>
                <w:color w:val="auto"/>
                <w:sz w:val="32"/>
                <w:szCs w:val="32"/>
                <w:highlight w:val="none"/>
              </w:rPr>
            </w:pPr>
          </w:p>
        </w:tc>
        <w:tc>
          <w:tcPr>
            <w:tcW w:w="1420" w:type="dxa"/>
          </w:tcPr>
          <w:p>
            <w:pPr>
              <w:pStyle w:val="46"/>
              <w:spacing w:line="560" w:lineRule="exact"/>
              <w:rPr>
                <w:rFonts w:ascii="仿宋" w:hAnsi="仿宋" w:eastAsia="仿宋" w:cs="仿宋"/>
                <w:color w:val="auto"/>
                <w:sz w:val="32"/>
                <w:szCs w:val="32"/>
                <w:highlight w:val="none"/>
              </w:rPr>
            </w:pPr>
          </w:p>
        </w:tc>
        <w:tc>
          <w:tcPr>
            <w:tcW w:w="1698" w:type="dxa"/>
          </w:tcPr>
          <w:p>
            <w:pPr>
              <w:pStyle w:val="46"/>
              <w:spacing w:line="560" w:lineRule="exact"/>
              <w:rPr>
                <w:rFonts w:ascii="仿宋" w:hAnsi="仿宋" w:eastAsia="仿宋" w:cs="仿宋"/>
                <w:color w:val="auto"/>
                <w:sz w:val="32"/>
                <w:szCs w:val="32"/>
                <w:highlight w:val="none"/>
              </w:rPr>
            </w:pPr>
          </w:p>
        </w:tc>
        <w:tc>
          <w:tcPr>
            <w:tcW w:w="1843" w:type="dxa"/>
          </w:tcPr>
          <w:p>
            <w:pPr>
              <w:pStyle w:val="46"/>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pPr>
              <w:pStyle w:val="46"/>
              <w:spacing w:line="560" w:lineRule="exact"/>
              <w:rPr>
                <w:rFonts w:ascii="仿宋" w:hAnsi="仿宋" w:eastAsia="仿宋" w:cs="仿宋"/>
                <w:color w:val="auto"/>
                <w:sz w:val="32"/>
                <w:szCs w:val="32"/>
                <w:highlight w:val="none"/>
              </w:rPr>
            </w:pPr>
          </w:p>
        </w:tc>
        <w:tc>
          <w:tcPr>
            <w:tcW w:w="1035" w:type="dxa"/>
          </w:tcPr>
          <w:p>
            <w:pPr>
              <w:pStyle w:val="46"/>
              <w:spacing w:line="560" w:lineRule="exact"/>
              <w:rPr>
                <w:rFonts w:ascii="仿宋" w:hAnsi="仿宋" w:eastAsia="仿宋" w:cs="仿宋"/>
                <w:color w:val="auto"/>
                <w:sz w:val="32"/>
                <w:szCs w:val="32"/>
                <w:highlight w:val="none"/>
              </w:rPr>
            </w:pPr>
          </w:p>
        </w:tc>
        <w:tc>
          <w:tcPr>
            <w:tcW w:w="2215" w:type="dxa"/>
          </w:tcPr>
          <w:p>
            <w:pPr>
              <w:pStyle w:val="46"/>
              <w:spacing w:line="560" w:lineRule="exact"/>
              <w:rPr>
                <w:rFonts w:ascii="仿宋" w:hAnsi="仿宋" w:eastAsia="仿宋" w:cs="仿宋"/>
                <w:color w:val="auto"/>
                <w:sz w:val="32"/>
                <w:szCs w:val="32"/>
                <w:highlight w:val="none"/>
              </w:rPr>
            </w:pPr>
          </w:p>
        </w:tc>
        <w:tc>
          <w:tcPr>
            <w:tcW w:w="1420" w:type="dxa"/>
          </w:tcPr>
          <w:p>
            <w:pPr>
              <w:pStyle w:val="46"/>
              <w:spacing w:line="560" w:lineRule="exact"/>
              <w:rPr>
                <w:rFonts w:ascii="仿宋" w:hAnsi="仿宋" w:eastAsia="仿宋" w:cs="仿宋"/>
                <w:color w:val="auto"/>
                <w:sz w:val="32"/>
                <w:szCs w:val="32"/>
                <w:highlight w:val="none"/>
              </w:rPr>
            </w:pPr>
          </w:p>
        </w:tc>
        <w:tc>
          <w:tcPr>
            <w:tcW w:w="1698" w:type="dxa"/>
          </w:tcPr>
          <w:p>
            <w:pPr>
              <w:pStyle w:val="46"/>
              <w:spacing w:line="560" w:lineRule="exact"/>
              <w:rPr>
                <w:rFonts w:ascii="仿宋" w:hAnsi="仿宋" w:eastAsia="仿宋" w:cs="仿宋"/>
                <w:color w:val="auto"/>
                <w:sz w:val="32"/>
                <w:szCs w:val="32"/>
                <w:highlight w:val="none"/>
              </w:rPr>
            </w:pPr>
          </w:p>
        </w:tc>
        <w:tc>
          <w:tcPr>
            <w:tcW w:w="1843" w:type="dxa"/>
          </w:tcPr>
          <w:p>
            <w:pPr>
              <w:pStyle w:val="46"/>
              <w:spacing w:line="560" w:lineRule="exact"/>
              <w:rPr>
                <w:rFonts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pPr>
              <w:pStyle w:val="46"/>
              <w:spacing w:line="560" w:lineRule="exact"/>
              <w:rPr>
                <w:rFonts w:ascii="仿宋" w:hAnsi="仿宋" w:eastAsia="仿宋" w:cs="仿宋"/>
                <w:color w:val="auto"/>
                <w:sz w:val="32"/>
                <w:szCs w:val="32"/>
                <w:highlight w:val="none"/>
              </w:rPr>
            </w:pPr>
          </w:p>
        </w:tc>
        <w:tc>
          <w:tcPr>
            <w:tcW w:w="1035" w:type="dxa"/>
          </w:tcPr>
          <w:p>
            <w:pPr>
              <w:pStyle w:val="46"/>
              <w:spacing w:line="560" w:lineRule="exact"/>
              <w:rPr>
                <w:rFonts w:ascii="仿宋" w:hAnsi="仿宋" w:eastAsia="仿宋" w:cs="仿宋"/>
                <w:color w:val="auto"/>
                <w:sz w:val="32"/>
                <w:szCs w:val="32"/>
                <w:highlight w:val="none"/>
              </w:rPr>
            </w:pPr>
          </w:p>
        </w:tc>
        <w:tc>
          <w:tcPr>
            <w:tcW w:w="2215" w:type="dxa"/>
          </w:tcPr>
          <w:p>
            <w:pPr>
              <w:pStyle w:val="46"/>
              <w:spacing w:line="560" w:lineRule="exact"/>
              <w:rPr>
                <w:rFonts w:ascii="仿宋" w:hAnsi="仿宋" w:eastAsia="仿宋" w:cs="仿宋"/>
                <w:color w:val="auto"/>
                <w:sz w:val="32"/>
                <w:szCs w:val="32"/>
                <w:highlight w:val="none"/>
              </w:rPr>
            </w:pPr>
          </w:p>
        </w:tc>
        <w:tc>
          <w:tcPr>
            <w:tcW w:w="1420" w:type="dxa"/>
          </w:tcPr>
          <w:p>
            <w:pPr>
              <w:pStyle w:val="46"/>
              <w:spacing w:line="560" w:lineRule="exact"/>
              <w:rPr>
                <w:rFonts w:ascii="仿宋" w:hAnsi="仿宋" w:eastAsia="仿宋" w:cs="仿宋"/>
                <w:color w:val="auto"/>
                <w:sz w:val="32"/>
                <w:szCs w:val="32"/>
                <w:highlight w:val="none"/>
              </w:rPr>
            </w:pPr>
          </w:p>
        </w:tc>
        <w:tc>
          <w:tcPr>
            <w:tcW w:w="1698" w:type="dxa"/>
          </w:tcPr>
          <w:p>
            <w:pPr>
              <w:pStyle w:val="46"/>
              <w:spacing w:line="560" w:lineRule="exact"/>
              <w:rPr>
                <w:rFonts w:ascii="仿宋" w:hAnsi="仿宋" w:eastAsia="仿宋" w:cs="仿宋"/>
                <w:color w:val="auto"/>
                <w:sz w:val="32"/>
                <w:szCs w:val="32"/>
                <w:highlight w:val="none"/>
              </w:rPr>
            </w:pPr>
          </w:p>
        </w:tc>
        <w:tc>
          <w:tcPr>
            <w:tcW w:w="1843" w:type="dxa"/>
          </w:tcPr>
          <w:p>
            <w:pPr>
              <w:pStyle w:val="46"/>
              <w:spacing w:line="560" w:lineRule="exact"/>
              <w:rPr>
                <w:rFonts w:ascii="仿宋" w:hAnsi="仿宋" w:eastAsia="仿宋" w:cs="仿宋"/>
                <w:color w:val="auto"/>
                <w:sz w:val="32"/>
                <w:szCs w:val="32"/>
                <w:highlight w:val="none"/>
              </w:rPr>
            </w:pPr>
          </w:p>
        </w:tc>
      </w:tr>
    </w:tbl>
    <w:p>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注：在填写时，如本表格不适合投标单位的实际情况，可参照本表格式自行制表填写。</w:t>
      </w:r>
    </w:p>
    <w:p>
      <w:pPr>
        <w:pStyle w:val="13"/>
        <w:spacing w:line="560" w:lineRule="exact"/>
        <w:rPr>
          <w:rFonts w:ascii="仿宋" w:hAnsi="仿宋" w:eastAsia="仿宋" w:cs="仿宋"/>
          <w:color w:val="auto"/>
          <w:sz w:val="32"/>
          <w:szCs w:val="32"/>
          <w:highlight w:val="none"/>
        </w:rPr>
      </w:pPr>
    </w:p>
    <w:p>
      <w:pPr>
        <w:pStyle w:val="13"/>
        <w:spacing w:line="560" w:lineRule="exact"/>
        <w:rPr>
          <w:rFonts w:ascii="仿宋" w:hAnsi="仿宋" w:eastAsia="仿宋" w:cs="仿宋"/>
          <w:color w:val="auto"/>
          <w:sz w:val="32"/>
          <w:szCs w:val="32"/>
          <w:highlight w:val="none"/>
        </w:rPr>
      </w:pPr>
    </w:p>
    <w:p>
      <w:pPr>
        <w:tabs>
          <w:tab w:val="left" w:pos="8835"/>
        </w:tabs>
        <w:spacing w:line="560" w:lineRule="exact"/>
        <w:ind w:firstLine="3600" w:firstLineChars="900"/>
        <w:rPr>
          <w:rFonts w:ascii="仿宋" w:hAnsi="仿宋" w:eastAsia="仿宋" w:cs="仿宋"/>
          <w:color w:val="auto"/>
          <w:sz w:val="32"/>
          <w:szCs w:val="32"/>
          <w:highlight w:val="none"/>
        </w:rPr>
      </w:pPr>
      <w:r>
        <w:rPr>
          <w:rFonts w:hint="eastAsia" w:ascii="仿宋" w:hAnsi="仿宋" w:eastAsia="仿宋" w:cs="仿宋"/>
          <w:color w:val="auto"/>
          <w:spacing w:val="40"/>
          <w:sz w:val="32"/>
          <w:szCs w:val="32"/>
          <w:highlight w:val="none"/>
        </w:rPr>
        <w:t>投</w:t>
      </w:r>
      <w:r>
        <w:rPr>
          <w:rFonts w:hint="eastAsia" w:ascii="仿宋" w:hAnsi="仿宋" w:eastAsia="仿宋" w:cs="仿宋"/>
          <w:color w:val="auto"/>
          <w:spacing w:val="38"/>
          <w:sz w:val="32"/>
          <w:szCs w:val="32"/>
          <w:highlight w:val="none"/>
        </w:rPr>
        <w:t>标</w:t>
      </w:r>
      <w:r>
        <w:rPr>
          <w:rFonts w:hint="eastAsia" w:ascii="仿宋" w:hAnsi="仿宋" w:eastAsia="仿宋" w:cs="仿宋"/>
          <w:color w:val="auto"/>
          <w:spacing w:val="40"/>
          <w:sz w:val="32"/>
          <w:szCs w:val="32"/>
          <w:highlight w:val="none"/>
        </w:rPr>
        <w:t>人</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电子签章）</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pacing w:val="-83"/>
          <w:sz w:val="32"/>
          <w:szCs w:val="32"/>
          <w:highlight w:val="none"/>
        </w:rPr>
        <w:t xml:space="preserve"> </w:t>
      </w:r>
      <w:r>
        <w:rPr>
          <w:rFonts w:hint="eastAsia" w:ascii="仿宋" w:hAnsi="仿宋" w:eastAsia="仿宋" w:cs="仿宋"/>
          <w:color w:val="auto"/>
          <w:sz w:val="32"/>
          <w:szCs w:val="32"/>
          <w:highlight w:val="none"/>
          <w:u w:val="single"/>
        </w:rPr>
        <w:tab/>
      </w:r>
    </w:p>
    <w:p>
      <w:pPr>
        <w:tabs>
          <w:tab w:val="left" w:pos="6716"/>
        </w:tabs>
        <w:spacing w:line="560" w:lineRule="exact"/>
        <w:ind w:firstLine="3840" w:firstLineChars="1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w:t>
      </w:r>
      <w:r>
        <w:rPr>
          <w:rFonts w:hint="eastAsia" w:ascii="仿宋" w:hAnsi="仿宋" w:eastAsia="仿宋" w:cs="仿宋"/>
          <w:color w:val="auto"/>
          <w:spacing w:val="79"/>
          <w:sz w:val="32"/>
          <w:szCs w:val="32"/>
          <w:highlight w:val="none"/>
        </w:rPr>
        <w:t xml:space="preserve"> </w:t>
      </w:r>
      <w:r>
        <w:rPr>
          <w:rFonts w:hint="eastAsia" w:ascii="仿宋" w:hAnsi="仿宋" w:eastAsia="仿宋" w:cs="仿宋"/>
          <w:color w:val="auto"/>
          <w:spacing w:val="40"/>
          <w:sz w:val="32"/>
          <w:szCs w:val="32"/>
          <w:highlight w:val="none"/>
        </w:rPr>
        <w:t>期</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u w:val="single"/>
        </w:rPr>
        <w:tab/>
      </w:r>
    </w:p>
    <w:p>
      <w:pPr>
        <w:rPr>
          <w:rFonts w:ascii="Times New Roman" w:eastAsia="Times New Roman"/>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3"/>
        <w:spacing w:before="10"/>
        <w:rPr>
          <w:rFonts w:ascii="Times New Roman"/>
          <w:color w:val="auto"/>
          <w:sz w:val="9"/>
          <w:highlight w:val="none"/>
        </w:rPr>
      </w:pPr>
    </w:p>
    <w:p>
      <w:pPr>
        <w:pStyle w:val="10"/>
        <w:tabs>
          <w:tab w:val="left" w:pos="1521"/>
        </w:tabs>
        <w:spacing w:before="66"/>
        <w:ind w:left="0" w:firstLine="0"/>
        <w:rPr>
          <w:rFonts w:ascii="仿宋" w:hAnsi="仿宋" w:eastAsia="仿宋" w:cs="仿宋"/>
          <w:color w:val="auto"/>
          <w:w w:val="95"/>
          <w:sz w:val="40"/>
          <w:szCs w:val="40"/>
          <w:highlight w:val="none"/>
        </w:rPr>
      </w:pPr>
      <w:bookmarkStart w:id="92" w:name="_Toc5734"/>
      <w:r>
        <w:rPr>
          <w:rFonts w:hint="eastAsia" w:ascii="仿宋" w:hAnsi="仿宋" w:eastAsia="仿宋" w:cs="仿宋"/>
          <w:color w:val="auto"/>
          <w:w w:val="95"/>
          <w:sz w:val="40"/>
          <w:szCs w:val="40"/>
          <w:highlight w:val="none"/>
        </w:rPr>
        <w:t>其他文书、文件格式</w:t>
      </w:r>
      <w:bookmarkEnd w:id="92"/>
    </w:p>
    <w:p>
      <w:pPr>
        <w:pStyle w:val="13"/>
        <w:spacing w:before="12"/>
        <w:rPr>
          <w:b/>
          <w:color w:val="auto"/>
          <w:sz w:val="37"/>
          <w:highlight w:val="none"/>
        </w:rPr>
      </w:pPr>
    </w:p>
    <w:p>
      <w:pPr>
        <w:pStyle w:val="5"/>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质疑函（格式）</w:t>
      </w:r>
    </w:p>
    <w:p>
      <w:pPr>
        <w:pStyle w:val="10"/>
        <w:spacing w:line="560" w:lineRule="exact"/>
        <w:ind w:left="0" w:firstLine="611" w:firstLineChars="200"/>
        <w:rPr>
          <w:rFonts w:ascii="仿宋" w:hAnsi="仿宋" w:eastAsia="仿宋" w:cs="仿宋"/>
          <w:color w:val="auto"/>
          <w:sz w:val="32"/>
          <w:szCs w:val="32"/>
          <w:highlight w:val="none"/>
        </w:rPr>
      </w:pPr>
      <w:bookmarkStart w:id="93" w:name="_Toc2911"/>
      <w:r>
        <w:rPr>
          <w:rFonts w:hint="eastAsia" w:ascii="仿宋" w:hAnsi="仿宋" w:eastAsia="仿宋" w:cs="仿宋"/>
          <w:color w:val="auto"/>
          <w:w w:val="95"/>
          <w:sz w:val="32"/>
          <w:szCs w:val="32"/>
          <w:highlight w:val="none"/>
        </w:rPr>
        <w:t>一、质疑供应商基本信息</w:t>
      </w:r>
      <w:r>
        <w:rPr>
          <w:rFonts w:hint="eastAsia" w:ascii="仿宋" w:hAnsi="仿宋" w:eastAsia="仿宋" w:cs="仿宋"/>
          <w:color w:val="auto"/>
          <w:spacing w:val="-10"/>
          <w:w w:val="95"/>
          <w:sz w:val="32"/>
          <w:szCs w:val="32"/>
          <w:highlight w:val="none"/>
        </w:rPr>
        <w:t>：</w:t>
      </w:r>
      <w:bookmarkEnd w:id="93"/>
    </w:p>
    <w:p>
      <w:pPr>
        <w:tabs>
          <w:tab w:val="left" w:pos="7796"/>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pPr>
        <w:tabs>
          <w:tab w:val="left" w:pos="5097"/>
          <w:tab w:val="left" w:pos="7377"/>
          <w:tab w:val="left" w:pos="8396"/>
          <w:tab w:val="left" w:pos="9507"/>
        </w:tabs>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联系电话：</w:t>
      </w:r>
      <w:r>
        <w:rPr>
          <w:rFonts w:hint="eastAsia" w:ascii="仿宋" w:hAnsi="仿宋" w:eastAsia="仿宋" w:cs="仿宋"/>
          <w:color w:val="auto"/>
          <w:sz w:val="32"/>
          <w:szCs w:val="32"/>
          <w:highlight w:val="none"/>
          <w:u w:val="single"/>
        </w:rPr>
        <w:t xml:space="preserve">     </w:t>
      </w:r>
    </w:p>
    <w:p>
      <w:pPr>
        <w:tabs>
          <w:tab w:val="left" w:pos="551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联系电话</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pPr>
        <w:tabs>
          <w:tab w:val="left" w:pos="4377"/>
          <w:tab w:val="left" w:pos="7316"/>
        </w:tabs>
        <w:spacing w:line="560" w:lineRule="exact"/>
        <w:ind w:firstLine="624"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pPr>
        <w:tabs>
          <w:tab w:val="left" w:pos="4377"/>
          <w:tab w:val="left" w:pos="7316"/>
        </w:tabs>
        <w:spacing w:line="560" w:lineRule="exact"/>
        <w:ind w:firstLine="635" w:firstLineChars="200"/>
        <w:outlineLvl w:val="0"/>
        <w:rPr>
          <w:rFonts w:ascii="仿宋" w:hAnsi="仿宋" w:eastAsia="仿宋" w:cs="仿宋"/>
          <w:b/>
          <w:color w:val="auto"/>
          <w:sz w:val="32"/>
          <w:szCs w:val="32"/>
          <w:highlight w:val="none"/>
        </w:rPr>
      </w:pPr>
      <w:bookmarkStart w:id="94" w:name="_Toc16054"/>
      <w:r>
        <w:rPr>
          <w:rFonts w:hint="eastAsia" w:ascii="仿宋" w:hAnsi="仿宋" w:eastAsia="仿宋" w:cs="仿宋"/>
          <w:b/>
          <w:color w:val="auto"/>
          <w:spacing w:val="-2"/>
          <w:sz w:val="32"/>
          <w:szCs w:val="32"/>
          <w:highlight w:val="none"/>
        </w:rPr>
        <w:t>二、质疑项目基本情况：</w:t>
      </w:r>
      <w:bookmarkEnd w:id="94"/>
    </w:p>
    <w:p>
      <w:pPr>
        <w:tabs>
          <w:tab w:val="left" w:pos="8053"/>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质疑项目的名称：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质疑项目的编号：</w:t>
      </w:r>
      <w:r>
        <w:rPr>
          <w:rFonts w:hint="eastAsia" w:ascii="仿宋" w:hAnsi="仿宋" w:eastAsia="仿宋" w:cs="仿宋"/>
          <w:color w:val="auto"/>
          <w:sz w:val="32"/>
          <w:szCs w:val="32"/>
          <w:highlight w:val="none"/>
          <w:u w:val="single"/>
        </w:rPr>
        <w:t xml:space="preserve">     </w:t>
      </w:r>
    </w:p>
    <w:p>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质疑事项：</w:t>
      </w:r>
    </w:p>
    <w:p>
      <w:pPr>
        <w:tabs>
          <w:tab w:val="left" w:pos="9493"/>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□招标文件</w:t>
      </w:r>
      <w:r>
        <w:rPr>
          <w:rFonts w:hint="eastAsia" w:ascii="仿宋" w:hAnsi="仿宋" w:eastAsia="仿宋" w:cs="仿宋"/>
          <w:color w:val="auto"/>
          <w:spacing w:val="60"/>
          <w:sz w:val="32"/>
          <w:szCs w:val="32"/>
          <w:highlight w:val="none"/>
        </w:rPr>
        <w:t xml:space="preserve">  </w:t>
      </w:r>
      <w:r>
        <w:rPr>
          <w:rFonts w:hint="eastAsia" w:ascii="仿宋" w:hAnsi="仿宋" w:eastAsia="仿宋" w:cs="仿宋"/>
          <w:color w:val="auto"/>
          <w:sz w:val="32"/>
          <w:szCs w:val="32"/>
          <w:highlight w:val="none"/>
        </w:rPr>
        <w:t>招标文件获取日期</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□采购过程</w:t>
      </w:r>
    </w:p>
    <w:p>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□中标结果</w:t>
      </w:r>
    </w:p>
    <w:p>
      <w:pPr>
        <w:pStyle w:val="10"/>
        <w:spacing w:line="560" w:lineRule="exact"/>
        <w:ind w:left="0" w:firstLine="611" w:firstLineChars="200"/>
        <w:rPr>
          <w:rFonts w:ascii="仿宋" w:hAnsi="仿宋" w:eastAsia="仿宋" w:cs="仿宋"/>
          <w:color w:val="auto"/>
          <w:sz w:val="32"/>
          <w:szCs w:val="32"/>
          <w:highlight w:val="none"/>
        </w:rPr>
      </w:pPr>
      <w:bookmarkStart w:id="95" w:name="_Toc8738"/>
      <w:r>
        <w:rPr>
          <w:rFonts w:hint="eastAsia" w:ascii="仿宋" w:hAnsi="仿宋" w:eastAsia="仿宋" w:cs="仿宋"/>
          <w:color w:val="auto"/>
          <w:w w:val="95"/>
          <w:sz w:val="32"/>
          <w:szCs w:val="32"/>
          <w:highlight w:val="none"/>
        </w:rPr>
        <w:t>三、质疑事项</w:t>
      </w:r>
      <w:r>
        <w:rPr>
          <w:rFonts w:hint="eastAsia" w:ascii="仿宋" w:hAnsi="仿宋" w:eastAsia="仿宋" w:cs="仿宋"/>
          <w:color w:val="auto"/>
          <w:spacing w:val="-3"/>
          <w:w w:val="95"/>
          <w:sz w:val="32"/>
          <w:szCs w:val="32"/>
          <w:highlight w:val="none"/>
        </w:rPr>
        <w:t>具体内容</w:t>
      </w:r>
      <w:bookmarkEnd w:id="95"/>
    </w:p>
    <w:p>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 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事实依据：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法律依据：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p>
    <w:p>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pPr>
        <w:spacing w:line="560" w:lineRule="exact"/>
        <w:ind w:firstLine="636" w:firstLineChars="200"/>
        <w:outlineLvl w:val="0"/>
        <w:rPr>
          <w:rFonts w:ascii="仿宋" w:hAnsi="仿宋" w:eastAsia="仿宋" w:cs="仿宋"/>
          <w:color w:val="auto"/>
          <w:sz w:val="32"/>
          <w:szCs w:val="32"/>
          <w:highlight w:val="none"/>
        </w:rPr>
      </w:pPr>
      <w:bookmarkStart w:id="96" w:name="_Toc8950"/>
      <w:r>
        <w:rPr>
          <w:rFonts w:hint="eastAsia" w:ascii="仿宋" w:hAnsi="仿宋" w:eastAsia="仿宋" w:cs="仿宋"/>
          <w:color w:val="auto"/>
          <w:spacing w:val="-1"/>
          <w:sz w:val="32"/>
          <w:szCs w:val="32"/>
          <w:highlight w:val="none"/>
        </w:rPr>
        <w:t>四、与质疑事项相关的质疑请求：</w:t>
      </w:r>
      <w:bookmarkEnd w:id="96"/>
    </w:p>
    <w:p>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pPr>
        <w:tabs>
          <w:tab w:val="left" w:pos="7994"/>
        </w:tabs>
        <w:spacing w:line="560" w:lineRule="exact"/>
        <w:ind w:firstLine="1600" w:firstLineChars="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pPr>
        <w:spacing w:line="560" w:lineRule="exact"/>
        <w:ind w:firstLine="1872" w:firstLineChars="6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pPr>
        <w:pStyle w:val="10"/>
        <w:spacing w:line="560" w:lineRule="exact"/>
        <w:ind w:left="0" w:firstLine="595" w:firstLineChars="200"/>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说明：</w:t>
      </w:r>
    </w:p>
    <w:p>
      <w:pPr>
        <w:pStyle w:val="10"/>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1.供应商提出质疑时，应提交质疑函和必要的证明材料。</w:t>
      </w:r>
    </w:p>
    <w:p>
      <w:pPr>
        <w:pStyle w:val="10"/>
        <w:tabs>
          <w:tab w:val="left" w:pos="1758"/>
        </w:tabs>
        <w:spacing w:line="560" w:lineRule="exact"/>
        <w:ind w:left="0" w:firstLine="632" w:firstLineChars="200"/>
        <w:jc w:val="both"/>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0"/>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3.质疑函的质疑事项应具体、明确，并有必要的事实依据和法律依据。</w:t>
      </w:r>
    </w:p>
    <w:p>
      <w:pPr>
        <w:pStyle w:val="10"/>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4.质疑函的质疑请求应与质疑事项相关。</w:t>
      </w:r>
    </w:p>
    <w:p>
      <w:pPr>
        <w:pStyle w:val="10"/>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5.质疑供应商为法人或者其他组织的，质疑函应由法定代表人（负责人）、主要负责人，或者其授权代表签字或者盖章，并加盖公章。</w:t>
      </w:r>
    </w:p>
    <w:p>
      <w:pPr>
        <w:spacing w:line="560" w:lineRule="exact"/>
        <w:ind w:firstLine="632" w:firstLineChars="2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pPr>
        <w:pStyle w:val="13"/>
        <w:spacing w:before="6"/>
        <w:rPr>
          <w:b/>
          <w:color w:val="auto"/>
          <w:sz w:val="9"/>
          <w:highlight w:val="none"/>
        </w:rPr>
      </w:pPr>
    </w:p>
    <w:p>
      <w:pPr>
        <w:pStyle w:val="10"/>
        <w:tabs>
          <w:tab w:val="left" w:pos="1521"/>
        </w:tabs>
        <w:spacing w:before="66"/>
        <w:ind w:left="0" w:firstLine="0"/>
        <w:rPr>
          <w:rFonts w:ascii="仿宋" w:hAnsi="仿宋" w:eastAsia="仿宋" w:cs="仿宋"/>
          <w:color w:val="auto"/>
          <w:w w:val="95"/>
          <w:sz w:val="40"/>
          <w:szCs w:val="40"/>
          <w:highlight w:val="none"/>
        </w:rPr>
      </w:pPr>
      <w:bookmarkStart w:id="97" w:name="_Toc29919"/>
      <w:r>
        <w:rPr>
          <w:rFonts w:hint="eastAsia" w:ascii="仿宋" w:hAnsi="仿宋" w:eastAsia="仿宋" w:cs="仿宋"/>
          <w:color w:val="auto"/>
          <w:w w:val="95"/>
          <w:sz w:val="40"/>
          <w:szCs w:val="40"/>
          <w:highlight w:val="none"/>
        </w:rPr>
        <w:t>投诉书（格式）</w:t>
      </w:r>
      <w:bookmarkEnd w:id="97"/>
    </w:p>
    <w:p>
      <w:pPr>
        <w:pStyle w:val="10"/>
        <w:spacing w:line="560" w:lineRule="exact"/>
        <w:ind w:left="0" w:firstLine="611" w:firstLineChars="200"/>
        <w:rPr>
          <w:rFonts w:ascii="仿宋" w:hAnsi="仿宋" w:eastAsia="仿宋" w:cs="仿宋"/>
          <w:color w:val="auto"/>
          <w:sz w:val="32"/>
          <w:szCs w:val="32"/>
          <w:highlight w:val="none"/>
        </w:rPr>
      </w:pPr>
      <w:bookmarkStart w:id="98" w:name="_Toc16619"/>
      <w:r>
        <w:rPr>
          <w:rFonts w:hint="eastAsia" w:ascii="仿宋" w:hAnsi="仿宋" w:eastAsia="仿宋" w:cs="仿宋"/>
          <w:color w:val="auto"/>
          <w:w w:val="95"/>
          <w:sz w:val="32"/>
          <w:szCs w:val="32"/>
          <w:highlight w:val="none"/>
        </w:rPr>
        <w:t>一、投诉相关主体基本情</w:t>
      </w:r>
      <w:r>
        <w:rPr>
          <w:rFonts w:hint="eastAsia" w:ascii="仿宋" w:hAnsi="仿宋" w:eastAsia="仿宋" w:cs="仿宋"/>
          <w:color w:val="auto"/>
          <w:spacing w:val="-5"/>
          <w:w w:val="95"/>
          <w:sz w:val="32"/>
          <w:szCs w:val="32"/>
          <w:highlight w:val="none"/>
        </w:rPr>
        <w:t>况：</w:t>
      </w:r>
      <w:bookmarkEnd w:id="98"/>
    </w:p>
    <w:p>
      <w:pPr>
        <w:tabs>
          <w:tab w:val="left" w:pos="7137"/>
          <w:tab w:val="left" w:pos="7796"/>
          <w:tab w:val="left" w:pos="9507"/>
        </w:tabs>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pPr>
        <w:tabs>
          <w:tab w:val="left" w:pos="7137"/>
          <w:tab w:val="left" w:pos="7796"/>
          <w:tab w:val="left" w:pos="9507"/>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法定代表人/主要负责人：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pPr>
        <w:tabs>
          <w:tab w:val="left" w:pos="7137"/>
          <w:tab w:val="left" w:pos="9476"/>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pPr>
        <w:tabs>
          <w:tab w:val="left" w:pos="7137"/>
          <w:tab w:val="left" w:pos="9476"/>
        </w:tabs>
        <w:spacing w:line="560" w:lineRule="exact"/>
        <w:ind w:firstLine="640"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p>
    <w:p>
      <w:pPr>
        <w:tabs>
          <w:tab w:val="left" w:pos="7137"/>
          <w:tab w:val="left" w:pos="9476"/>
        </w:tabs>
        <w:spacing w:line="560" w:lineRule="exact"/>
        <w:ind w:firstLine="624"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pPr>
        <w:tabs>
          <w:tab w:val="left" w:pos="7137"/>
          <w:tab w:val="left" w:pos="9476"/>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u w:val="single"/>
        </w:rPr>
        <w:t xml:space="preserve">   </w:t>
      </w:r>
    </w:p>
    <w:p>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相关供应商：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p>
    <w:p>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pPr>
        <w:tabs>
          <w:tab w:val="left" w:pos="7257"/>
          <w:tab w:val="left" w:pos="9507"/>
        </w:tabs>
        <w:spacing w:line="560" w:lineRule="exact"/>
        <w:ind w:firstLine="640" w:firstLineChars="200"/>
        <w:jc w:val="both"/>
        <w:outlineLvl w:val="0"/>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w:t>
      </w:r>
      <w:bookmarkStart w:id="99" w:name="_Toc6816"/>
      <w:r>
        <w:rPr>
          <w:rFonts w:hint="eastAsia" w:ascii="仿宋" w:hAnsi="仿宋" w:eastAsia="仿宋" w:cs="仿宋"/>
          <w:b/>
          <w:color w:val="auto"/>
          <w:spacing w:val="-2"/>
          <w:sz w:val="32"/>
          <w:szCs w:val="32"/>
          <w:highlight w:val="none"/>
        </w:rPr>
        <w:t>二、投诉项目基本情况：</w:t>
      </w:r>
      <w:bookmarkEnd w:id="99"/>
    </w:p>
    <w:p>
      <w:pPr>
        <w:tabs>
          <w:tab w:val="left" w:pos="8653"/>
          <w:tab w:val="left" w:pos="9507"/>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采购项目的编号：</w:t>
      </w:r>
      <w:r>
        <w:rPr>
          <w:rFonts w:hint="eastAsia" w:ascii="仿宋" w:hAnsi="仿宋" w:eastAsia="仿宋" w:cs="仿宋"/>
          <w:color w:val="auto"/>
          <w:sz w:val="32"/>
          <w:szCs w:val="32"/>
          <w:highlight w:val="none"/>
          <w:u w:val="single"/>
        </w:rPr>
        <w:t xml:space="preserve">      </w:t>
      </w:r>
    </w:p>
    <w:p>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代理机构名称：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招标文件公告：</w:t>
      </w:r>
      <w:r>
        <w:rPr>
          <w:rFonts w:hint="eastAsia" w:ascii="仿宋" w:hAnsi="仿宋" w:eastAsia="仿宋" w:cs="仿宋"/>
          <w:color w:val="auto"/>
          <w:spacing w:val="-2"/>
          <w:sz w:val="32"/>
          <w:szCs w:val="32"/>
          <w:highlight w:val="none"/>
          <w:u w:val="single"/>
        </w:rPr>
        <w:t>是/否</w:t>
      </w: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pPr>
        <w:tabs>
          <w:tab w:val="left" w:pos="9505"/>
        </w:tabs>
        <w:spacing w:line="560" w:lineRule="exact"/>
        <w:ind w:firstLine="632" w:firstLineChars="200"/>
        <w:jc w:val="both"/>
        <w:rPr>
          <w:rFonts w:ascii="仿宋" w:hAnsi="仿宋" w:eastAsia="仿宋" w:cs="仿宋"/>
          <w:color w:val="auto"/>
          <w:spacing w:val="-2"/>
          <w:sz w:val="32"/>
          <w:szCs w:val="32"/>
          <w:highlight w:val="none"/>
          <w:u w:val="single"/>
        </w:rPr>
      </w:pPr>
      <w:r>
        <w:rPr>
          <w:rFonts w:hint="eastAsia" w:ascii="仿宋" w:hAnsi="仿宋" w:eastAsia="仿宋" w:cs="仿宋"/>
          <w:color w:val="auto"/>
          <w:spacing w:val="-2"/>
          <w:sz w:val="32"/>
          <w:szCs w:val="32"/>
          <w:highlight w:val="none"/>
        </w:rPr>
        <w:t>采购结果公告：</w:t>
      </w:r>
      <w:r>
        <w:rPr>
          <w:rFonts w:hint="eastAsia" w:ascii="仿宋" w:hAnsi="仿宋" w:eastAsia="仿宋" w:cs="仿宋"/>
          <w:color w:val="auto"/>
          <w:spacing w:val="-2"/>
          <w:sz w:val="32"/>
          <w:szCs w:val="32"/>
          <w:highlight w:val="none"/>
          <w:u w:val="single"/>
        </w:rPr>
        <w:t>是/否</w:t>
      </w:r>
    </w:p>
    <w:p>
      <w:pPr>
        <w:tabs>
          <w:tab w:val="left" w:pos="9505"/>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p>
    <w:p>
      <w:pPr>
        <w:tabs>
          <w:tab w:val="left" w:pos="9505"/>
        </w:tabs>
        <w:spacing w:line="560" w:lineRule="exact"/>
        <w:ind w:firstLine="635" w:firstLineChars="200"/>
        <w:jc w:val="both"/>
        <w:outlineLvl w:val="0"/>
        <w:rPr>
          <w:rFonts w:ascii="仿宋" w:hAnsi="仿宋" w:eastAsia="仿宋" w:cs="仿宋"/>
          <w:b/>
          <w:color w:val="auto"/>
          <w:sz w:val="32"/>
          <w:szCs w:val="32"/>
          <w:highlight w:val="none"/>
        </w:rPr>
      </w:pPr>
      <w:bookmarkStart w:id="100" w:name="_Toc2657"/>
      <w:r>
        <w:rPr>
          <w:rFonts w:hint="eastAsia" w:ascii="仿宋" w:hAnsi="仿宋" w:eastAsia="仿宋" w:cs="仿宋"/>
          <w:b/>
          <w:color w:val="auto"/>
          <w:spacing w:val="-2"/>
          <w:sz w:val="32"/>
          <w:szCs w:val="32"/>
          <w:highlight w:val="none"/>
        </w:rPr>
        <w:t>三、质疑基本情况</w:t>
      </w:r>
      <w:bookmarkEnd w:id="100"/>
    </w:p>
    <w:p>
      <w:pPr>
        <w:pStyle w:val="13"/>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投诉人于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6"/>
          <w:sz w:val="32"/>
          <w:szCs w:val="32"/>
          <w:highlight w:val="none"/>
        </w:rPr>
        <w:t>日</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6"/>
          <w:sz w:val="32"/>
          <w:szCs w:val="32"/>
          <w:highlight w:val="none"/>
        </w:rPr>
        <w:t>向</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提出质疑，质疑事项为：</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z w:val="32"/>
          <w:szCs w:val="32"/>
          <w:highlight w:val="none"/>
          <w:u w:val="single"/>
        </w:rPr>
        <w:t xml:space="preserve"> </w:t>
      </w:r>
    </w:p>
    <w:p>
      <w:pPr>
        <w:pStyle w:val="13"/>
        <w:spacing w:line="560" w:lineRule="exact"/>
        <w:ind w:firstLine="640" w:firstLineChars="200"/>
        <w:rPr>
          <w:rFonts w:ascii="仿宋" w:hAnsi="仿宋" w:eastAsia="仿宋" w:cs="仿宋"/>
          <w:color w:val="auto"/>
          <w:spacing w:val="-2"/>
          <w:sz w:val="32"/>
          <w:szCs w:val="32"/>
          <w:highlight w:val="none"/>
        </w:rPr>
      </w:pPr>
      <w:r>
        <w:rPr>
          <w:rFonts w:hint="eastAsia" w:ascii="仿宋" w:hAnsi="仿宋" w:eastAsia="仿宋" w:cs="仿宋"/>
          <w:color w:val="auto"/>
          <w:sz w:val="32"/>
          <w:szCs w:val="32"/>
          <w:highlight w:val="none"/>
          <w:u w:val="single"/>
        </w:rPr>
        <w:t>采购人/采购代理机构</w:t>
      </w:r>
      <w:r>
        <w:rPr>
          <w:rFonts w:hint="eastAsia" w:ascii="仿宋" w:hAnsi="仿宋" w:eastAsia="仿宋" w:cs="仿宋"/>
          <w:color w:val="auto"/>
          <w:spacing w:val="-10"/>
          <w:sz w:val="32"/>
          <w:szCs w:val="32"/>
          <w:highlight w:val="none"/>
        </w:rPr>
        <w:t>于</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日，就质疑事项作出了答复</w:t>
      </w:r>
      <w:r>
        <w:rPr>
          <w:rFonts w:hint="eastAsia" w:ascii="仿宋" w:hAnsi="仿宋" w:eastAsia="仿宋" w:cs="仿宋"/>
          <w:color w:val="auto"/>
          <w:spacing w:val="-10"/>
          <w:sz w:val="32"/>
          <w:szCs w:val="32"/>
          <w:highlight w:val="none"/>
        </w:rPr>
        <w:t>/</w:t>
      </w:r>
      <w:r>
        <w:rPr>
          <w:rFonts w:hint="eastAsia" w:ascii="仿宋" w:hAnsi="仿宋" w:eastAsia="仿宋" w:cs="仿宋"/>
          <w:color w:val="auto"/>
          <w:spacing w:val="-2"/>
          <w:sz w:val="32"/>
          <w:szCs w:val="32"/>
          <w:highlight w:val="none"/>
        </w:rPr>
        <w:t>没有在法定期限内作出答复。</w:t>
      </w:r>
    </w:p>
    <w:p>
      <w:pPr>
        <w:pStyle w:val="13"/>
        <w:spacing w:line="560" w:lineRule="exact"/>
        <w:ind w:firstLine="635" w:firstLineChars="200"/>
        <w:outlineLvl w:val="0"/>
        <w:rPr>
          <w:rFonts w:ascii="仿宋" w:hAnsi="仿宋" w:eastAsia="仿宋" w:cs="仿宋"/>
          <w:b/>
          <w:color w:val="auto"/>
          <w:sz w:val="32"/>
          <w:szCs w:val="32"/>
          <w:highlight w:val="none"/>
        </w:rPr>
      </w:pPr>
      <w:bookmarkStart w:id="101" w:name="_Toc24881"/>
      <w:r>
        <w:rPr>
          <w:rFonts w:hint="eastAsia" w:ascii="仿宋" w:hAnsi="仿宋" w:eastAsia="仿宋" w:cs="仿宋"/>
          <w:b/>
          <w:color w:val="auto"/>
          <w:spacing w:val="-2"/>
          <w:sz w:val="32"/>
          <w:szCs w:val="32"/>
          <w:highlight w:val="none"/>
        </w:rPr>
        <w:t>四、投诉事项具体内容</w:t>
      </w:r>
      <w:bookmarkEnd w:id="101"/>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投诉事项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事实依据： </w:t>
      </w:r>
      <w:r>
        <w:rPr>
          <w:rFonts w:ascii="仿宋" w:hAnsi="仿宋" w:eastAsia="仿宋" w:cs="仿宋"/>
          <w:color w:val="auto"/>
          <w:sz w:val="32"/>
          <w:szCs w:val="32"/>
          <w:highlight w:val="none"/>
        </w:rPr>
        <w:drawing>
          <wp:anchor distT="0" distB="0" distL="0" distR="0" simplePos="0" relativeHeight="251660288" behindDoc="0" locked="0" layoutInCell="1" allowOverlap="1">
            <wp:simplePos x="0" y="0"/>
            <wp:positionH relativeFrom="page">
              <wp:posOffset>1456055</wp:posOffset>
            </wp:positionH>
            <wp:positionV relativeFrom="paragraph">
              <wp:posOffset>164465</wp:posOffset>
            </wp:positionV>
            <wp:extent cx="4961890" cy="7620"/>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30" cstate="print"/>
                    <a:stretch>
                      <a:fillRect/>
                    </a:stretch>
                  </pic:blipFill>
                  <pic:spPr>
                    <a:xfrm>
                      <a:off x="0" y="0"/>
                      <a:ext cx="4961890" cy="7620"/>
                    </a:xfrm>
                    <a:prstGeom prst="rect">
                      <a:avLst/>
                    </a:prstGeom>
                  </pic:spPr>
                </pic:pic>
              </a:graphicData>
            </a:graphic>
          </wp:anchor>
        </w:drawing>
      </w:r>
      <w:r>
        <w:rPr>
          <w:rFonts w:hint="eastAsia" w:ascii="仿宋" w:hAnsi="仿宋" w:eastAsia="仿宋" w:cs="仿宋"/>
          <w:color w:val="auto"/>
          <w:sz w:val="32"/>
          <w:szCs w:val="32"/>
          <w:highlight w:val="none"/>
          <w:u w:val="single"/>
        </w:rPr>
        <w:t xml:space="preserve">       </w:t>
      </w:r>
    </w:p>
    <w:p>
      <w:pPr>
        <w:pStyle w:val="13"/>
        <w:spacing w:line="560" w:lineRule="exact"/>
        <w:ind w:firstLine="640" w:firstLineChars="200"/>
        <w:rPr>
          <w:rFonts w:ascii="仿宋" w:hAnsi="仿宋" w:eastAsia="仿宋" w:cs="仿宋"/>
          <w:color w:val="auto"/>
          <w:sz w:val="32"/>
          <w:szCs w:val="32"/>
          <w:highlight w:val="none"/>
        </w:rPr>
      </w:pPr>
    </w:p>
    <w:p>
      <w:pPr>
        <w:pStyle w:val="13"/>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法律依据： </w:t>
      </w:r>
      <w:r>
        <w:rPr>
          <w:rFonts w:hint="eastAsia" w:ascii="仿宋" w:hAnsi="仿宋" w:eastAsia="仿宋" w:cs="仿宋"/>
          <w:color w:val="auto"/>
          <w:sz w:val="32"/>
          <w:szCs w:val="32"/>
          <w:highlight w:val="none"/>
          <w:u w:val="single"/>
        </w:rPr>
        <w:t xml:space="preserve">      </w:t>
      </w:r>
    </w:p>
    <w:p>
      <w:pPr>
        <w:spacing w:line="560" w:lineRule="exact"/>
        <w:ind w:firstLine="592" w:firstLineChars="200"/>
        <w:rPr>
          <w:rFonts w:ascii="仿宋" w:hAnsi="仿宋" w:eastAsia="仿宋" w:cs="仿宋"/>
          <w:color w:val="auto"/>
          <w:sz w:val="32"/>
          <w:szCs w:val="32"/>
          <w:highlight w:val="none"/>
        </w:rPr>
      </w:pPr>
      <w:r>
        <w:rPr>
          <w:rFonts w:hint="eastAsia" w:ascii="仿宋" w:hAnsi="仿宋" w:eastAsia="仿宋" w:cs="仿宋"/>
          <w:color w:val="auto"/>
          <w:spacing w:val="-12"/>
          <w:sz w:val="32"/>
          <w:szCs w:val="32"/>
          <w:highlight w:val="none"/>
        </w:rPr>
        <w:t xml:space="preserve">投诉事项 </w:t>
      </w:r>
      <w:r>
        <w:rPr>
          <w:rFonts w:hint="eastAsia" w:ascii="仿宋" w:hAnsi="仿宋" w:eastAsia="仿宋" w:cs="仿宋"/>
          <w:color w:val="auto"/>
          <w:spacing w:val="-10"/>
          <w:sz w:val="32"/>
          <w:szCs w:val="32"/>
          <w:highlight w:val="none"/>
        </w:rPr>
        <w:t>2</w:t>
      </w:r>
    </w:p>
    <w:p>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pPr>
        <w:pStyle w:val="10"/>
        <w:spacing w:line="560" w:lineRule="exact"/>
        <w:ind w:left="0" w:firstLine="611" w:firstLineChars="200"/>
        <w:rPr>
          <w:rFonts w:ascii="仿宋" w:hAnsi="仿宋" w:eastAsia="仿宋" w:cs="仿宋"/>
          <w:color w:val="auto"/>
          <w:sz w:val="32"/>
          <w:szCs w:val="32"/>
          <w:highlight w:val="none"/>
        </w:rPr>
      </w:pPr>
      <w:bookmarkStart w:id="102" w:name="_Toc21627"/>
      <w:r>
        <w:rPr>
          <w:rFonts w:hint="eastAsia" w:ascii="仿宋" w:hAnsi="仿宋" w:eastAsia="仿宋" w:cs="仿宋"/>
          <w:color w:val="auto"/>
          <w:w w:val="95"/>
          <w:sz w:val="32"/>
          <w:szCs w:val="32"/>
          <w:highlight w:val="none"/>
        </w:rPr>
        <w:t>五、与投诉事项相关的投诉请求</w:t>
      </w:r>
      <w:r>
        <w:rPr>
          <w:rFonts w:hint="eastAsia" w:ascii="仿宋" w:hAnsi="仿宋" w:eastAsia="仿宋" w:cs="仿宋"/>
          <w:color w:val="auto"/>
          <w:spacing w:val="-10"/>
          <w:w w:val="95"/>
          <w:sz w:val="32"/>
          <w:szCs w:val="32"/>
          <w:highlight w:val="none"/>
        </w:rPr>
        <w:t>：</w:t>
      </w:r>
      <w:bookmarkEnd w:id="102"/>
    </w:p>
    <w:p>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pPr>
        <w:pStyle w:val="13"/>
        <w:spacing w:line="560" w:lineRule="exact"/>
        <w:rPr>
          <w:rFonts w:ascii="仿宋" w:hAnsi="仿宋" w:eastAsia="仿宋" w:cs="仿宋"/>
          <w:color w:val="auto"/>
          <w:sz w:val="32"/>
          <w:szCs w:val="32"/>
          <w:highlight w:val="none"/>
        </w:rPr>
      </w:pPr>
    </w:p>
    <w:p>
      <w:pPr>
        <w:tabs>
          <w:tab w:val="left" w:pos="7994"/>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pPr>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pPr>
        <w:pStyle w:val="10"/>
        <w:spacing w:line="560" w:lineRule="exact"/>
        <w:ind w:left="0" w:firstLine="592"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4"/>
          <w:w w:val="95"/>
          <w:sz w:val="32"/>
          <w:szCs w:val="32"/>
          <w:highlight w:val="none"/>
        </w:rPr>
        <w:t>说明：</w:t>
      </w:r>
    </w:p>
    <w:p>
      <w:pPr>
        <w:pStyle w:val="10"/>
        <w:tabs>
          <w:tab w:val="left" w:pos="1758"/>
        </w:tabs>
        <w:spacing w:line="560" w:lineRule="exact"/>
        <w:ind w:left="0" w:firstLine="624"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2"/>
          <w:w w:val="99"/>
          <w:sz w:val="32"/>
          <w:szCs w:val="32"/>
          <w:highlight w:val="none"/>
        </w:rPr>
        <w:t>1.投诉人提起投诉时，应当提交投诉书和必要的证明材料，并按照被投诉人</w:t>
      </w:r>
      <w:r>
        <w:rPr>
          <w:rFonts w:hint="eastAsia" w:ascii="仿宋" w:hAnsi="仿宋" w:eastAsia="仿宋" w:cs="仿宋"/>
          <w:b w:val="0"/>
          <w:bCs w:val="0"/>
          <w:color w:val="auto"/>
          <w:w w:val="99"/>
          <w:sz w:val="32"/>
          <w:szCs w:val="32"/>
          <w:highlight w:val="none"/>
        </w:rPr>
        <w:t>和与投诉事项有关的供应商数量提供投诉书副本。</w:t>
      </w:r>
    </w:p>
    <w:p>
      <w:pPr>
        <w:pStyle w:val="10"/>
        <w:tabs>
          <w:tab w:val="left" w:pos="1758"/>
        </w:tabs>
        <w:spacing w:line="560" w:lineRule="exact"/>
        <w:ind w:left="0" w:firstLine="620" w:firstLineChars="200"/>
        <w:jc w:val="both"/>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2.投诉人若委托代理人进行投诉的，投诉书应按要求列明“授权代表”的有</w:t>
      </w:r>
      <w:r>
        <w:rPr>
          <w:rFonts w:hint="eastAsia" w:ascii="仿宋" w:hAnsi="仿宋" w:eastAsia="仿宋" w:cs="仿宋"/>
          <w:b w:val="0"/>
          <w:bCs w:val="0"/>
          <w:color w:val="auto"/>
          <w:spacing w:val="3"/>
          <w:w w:val="99"/>
          <w:sz w:val="32"/>
          <w:szCs w:val="32"/>
          <w:highlight w:val="none"/>
        </w:rPr>
        <w:t>关内容，并在附件中提交由投诉人签署的授权委托书。授权委托书应当载明代</w:t>
      </w:r>
      <w:r>
        <w:rPr>
          <w:rFonts w:hint="eastAsia" w:ascii="仿宋" w:hAnsi="仿宋" w:eastAsia="仿宋" w:cs="仿宋"/>
          <w:b w:val="0"/>
          <w:bCs w:val="0"/>
          <w:color w:val="auto"/>
          <w:w w:val="99"/>
          <w:sz w:val="32"/>
          <w:szCs w:val="32"/>
          <w:highlight w:val="none"/>
        </w:rPr>
        <w:t>理人的姓名或者名称、代理事项、具体权限、期限和相关事项。</w:t>
      </w:r>
    </w:p>
    <w:p>
      <w:pPr>
        <w:pStyle w:val="10"/>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3.投诉书应简要列明质疑事项，质疑函、质疑答复等作为附件材料提</w:t>
      </w:r>
      <w:r>
        <w:rPr>
          <w:rFonts w:hint="eastAsia" w:ascii="仿宋" w:hAnsi="仿宋" w:eastAsia="仿宋" w:cs="仿宋"/>
          <w:b w:val="0"/>
          <w:bCs w:val="0"/>
          <w:color w:val="auto"/>
          <w:spacing w:val="-5"/>
          <w:w w:val="95"/>
          <w:sz w:val="32"/>
          <w:szCs w:val="32"/>
          <w:highlight w:val="none"/>
        </w:rPr>
        <w:t>供。</w:t>
      </w:r>
    </w:p>
    <w:p>
      <w:pPr>
        <w:pStyle w:val="10"/>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4.投诉书的投诉事项应具体、明确，并有必要的事实依据和法律依据</w:t>
      </w:r>
      <w:r>
        <w:rPr>
          <w:rFonts w:hint="eastAsia" w:ascii="仿宋" w:hAnsi="仿宋" w:eastAsia="仿宋" w:cs="仿宋"/>
          <w:b w:val="0"/>
          <w:bCs w:val="0"/>
          <w:color w:val="auto"/>
          <w:spacing w:val="-10"/>
          <w:w w:val="95"/>
          <w:sz w:val="32"/>
          <w:szCs w:val="32"/>
          <w:highlight w:val="none"/>
        </w:rPr>
        <w:t>。</w:t>
      </w:r>
    </w:p>
    <w:p>
      <w:pPr>
        <w:pStyle w:val="10"/>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5.投诉书的投诉请求应与投诉事项相关</w:t>
      </w:r>
      <w:r>
        <w:rPr>
          <w:rFonts w:hint="eastAsia" w:ascii="仿宋" w:hAnsi="仿宋" w:eastAsia="仿宋" w:cs="仿宋"/>
          <w:b w:val="0"/>
          <w:bCs w:val="0"/>
          <w:color w:val="auto"/>
          <w:spacing w:val="-10"/>
          <w:w w:val="95"/>
          <w:sz w:val="32"/>
          <w:szCs w:val="32"/>
          <w:highlight w:val="none"/>
        </w:rPr>
        <w:t>。</w:t>
      </w:r>
    </w:p>
    <w:p>
      <w:pPr>
        <w:pStyle w:val="10"/>
        <w:tabs>
          <w:tab w:val="left" w:pos="1758"/>
        </w:tabs>
        <w:spacing w:line="560" w:lineRule="exact"/>
        <w:ind w:left="0" w:firstLine="620"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6.投诉人为法人或者其他组织的，投诉书应由法定代表人、主要负责人，或</w:t>
      </w:r>
      <w:r>
        <w:rPr>
          <w:rFonts w:hint="eastAsia" w:ascii="仿宋" w:hAnsi="仿宋" w:eastAsia="仿宋" w:cs="仿宋"/>
          <w:b w:val="0"/>
          <w:bCs w:val="0"/>
          <w:color w:val="auto"/>
          <w:spacing w:val="-1"/>
          <w:w w:val="99"/>
          <w:sz w:val="32"/>
          <w:szCs w:val="32"/>
          <w:highlight w:val="none"/>
        </w:rPr>
        <w:t>者其授权代表签字或者盖章，并加盖公章。</w:t>
      </w:r>
    </w:p>
    <w:sectPr>
      <w:pgSz w:w="11911" w:h="16838"/>
      <w:pgMar w:top="1247" w:right="1247" w:bottom="1247" w:left="1247" w:header="1134" w:footer="1134"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2"/>
      </w:rPr>
    </w:pPr>
    <w:r>
      <mc:AlternateContent>
        <mc:Choice Requires="wps">
          <w:drawing>
            <wp:anchor distT="0" distB="0" distL="114300" distR="114300" simplePos="0" relativeHeight="251662336"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5" name="docshape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wps:txbx>
                    <wps:bodyPr lIns="0" tIns="0" rIns="0" bIns="0" upright="1"/>
                  </wps:wsp>
                </a:graphicData>
              </a:graphic>
            </wp:anchor>
          </w:drawing>
        </mc:Choice>
        <mc:Fallback>
          <w:pict>
            <v:shape id="docshape4" o:spid="_x0000_s1026" o:spt="202" type="#_x0000_t202" style="position:absolute;left:0pt;margin-left:290.15pt;margin-top:770.9pt;height:12pt;width:16.1pt;mso-position-horizontal-relative:page;mso-position-vertical-relative:page;z-index:-251654144;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ry87TaAAAA&#10;DQEAAA8AAAAAAAAAAQAgAAAAIgAAAGRycy9kb3ducmV2LnhtbFBLAQIUABQAAAAIAIdO4kBGzihS&#10;qQEAAG8DAAAOAAAAAAAAAAEAIAAAACkBAABkcnMvZTJvRG9jLnhtbFBLBQYAAAAABgAGAFkBAABE&#10;BQAAAAA=&#10;">
              <v:fill on="f" focussize="0,0"/>
              <v:stroke on="f"/>
              <v:imagedata o:title=""/>
              <o:lock v:ext="edit" aspectratio="f"/>
              <v:textbox inset="0mm,0mm,0mm,0mm">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9" name="docshape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wps:txbx>
                    <wps:bodyPr lIns="0" tIns="0" rIns="0" bIns="0" upright="1"/>
                  </wps:wsp>
                </a:graphicData>
              </a:graphic>
            </wp:anchor>
          </w:drawing>
        </mc:Choice>
        <mc:Fallback>
          <w:pict>
            <v:shape id="docshape14" o:spid="_x0000_s1026" o:spt="202" type="#_x0000_t202" style="position:absolute;left:0pt;margin-left:290.15pt;margin-top:770.9pt;height:12pt;width:16.1pt;mso-position-horizontal-relative:page;mso-position-vertical-relative:page;z-index:-251652096;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3nW3&#10;T6oBAABwAwAADgAAAAAAAAABACAAAAApAQAAZHJzL2Uyb0RvYy54bWxQSwUGAAAAAAYABgBZAQAA&#10;RQUAAAAA&#10;">
              <v:fill on="f" focussize="0,0"/>
              <v:stroke on="f"/>
              <v:imagedata o:title=""/>
              <o:lock v:ext="edit" aspectratio="f"/>
              <v:textbox inset="0mm,0mm,0mm,0mm">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14" name="docshape18"/>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wps:txbx>
                    <wps:bodyPr lIns="0" tIns="0" rIns="0" bIns="0" upright="1"/>
                  </wps:wsp>
                </a:graphicData>
              </a:graphic>
            </wp:anchor>
          </w:drawing>
        </mc:Choice>
        <mc:Fallback>
          <w:pict>
            <v:shape id="docshape18" o:spid="_x0000_s1026" o:spt="202" type="#_x0000_t202" style="position:absolute;left:0pt;margin-left:290.15pt;margin-top:770.9pt;height:12pt;width:16.1pt;mso-position-horizontal-relative:page;mso-position-vertical-relative:page;z-index:-251650048;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A6q/&#10;/6oBAABxAwAADgAAAAAAAAABACAAAAApAQAAZHJzL2Uyb0RvYy54bWxQSwUGAAAAAAYABgBZAQAA&#10;RQUAAAAA&#10;">
              <v:fill on="f" focussize="0,0"/>
              <v:stroke on="f"/>
              <v:imagedata o:title=""/>
              <o:lock v:ext="edit" aspectratio="f"/>
              <v:textbox inset="0mm,0mm,0mm,0mm">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4" name="docshape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 o:spid="_x0000_s1026" o:spt="1" style="position:absolute;left:0pt;margin-left:56.7pt;margin-top:55.2pt;height:0.7pt;width:481.9pt;mso-position-horizontal-relative:page;mso-position-vertical-relative:page;z-index:-251655168;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u2rtiogEAAF4DAAAO&#10;AAAAAAAAAAEAIAAAACcBAABkcnMvZTJvRG9jLnhtbFBLBQYAAAAABgAGAFkBAAA7BQ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6" name="docshape1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1" o:spid="_x0000_s1026" o:spt="1" style="position:absolute;left:0pt;margin-left:56.7pt;margin-top:55.2pt;height:0.7pt;width:481.9pt;mso-position-horizontal-relative:page;mso-position-vertical-relative:page;z-index:-251653120;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jsB21ogEAAF8DAAAO&#10;AAAAAAAAAAEAIAAAACcBAABkcnMvZTJvRG9jLnhtbFBLBQYAAAAABgAGAFkBAAA7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74EC3"/>
    <w:multiLevelType w:val="singleLevel"/>
    <w:tmpl w:val="A3B74EC3"/>
    <w:lvl w:ilvl="0" w:tentative="0">
      <w:start w:val="1"/>
      <w:numFmt w:val="decimal"/>
      <w:suff w:val="space"/>
      <w:lvlText w:val="%1)"/>
      <w:lvlJc w:val="left"/>
      <w:pPr>
        <w:ind w:left="-82" w:hanging="425"/>
      </w:pPr>
      <w:rPr>
        <w:rFonts w:hint="default"/>
      </w:rPr>
    </w:lvl>
  </w:abstractNum>
  <w:abstractNum w:abstractNumId="1">
    <w:nsid w:val="A551C3CA"/>
    <w:multiLevelType w:val="singleLevel"/>
    <w:tmpl w:val="A551C3CA"/>
    <w:lvl w:ilvl="0" w:tentative="0">
      <w:start w:val="1"/>
      <w:numFmt w:val="decimalEnclosedCircleChinese"/>
      <w:suff w:val="nothing"/>
      <w:lvlText w:val="%1　"/>
      <w:lvlJc w:val="left"/>
      <w:pPr>
        <w:ind w:left="-82" w:firstLine="400"/>
      </w:pPr>
      <w:rPr>
        <w:rFonts w:hint="eastAsia"/>
      </w:rPr>
    </w:lvl>
  </w:abstractNum>
  <w:abstractNum w:abstractNumId="2">
    <w:nsid w:val="B9E51F6F"/>
    <w:multiLevelType w:val="singleLevel"/>
    <w:tmpl w:val="B9E51F6F"/>
    <w:lvl w:ilvl="0" w:tentative="0">
      <w:start w:val="1"/>
      <w:numFmt w:val="decimal"/>
      <w:lvlText w:val="%1."/>
      <w:lvlJc w:val="left"/>
      <w:pPr>
        <w:tabs>
          <w:tab w:val="left" w:pos="312"/>
        </w:tabs>
      </w:pPr>
    </w:lvl>
  </w:abstractNum>
  <w:abstractNum w:abstractNumId="3">
    <w:nsid w:val="BFFBBAB1"/>
    <w:multiLevelType w:val="singleLevel"/>
    <w:tmpl w:val="BFFBBAB1"/>
    <w:lvl w:ilvl="0" w:tentative="0">
      <w:start w:val="11"/>
      <w:numFmt w:val="chineseCounting"/>
      <w:suff w:val="nothing"/>
      <w:lvlText w:val="%1、"/>
      <w:lvlJc w:val="left"/>
      <w:rPr>
        <w:rFonts w:hint="eastAsia"/>
      </w:rPr>
    </w:lvl>
  </w:abstractNum>
  <w:abstractNum w:abstractNumId="4">
    <w:nsid w:val="C2EBD355"/>
    <w:multiLevelType w:val="singleLevel"/>
    <w:tmpl w:val="C2EBD355"/>
    <w:lvl w:ilvl="0" w:tentative="0">
      <w:start w:val="1"/>
      <w:numFmt w:val="decimalEnclosedCircleChinese"/>
      <w:suff w:val="nothing"/>
      <w:lvlText w:val="%1　"/>
      <w:lvlJc w:val="left"/>
      <w:pPr>
        <w:ind w:left="-82" w:firstLine="400"/>
      </w:pPr>
      <w:rPr>
        <w:rFonts w:hint="eastAsia"/>
      </w:rPr>
    </w:lvl>
  </w:abstractNum>
  <w:abstractNum w:abstractNumId="5">
    <w:nsid w:val="C7DE3365"/>
    <w:multiLevelType w:val="singleLevel"/>
    <w:tmpl w:val="C7DE3365"/>
    <w:lvl w:ilvl="0" w:tentative="0">
      <w:start w:val="1"/>
      <w:numFmt w:val="decimalEnclosedCircleChinese"/>
      <w:suff w:val="nothing"/>
      <w:lvlText w:val="%1　"/>
      <w:lvlJc w:val="left"/>
      <w:pPr>
        <w:ind w:left="-82" w:firstLine="397"/>
      </w:pPr>
      <w:rPr>
        <w:rFonts w:hint="eastAsia"/>
      </w:rPr>
    </w:lvl>
  </w:abstractNum>
  <w:abstractNum w:abstractNumId="6">
    <w:nsid w:val="D0EB1404"/>
    <w:multiLevelType w:val="singleLevel"/>
    <w:tmpl w:val="D0EB1404"/>
    <w:lvl w:ilvl="0" w:tentative="0">
      <w:start w:val="1"/>
      <w:numFmt w:val="decimal"/>
      <w:suff w:val="nothing"/>
      <w:lvlText w:val="%1)"/>
      <w:lvlJc w:val="left"/>
      <w:pPr>
        <w:ind w:left="-82" w:hanging="425"/>
      </w:pPr>
      <w:rPr>
        <w:rFonts w:hint="default"/>
      </w:rPr>
    </w:lvl>
  </w:abstractNum>
  <w:abstractNum w:abstractNumId="7">
    <w:nsid w:val="D5E890D7"/>
    <w:multiLevelType w:val="singleLevel"/>
    <w:tmpl w:val="D5E890D7"/>
    <w:lvl w:ilvl="0" w:tentative="0">
      <w:start w:val="1"/>
      <w:numFmt w:val="decimal"/>
      <w:lvlText w:val="%1."/>
      <w:lvlJc w:val="left"/>
      <w:pPr>
        <w:tabs>
          <w:tab w:val="left" w:pos="312"/>
        </w:tabs>
      </w:pPr>
    </w:lvl>
  </w:abstractNum>
  <w:abstractNum w:abstractNumId="8">
    <w:nsid w:val="D7E8623F"/>
    <w:multiLevelType w:val="singleLevel"/>
    <w:tmpl w:val="D7E8623F"/>
    <w:lvl w:ilvl="0" w:tentative="0">
      <w:start w:val="1"/>
      <w:numFmt w:val="decimal"/>
      <w:suff w:val="space"/>
      <w:lvlText w:val="%1)"/>
      <w:lvlJc w:val="left"/>
      <w:pPr>
        <w:ind w:left="-82" w:hanging="425"/>
      </w:pPr>
      <w:rPr>
        <w:rFonts w:hint="default"/>
      </w:rPr>
    </w:lvl>
  </w:abstractNum>
  <w:abstractNum w:abstractNumId="9">
    <w:nsid w:val="E037CA02"/>
    <w:multiLevelType w:val="singleLevel"/>
    <w:tmpl w:val="E037CA02"/>
    <w:lvl w:ilvl="0" w:tentative="0">
      <w:start w:val="1"/>
      <w:numFmt w:val="decimal"/>
      <w:suff w:val="nothing"/>
      <w:lvlText w:val="(%1)"/>
      <w:lvlJc w:val="left"/>
      <w:pPr>
        <w:ind w:left="-82" w:hanging="425"/>
      </w:pPr>
      <w:rPr>
        <w:rFonts w:hint="default"/>
      </w:rPr>
    </w:lvl>
  </w:abstractNum>
  <w:abstractNum w:abstractNumId="10">
    <w:nsid w:val="E9535BB6"/>
    <w:multiLevelType w:val="singleLevel"/>
    <w:tmpl w:val="E9535BB6"/>
    <w:lvl w:ilvl="0" w:tentative="0">
      <w:start w:val="1"/>
      <w:numFmt w:val="decimal"/>
      <w:lvlText w:val="%1."/>
      <w:lvlJc w:val="left"/>
      <w:pPr>
        <w:tabs>
          <w:tab w:val="left" w:pos="312"/>
        </w:tabs>
      </w:pPr>
    </w:lvl>
  </w:abstractNum>
  <w:abstractNum w:abstractNumId="11">
    <w:nsid w:val="0961DA8C"/>
    <w:multiLevelType w:val="singleLevel"/>
    <w:tmpl w:val="0961DA8C"/>
    <w:lvl w:ilvl="0" w:tentative="0">
      <w:start w:val="1"/>
      <w:numFmt w:val="decimal"/>
      <w:suff w:val="space"/>
      <w:lvlText w:val="%1)"/>
      <w:lvlJc w:val="left"/>
      <w:pPr>
        <w:ind w:left="-82" w:hanging="57"/>
      </w:pPr>
      <w:rPr>
        <w:rFonts w:hint="default"/>
      </w:rPr>
    </w:lvl>
  </w:abstractNum>
  <w:abstractNum w:abstractNumId="12">
    <w:nsid w:val="0EDCD011"/>
    <w:multiLevelType w:val="singleLevel"/>
    <w:tmpl w:val="0EDCD011"/>
    <w:lvl w:ilvl="0" w:tentative="0">
      <w:start w:val="1"/>
      <w:numFmt w:val="decimal"/>
      <w:suff w:val="space"/>
      <w:lvlText w:val="%1)"/>
      <w:lvlJc w:val="left"/>
      <w:pPr>
        <w:ind w:left="-82" w:hanging="425"/>
      </w:pPr>
      <w:rPr>
        <w:rFonts w:hint="default"/>
        <w:b w:val="0"/>
        <w:bCs w:val="0"/>
        <w:sz w:val="28"/>
        <w:szCs w:val="28"/>
      </w:rPr>
    </w:lvl>
  </w:abstractNum>
  <w:abstractNum w:abstractNumId="13">
    <w:nsid w:val="1E15829E"/>
    <w:multiLevelType w:val="singleLevel"/>
    <w:tmpl w:val="1E15829E"/>
    <w:lvl w:ilvl="0" w:tentative="0">
      <w:start w:val="1"/>
      <w:numFmt w:val="decimal"/>
      <w:suff w:val="nothing"/>
      <w:lvlText w:val="%1)"/>
      <w:lvlJc w:val="left"/>
      <w:pPr>
        <w:ind w:left="-82" w:hanging="425"/>
      </w:pPr>
      <w:rPr>
        <w:rFonts w:hint="default"/>
      </w:rPr>
    </w:lvl>
  </w:abstractNum>
  <w:abstractNum w:abstractNumId="14">
    <w:nsid w:val="2EB62F9A"/>
    <w:multiLevelType w:val="singleLevel"/>
    <w:tmpl w:val="2EB62F9A"/>
    <w:lvl w:ilvl="0" w:tentative="0">
      <w:start w:val="1"/>
      <w:numFmt w:val="decimalEnclosedCircleChinese"/>
      <w:suff w:val="nothing"/>
      <w:lvlText w:val="%1　"/>
      <w:lvlJc w:val="left"/>
      <w:pPr>
        <w:ind w:left="-82" w:firstLine="400"/>
      </w:pPr>
      <w:rPr>
        <w:rFonts w:hint="eastAsia"/>
      </w:rPr>
    </w:lvl>
  </w:abstractNum>
  <w:abstractNum w:abstractNumId="15">
    <w:nsid w:val="30A0AC00"/>
    <w:multiLevelType w:val="multilevel"/>
    <w:tmpl w:val="30A0AC00"/>
    <w:lvl w:ilvl="0" w:tentative="0">
      <w:start w:val="1"/>
      <w:numFmt w:val="decimal"/>
      <w:lvlText w:val="%1."/>
      <w:lvlJc w:val="left"/>
      <w:pPr>
        <w:ind w:left="892" w:hanging="420"/>
        <w:jc w:val="right"/>
      </w:pPr>
      <w:rPr>
        <w:rFonts w:hint="default"/>
        <w:spacing w:val="0"/>
        <w:w w:val="99"/>
        <w:lang w:val="en-US" w:eastAsia="zh-CN" w:bidi="ar-SA"/>
      </w:rPr>
    </w:lvl>
    <w:lvl w:ilvl="1" w:tentative="0">
      <w:start w:val="1"/>
      <w:numFmt w:val="decimal"/>
      <w:lvlText w:val="%2."/>
      <w:lvlJc w:val="left"/>
      <w:pPr>
        <w:ind w:left="472" w:hanging="241"/>
        <w:jc w:val="lef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1976" w:hanging="241"/>
      </w:pPr>
      <w:rPr>
        <w:rFonts w:hint="default"/>
        <w:lang w:val="en-US" w:eastAsia="zh-CN" w:bidi="ar-SA"/>
      </w:rPr>
    </w:lvl>
    <w:lvl w:ilvl="3" w:tentative="0">
      <w:start w:val="0"/>
      <w:numFmt w:val="bullet"/>
      <w:lvlText w:val="•"/>
      <w:lvlJc w:val="left"/>
      <w:pPr>
        <w:ind w:left="3052" w:hanging="241"/>
      </w:pPr>
      <w:rPr>
        <w:rFonts w:hint="default"/>
        <w:lang w:val="en-US" w:eastAsia="zh-CN" w:bidi="ar-SA"/>
      </w:rPr>
    </w:lvl>
    <w:lvl w:ilvl="4" w:tentative="0">
      <w:start w:val="0"/>
      <w:numFmt w:val="bullet"/>
      <w:lvlText w:val="•"/>
      <w:lvlJc w:val="left"/>
      <w:pPr>
        <w:ind w:left="4128" w:hanging="241"/>
      </w:pPr>
      <w:rPr>
        <w:rFonts w:hint="default"/>
        <w:lang w:val="en-US" w:eastAsia="zh-CN" w:bidi="ar-SA"/>
      </w:rPr>
    </w:lvl>
    <w:lvl w:ilvl="5" w:tentative="0">
      <w:start w:val="0"/>
      <w:numFmt w:val="bullet"/>
      <w:lvlText w:val="•"/>
      <w:lvlJc w:val="left"/>
      <w:pPr>
        <w:ind w:left="5204" w:hanging="241"/>
      </w:pPr>
      <w:rPr>
        <w:rFonts w:hint="default"/>
        <w:lang w:val="en-US" w:eastAsia="zh-CN" w:bidi="ar-SA"/>
      </w:rPr>
    </w:lvl>
    <w:lvl w:ilvl="6" w:tentative="0">
      <w:start w:val="0"/>
      <w:numFmt w:val="bullet"/>
      <w:lvlText w:val="•"/>
      <w:lvlJc w:val="left"/>
      <w:pPr>
        <w:ind w:left="6281" w:hanging="241"/>
      </w:pPr>
      <w:rPr>
        <w:rFonts w:hint="default"/>
        <w:lang w:val="en-US" w:eastAsia="zh-CN" w:bidi="ar-SA"/>
      </w:rPr>
    </w:lvl>
    <w:lvl w:ilvl="7" w:tentative="0">
      <w:start w:val="0"/>
      <w:numFmt w:val="bullet"/>
      <w:lvlText w:val="•"/>
      <w:lvlJc w:val="left"/>
      <w:pPr>
        <w:ind w:left="7357" w:hanging="241"/>
      </w:pPr>
      <w:rPr>
        <w:rFonts w:hint="default"/>
        <w:lang w:val="en-US" w:eastAsia="zh-CN" w:bidi="ar-SA"/>
      </w:rPr>
    </w:lvl>
    <w:lvl w:ilvl="8" w:tentative="0">
      <w:start w:val="0"/>
      <w:numFmt w:val="bullet"/>
      <w:lvlText w:val="•"/>
      <w:lvlJc w:val="left"/>
      <w:pPr>
        <w:ind w:left="8433" w:hanging="241"/>
      </w:pPr>
      <w:rPr>
        <w:rFonts w:hint="default"/>
        <w:lang w:val="en-US" w:eastAsia="zh-CN" w:bidi="ar-SA"/>
      </w:rPr>
    </w:lvl>
  </w:abstractNum>
  <w:abstractNum w:abstractNumId="16">
    <w:nsid w:val="5197B7B3"/>
    <w:multiLevelType w:val="singleLevel"/>
    <w:tmpl w:val="5197B7B3"/>
    <w:lvl w:ilvl="0" w:tentative="0">
      <w:start w:val="7"/>
      <w:numFmt w:val="decimal"/>
      <w:suff w:val="nothing"/>
      <w:lvlText w:val="%1、"/>
      <w:lvlJc w:val="left"/>
    </w:lvl>
  </w:abstractNum>
  <w:abstractNum w:abstractNumId="17">
    <w:nsid w:val="6DA77274"/>
    <w:multiLevelType w:val="multilevel"/>
    <w:tmpl w:val="6DA7727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decimal"/>
      <w:lvlText w:val="%3"/>
      <w:lvlJc w:val="center"/>
      <w:pPr>
        <w:ind w:left="126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CBF46B"/>
    <w:multiLevelType w:val="singleLevel"/>
    <w:tmpl w:val="6DCBF46B"/>
    <w:lvl w:ilvl="0" w:tentative="0">
      <w:start w:val="1"/>
      <w:numFmt w:val="decimal"/>
      <w:suff w:val="space"/>
      <w:lvlText w:val="%1)"/>
      <w:lvlJc w:val="left"/>
      <w:pPr>
        <w:ind w:left="-82" w:hanging="425"/>
      </w:pPr>
      <w:rPr>
        <w:rFonts w:hint="default"/>
      </w:rPr>
    </w:lvl>
  </w:abstractNum>
  <w:abstractNum w:abstractNumId="19">
    <w:nsid w:val="6F42F37E"/>
    <w:multiLevelType w:val="singleLevel"/>
    <w:tmpl w:val="6F42F37E"/>
    <w:lvl w:ilvl="0" w:tentative="0">
      <w:start w:val="1"/>
      <w:numFmt w:val="chineseCounting"/>
      <w:suff w:val="nothing"/>
      <w:lvlText w:val="%1、"/>
      <w:lvlJc w:val="left"/>
      <w:pPr>
        <w:ind w:left="460" w:firstLine="420"/>
      </w:pPr>
      <w:rPr>
        <w:rFonts w:hint="eastAsia"/>
      </w:rPr>
    </w:lvl>
  </w:abstractNum>
  <w:abstractNum w:abstractNumId="20">
    <w:nsid w:val="7F0FA70F"/>
    <w:multiLevelType w:val="singleLevel"/>
    <w:tmpl w:val="7F0FA70F"/>
    <w:lvl w:ilvl="0" w:tentative="0">
      <w:start w:val="1"/>
      <w:numFmt w:val="decimal"/>
      <w:suff w:val="space"/>
      <w:lvlText w:val="%1)"/>
      <w:lvlJc w:val="left"/>
      <w:pPr>
        <w:ind w:left="-82" w:hanging="425"/>
      </w:pPr>
      <w:rPr>
        <w:rFonts w:hint="default"/>
      </w:rPr>
    </w:lvl>
  </w:abstractNum>
  <w:num w:numId="1">
    <w:abstractNumId w:val="16"/>
  </w:num>
  <w:num w:numId="2">
    <w:abstractNumId w:val="3"/>
  </w:num>
  <w:num w:numId="3">
    <w:abstractNumId w:val="10"/>
  </w:num>
  <w:num w:numId="4">
    <w:abstractNumId w:val="2"/>
  </w:num>
  <w:num w:numId="5">
    <w:abstractNumId w:val="7"/>
  </w:num>
  <w:num w:numId="6">
    <w:abstractNumId w:val="9"/>
  </w:num>
  <w:num w:numId="7">
    <w:abstractNumId w:val="5"/>
  </w:num>
  <w:num w:numId="8">
    <w:abstractNumId w:val="11"/>
  </w:num>
  <w:num w:numId="9">
    <w:abstractNumId w:val="18"/>
  </w:num>
  <w:num w:numId="10">
    <w:abstractNumId w:val="4"/>
  </w:num>
  <w:num w:numId="11">
    <w:abstractNumId w:val="20"/>
  </w:num>
  <w:num w:numId="12">
    <w:abstractNumId w:val="1"/>
  </w:num>
  <w:num w:numId="13">
    <w:abstractNumId w:val="8"/>
  </w:num>
  <w:num w:numId="14">
    <w:abstractNumId w:val="6"/>
  </w:num>
  <w:num w:numId="15">
    <w:abstractNumId w:val="13"/>
  </w:num>
  <w:num w:numId="16">
    <w:abstractNumId w:val="14"/>
  </w:num>
  <w:num w:numId="17">
    <w:abstractNumId w:val="0"/>
  </w:num>
  <w:num w:numId="18">
    <w:abstractNumId w:val="12"/>
  </w:num>
  <w:num w:numId="19">
    <w:abstractNumId w:val="19"/>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removePersonalInformation/>
  <w:bordersDoNotSurroundHeader w:val="0"/>
  <w:bordersDoNotSurroundFooter w:val="0"/>
  <w:documentProtection w:enforcement="0"/>
  <w:defaultTabStop w:val="720"/>
  <w:drawingGridHorizontalSpacing w:val="220"/>
  <w:drawingGridVerticalSpacing w:val="-7946"/>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NTQyOWNiNTJmMGU5MzQxMTdhZWFhZjgxNDI4NmUifQ=="/>
  </w:docVars>
  <w:rsids>
    <w:rsidRoot w:val="00C83016"/>
    <w:rsid w:val="00056743"/>
    <w:rsid w:val="00122CA7"/>
    <w:rsid w:val="0019403E"/>
    <w:rsid w:val="003C67E3"/>
    <w:rsid w:val="005866D5"/>
    <w:rsid w:val="00663443"/>
    <w:rsid w:val="006F1363"/>
    <w:rsid w:val="0089493F"/>
    <w:rsid w:val="009769CD"/>
    <w:rsid w:val="00997361"/>
    <w:rsid w:val="00BF4F56"/>
    <w:rsid w:val="00C83016"/>
    <w:rsid w:val="00DF182A"/>
    <w:rsid w:val="00F00D77"/>
    <w:rsid w:val="01FE7F5E"/>
    <w:rsid w:val="026420DD"/>
    <w:rsid w:val="02CC5739"/>
    <w:rsid w:val="035B258E"/>
    <w:rsid w:val="039659F0"/>
    <w:rsid w:val="03A01C98"/>
    <w:rsid w:val="04167046"/>
    <w:rsid w:val="069D1D1A"/>
    <w:rsid w:val="07B73FB5"/>
    <w:rsid w:val="080D52D4"/>
    <w:rsid w:val="085F1833"/>
    <w:rsid w:val="08A2208D"/>
    <w:rsid w:val="095302E9"/>
    <w:rsid w:val="0AAE22AF"/>
    <w:rsid w:val="0ABB46ED"/>
    <w:rsid w:val="0AE2213C"/>
    <w:rsid w:val="0B8314B5"/>
    <w:rsid w:val="0B953C7C"/>
    <w:rsid w:val="0C6F0A35"/>
    <w:rsid w:val="0C8F1CAD"/>
    <w:rsid w:val="0D3F44F8"/>
    <w:rsid w:val="0D882A2F"/>
    <w:rsid w:val="0DD648CD"/>
    <w:rsid w:val="0DD6535E"/>
    <w:rsid w:val="0DF251EA"/>
    <w:rsid w:val="0E8441E9"/>
    <w:rsid w:val="0F5F3EF3"/>
    <w:rsid w:val="0FD03178"/>
    <w:rsid w:val="0FFF2AF4"/>
    <w:rsid w:val="102F44D8"/>
    <w:rsid w:val="10753407"/>
    <w:rsid w:val="10B4365D"/>
    <w:rsid w:val="10D317BA"/>
    <w:rsid w:val="122A5EF0"/>
    <w:rsid w:val="127F3C88"/>
    <w:rsid w:val="1312662B"/>
    <w:rsid w:val="13A222D8"/>
    <w:rsid w:val="13CF1072"/>
    <w:rsid w:val="143C6B64"/>
    <w:rsid w:val="156841FA"/>
    <w:rsid w:val="156E4D9E"/>
    <w:rsid w:val="15AC0688"/>
    <w:rsid w:val="16005D04"/>
    <w:rsid w:val="163D39C4"/>
    <w:rsid w:val="16773106"/>
    <w:rsid w:val="16AD79D2"/>
    <w:rsid w:val="16BC7E7D"/>
    <w:rsid w:val="16E701D2"/>
    <w:rsid w:val="17854D80"/>
    <w:rsid w:val="18562360"/>
    <w:rsid w:val="18733727"/>
    <w:rsid w:val="196F2EF4"/>
    <w:rsid w:val="19D46414"/>
    <w:rsid w:val="1A6E5184"/>
    <w:rsid w:val="1ABB43F6"/>
    <w:rsid w:val="1ADF6FD1"/>
    <w:rsid w:val="1B2D30F7"/>
    <w:rsid w:val="1B6A27AA"/>
    <w:rsid w:val="1BE9645B"/>
    <w:rsid w:val="1BF63E31"/>
    <w:rsid w:val="1C2266A1"/>
    <w:rsid w:val="1D556936"/>
    <w:rsid w:val="1DE74552"/>
    <w:rsid w:val="1ED85A70"/>
    <w:rsid w:val="1F85044C"/>
    <w:rsid w:val="1FC21ED8"/>
    <w:rsid w:val="21CD1D49"/>
    <w:rsid w:val="22970924"/>
    <w:rsid w:val="232E5A6A"/>
    <w:rsid w:val="236E0751"/>
    <w:rsid w:val="237B15D7"/>
    <w:rsid w:val="23D902C0"/>
    <w:rsid w:val="250026DA"/>
    <w:rsid w:val="25371ECA"/>
    <w:rsid w:val="25B0287F"/>
    <w:rsid w:val="26C20E33"/>
    <w:rsid w:val="280F0622"/>
    <w:rsid w:val="28EE704F"/>
    <w:rsid w:val="2A1D4C7F"/>
    <w:rsid w:val="2A201259"/>
    <w:rsid w:val="2B0F3556"/>
    <w:rsid w:val="2B2A7653"/>
    <w:rsid w:val="2BD17EE1"/>
    <w:rsid w:val="2BF51321"/>
    <w:rsid w:val="2C0003B4"/>
    <w:rsid w:val="2C4D7BED"/>
    <w:rsid w:val="2C7A45BF"/>
    <w:rsid w:val="2D323B71"/>
    <w:rsid w:val="2EA818EB"/>
    <w:rsid w:val="2EBD6EA9"/>
    <w:rsid w:val="2F432A92"/>
    <w:rsid w:val="306C3DFF"/>
    <w:rsid w:val="30893E07"/>
    <w:rsid w:val="30A10FB0"/>
    <w:rsid w:val="318A62A6"/>
    <w:rsid w:val="31BD5C1C"/>
    <w:rsid w:val="31D649BD"/>
    <w:rsid w:val="31DF74C1"/>
    <w:rsid w:val="31E15919"/>
    <w:rsid w:val="340911AD"/>
    <w:rsid w:val="346D39CA"/>
    <w:rsid w:val="34D0301A"/>
    <w:rsid w:val="35B911EA"/>
    <w:rsid w:val="35F55EEC"/>
    <w:rsid w:val="36846E1D"/>
    <w:rsid w:val="36963D65"/>
    <w:rsid w:val="38123949"/>
    <w:rsid w:val="38C225A8"/>
    <w:rsid w:val="38D34C9F"/>
    <w:rsid w:val="3944627A"/>
    <w:rsid w:val="39800DC7"/>
    <w:rsid w:val="399C1A59"/>
    <w:rsid w:val="39EC1ABD"/>
    <w:rsid w:val="3A764C4C"/>
    <w:rsid w:val="3A816B64"/>
    <w:rsid w:val="3B1B3E7D"/>
    <w:rsid w:val="3B533DC3"/>
    <w:rsid w:val="3BB56AC5"/>
    <w:rsid w:val="3CA20892"/>
    <w:rsid w:val="3D7118BC"/>
    <w:rsid w:val="3D8726E3"/>
    <w:rsid w:val="3ED665A2"/>
    <w:rsid w:val="40121532"/>
    <w:rsid w:val="40356427"/>
    <w:rsid w:val="408A46F5"/>
    <w:rsid w:val="423C0698"/>
    <w:rsid w:val="424B179A"/>
    <w:rsid w:val="42582CE0"/>
    <w:rsid w:val="432C3CB4"/>
    <w:rsid w:val="437A792D"/>
    <w:rsid w:val="44985B25"/>
    <w:rsid w:val="44B640DA"/>
    <w:rsid w:val="46187E60"/>
    <w:rsid w:val="46511C15"/>
    <w:rsid w:val="46B2659D"/>
    <w:rsid w:val="48157861"/>
    <w:rsid w:val="487E377F"/>
    <w:rsid w:val="49043A81"/>
    <w:rsid w:val="493C08C2"/>
    <w:rsid w:val="49F86277"/>
    <w:rsid w:val="4B2678B9"/>
    <w:rsid w:val="4BF71D37"/>
    <w:rsid w:val="4C1E3A57"/>
    <w:rsid w:val="4C725850"/>
    <w:rsid w:val="4C7733CA"/>
    <w:rsid w:val="4CC46286"/>
    <w:rsid w:val="4CE426FE"/>
    <w:rsid w:val="4CF6330D"/>
    <w:rsid w:val="4D51381E"/>
    <w:rsid w:val="4D916FB8"/>
    <w:rsid w:val="4DAB7304"/>
    <w:rsid w:val="4DCB1ED1"/>
    <w:rsid w:val="4E2C2939"/>
    <w:rsid w:val="4F1C14C3"/>
    <w:rsid w:val="4FA107F2"/>
    <w:rsid w:val="50630802"/>
    <w:rsid w:val="50DF45D9"/>
    <w:rsid w:val="50EE57E3"/>
    <w:rsid w:val="50FA64DA"/>
    <w:rsid w:val="51310670"/>
    <w:rsid w:val="526F1C20"/>
    <w:rsid w:val="529F273E"/>
    <w:rsid w:val="52C3767A"/>
    <w:rsid w:val="53B053BB"/>
    <w:rsid w:val="540F4AC1"/>
    <w:rsid w:val="54F42B85"/>
    <w:rsid w:val="557B7BA4"/>
    <w:rsid w:val="55861F35"/>
    <w:rsid w:val="55DD2769"/>
    <w:rsid w:val="561D553B"/>
    <w:rsid w:val="56372BD5"/>
    <w:rsid w:val="56F42A69"/>
    <w:rsid w:val="585109E5"/>
    <w:rsid w:val="596D67DA"/>
    <w:rsid w:val="5A4F1431"/>
    <w:rsid w:val="5AF77485"/>
    <w:rsid w:val="5B5A7859"/>
    <w:rsid w:val="5BA41C68"/>
    <w:rsid w:val="5C995909"/>
    <w:rsid w:val="5D687A49"/>
    <w:rsid w:val="5DA00227"/>
    <w:rsid w:val="5E016186"/>
    <w:rsid w:val="5E8C0474"/>
    <w:rsid w:val="5F5B5BEB"/>
    <w:rsid w:val="5F6E6E08"/>
    <w:rsid w:val="60627309"/>
    <w:rsid w:val="618956A8"/>
    <w:rsid w:val="61A40A47"/>
    <w:rsid w:val="62216AA8"/>
    <w:rsid w:val="62FE78D5"/>
    <w:rsid w:val="63E63E53"/>
    <w:rsid w:val="64193B0B"/>
    <w:rsid w:val="64311A93"/>
    <w:rsid w:val="644E5CD1"/>
    <w:rsid w:val="64AB612A"/>
    <w:rsid w:val="64C0389A"/>
    <w:rsid w:val="64D25E3B"/>
    <w:rsid w:val="64E21EF7"/>
    <w:rsid w:val="660A45A4"/>
    <w:rsid w:val="67D31D62"/>
    <w:rsid w:val="67DA328C"/>
    <w:rsid w:val="680F31C1"/>
    <w:rsid w:val="68317CD4"/>
    <w:rsid w:val="684D1CB0"/>
    <w:rsid w:val="68DF1F4D"/>
    <w:rsid w:val="69461383"/>
    <w:rsid w:val="69E6405B"/>
    <w:rsid w:val="6A9F6ABE"/>
    <w:rsid w:val="6B1E48B1"/>
    <w:rsid w:val="6B4E1623"/>
    <w:rsid w:val="6B905C1D"/>
    <w:rsid w:val="6B961C99"/>
    <w:rsid w:val="6C322944"/>
    <w:rsid w:val="6CD35563"/>
    <w:rsid w:val="6CE50A9A"/>
    <w:rsid w:val="6D171290"/>
    <w:rsid w:val="6DD15131"/>
    <w:rsid w:val="6E1B1568"/>
    <w:rsid w:val="6F265009"/>
    <w:rsid w:val="6FC02C36"/>
    <w:rsid w:val="6FF05EC3"/>
    <w:rsid w:val="70C0778A"/>
    <w:rsid w:val="70FF63C6"/>
    <w:rsid w:val="71A2536D"/>
    <w:rsid w:val="729562CE"/>
    <w:rsid w:val="733A30E0"/>
    <w:rsid w:val="74970FC6"/>
    <w:rsid w:val="74B54675"/>
    <w:rsid w:val="74DE4D83"/>
    <w:rsid w:val="75D27948"/>
    <w:rsid w:val="75FE36D0"/>
    <w:rsid w:val="76F45127"/>
    <w:rsid w:val="77DF044B"/>
    <w:rsid w:val="780C0643"/>
    <w:rsid w:val="782D7D38"/>
    <w:rsid w:val="78615304"/>
    <w:rsid w:val="78A22BFC"/>
    <w:rsid w:val="79123CBB"/>
    <w:rsid w:val="795177DC"/>
    <w:rsid w:val="7A0F0131"/>
    <w:rsid w:val="7A550ECC"/>
    <w:rsid w:val="7ADE4A38"/>
    <w:rsid w:val="7CBF51BE"/>
    <w:rsid w:val="7CF63849"/>
    <w:rsid w:val="7DA42869"/>
    <w:rsid w:val="7DCA6C68"/>
    <w:rsid w:val="7E00098B"/>
    <w:rsid w:val="7E290693"/>
    <w:rsid w:val="7E7365EF"/>
    <w:rsid w:val="7F80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autoRedefine/>
    <w:qFormat/>
    <w:uiPriority w:val="1"/>
    <w:pPr>
      <w:spacing w:line="600" w:lineRule="exact"/>
      <w:jc w:val="center"/>
      <w:outlineLvl w:val="0"/>
    </w:pPr>
    <w:rPr>
      <w:b/>
      <w:bCs/>
      <w:sz w:val="44"/>
      <w:szCs w:val="44"/>
    </w:rPr>
  </w:style>
  <w:style w:type="paragraph" w:styleId="3">
    <w:name w:val="heading 2"/>
    <w:basedOn w:val="1"/>
    <w:next w:val="1"/>
    <w:autoRedefine/>
    <w:qFormat/>
    <w:uiPriority w:val="1"/>
    <w:pPr>
      <w:spacing w:before="1"/>
      <w:ind w:left="120" w:right="120"/>
      <w:jc w:val="center"/>
      <w:outlineLvl w:val="1"/>
    </w:pPr>
    <w:rPr>
      <w:sz w:val="44"/>
      <w:szCs w:val="44"/>
    </w:rPr>
  </w:style>
  <w:style w:type="paragraph" w:styleId="4">
    <w:name w:val="heading 3"/>
    <w:basedOn w:val="1"/>
    <w:next w:val="1"/>
    <w:autoRedefine/>
    <w:qFormat/>
    <w:uiPriority w:val="1"/>
    <w:pPr>
      <w:ind w:left="120" w:right="118"/>
      <w:jc w:val="center"/>
      <w:outlineLvl w:val="2"/>
    </w:pPr>
    <w:rPr>
      <w:b/>
      <w:bCs/>
      <w:sz w:val="36"/>
      <w:szCs w:val="36"/>
    </w:rPr>
  </w:style>
  <w:style w:type="paragraph" w:styleId="5">
    <w:name w:val="heading 4"/>
    <w:basedOn w:val="1"/>
    <w:next w:val="1"/>
    <w:autoRedefine/>
    <w:qFormat/>
    <w:uiPriority w:val="1"/>
    <w:pPr>
      <w:ind w:left="120" w:right="120"/>
      <w:jc w:val="center"/>
      <w:outlineLvl w:val="3"/>
    </w:pPr>
    <w:rPr>
      <w:b/>
      <w:bCs/>
      <w:sz w:val="32"/>
      <w:szCs w:val="32"/>
    </w:rPr>
  </w:style>
  <w:style w:type="paragraph" w:styleId="6">
    <w:name w:val="heading 5"/>
    <w:basedOn w:val="1"/>
    <w:next w:val="1"/>
    <w:autoRedefine/>
    <w:qFormat/>
    <w:uiPriority w:val="1"/>
    <w:pPr>
      <w:ind w:left="111"/>
      <w:outlineLvl w:val="4"/>
    </w:pPr>
    <w:rPr>
      <w:sz w:val="32"/>
      <w:szCs w:val="32"/>
    </w:rPr>
  </w:style>
  <w:style w:type="paragraph" w:styleId="7">
    <w:name w:val="heading 6"/>
    <w:basedOn w:val="1"/>
    <w:next w:val="1"/>
    <w:autoRedefine/>
    <w:qFormat/>
    <w:uiPriority w:val="1"/>
    <w:pPr>
      <w:ind w:left="120"/>
      <w:outlineLvl w:val="5"/>
    </w:pPr>
    <w:rPr>
      <w:b/>
      <w:bCs/>
      <w:sz w:val="30"/>
      <w:szCs w:val="30"/>
    </w:rPr>
  </w:style>
  <w:style w:type="paragraph" w:styleId="8">
    <w:name w:val="heading 7"/>
    <w:basedOn w:val="1"/>
    <w:next w:val="1"/>
    <w:autoRedefine/>
    <w:qFormat/>
    <w:uiPriority w:val="1"/>
    <w:pPr>
      <w:spacing w:before="673"/>
      <w:ind w:left="120" w:right="121"/>
      <w:jc w:val="center"/>
      <w:outlineLvl w:val="6"/>
    </w:pPr>
    <w:rPr>
      <w:sz w:val="30"/>
      <w:szCs w:val="30"/>
    </w:rPr>
  </w:style>
  <w:style w:type="paragraph" w:styleId="9">
    <w:name w:val="heading 8"/>
    <w:basedOn w:val="1"/>
    <w:next w:val="1"/>
    <w:autoRedefine/>
    <w:qFormat/>
    <w:uiPriority w:val="1"/>
    <w:pPr>
      <w:spacing w:before="62"/>
      <w:ind w:left="472"/>
      <w:outlineLvl w:val="7"/>
    </w:pPr>
    <w:rPr>
      <w:b/>
      <w:bCs/>
      <w:sz w:val="28"/>
      <w:szCs w:val="28"/>
    </w:rPr>
  </w:style>
  <w:style w:type="paragraph" w:styleId="10">
    <w:name w:val="heading 9"/>
    <w:basedOn w:val="1"/>
    <w:next w:val="1"/>
    <w:autoRedefine/>
    <w:qFormat/>
    <w:uiPriority w:val="1"/>
    <w:pPr>
      <w:ind w:left="1256" w:hanging="365"/>
      <w:outlineLvl w:val="8"/>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pPr>
    <w:rPr>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1"/>
    <w:rPr>
      <w:sz w:val="21"/>
      <w:szCs w:val="21"/>
    </w:rPr>
  </w:style>
  <w:style w:type="paragraph" w:styleId="14">
    <w:name w:val="Body Text Indent"/>
    <w:basedOn w:val="1"/>
    <w:next w:val="15"/>
    <w:autoRedefine/>
    <w:qFormat/>
    <w:uiPriority w:val="0"/>
    <w:pPr>
      <w:ind w:firstLine="830" w:firstLineChars="352"/>
    </w:pPr>
    <w:rPr>
      <w:rFonts w:ascii="仿宋_GB2312" w:eastAsia="仿宋_GB2312"/>
      <w:kern w:val="0"/>
      <w:sz w:val="32"/>
      <w:szCs w:val="20"/>
    </w:rPr>
  </w:style>
  <w:style w:type="paragraph" w:styleId="15">
    <w:name w:val="Body Text Indent 2"/>
    <w:basedOn w:val="1"/>
    <w:autoRedefine/>
    <w:qFormat/>
    <w:uiPriority w:val="0"/>
    <w:pPr>
      <w:spacing w:after="120" w:line="480" w:lineRule="auto"/>
      <w:ind w:left="420" w:leftChars="200"/>
    </w:pPr>
  </w:style>
  <w:style w:type="paragraph" w:styleId="16">
    <w:name w:val="Plain Text"/>
    <w:basedOn w:val="1"/>
    <w:autoRedefine/>
    <w:qFormat/>
    <w:uiPriority w:val="0"/>
    <w:rPr>
      <w:rFonts w:hAnsi="Courier New" w:cs="Times New Roman"/>
      <w:szCs w:val="20"/>
    </w:rPr>
  </w:style>
  <w:style w:type="paragraph" w:styleId="17">
    <w:name w:val="Date"/>
    <w:basedOn w:val="1"/>
    <w:next w:val="1"/>
    <w:autoRedefine/>
    <w:qFormat/>
    <w:uiPriority w:val="0"/>
    <w:rPr>
      <w:rFonts w:hAnsi="Courier New"/>
      <w:b/>
      <w:sz w:val="24"/>
      <w:szCs w:val="20"/>
    </w:rPr>
  </w:style>
  <w:style w:type="paragraph" w:styleId="18">
    <w:name w:val="footer"/>
    <w:basedOn w:val="1"/>
    <w:autoRedefine/>
    <w:qFormat/>
    <w:uiPriority w:val="0"/>
    <w:pPr>
      <w:tabs>
        <w:tab w:val="center" w:pos="4153"/>
        <w:tab w:val="right" w:pos="8306"/>
      </w:tabs>
      <w:snapToGrid w:val="0"/>
    </w:pPr>
    <w:rPr>
      <w:sz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autoRedefine/>
    <w:qFormat/>
    <w:uiPriority w:val="1"/>
    <w:pPr>
      <w:spacing w:before="420"/>
      <w:ind w:left="472"/>
    </w:pPr>
    <w:rPr>
      <w:sz w:val="32"/>
      <w:szCs w:val="32"/>
    </w:rPr>
  </w:style>
  <w:style w:type="paragraph" w:styleId="22">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3">
    <w:name w:val="Title"/>
    <w:basedOn w:val="1"/>
    <w:autoRedefine/>
    <w:qFormat/>
    <w:uiPriority w:val="1"/>
    <w:pPr>
      <w:ind w:left="120" w:right="121"/>
      <w:jc w:val="center"/>
    </w:pPr>
    <w:rPr>
      <w:b/>
      <w:bCs/>
      <w:sz w:val="84"/>
      <w:szCs w:val="84"/>
    </w:rPr>
  </w:style>
  <w:style w:type="paragraph" w:styleId="24">
    <w:name w:val="Body Text First Indent 2"/>
    <w:basedOn w:val="14"/>
    <w:autoRedefine/>
    <w:qFormat/>
    <w:uiPriority w:val="0"/>
    <w:pPr>
      <w:spacing w:after="120" w:line="240" w:lineRule="auto"/>
      <w:ind w:left="420" w:leftChars="200" w:firstLine="420" w:firstLineChars="200"/>
    </w:pPr>
    <w:rPr>
      <w:szCs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rFonts w:ascii="Calibri" w:hAnsi="Calibri" w:eastAsia="宋体" w:cs="Times New Roman"/>
      <w:b/>
      <w:bCs/>
    </w:rPr>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b/>
      <w:bCs/>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ascii="monospace" w:hAnsi="monospace" w:eastAsia="monospace" w:cs="monospace"/>
    </w:rPr>
  </w:style>
  <w:style w:type="paragraph" w:customStyle="1" w:styleId="40">
    <w:name w:val="首行缩进"/>
    <w:basedOn w:val="1"/>
    <w:autoRedefine/>
    <w:qFormat/>
    <w:uiPriority w:val="99"/>
    <w:pPr>
      <w:ind w:firstLine="480" w:firstLineChars="200"/>
    </w:pPr>
    <w:rPr>
      <w:rFonts w:ascii="Calibri" w:hAnsi="Calibri"/>
      <w:lang w:val="zh-CN"/>
    </w:rPr>
  </w:style>
  <w:style w:type="paragraph" w:customStyle="1" w:styleId="41">
    <w:name w:val="Default"/>
    <w:next w:val="42"/>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Heading2"/>
    <w:basedOn w:val="1"/>
    <w:next w:val="1"/>
    <w:autoRedefine/>
    <w:qFormat/>
    <w:uiPriority w:val="0"/>
    <w:pPr>
      <w:keepNext/>
      <w:keepLines/>
      <w:spacing w:before="260" w:after="260" w:line="416" w:lineRule="auto"/>
    </w:pPr>
    <w:rPr>
      <w:rFonts w:ascii="Cambria" w:hAnsi="Cambria" w:cs="Times New Roman"/>
      <w:b/>
      <w:bCs/>
      <w:sz w:val="32"/>
      <w:szCs w:val="32"/>
    </w:rPr>
  </w:style>
  <w:style w:type="table" w:customStyle="1" w:styleId="44">
    <w:name w:val="Table Normal"/>
    <w:autoRedefine/>
    <w:semiHidden/>
    <w:unhideWhenUsed/>
    <w:qFormat/>
    <w:uiPriority w:val="2"/>
    <w:tblPr>
      <w:tblCellMar>
        <w:top w:w="0" w:type="dxa"/>
        <w:left w:w="0" w:type="dxa"/>
        <w:bottom w:w="0" w:type="dxa"/>
        <w:right w:w="0" w:type="dxa"/>
      </w:tblCellMar>
    </w:tblPr>
  </w:style>
  <w:style w:type="paragraph" w:styleId="45">
    <w:name w:val="List Paragraph"/>
    <w:basedOn w:val="1"/>
    <w:autoRedefine/>
    <w:qFormat/>
    <w:uiPriority w:val="1"/>
    <w:pPr>
      <w:ind w:left="472" w:firstLine="420"/>
    </w:pPr>
  </w:style>
  <w:style w:type="paragraph" w:customStyle="1" w:styleId="46">
    <w:name w:val="Table Paragraph"/>
    <w:basedOn w:val="1"/>
    <w:autoRedefine/>
    <w:qFormat/>
    <w:uiPriority w:val="1"/>
  </w:style>
  <w:style w:type="character" w:customStyle="1" w:styleId="47">
    <w:name w:val="NormalCharacter"/>
    <w:autoRedefine/>
    <w:qFormat/>
    <w:uiPriority w:val="0"/>
    <w:rPr>
      <w:rFonts w:ascii="Calibri" w:hAnsi="Calibri" w:eastAsia="宋体"/>
    </w:rPr>
  </w:style>
  <w:style w:type="paragraph" w:customStyle="1" w:styleId="48">
    <w:name w:val="PlainText"/>
    <w:basedOn w:val="1"/>
    <w:next w:val="1"/>
    <w:autoRedefine/>
    <w:qFormat/>
    <w:uiPriority w:val="0"/>
    <w:rPr>
      <w:rFonts w:hAnsi="Courier New"/>
      <w:szCs w:val="20"/>
    </w:rPr>
  </w:style>
  <w:style w:type="paragraph" w:customStyle="1" w:styleId="49">
    <w:name w:val="HtmlNormal"/>
    <w:basedOn w:val="1"/>
    <w:autoRedefine/>
    <w:qFormat/>
    <w:uiPriority w:val="0"/>
    <w:pPr>
      <w:spacing w:before="100" w:beforeAutospacing="1" w:after="100" w:afterAutospacing="1"/>
    </w:pPr>
    <w:rPr>
      <w:sz w:val="24"/>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3">
    <w:name w:val="样式3"/>
    <w:basedOn w:val="16"/>
    <w:autoRedefine/>
    <w:qFormat/>
    <w:uiPriority w:val="0"/>
    <w:pPr>
      <w:spacing w:line="0" w:lineRule="atLeast"/>
      <w:outlineLvl w:val="0"/>
    </w:pPr>
    <w:rPr>
      <w:sz w:val="28"/>
    </w:rPr>
  </w:style>
  <w:style w:type="character" w:customStyle="1" w:styleId="54">
    <w:name w:val="A15"/>
    <w:autoRedefine/>
    <w:qFormat/>
    <w:uiPriority w:val="0"/>
    <w:rPr>
      <w:color w:val="000000"/>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Cs w:val="21"/>
    </w:rPr>
  </w:style>
  <w:style w:type="character" w:customStyle="1" w:styleId="56">
    <w:name w:val="hover1"/>
    <w:basedOn w:val="27"/>
    <w:autoRedefine/>
    <w:qFormat/>
    <w:uiPriority w:val="0"/>
    <w:rPr>
      <w:color w:val="2590EB"/>
    </w:rPr>
  </w:style>
  <w:style w:type="character" w:customStyle="1" w:styleId="57">
    <w:name w:val="hover2"/>
    <w:basedOn w:val="27"/>
    <w:autoRedefine/>
    <w:qFormat/>
    <w:uiPriority w:val="0"/>
    <w:rPr>
      <w:color w:val="2590EB"/>
    </w:rPr>
  </w:style>
  <w:style w:type="character" w:customStyle="1" w:styleId="58">
    <w:name w:val="hover3"/>
    <w:basedOn w:val="27"/>
    <w:autoRedefine/>
    <w:qFormat/>
    <w:uiPriority w:val="0"/>
  </w:style>
  <w:style w:type="character" w:customStyle="1" w:styleId="59">
    <w:name w:val="hover"/>
    <w:basedOn w:val="27"/>
    <w:autoRedefine/>
    <w:qFormat/>
    <w:uiPriority w:val="0"/>
    <w:rPr>
      <w:color w:val="2590EB"/>
    </w:rPr>
  </w:style>
  <w:style w:type="paragraph" w:customStyle="1" w:styleId="60">
    <w:name w:val="表格文字"/>
    <w:basedOn w:val="61"/>
    <w:next w:val="13"/>
    <w:autoRedefine/>
    <w:qFormat/>
    <w:uiPriority w:val="0"/>
    <w:pPr>
      <w:spacing w:before="25" w:after="25"/>
      <w:jc w:val="left"/>
    </w:pPr>
    <w:rPr>
      <w:bCs/>
      <w:spacing w:val="10"/>
      <w:kern w:val="0"/>
      <w:sz w:val="24"/>
    </w:rPr>
  </w:style>
  <w:style w:type="paragraph" w:customStyle="1" w:styleId="61">
    <w:name w:val="正文_0"/>
    <w:next w:val="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font61"/>
    <w:basedOn w:val="27"/>
    <w:autoRedefine/>
    <w:qFormat/>
    <w:uiPriority w:val="0"/>
    <w:rPr>
      <w:rFonts w:hint="eastAsia" w:ascii="宋体" w:hAnsi="宋体" w:eastAsia="宋体" w:cs="宋体"/>
      <w:color w:val="000000"/>
      <w:sz w:val="18"/>
      <w:szCs w:val="18"/>
      <w:u w:val="none"/>
    </w:rPr>
  </w:style>
  <w:style w:type="character" w:customStyle="1" w:styleId="63">
    <w:name w:val="font101"/>
    <w:basedOn w:val="27"/>
    <w:autoRedefine/>
    <w:qFormat/>
    <w:uiPriority w:val="0"/>
    <w:rPr>
      <w:rFonts w:hint="eastAsia" w:ascii="宋体" w:hAnsi="宋体" w:eastAsia="宋体" w:cs="宋体"/>
      <w:color w:val="FF0000"/>
      <w:sz w:val="18"/>
      <w:szCs w:val="18"/>
      <w:u w:val="none"/>
    </w:rPr>
  </w:style>
  <w:style w:type="character" w:customStyle="1" w:styleId="64">
    <w:name w:val="font51"/>
    <w:basedOn w:val="27"/>
    <w:autoRedefine/>
    <w:qFormat/>
    <w:uiPriority w:val="0"/>
    <w:rPr>
      <w:rFonts w:hint="eastAsia" w:ascii="宋体" w:hAnsi="宋体" w:eastAsia="宋体" w:cs="宋体"/>
      <w:color w:val="FF0000"/>
      <w:sz w:val="20"/>
      <w:szCs w:val="20"/>
      <w:u w:val="none"/>
    </w:rPr>
  </w:style>
  <w:style w:type="character" w:customStyle="1" w:styleId="65">
    <w:name w:val="font41"/>
    <w:basedOn w:val="27"/>
    <w:autoRedefine/>
    <w:qFormat/>
    <w:uiPriority w:val="0"/>
    <w:rPr>
      <w:rFonts w:hint="eastAsia" w:ascii="宋体" w:hAnsi="宋体" w:eastAsia="宋体" w:cs="宋体"/>
      <w:color w:val="000000"/>
      <w:sz w:val="20"/>
      <w:szCs w:val="20"/>
      <w:u w:val="none"/>
    </w:rPr>
  </w:style>
  <w:style w:type="character" w:customStyle="1" w:styleId="66">
    <w:name w:val="font31"/>
    <w:basedOn w:val="27"/>
    <w:qFormat/>
    <w:uiPriority w:val="0"/>
    <w:rPr>
      <w:rFonts w:hint="eastAsia" w:ascii="宋体" w:hAnsi="宋体" w:eastAsia="宋体" w:cs="宋体"/>
      <w:color w:val="000000"/>
      <w:sz w:val="22"/>
      <w:szCs w:val="22"/>
      <w:u w:val="none"/>
    </w:rPr>
  </w:style>
  <w:style w:type="character" w:customStyle="1" w:styleId="67">
    <w:name w:val="font11"/>
    <w:basedOn w:val="27"/>
    <w:autoRedefine/>
    <w:qFormat/>
    <w:uiPriority w:val="0"/>
    <w:rPr>
      <w:rFonts w:hint="eastAsia" w:ascii="宋体" w:hAnsi="宋体" w:eastAsia="宋体" w:cs="宋体"/>
      <w:color w:val="000000"/>
      <w:sz w:val="20"/>
      <w:szCs w:val="20"/>
      <w:u w:val="none"/>
    </w:rPr>
  </w:style>
  <w:style w:type="character" w:customStyle="1" w:styleId="68">
    <w:name w:val="font21"/>
    <w:basedOn w:val="27"/>
    <w:autoRedefine/>
    <w:qFormat/>
    <w:uiPriority w:val="0"/>
    <w:rPr>
      <w:rFonts w:hint="eastAsia" w:ascii="宋体" w:hAnsi="宋体" w:eastAsia="宋体" w:cs="宋体"/>
      <w:color w:val="000000"/>
      <w:sz w:val="20"/>
      <w:szCs w:val="20"/>
      <w:u w:val="none"/>
    </w:rPr>
  </w:style>
  <w:style w:type="paragraph" w:customStyle="1" w:styleId="69">
    <w:name w:val="&quot;kq表正文&quot;2"/>
    <w:basedOn w:val="1"/>
    <w:qFormat/>
    <w:uiPriority w:val="0"/>
    <w:pPr>
      <w:widowControl w:val="0"/>
      <w:snapToGrid w:val="0"/>
      <w:spacing w:after="0" w:line="360" w:lineRule="auto"/>
      <w:jc w:val="center"/>
    </w:pPr>
    <w:rPr>
      <w:rFonts w:ascii="宋体" w:hAnsi="宋体" w:eastAsia="宋体" w:cs="Times New Roman"/>
      <w:kern w:val="2"/>
      <w:sz w:val="21"/>
      <w:szCs w:val="24"/>
      <w:lang w:val="en-US" w:eastAsia="zh-CN" w:bidi="ar-SA"/>
    </w:rPr>
  </w:style>
  <w:style w:type="paragraph" w:customStyle="1" w:styleId="70">
    <w:name w:val="Table Text"/>
    <w:basedOn w:val="1"/>
    <w:autoRedefine/>
    <w:semiHidden/>
    <w:qFormat/>
    <w:uiPriority w:val="0"/>
    <w:pPr>
      <w:kinsoku w:val="0"/>
      <w:autoSpaceDE w:val="0"/>
      <w:autoSpaceDN w:val="0"/>
      <w:snapToGrid w:val="0"/>
      <w:spacing w:line="240" w:lineRule="auto"/>
      <w:ind w:firstLine="0" w:firstLineChars="0"/>
      <w:textAlignment w:val="baseline"/>
    </w:pPr>
    <w:rPr>
      <w:rFonts w:ascii="宋体" w:hAnsi="宋体" w:eastAsia="宋体" w:cs="宋体"/>
      <w:snapToGrid w:val="0"/>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216</Pages>
  <Words>114609</Words>
  <Characters>127357</Characters>
  <Lines>279</Lines>
  <Paragraphs>78</Paragraphs>
  <TotalTime>1</TotalTime>
  <ScaleCrop>false</ScaleCrop>
  <LinksUpToDate>false</LinksUpToDate>
  <CharactersWithSpaces>130548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2022-04-12T02:03:00Z</dcterms:created>
  <cp:lastPrinted>2022-04-15T07:45:00Z</cp:lastPrinted>
  <dcterms:modified xsi:type="dcterms:W3CDTF">2024-07-11T09:29:11Z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Aspose Ltd.</vt:lpwstr>
  </property>
  <property fmtid="{D5CDD505-2E9C-101B-9397-08002B2CF9AE}" pid="4" name="LastSaved">
    <vt:filetime>2022-04-12T00:00:00Z</vt:filetime>
  </property>
  <property fmtid="{D5CDD505-2E9C-101B-9397-08002B2CF9AE}" pid="5" name="KSOProductBuildVer">
    <vt:lpwstr>2052-12.1.0.16929</vt:lpwstr>
  </property>
  <property fmtid="{D5CDD505-2E9C-101B-9397-08002B2CF9AE}" pid="6" name="ICV">
    <vt:lpwstr>6E5A2BF048D7474CB6440929C640FEF9_13</vt:lpwstr>
  </property>
  <property fmtid="{D5CDD505-2E9C-101B-9397-08002B2CF9AE}" pid="7" name="commondata">
    <vt:lpwstr>eyJoZGlkIjoiM2YyNzdkZGRlZmU0MDZmMTU1MWE0MjI4MGNjMGE4OGQifQ==</vt:lpwstr>
  </property>
</Properties>
</file>