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rPr>
      </w:pPr>
      <w:bookmarkStart w:id="0" w:name="_Toc27979"/>
      <w:r>
        <w:rPr>
          <w:rFonts w:hint="eastAsia"/>
        </w:rPr>
        <w:t>采购需求</w:t>
      </w:r>
      <w:bookmarkEnd w:id="0"/>
    </w:p>
    <w:p>
      <w:pPr>
        <w:spacing w:line="360" w:lineRule="auto"/>
        <w:jc w:val="left"/>
        <w:rPr>
          <w:rFonts w:hint="eastAsia" w:ascii="宋体" w:hAnsi="宋体" w:cs="宋体"/>
          <w:szCs w:val="21"/>
        </w:rPr>
      </w:pPr>
      <w:bookmarkStart w:id="1" w:name="_Toc254970631"/>
      <w:bookmarkStart w:id="2" w:name="_Toc254970490"/>
    </w:p>
    <w:p>
      <w:pPr>
        <w:spacing w:line="360" w:lineRule="auto"/>
        <w:jc w:val="left"/>
        <w:rPr>
          <w:rFonts w:hint="eastAsia" w:ascii="宋体" w:hAnsi="宋体" w:cs="宋体"/>
          <w:szCs w:val="21"/>
        </w:rPr>
      </w:pPr>
      <w:r>
        <w:rPr>
          <w:rFonts w:hint="eastAsia" w:ascii="宋体" w:hAnsi="宋体" w:cs="宋体"/>
          <w:szCs w:val="21"/>
        </w:rPr>
        <w:t>说明：</w:t>
      </w:r>
    </w:p>
    <w:p>
      <w:pPr>
        <w:spacing w:line="360" w:lineRule="auto"/>
        <w:ind w:firstLine="420" w:firstLineChars="200"/>
        <w:jc w:val="left"/>
        <w:rPr>
          <w:rFonts w:hint="eastAsia"/>
        </w:rPr>
      </w:pPr>
      <w:r>
        <w:rPr>
          <w:rFonts w:hint="eastAsia"/>
        </w:rPr>
        <w:t>1. 为落实政府采购政策需满足的要求</w:t>
      </w:r>
    </w:p>
    <w:p>
      <w:pPr>
        <w:spacing w:line="360" w:lineRule="auto"/>
        <w:ind w:firstLine="420" w:firstLineChars="200"/>
        <w:jc w:val="left"/>
        <w:rPr>
          <w:rFonts w:hint="eastAsia" w:ascii="宋体" w:hAnsi="宋体" w:cs="宋体"/>
          <w:szCs w:val="21"/>
        </w:rPr>
      </w:pPr>
      <w:r>
        <w:rPr>
          <w:rFonts w:hint="eastAsia" w:ascii="宋体" w:hAnsi="宋体" w:cs="宋体"/>
          <w:szCs w:val="21"/>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pPr>
        <w:spacing w:line="360" w:lineRule="auto"/>
        <w:ind w:firstLine="424" w:firstLineChars="202"/>
        <w:jc w:val="left"/>
        <w:rPr>
          <w:rFonts w:ascii="宋体" w:hAnsi="宋体" w:cs="宋体"/>
          <w:szCs w:val="21"/>
        </w:rPr>
      </w:pPr>
      <w:r>
        <w:rPr>
          <w:rFonts w:hint="eastAsia" w:ascii="宋体" w:hAnsi="宋体" w:cs="宋体"/>
          <w:szCs w:val="21"/>
        </w:rPr>
        <w:t>3.采购需求中出现的品牌、型号或者生产厂家仅起参考作用，不属于指定品牌、型号或者生产厂家的情形。投标人可参照或者选用其他相当的品牌、型号或者生产厂家替代。</w:t>
      </w:r>
    </w:p>
    <w:p>
      <w:pPr>
        <w:spacing w:line="360" w:lineRule="auto"/>
        <w:ind w:firstLine="424" w:firstLineChars="202"/>
        <w:jc w:val="left"/>
        <w:rPr>
          <w:rStyle w:val="7"/>
        </w:rPr>
      </w:pPr>
      <w:r>
        <w:rPr>
          <w:rFonts w:hint="eastAsia" w:ascii="宋体" w:hAnsi="宋体" w:cs="宋体"/>
          <w:szCs w:val="21"/>
        </w:rPr>
        <w:t>4. 投标人应根据自身实际情况如实响应招标文件</w:t>
      </w:r>
      <w:r>
        <w:rPr>
          <w:rFonts w:hint="eastAsia" w:ascii="宋体" w:hAnsi="宋体"/>
          <w:szCs w:val="21"/>
        </w:rPr>
        <w:t>，</w:t>
      </w:r>
      <w:r>
        <w:rPr>
          <w:rFonts w:hint="eastAsia" w:ascii="宋体" w:hAnsi="宋体"/>
          <w:sz w:val="22"/>
          <w:szCs w:val="22"/>
        </w:rPr>
        <w:t>对招标文件提出的要求和条件作出明确响应，</w:t>
      </w:r>
      <w:r>
        <w:rPr>
          <w:rFonts w:hint="eastAsia" w:ascii="宋体" w:hAnsi="宋体"/>
          <w:b/>
          <w:bCs/>
          <w:szCs w:val="21"/>
        </w:rPr>
        <w:t>否则将作无效响应处理</w:t>
      </w:r>
      <w:r>
        <w:rPr>
          <w:rFonts w:hint="eastAsia" w:ascii="宋体" w:hAnsi="宋体"/>
          <w:szCs w:val="21"/>
        </w:rPr>
        <w:t>。</w:t>
      </w:r>
    </w:p>
    <w:p>
      <w:pPr>
        <w:spacing w:line="360" w:lineRule="auto"/>
        <w:ind w:firstLine="308" w:firstLineChars="147"/>
        <w:jc w:val="left"/>
        <w:rPr>
          <w:rFonts w:hint="eastAsia"/>
        </w:rPr>
      </w:pPr>
      <w:r>
        <w:rPr>
          <w:rFonts w:hint="eastAsia" w:ascii="宋体" w:hAnsi="宋体" w:cs="宋体"/>
          <w:szCs w:val="21"/>
        </w:rPr>
        <w:t>5</w:t>
      </w:r>
      <w:r>
        <w:rPr>
          <w:rFonts w:ascii="宋体" w:hAnsi="宋体" w:cs="宋体"/>
          <w:szCs w:val="21"/>
        </w:rPr>
        <w:t>.</w:t>
      </w:r>
      <w:r>
        <w:rPr>
          <w:rFonts w:hint="eastAsia"/>
        </w:rPr>
        <w:t>投标人</w:t>
      </w:r>
      <w:r>
        <w:t>必须自行为其</w:t>
      </w:r>
      <w:r>
        <w:rPr>
          <w:rFonts w:hint="eastAsia"/>
        </w:rPr>
        <w:t>投标</w:t>
      </w:r>
      <w:r>
        <w:t>产品侵犯</w:t>
      </w:r>
      <w:r>
        <w:rPr>
          <w:rFonts w:hint="eastAsia"/>
        </w:rPr>
        <w:t>他人的知识产权或者专利成果的行为</w:t>
      </w:r>
      <w:r>
        <w:t>承担相应法律责任</w:t>
      </w:r>
      <w:r>
        <w:rPr>
          <w:rFonts w:hint="eastAsia"/>
        </w:rPr>
        <w:t>。</w:t>
      </w:r>
    </w:p>
    <w:p>
      <w:pPr>
        <w:spacing w:line="400" w:lineRule="exact"/>
        <w:ind w:firstLine="310" w:firstLineChars="147"/>
        <w:jc w:val="left"/>
        <w:rPr>
          <w:rFonts w:ascii="宋体" w:hAnsi="宋体" w:cs="Arial"/>
          <w:bCs/>
          <w:szCs w:val="21"/>
          <w:u w:val="single"/>
        </w:rPr>
      </w:pPr>
      <w:r>
        <w:rPr>
          <w:rFonts w:hint="eastAsia" w:ascii="宋体" w:hAnsi="宋体"/>
          <w:b/>
          <w:szCs w:val="21"/>
        </w:rPr>
        <w:t>采购预算：</w:t>
      </w:r>
      <w:r>
        <w:rPr>
          <w:rFonts w:hint="eastAsia" w:ascii="宋体" w:hAnsi="宋体" w:cs="Arial"/>
          <w:bCs/>
          <w:szCs w:val="21"/>
          <w:u w:val="single"/>
        </w:rPr>
        <w:t>人民币壹仟伍佰万元整（¥15,000,000.00）</w:t>
      </w:r>
      <w:r>
        <w:rPr>
          <w:rFonts w:hint="eastAsia" w:ascii="宋体" w:hAnsi="宋体"/>
          <w:szCs w:val="21"/>
        </w:rPr>
        <w:t>/3年</w:t>
      </w:r>
    </w:p>
    <w:tbl>
      <w:tblPr>
        <w:tblStyle w:val="5"/>
        <w:tblW w:w="90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4"/>
        <w:gridCol w:w="851"/>
        <w:gridCol w:w="273"/>
        <w:gridCol w:w="458"/>
        <w:gridCol w:w="720"/>
        <w:gridCol w:w="6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9082" w:type="dxa"/>
            <w:gridSpan w:val="6"/>
            <w:noWrap w:val="0"/>
            <w:vAlign w:val="center"/>
          </w:tcPr>
          <w:p>
            <w:pPr>
              <w:tabs>
                <w:tab w:val="left" w:pos="180"/>
                <w:tab w:val="left" w:pos="1620"/>
              </w:tabs>
              <w:spacing w:line="400" w:lineRule="exact"/>
              <w:rPr>
                <w:rFonts w:ascii="宋体" w:hAnsi="宋体" w:cs="宋体"/>
                <w:b/>
                <w:szCs w:val="21"/>
              </w:rPr>
            </w:pPr>
            <w:r>
              <w:rPr>
                <w:rFonts w:hint="eastAsia" w:ascii="宋体" w:hAnsi="宋体" w:cs="宋体"/>
                <w:b/>
                <w:szCs w:val="21"/>
              </w:rPr>
              <w:t>一、项目需求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84" w:type="dxa"/>
            <w:noWrap w:val="0"/>
            <w:vAlign w:val="center"/>
          </w:tcPr>
          <w:p>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序号</w:t>
            </w:r>
          </w:p>
        </w:tc>
        <w:tc>
          <w:tcPr>
            <w:tcW w:w="851" w:type="dxa"/>
            <w:noWrap w:val="0"/>
            <w:vAlign w:val="center"/>
          </w:tcPr>
          <w:p>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标的的名称</w:t>
            </w:r>
          </w:p>
        </w:tc>
        <w:tc>
          <w:tcPr>
            <w:tcW w:w="731" w:type="dxa"/>
            <w:gridSpan w:val="2"/>
            <w:noWrap w:val="0"/>
            <w:vAlign w:val="center"/>
          </w:tcPr>
          <w:p>
            <w:pPr>
              <w:tabs>
                <w:tab w:val="left" w:pos="180"/>
                <w:tab w:val="left" w:pos="1620"/>
              </w:tabs>
              <w:spacing w:line="400" w:lineRule="exact"/>
              <w:jc w:val="center"/>
              <w:rPr>
                <w:rFonts w:ascii="宋体" w:hAnsi="宋体" w:cs="宋体"/>
                <w:szCs w:val="21"/>
              </w:rPr>
            </w:pPr>
            <w:r>
              <w:rPr>
                <w:rFonts w:hint="eastAsia" w:ascii="宋体" w:hAnsi="宋体" w:cs="宋体"/>
                <w:szCs w:val="21"/>
              </w:rPr>
              <w:t>数量及</w:t>
            </w:r>
          </w:p>
          <w:p>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单位</w:t>
            </w:r>
          </w:p>
        </w:tc>
        <w:tc>
          <w:tcPr>
            <w:tcW w:w="720" w:type="dxa"/>
            <w:noWrap w:val="0"/>
            <w:vAlign w:val="center"/>
          </w:tcPr>
          <w:p>
            <w:pPr>
              <w:tabs>
                <w:tab w:val="left" w:pos="180"/>
                <w:tab w:val="left" w:pos="1620"/>
              </w:tabs>
              <w:spacing w:line="400" w:lineRule="exact"/>
              <w:jc w:val="center"/>
              <w:rPr>
                <w:rFonts w:hint="eastAsia" w:ascii="宋体" w:hAnsi="宋体" w:cs="宋体"/>
                <w:szCs w:val="21"/>
              </w:rPr>
            </w:pPr>
            <w:r>
              <w:rPr>
                <w:rFonts w:hint="eastAsia" w:ascii="宋体" w:hAnsi="宋体" w:cs="Arial"/>
                <w:szCs w:val="21"/>
              </w:rPr>
              <w:t>所属行业</w:t>
            </w:r>
          </w:p>
        </w:tc>
        <w:tc>
          <w:tcPr>
            <w:tcW w:w="6296" w:type="dxa"/>
            <w:noWrap w:val="0"/>
            <w:vAlign w:val="center"/>
          </w:tcPr>
          <w:p>
            <w:pPr>
              <w:tabs>
                <w:tab w:val="left" w:pos="180"/>
                <w:tab w:val="left" w:pos="1620"/>
              </w:tabs>
              <w:spacing w:line="400" w:lineRule="exact"/>
              <w:jc w:val="center"/>
              <w:rPr>
                <w:rFonts w:ascii="宋体" w:hAnsi="宋体" w:cs="宋体"/>
                <w:szCs w:val="21"/>
              </w:rPr>
            </w:pPr>
            <w:r>
              <w:rPr>
                <w:rFonts w:hint="eastAsia" w:ascii="宋体" w:hAnsi="宋体"/>
                <w:szCs w:val="21"/>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484" w:type="dxa"/>
            <w:noWrap w:val="0"/>
            <w:vAlign w:val="center"/>
          </w:tcPr>
          <w:p>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1</w:t>
            </w:r>
          </w:p>
        </w:tc>
        <w:tc>
          <w:tcPr>
            <w:tcW w:w="851" w:type="dxa"/>
            <w:noWrap w:val="0"/>
            <w:vAlign w:val="center"/>
          </w:tcPr>
          <w:p>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中药配方颗粒及相关服务</w:t>
            </w:r>
          </w:p>
        </w:tc>
        <w:tc>
          <w:tcPr>
            <w:tcW w:w="731" w:type="dxa"/>
            <w:gridSpan w:val="2"/>
            <w:noWrap w:val="0"/>
            <w:vAlign w:val="center"/>
          </w:tcPr>
          <w:p>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3年</w:t>
            </w:r>
          </w:p>
        </w:tc>
        <w:tc>
          <w:tcPr>
            <w:tcW w:w="720" w:type="dxa"/>
            <w:noWrap w:val="0"/>
            <w:vAlign w:val="center"/>
          </w:tcPr>
          <w:p>
            <w:pPr>
              <w:pStyle w:val="3"/>
              <w:spacing w:line="400" w:lineRule="exact"/>
              <w:jc w:val="center"/>
              <w:rPr>
                <w:rFonts w:hint="eastAsia" w:ascii="宋体" w:hAnsi="宋体" w:cs="Arial"/>
                <w:szCs w:val="21"/>
                <w:lang w:val="en-US" w:eastAsia="zh-CN"/>
              </w:rPr>
            </w:pPr>
            <w:r>
              <w:rPr>
                <w:rFonts w:hint="eastAsia" w:ascii="宋体" w:hAnsi="宋体" w:cs="Arial"/>
                <w:szCs w:val="21"/>
                <w:lang w:val="en-US" w:eastAsia="zh-CN"/>
              </w:rPr>
              <w:t>批发业</w:t>
            </w:r>
            <w:bookmarkStart w:id="5" w:name="_GoBack"/>
            <w:bookmarkEnd w:id="5"/>
          </w:p>
        </w:tc>
        <w:tc>
          <w:tcPr>
            <w:tcW w:w="6296" w:type="dxa"/>
            <w:noWrap w:val="0"/>
            <w:vAlign w:val="center"/>
          </w:tcPr>
          <w:p>
            <w:pPr>
              <w:spacing w:line="360" w:lineRule="auto"/>
              <w:ind w:firstLine="420" w:firstLineChars="200"/>
              <w:jc w:val="left"/>
              <w:rPr>
                <w:rFonts w:ascii="宋体" w:hAnsi="宋体"/>
                <w:szCs w:val="21"/>
              </w:rPr>
            </w:pPr>
            <w:r>
              <w:rPr>
                <w:rFonts w:hint="eastAsia" w:ascii="宋体" w:hAnsi="宋体"/>
                <w:szCs w:val="21"/>
              </w:rPr>
              <w:t>1、服务期限： 自合同签订之日起</w:t>
            </w:r>
            <w:r>
              <w:rPr>
                <w:rFonts w:ascii="宋体" w:hAnsi="宋体"/>
                <w:szCs w:val="21"/>
              </w:rPr>
              <w:t>3</w:t>
            </w:r>
            <w:r>
              <w:rPr>
                <w:rFonts w:hint="eastAsia" w:ascii="宋体" w:hAnsi="宋体"/>
                <w:szCs w:val="21"/>
              </w:rPr>
              <w:t>年。若中标人在合同履行期间存在违法、违约、或不诚信行为的，采购人有权依法终止合同，采购人不需承担任何违约责任。</w:t>
            </w:r>
          </w:p>
          <w:p>
            <w:pPr>
              <w:spacing w:line="360" w:lineRule="auto"/>
              <w:ind w:firstLine="420" w:firstLineChars="200"/>
              <w:jc w:val="left"/>
              <w:rPr>
                <w:rFonts w:ascii="宋体" w:hAnsi="宋体"/>
                <w:szCs w:val="21"/>
              </w:rPr>
            </w:pPr>
            <w:r>
              <w:rPr>
                <w:rFonts w:hint="eastAsia" w:ascii="宋体" w:hAnsi="宋体"/>
                <w:szCs w:val="21"/>
              </w:rPr>
              <w:t>2、质量保证： 投标人必须保证所提供的中药配方颗粒为符合国家标准或省级标准的药品，具有质量控制及检测技术，有对农药残留、重金属等有害成份的检测与控制手段。在服务期限内保证药品质量、执行国家物价，按约定的药品品种、剂型、规格、数量、价格、供货方式等供货，并结合采购人实际使用情况及时补货，保证临床用药不断档。所提供的中药配方颗粒有效期不少于3年（国家另有规定的按规定执行），中药配方颗粒验收合格并收货的时间不能超过生产日期2年（即库存有效期不能少于</w:t>
            </w:r>
            <w:r>
              <w:rPr>
                <w:rFonts w:ascii="宋体" w:hAnsi="宋体"/>
                <w:szCs w:val="21"/>
              </w:rPr>
              <w:t>1</w:t>
            </w:r>
            <w:r>
              <w:rPr>
                <w:rFonts w:hint="eastAsia" w:ascii="宋体" w:hAnsi="宋体"/>
                <w:szCs w:val="21"/>
              </w:rPr>
              <w:t>年）。</w:t>
            </w:r>
          </w:p>
          <w:p>
            <w:pPr>
              <w:spacing w:line="360" w:lineRule="auto"/>
              <w:ind w:firstLine="420" w:firstLineChars="200"/>
              <w:jc w:val="left"/>
              <w:rPr>
                <w:rFonts w:ascii="宋体" w:hAnsi="宋体"/>
                <w:szCs w:val="21"/>
              </w:rPr>
            </w:pPr>
            <w:r>
              <w:rPr>
                <w:rFonts w:hint="eastAsia" w:ascii="宋体" w:hAnsi="宋体"/>
                <w:szCs w:val="21"/>
              </w:rPr>
              <w:t>3、投标人拟投入服务及人员配置要求：投标人应当利用现代医药物流信息技术和相关设施设备为采购人提供物流配送、药房管理及相关服务，保障采购人药品供应，具有能提高药房管理水平的整体服务和解决方案。中药配方颗粒相配套的调剂设备（中药配方颗粒调配系统）所产生的相关费用由投标人承担，投标人负责所使用药房的装修费用及配备满足项目服务所需的协助服务人员和设备维护人员。投标人为采购人配备的协助人员必须为药学类专业（含中药学）毕业且取得药士以上职称（投标文件中须提供相关证明复印件，并加盖投标单位公章或电子签章），协助人员工作期间必须遵守采购人内部的规章制度，服从采购人的工作时间安排。根据采购人日常工作量及时间段合理安排协助人员，减少患者候药时间，从接到处方至调配完成时间不得超过</w:t>
            </w:r>
            <w:r>
              <w:rPr>
                <w:rFonts w:ascii="宋体" w:hAnsi="宋体"/>
                <w:szCs w:val="21"/>
              </w:rPr>
              <w:t>30</w:t>
            </w:r>
            <w:r>
              <w:rPr>
                <w:rFonts w:hint="eastAsia" w:ascii="宋体" w:hAnsi="宋体"/>
                <w:szCs w:val="21"/>
              </w:rPr>
              <w:t>分钟。</w:t>
            </w:r>
          </w:p>
          <w:p>
            <w:pPr>
              <w:spacing w:line="360" w:lineRule="auto"/>
              <w:ind w:firstLine="420" w:firstLineChars="200"/>
              <w:jc w:val="left"/>
              <w:rPr>
                <w:rFonts w:ascii="宋体" w:hAnsi="宋体"/>
                <w:szCs w:val="21"/>
              </w:rPr>
            </w:pPr>
            <w:r>
              <w:rPr>
                <w:rFonts w:hint="eastAsia" w:ascii="宋体" w:hAnsi="宋体"/>
                <w:szCs w:val="21"/>
              </w:rPr>
              <w:t>4、投标人拟投入项目的调剂设备要求：</w:t>
            </w:r>
          </w:p>
          <w:p>
            <w:pPr>
              <w:spacing w:line="360" w:lineRule="auto"/>
              <w:ind w:firstLine="420" w:firstLineChars="200"/>
              <w:jc w:val="left"/>
              <w:rPr>
                <w:rFonts w:ascii="宋体" w:hAnsi="宋体"/>
                <w:szCs w:val="21"/>
              </w:rPr>
            </w:pPr>
            <w:r>
              <w:rPr>
                <w:rFonts w:hint="eastAsia" w:ascii="宋体" w:hAnsi="宋体"/>
                <w:szCs w:val="21"/>
              </w:rPr>
              <w:t>（1）投标人为本项目提供的服务设备（中药颗粒调配机）必须为目前市场上流通的能满足采购人药品调配使用需求的最新设备机型。</w:t>
            </w:r>
          </w:p>
          <w:p>
            <w:pPr>
              <w:spacing w:line="360" w:lineRule="auto"/>
              <w:ind w:firstLine="420" w:firstLineChars="200"/>
              <w:jc w:val="left"/>
              <w:rPr>
                <w:rFonts w:ascii="宋体" w:hAnsi="宋体"/>
                <w:szCs w:val="21"/>
              </w:rPr>
            </w:pPr>
            <w:r>
              <w:rPr>
                <w:rFonts w:hint="eastAsia" w:ascii="宋体" w:hAnsi="宋体"/>
                <w:szCs w:val="21"/>
              </w:rPr>
              <w:t>（2）设备具有药品储存、调配、混合及包装等功能。每台设备占地≤8平方米。</w:t>
            </w:r>
          </w:p>
          <w:p>
            <w:pPr>
              <w:spacing w:line="360" w:lineRule="auto"/>
              <w:ind w:firstLine="420" w:firstLineChars="200"/>
              <w:jc w:val="left"/>
              <w:rPr>
                <w:rFonts w:ascii="宋体" w:hAnsi="宋体"/>
                <w:szCs w:val="21"/>
              </w:rPr>
            </w:pPr>
            <w:r>
              <w:rPr>
                <w:rFonts w:hint="eastAsia" w:ascii="宋体" w:hAnsi="宋体"/>
                <w:szCs w:val="21"/>
              </w:rPr>
              <w:t>（3）设备安装、组合必须灵活。</w:t>
            </w:r>
          </w:p>
          <w:p>
            <w:pPr>
              <w:spacing w:line="360" w:lineRule="auto"/>
              <w:ind w:firstLine="420" w:firstLineChars="200"/>
              <w:jc w:val="left"/>
              <w:rPr>
                <w:rFonts w:hint="eastAsia" w:ascii="宋体" w:hAnsi="宋体"/>
                <w:szCs w:val="21"/>
              </w:rPr>
            </w:pPr>
            <w:r>
              <w:rPr>
                <w:rFonts w:hint="eastAsia" w:ascii="宋体" w:hAnsi="宋体"/>
                <w:szCs w:val="21"/>
              </w:rPr>
              <w:t>（4）进入调配系统的每个中药品种饮片与配方颗粒都有单独的条形码或二维码。</w:t>
            </w:r>
          </w:p>
          <w:p>
            <w:pPr>
              <w:spacing w:line="360" w:lineRule="auto"/>
              <w:ind w:firstLine="420" w:firstLineChars="200"/>
              <w:jc w:val="left"/>
              <w:rPr>
                <w:rFonts w:hint="eastAsia" w:ascii="宋体" w:hAnsi="宋体"/>
                <w:szCs w:val="21"/>
              </w:rPr>
            </w:pPr>
            <w:r>
              <w:rPr>
                <w:rFonts w:hint="eastAsia" w:ascii="宋体" w:hAnsi="宋体"/>
                <w:szCs w:val="21"/>
              </w:rPr>
              <w:t>（5）调配系统可对每一个中药品种饮片与配方颗粒的比例锁定，医师按各个病人的需要开出中药饮片处方，系统就能自动把处方中的每一味中药饮片的重量转换为颗粒的重量进行配药。</w:t>
            </w:r>
          </w:p>
          <w:p>
            <w:pPr>
              <w:spacing w:line="360" w:lineRule="auto"/>
              <w:ind w:firstLine="420" w:firstLineChars="200"/>
              <w:jc w:val="left"/>
              <w:rPr>
                <w:rFonts w:hint="eastAsia" w:ascii="宋体" w:hAnsi="宋体"/>
                <w:szCs w:val="21"/>
              </w:rPr>
            </w:pPr>
            <w:r>
              <w:rPr>
                <w:rFonts w:hint="eastAsia" w:ascii="宋体" w:hAnsi="宋体"/>
                <w:szCs w:val="21"/>
              </w:rPr>
              <w:t>（6）按治疗方案分包：系统可以按医生要求将每剂药分包成需要的数量，忠实执行医师的治疗方案。</w:t>
            </w:r>
          </w:p>
          <w:p>
            <w:pPr>
              <w:spacing w:line="360" w:lineRule="auto"/>
              <w:ind w:firstLine="420" w:firstLineChars="200"/>
              <w:jc w:val="left"/>
              <w:rPr>
                <w:rFonts w:hint="eastAsia" w:ascii="宋体" w:hAnsi="宋体"/>
                <w:szCs w:val="21"/>
              </w:rPr>
            </w:pPr>
            <w:r>
              <w:rPr>
                <w:rFonts w:hint="eastAsia" w:ascii="宋体" w:hAnsi="宋体"/>
                <w:szCs w:val="21"/>
              </w:rPr>
              <w:t>（7）药品调配：连接条形码扫描仪，由系统计算机核对调配药品，确保处方药品种类正确。</w:t>
            </w:r>
          </w:p>
          <w:p>
            <w:pPr>
              <w:spacing w:line="360" w:lineRule="auto"/>
              <w:ind w:firstLine="420" w:firstLineChars="200"/>
              <w:jc w:val="left"/>
              <w:rPr>
                <w:rFonts w:hint="eastAsia" w:ascii="宋体" w:hAnsi="宋体"/>
                <w:szCs w:val="21"/>
              </w:rPr>
            </w:pPr>
            <w:r>
              <w:rPr>
                <w:rFonts w:hint="eastAsia" w:ascii="宋体" w:hAnsi="宋体"/>
                <w:szCs w:val="21"/>
              </w:rPr>
              <w:t>（8）称量：系统电子称连接计算机，确保处方药品调配量正确。</w:t>
            </w:r>
          </w:p>
          <w:p>
            <w:pPr>
              <w:spacing w:line="360" w:lineRule="auto"/>
              <w:ind w:firstLine="420" w:firstLineChars="200"/>
              <w:jc w:val="left"/>
              <w:rPr>
                <w:rFonts w:hint="eastAsia" w:ascii="宋体" w:hAnsi="宋体"/>
                <w:szCs w:val="21"/>
              </w:rPr>
            </w:pPr>
            <w:r>
              <w:rPr>
                <w:rFonts w:hint="eastAsia" w:ascii="宋体" w:hAnsi="宋体"/>
                <w:szCs w:val="21"/>
              </w:rPr>
              <w:t>（9）信息管理：投标人拟投入的调配系统可连接医院信息系统（</w:t>
            </w:r>
            <w:r>
              <w:rPr>
                <w:rFonts w:ascii="宋体" w:hAnsi="宋体"/>
                <w:szCs w:val="21"/>
              </w:rPr>
              <w:t>HIS</w:t>
            </w:r>
            <w:r>
              <w:rPr>
                <w:rFonts w:hint="eastAsia" w:ascii="宋体" w:hAnsi="宋体"/>
                <w:szCs w:val="21"/>
              </w:rPr>
              <w:t>）并自行承担接口费用，便于采购人实现全面信息化管理。</w:t>
            </w:r>
          </w:p>
          <w:p>
            <w:pPr>
              <w:spacing w:line="360" w:lineRule="auto"/>
              <w:ind w:firstLine="420" w:firstLineChars="200"/>
              <w:jc w:val="left"/>
              <w:rPr>
                <w:rFonts w:hint="eastAsia" w:ascii="宋体" w:hAnsi="宋体"/>
                <w:szCs w:val="21"/>
              </w:rPr>
            </w:pPr>
            <w:r>
              <w:rPr>
                <w:rFonts w:hint="eastAsia" w:ascii="宋体" w:hAnsi="宋体"/>
                <w:szCs w:val="21"/>
              </w:rPr>
              <w:t>（10）药房营运管理：系统可提供药品入库、处方管理、药房盘点、库存报告等。</w:t>
            </w:r>
          </w:p>
          <w:p>
            <w:pPr>
              <w:spacing w:line="360" w:lineRule="auto"/>
              <w:ind w:firstLine="420" w:firstLineChars="200"/>
              <w:jc w:val="left"/>
              <w:rPr>
                <w:rFonts w:hint="eastAsia" w:ascii="宋体" w:hAnsi="宋体"/>
                <w:szCs w:val="21"/>
              </w:rPr>
            </w:pPr>
            <w:r>
              <w:rPr>
                <w:rFonts w:hint="eastAsia" w:ascii="宋体" w:hAnsi="宋体"/>
                <w:szCs w:val="21"/>
              </w:rPr>
              <w:t>（11）处方配药安全性：系统可完整记录调配处方的信息，处方调配可全程追溯。</w:t>
            </w:r>
          </w:p>
          <w:p>
            <w:pPr>
              <w:spacing w:line="360" w:lineRule="auto"/>
              <w:ind w:firstLine="420" w:firstLineChars="200"/>
              <w:jc w:val="left"/>
              <w:rPr>
                <w:rFonts w:hint="eastAsia" w:ascii="宋体" w:hAnsi="宋体"/>
                <w:szCs w:val="21"/>
              </w:rPr>
            </w:pPr>
            <w:r>
              <w:rPr>
                <w:rFonts w:hint="eastAsia" w:ascii="宋体" w:hAnsi="宋体"/>
                <w:szCs w:val="21"/>
              </w:rPr>
              <w:t>（12）服务期内投标人负责提供调剂所需的一切耗材。</w:t>
            </w:r>
          </w:p>
          <w:p>
            <w:pPr>
              <w:spacing w:line="360" w:lineRule="auto"/>
              <w:ind w:firstLine="420" w:firstLineChars="200"/>
              <w:jc w:val="left"/>
              <w:rPr>
                <w:rFonts w:hint="eastAsia" w:ascii="宋体" w:hAnsi="宋体"/>
                <w:szCs w:val="21"/>
              </w:rPr>
            </w:pPr>
            <w:r>
              <w:rPr>
                <w:rFonts w:hint="eastAsia" w:ascii="宋体" w:hAnsi="宋体"/>
                <w:szCs w:val="21"/>
              </w:rPr>
              <w:t>5、报价要求：</w:t>
            </w:r>
          </w:p>
          <w:p>
            <w:pPr>
              <w:spacing w:line="360" w:lineRule="auto"/>
              <w:ind w:firstLine="420" w:firstLineChars="200"/>
              <w:jc w:val="left"/>
              <w:rPr>
                <w:rFonts w:hint="eastAsia" w:ascii="宋体" w:hAnsi="宋体"/>
                <w:szCs w:val="21"/>
              </w:rPr>
            </w:pPr>
            <w:r>
              <w:rPr>
                <w:rFonts w:hint="eastAsia" w:ascii="宋体" w:hAnsi="宋体"/>
                <w:szCs w:val="21"/>
              </w:rPr>
              <w:t>（1）如出现疑似质量问题，采购人可要求对投标人提供的货物进行抽检并送市级以上药品检测部门检测，检测所涉及的费用由投标人承担。被药品检测部门抽检定为假、劣药的须无条件给予退换，并承担相关的法律责任，由此产生的相关费用由投标人自行负责。</w:t>
            </w:r>
          </w:p>
          <w:p>
            <w:pPr>
              <w:spacing w:line="360" w:lineRule="auto"/>
              <w:ind w:firstLine="420" w:firstLineChars="200"/>
              <w:rPr>
                <w:rFonts w:hint="eastAsia" w:ascii="宋体" w:hAnsi="宋体"/>
                <w:b/>
                <w:sz w:val="24"/>
              </w:rPr>
            </w:pPr>
            <w:r>
              <w:rPr>
                <w:rFonts w:hint="eastAsia" w:ascii="宋体" w:hAnsi="宋体"/>
                <w:szCs w:val="21"/>
              </w:rPr>
              <w:t>（2）投标人根据附件一提供的各中药配方颗粒（折合饮片）的年预计使用量和最高上限单价对各中药配方颗粒（折合饮片）单价进行报价，并分别计算出各中药配方颗粒（折合饮片）年预计使用量投标报价和3年各中药配方颗粒（折合饮片）预计使用量投标总报价。各中药配方颗粒（折合饮片）的投标单价报价不得超过相应的</w:t>
            </w:r>
            <w:r>
              <w:rPr>
                <w:rFonts w:ascii="宋体" w:hAnsi="宋体"/>
                <w:szCs w:val="21"/>
              </w:rPr>
              <w:t>最高</w:t>
            </w:r>
            <w:r>
              <w:rPr>
                <w:rFonts w:hint="eastAsia" w:ascii="宋体" w:hAnsi="宋体"/>
                <w:szCs w:val="21"/>
              </w:rPr>
              <w:t>上限</w:t>
            </w:r>
            <w:r>
              <w:rPr>
                <w:rFonts w:ascii="宋体" w:hAnsi="宋体"/>
                <w:szCs w:val="21"/>
              </w:rPr>
              <w:t>单价，</w:t>
            </w:r>
            <w:r>
              <w:rPr>
                <w:rFonts w:hint="eastAsia" w:ascii="宋体" w:hAnsi="宋体"/>
                <w:szCs w:val="21"/>
              </w:rPr>
              <w:t>3年各中药配方颗粒（折合饮片）预计使用量投标总报价不得超过采购预算金额，否则，</w:t>
            </w:r>
            <w:r>
              <w:rPr>
                <w:rFonts w:hint="eastAsia" w:ascii="宋体" w:hAnsi="宋体"/>
                <w:b/>
                <w:sz w:val="24"/>
              </w:rPr>
              <w:t>其报价作无效报价处理。</w:t>
            </w:r>
          </w:p>
          <w:p>
            <w:pPr>
              <w:spacing w:line="360" w:lineRule="auto"/>
              <w:ind w:firstLine="420" w:firstLineChars="200"/>
              <w:rPr>
                <w:rFonts w:hint="eastAsia" w:ascii="宋体" w:hAnsi="宋体"/>
                <w:szCs w:val="21"/>
              </w:rPr>
            </w:pPr>
            <w:r>
              <w:rPr>
                <w:rFonts w:hint="eastAsia" w:ascii="宋体" w:hAnsi="宋体"/>
                <w:szCs w:val="21"/>
              </w:rPr>
              <w:t>（3）</w:t>
            </w:r>
            <w:r>
              <w:t>本</w:t>
            </w:r>
            <w:r>
              <w:rPr>
                <w:rFonts w:hint="eastAsia"/>
              </w:rPr>
              <w:t>项目</w:t>
            </w:r>
            <w:r>
              <w:t>以</w:t>
            </w:r>
            <w:r>
              <w:rPr>
                <w:rFonts w:hint="eastAsia" w:ascii="宋体" w:hAnsi="宋体" w:cs="宋体"/>
                <w:kern w:val="0"/>
                <w:sz w:val="20"/>
                <w:szCs w:val="20"/>
              </w:rPr>
              <w:t>3年</w:t>
            </w:r>
            <w:r>
              <w:rPr>
                <w:rFonts w:hint="eastAsia" w:ascii="宋体" w:hAnsi="宋体"/>
                <w:szCs w:val="21"/>
              </w:rPr>
              <w:t>各中药配方颗粒</w:t>
            </w:r>
            <w:r>
              <w:rPr>
                <w:rFonts w:hint="eastAsia" w:ascii="宋体" w:hAnsi="宋体" w:cs="宋体"/>
                <w:kern w:val="0"/>
                <w:sz w:val="20"/>
                <w:szCs w:val="20"/>
              </w:rPr>
              <w:t>（折合饮片）预计使用量投标总报价作为投标报价分的计算依据。投标人报价</w:t>
            </w:r>
            <w:r>
              <w:rPr>
                <w:rFonts w:hint="eastAsia" w:ascii="宋体" w:hAnsi="宋体"/>
                <w:szCs w:val="21"/>
              </w:rPr>
              <w:t>应遵循质量优先、价格合理的原则；投标人不得进行恶意竞争，如有查证采购人有权取消其投标或中标资格。本项目中所列的采购数量仅为预计采购量，合同过程中，合同结算价以实际采购量进行结算：各中药配方颗粒（折合饮片）结算金额=各中药配方颗粒（折合饮片）实际采购量×各中药配方颗粒（折合饮片）相应的中标供货单价。</w:t>
            </w:r>
          </w:p>
          <w:p>
            <w:pPr>
              <w:spacing w:line="360" w:lineRule="auto"/>
              <w:ind w:firstLine="420" w:firstLineChars="200"/>
              <w:jc w:val="left"/>
              <w:rPr>
                <w:rFonts w:hint="eastAsia" w:ascii="宋体" w:hAnsi="宋体"/>
                <w:szCs w:val="21"/>
              </w:rPr>
            </w:pPr>
            <w:r>
              <w:rPr>
                <w:rFonts w:hint="eastAsia" w:ascii="宋体" w:hAnsi="宋体"/>
                <w:szCs w:val="21"/>
              </w:rPr>
              <w:t>（4）第一年合同期满后，如因中药市场原药材价格波动导致的中药配方颗粒价格上涨，投标人应向采购人提供相关纸质佐证材料，经采购人审核同意后，方可调价。在合同履行期间，如因中药市场原药材价格波动导致的中药配方价格下跌，投标人供应价格应相应下降。如遇国家政策调整或行政主管部门出台中药配方颗粒相关规定，采购人有权依法随时解除本项目合同，投标人应无条件执行，采购人不需承担任何违约责任。</w:t>
            </w:r>
          </w:p>
          <w:p>
            <w:pPr>
              <w:spacing w:line="360" w:lineRule="auto"/>
              <w:ind w:firstLine="420" w:firstLineChars="200"/>
              <w:jc w:val="left"/>
              <w:rPr>
                <w:rFonts w:ascii="宋体" w:hAnsi="宋体"/>
                <w:szCs w:val="21"/>
              </w:rPr>
            </w:pPr>
            <w:r>
              <w:rPr>
                <w:rFonts w:hint="eastAsia" w:ascii="宋体" w:hAnsi="宋体"/>
                <w:szCs w:val="21"/>
              </w:rPr>
              <w:t>6、中标后投标人必须遵守的规定</w:t>
            </w:r>
          </w:p>
          <w:p>
            <w:pPr>
              <w:spacing w:line="360" w:lineRule="auto"/>
              <w:ind w:firstLine="420" w:firstLineChars="200"/>
              <w:jc w:val="left"/>
              <w:rPr>
                <w:rFonts w:hint="eastAsia" w:ascii="宋体" w:hAnsi="宋体"/>
                <w:szCs w:val="21"/>
              </w:rPr>
            </w:pPr>
            <w:r>
              <w:rPr>
                <w:rFonts w:hint="eastAsia" w:ascii="宋体" w:hAnsi="宋体"/>
                <w:szCs w:val="21"/>
              </w:rPr>
              <w:t>（1）中标品种一旦确定，不得以任何借口（如无货，采购量少等）不执行采购人药品需求计划，不得无故不予配送，不配送及退货年累计各三次以上依法取消中标人配送资格。</w:t>
            </w:r>
          </w:p>
          <w:p>
            <w:pPr>
              <w:spacing w:line="360" w:lineRule="auto"/>
              <w:ind w:firstLine="420" w:firstLineChars="200"/>
              <w:jc w:val="left"/>
              <w:rPr>
                <w:rFonts w:hint="eastAsia" w:ascii="宋体" w:hAnsi="宋体"/>
                <w:szCs w:val="21"/>
              </w:rPr>
            </w:pPr>
            <w:r>
              <w:rPr>
                <w:rFonts w:hint="eastAsia" w:ascii="宋体" w:hAnsi="宋体"/>
                <w:szCs w:val="21"/>
              </w:rPr>
              <w:t>（2）投标人须在采购人指定的时间（</w:t>
            </w:r>
            <w:r>
              <w:rPr>
                <w:rFonts w:ascii="宋体" w:hAnsi="宋体"/>
                <w:szCs w:val="21"/>
              </w:rPr>
              <w:t>72</w:t>
            </w:r>
            <w:r>
              <w:rPr>
                <w:rFonts w:hint="eastAsia" w:ascii="宋体" w:hAnsi="宋体"/>
                <w:szCs w:val="21"/>
              </w:rPr>
              <w:t>小时内，最迟不超过一周内，突发事件或紧急药品及使用科室应急药品随叫随送）和地点交付药品，交付的药品要求产地、质量、包装、有效期等均符合条件，且药品外包装标签上必须标示有品名、规格、产地、等级、生产企业、产品批号、生产日期并附质量合格标志。逾期视为一次不配送，药品出库单须与药品同行并附上成品检验报告单，否则不予验收。由采购人对货物或服务的质量、规格和数量及其他进行验收。验收不合格时，投标人必须在采购人指定的时间内无条件更换，由此造成的损失和责任由投标人承担。更换后，采购人对所更换的货物再次进行验收，验收仍不合格将依法终止合同。投标人提供的药品在质量保证期内，因工艺或材料的缺陷和其它质量原因造成的问题，由投标人负责，费用从余款中扣除，不足另补。</w:t>
            </w:r>
          </w:p>
          <w:p>
            <w:pPr>
              <w:spacing w:line="360" w:lineRule="auto"/>
              <w:ind w:firstLine="420" w:firstLineChars="200"/>
              <w:jc w:val="left"/>
              <w:rPr>
                <w:rFonts w:hint="eastAsia" w:ascii="宋体" w:hAnsi="宋体"/>
                <w:szCs w:val="21"/>
              </w:rPr>
            </w:pPr>
            <w:r>
              <w:rPr>
                <w:rFonts w:hint="eastAsia" w:ascii="宋体" w:hAnsi="宋体"/>
                <w:szCs w:val="21"/>
              </w:rPr>
              <w:t>（3）投标人安排至少</w:t>
            </w:r>
            <w:r>
              <w:rPr>
                <w:rFonts w:ascii="宋体" w:hAnsi="宋体"/>
                <w:szCs w:val="21"/>
              </w:rPr>
              <w:t>1</w:t>
            </w:r>
            <w:r>
              <w:rPr>
                <w:rFonts w:hint="eastAsia" w:ascii="宋体" w:hAnsi="宋体"/>
                <w:szCs w:val="21"/>
              </w:rPr>
              <w:t>名固定人员在采购人进行质量跟踪服务[投标文件中提供人员</w:t>
            </w:r>
            <w:r>
              <w:rPr>
                <w:rFonts w:ascii="宋体" w:hAnsi="宋体"/>
                <w:bCs/>
                <w:szCs w:val="21"/>
              </w:rPr>
              <w:t>身份证证明复印件及投标截止日前半年内</w:t>
            </w:r>
            <w:r>
              <w:rPr>
                <w:rFonts w:hint="eastAsia" w:ascii="宋体" w:hAnsi="宋体"/>
                <w:bCs/>
                <w:szCs w:val="21"/>
              </w:rPr>
              <w:t>的劳动合同或</w:t>
            </w:r>
            <w:r>
              <w:rPr>
                <w:rFonts w:ascii="宋体" w:hAnsi="宋体"/>
                <w:bCs/>
                <w:szCs w:val="21"/>
              </w:rPr>
              <w:t>任意一个月社保缴纳证明复印件</w:t>
            </w:r>
            <w:r>
              <w:rPr>
                <w:rFonts w:hint="eastAsia" w:ascii="宋体" w:hAnsi="宋体"/>
                <w:bCs/>
                <w:szCs w:val="21"/>
              </w:rPr>
              <w:t>或投标人在投标文件递交截止时间前近3个月内任意1个月为技术人员发放的工资发放银行流水扫描件（或复印件或截图）等证明该固定人员为本单位人员的材料，</w:t>
            </w:r>
            <w:r>
              <w:rPr>
                <w:rFonts w:ascii="宋体" w:hAnsi="宋体"/>
                <w:bCs/>
                <w:szCs w:val="21"/>
              </w:rPr>
              <w:t>并加盖投标人公章</w:t>
            </w:r>
            <w:r>
              <w:rPr>
                <w:rFonts w:hint="eastAsia" w:ascii="宋体" w:hAnsi="宋体"/>
                <w:bCs/>
                <w:szCs w:val="21"/>
              </w:rPr>
              <w:t>或电子签章]。</w:t>
            </w:r>
            <w:r>
              <w:rPr>
                <w:rFonts w:hint="eastAsia" w:ascii="宋体" w:hAnsi="宋体"/>
                <w:szCs w:val="21"/>
              </w:rPr>
              <w:t xml:space="preserve"> 未经采购人允许，固定人员不得随意变更。</w:t>
            </w:r>
          </w:p>
          <w:p>
            <w:pPr>
              <w:spacing w:line="360" w:lineRule="auto"/>
              <w:ind w:firstLine="420" w:firstLineChars="200"/>
              <w:jc w:val="left"/>
              <w:rPr>
                <w:rFonts w:ascii="宋体" w:hAnsi="宋体"/>
                <w:szCs w:val="21"/>
              </w:rPr>
            </w:pPr>
            <w:r>
              <w:rPr>
                <w:rFonts w:hint="eastAsia" w:ascii="宋体" w:hAnsi="宋体"/>
                <w:szCs w:val="21"/>
              </w:rPr>
              <w:t>（4）本次采购包含但不限于《中药配方颗粒采购预算清单》中的252种已确定的药品。在合同期内，除本次采购品种外，若投标人后续再有新的国家标准或广西区标准品种可供应，采购人有需求的，投标人不得拒绝供应，应在</w:t>
            </w:r>
            <w:r>
              <w:rPr>
                <w:rFonts w:ascii="宋体" w:hAnsi="宋体"/>
                <w:szCs w:val="21"/>
              </w:rPr>
              <w:t>5</w:t>
            </w:r>
            <w:r>
              <w:rPr>
                <w:rFonts w:hint="eastAsia" w:ascii="宋体" w:hAnsi="宋体"/>
                <w:szCs w:val="21"/>
              </w:rPr>
              <w:t>个工作日内组织到货，其供货价格由采购人与投标人结合广西区内其他不少于3家的二甲及以上医院采购价格商定合理的单价，并按采购人实际该药品品种采购量与双方确定的单价进行结算。</w:t>
            </w:r>
          </w:p>
          <w:p>
            <w:pPr>
              <w:spacing w:line="360" w:lineRule="auto"/>
              <w:ind w:firstLine="420" w:firstLineChars="200"/>
              <w:jc w:val="left"/>
              <w:rPr>
                <w:rFonts w:ascii="宋体" w:hAnsi="宋体"/>
                <w:szCs w:val="21"/>
              </w:rPr>
            </w:pPr>
            <w:r>
              <w:rPr>
                <w:rFonts w:hint="eastAsia" w:ascii="宋体" w:hAnsi="宋体"/>
                <w:szCs w:val="21"/>
              </w:rPr>
              <w:t>（5）采购人根据中标后确定的操作流程对投标人的工作进行定期检查，对管理不规范的问题下达整改意见书，要求投标人限期整改。</w:t>
            </w:r>
          </w:p>
          <w:p>
            <w:pPr>
              <w:spacing w:line="360" w:lineRule="auto"/>
              <w:ind w:firstLine="420" w:firstLineChars="200"/>
              <w:jc w:val="left"/>
              <w:rPr>
                <w:rFonts w:hint="eastAsia" w:ascii="宋体" w:hAnsi="宋体"/>
                <w:szCs w:val="21"/>
              </w:rPr>
            </w:pPr>
            <w:r>
              <w:rPr>
                <w:rFonts w:hint="eastAsia" w:ascii="宋体" w:hAnsi="宋体"/>
                <w:szCs w:val="21"/>
              </w:rPr>
              <w:t>（6）合同到期后，投标人须按采购人要求进行工作交接，保障采购人单位顺利运转。</w:t>
            </w:r>
          </w:p>
          <w:p>
            <w:pPr>
              <w:spacing w:line="360" w:lineRule="auto"/>
              <w:ind w:firstLine="420" w:firstLineChars="200"/>
              <w:jc w:val="left"/>
              <w:rPr>
                <w:rFonts w:ascii="宋体" w:hAnsi="宋体"/>
                <w:szCs w:val="21"/>
              </w:rPr>
            </w:pPr>
            <w:r>
              <w:rPr>
                <w:rFonts w:hint="eastAsia" w:ascii="宋体" w:hAnsi="宋体"/>
                <w:szCs w:val="21"/>
              </w:rPr>
              <w:t>7、252</w:t>
            </w:r>
            <w:r>
              <w:rPr>
                <w:rFonts w:ascii="宋体" w:hAnsi="宋体"/>
                <w:szCs w:val="21"/>
              </w:rPr>
              <w:t>种</w:t>
            </w:r>
            <w:r>
              <w:rPr>
                <w:rFonts w:hint="eastAsia" w:ascii="宋体" w:hAnsi="宋体"/>
                <w:szCs w:val="21"/>
              </w:rPr>
              <w:t>中药配方颗粒、最高上限单价及其他要求详见附件一</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2"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b/>
                <w:bCs/>
                <w:szCs w:val="21"/>
              </w:rPr>
            </w:pPr>
            <w:r>
              <w:rPr>
                <w:rFonts w:hint="eastAsia" w:ascii="宋体" w:hAnsi="宋体"/>
                <w:szCs w:val="21"/>
              </w:rPr>
              <w:t>▲</w:t>
            </w:r>
            <w:r>
              <w:rPr>
                <w:rFonts w:hint="eastAsia" w:ascii="宋体" w:hAnsi="宋体"/>
                <w:b/>
                <w:szCs w:val="21"/>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cs="宋体"/>
                <w:szCs w:val="21"/>
              </w:rPr>
              <w:t>投标报价要求</w:t>
            </w:r>
          </w:p>
        </w:tc>
        <w:tc>
          <w:tcPr>
            <w:tcW w:w="747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szCs w:val="21"/>
              </w:rPr>
            </w:pPr>
            <w:r>
              <w:rPr>
                <w:rFonts w:hint="eastAsia" w:ascii="宋体" w:hAnsi="宋体"/>
                <w:szCs w:val="21"/>
              </w:rPr>
              <w:t>报价包括但不限于：</w:t>
            </w:r>
          </w:p>
          <w:p>
            <w:pPr>
              <w:spacing w:line="360" w:lineRule="auto"/>
              <w:jc w:val="left"/>
              <w:rPr>
                <w:rFonts w:ascii="宋体" w:hAnsi="宋体"/>
                <w:szCs w:val="21"/>
              </w:rPr>
            </w:pPr>
            <w:r>
              <w:rPr>
                <w:rFonts w:ascii="宋体" w:hAnsi="宋体"/>
                <w:szCs w:val="21"/>
              </w:rPr>
              <w:t>1.</w:t>
            </w:r>
            <w:r>
              <w:rPr>
                <w:rFonts w:hint="eastAsia" w:ascii="宋体" w:hAnsi="宋体"/>
                <w:szCs w:val="21"/>
              </w:rPr>
              <w:t>药品、包装、检测、运输、保险、验收、售后服务、人员费用、调剂设备的投入、配发服务、中药房的设计及装修、培训、税金以及所有的不定因素的风险等全部相关费用。</w:t>
            </w:r>
          </w:p>
          <w:p>
            <w:pPr>
              <w:spacing w:line="360" w:lineRule="auto"/>
              <w:jc w:val="left"/>
              <w:rPr>
                <w:rFonts w:ascii="宋体" w:hAnsi="宋体"/>
                <w:szCs w:val="21"/>
              </w:rPr>
            </w:pPr>
            <w:r>
              <w:rPr>
                <w:rFonts w:ascii="宋体" w:hAnsi="宋体"/>
                <w:szCs w:val="21"/>
              </w:rPr>
              <w:t>2.</w:t>
            </w:r>
            <w:r>
              <w:rPr>
                <w:rFonts w:hint="eastAsia" w:ascii="宋体" w:hAnsi="宋体"/>
                <w:szCs w:val="21"/>
              </w:rPr>
              <w:t>履约验收所产生的一切费用。</w:t>
            </w:r>
          </w:p>
          <w:p>
            <w:pPr>
              <w:spacing w:line="360" w:lineRule="auto"/>
              <w:jc w:val="left"/>
              <w:rPr>
                <w:rFonts w:hint="eastAsia" w:ascii="宋体" w:hAnsi="宋体"/>
                <w:szCs w:val="21"/>
              </w:rPr>
            </w:pPr>
            <w:r>
              <w:rPr>
                <w:rFonts w:ascii="宋体" w:hAnsi="宋体"/>
                <w:szCs w:val="21"/>
              </w:rPr>
              <w:t>3.</w:t>
            </w:r>
            <w:r>
              <w:rPr>
                <w:rFonts w:hint="eastAsia" w:ascii="宋体" w:hAnsi="宋体"/>
                <w:szCs w:val="21"/>
              </w:rPr>
              <w:t>招标代理服务费用。</w:t>
            </w:r>
          </w:p>
          <w:p>
            <w:pPr>
              <w:spacing w:line="360" w:lineRule="auto"/>
              <w:jc w:val="left"/>
              <w:rPr>
                <w:rFonts w:hint="eastAsia" w:ascii="宋体" w:hAnsi="宋体"/>
                <w:szCs w:val="21"/>
              </w:rPr>
            </w:pPr>
            <w:r>
              <w:rPr>
                <w:rFonts w:hint="eastAsia" w:ascii="宋体" w:hAnsi="宋体"/>
                <w:szCs w:val="21"/>
              </w:rPr>
              <w:t>4.</w:t>
            </w:r>
            <w:r>
              <w:rPr>
                <w:rFonts w:ascii="宋体" w:hAnsi="宋体"/>
                <w:szCs w:val="21"/>
              </w:rPr>
              <w:t xml:space="preserve"> 投标人应当充分考虑市场价格变动和自身实际情况进行报价</w:t>
            </w:r>
            <w:r>
              <w:rPr>
                <w:rFonts w:hint="eastAsia" w:ascii="宋体" w:hAnsi="宋体"/>
                <w:szCs w:val="21"/>
              </w:rPr>
              <w:t>，合同实施过程中，采购人将不另外支付没有列入本项目投标报价所包含的费用。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cs="宋体"/>
                <w:szCs w:val="21"/>
              </w:rPr>
              <w:t>服务期限和地点</w:t>
            </w:r>
          </w:p>
        </w:tc>
        <w:tc>
          <w:tcPr>
            <w:tcW w:w="747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Cs w:val="21"/>
              </w:rPr>
            </w:pPr>
            <w:r>
              <w:rPr>
                <w:rFonts w:hint="eastAsia" w:ascii="宋体" w:hAnsi="宋体" w:cs="宋体"/>
                <w:szCs w:val="21"/>
              </w:rPr>
              <w:t>1.服务期限：</w:t>
            </w:r>
            <w:r>
              <w:rPr>
                <w:rFonts w:hint="eastAsia" w:ascii="宋体" w:hAnsi="宋体"/>
                <w:szCs w:val="21"/>
              </w:rPr>
              <w:t>自合同签订之日起</w:t>
            </w:r>
            <w:r>
              <w:rPr>
                <w:rFonts w:ascii="宋体" w:hAnsi="宋体"/>
                <w:szCs w:val="21"/>
              </w:rPr>
              <w:t>3</w:t>
            </w:r>
            <w:r>
              <w:rPr>
                <w:rFonts w:hint="eastAsia" w:ascii="宋体" w:hAnsi="宋体"/>
                <w:szCs w:val="21"/>
              </w:rPr>
              <w:t>年。第一年合同期限内价格不允许上涨。合同一年一签，年度考核合格后签订下一年合同。采购人对中标人从供货情况、中药配方颗粒质量、伴随服务、增值服务等方面进行考核评分，若低于</w:t>
            </w:r>
            <w:r>
              <w:rPr>
                <w:rFonts w:ascii="宋体" w:hAnsi="宋体"/>
                <w:szCs w:val="21"/>
              </w:rPr>
              <w:t>80</w:t>
            </w:r>
            <w:r>
              <w:rPr>
                <w:rFonts w:hint="eastAsia" w:ascii="宋体" w:hAnsi="宋体"/>
                <w:szCs w:val="21"/>
              </w:rPr>
              <w:t>分，采购人有权依法终止合同；每个考核周期为6个月，即考核期分别为1月1日至6月30日、7月1日至12月31日，总分100分，采用扣分/加分制，具体考核要求见附件二《配方颗粒供应商考核管理办法（试行）》。</w:t>
            </w:r>
          </w:p>
          <w:p>
            <w:pPr>
              <w:tabs>
                <w:tab w:val="left" w:pos="180"/>
                <w:tab w:val="left" w:pos="1620"/>
              </w:tabs>
              <w:spacing w:line="360" w:lineRule="auto"/>
              <w:jc w:val="left"/>
              <w:rPr>
                <w:rFonts w:ascii="宋体" w:hAnsi="宋体" w:cs="宋体"/>
                <w:szCs w:val="21"/>
              </w:rPr>
            </w:pPr>
            <w:r>
              <w:rPr>
                <w:rFonts w:hint="eastAsia" w:ascii="宋体" w:hAnsi="宋体" w:cs="宋体"/>
                <w:szCs w:val="21"/>
              </w:rPr>
              <w:t>2.服务地点：防城港市中医医院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szCs w:val="21"/>
              </w:rPr>
              <w:t>合同签订时间</w:t>
            </w:r>
          </w:p>
        </w:tc>
        <w:tc>
          <w:tcPr>
            <w:tcW w:w="7474"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180"/>
                <w:tab w:val="left" w:pos="1620"/>
              </w:tabs>
              <w:spacing w:line="400" w:lineRule="exact"/>
              <w:jc w:val="left"/>
              <w:rPr>
                <w:rFonts w:hint="eastAsia" w:ascii="宋体" w:hAnsi="宋体"/>
                <w:szCs w:val="21"/>
              </w:rPr>
            </w:pPr>
            <w:r>
              <w:rPr>
                <w:rFonts w:hint="eastAsia" w:ascii="宋体" w:hAnsi="宋体"/>
                <w:szCs w:val="21"/>
              </w:rPr>
              <w:t>自中标通知书发出之日起</w:t>
            </w:r>
            <w:r>
              <w:rPr>
                <w:rFonts w:ascii="宋体" w:hAnsi="宋体"/>
                <w:szCs w:val="21"/>
              </w:rPr>
              <w:t>25</w:t>
            </w:r>
            <w:r>
              <w:rPr>
                <w:rFonts w:hint="eastAsia" w:ascii="宋体" w:hAnsi="宋体"/>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szCs w:val="21"/>
              </w:rPr>
              <w:t>付款条件</w:t>
            </w:r>
          </w:p>
        </w:tc>
        <w:tc>
          <w:tcPr>
            <w:tcW w:w="747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szCs w:val="21"/>
              </w:rPr>
            </w:pPr>
            <w:r>
              <w:rPr>
                <w:rFonts w:hint="eastAsia"/>
                <w:szCs w:val="21"/>
              </w:rPr>
              <w:t>合同履行期间，采购人分批次采购中药配方颗粒，每批次中药配方颗粒交货验收合格后，中标供应商开具等额有效的增值税普通发票，采购人在收到发票之日起且具备支付条件后10个工作日内支付该批次的货款。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szCs w:val="21"/>
              </w:rPr>
              <w:t>售后服务要求</w:t>
            </w:r>
          </w:p>
        </w:tc>
        <w:tc>
          <w:tcPr>
            <w:tcW w:w="747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r>
              <w:rPr>
                <w:szCs w:val="21"/>
              </w:rPr>
              <w:t>1</w:t>
            </w:r>
            <w:r>
              <w:rPr>
                <w:rFonts w:hint="eastAsia"/>
                <w:szCs w:val="21"/>
              </w:rPr>
              <w:t>、由中标人送货上门，由此产生的一切费用由中标人负责，报价时投标人应当考虑相关费用；</w:t>
            </w:r>
          </w:p>
          <w:p>
            <w:pPr>
              <w:spacing w:line="360" w:lineRule="auto"/>
              <w:rPr>
                <w:szCs w:val="21"/>
              </w:rPr>
            </w:pPr>
            <w:r>
              <w:rPr>
                <w:szCs w:val="21"/>
              </w:rPr>
              <w:t>2</w:t>
            </w:r>
            <w:r>
              <w:rPr>
                <w:rFonts w:hint="eastAsia"/>
                <w:szCs w:val="21"/>
              </w:rPr>
              <w:t>、突发事件或紧急药品及使用科室应急药品随叫随送，或按采购人时间要求完成，超过时间采购单位有权按合同违约处理（特殊情况另议）。</w:t>
            </w:r>
          </w:p>
          <w:p>
            <w:pPr>
              <w:spacing w:line="360" w:lineRule="auto"/>
              <w:rPr>
                <w:szCs w:val="21"/>
              </w:rPr>
            </w:pPr>
            <w:r>
              <w:rPr>
                <w:szCs w:val="21"/>
              </w:rPr>
              <w:t>3</w:t>
            </w:r>
            <w:r>
              <w:rPr>
                <w:rFonts w:hint="eastAsia"/>
                <w:szCs w:val="21"/>
              </w:rPr>
              <w:t>、中标人所提供的中药配方颗粒原料在发运前对其进行满足运输距离、防潮、防震和防破损装卸等要求包装，以保证货物安全运输；并按与采购人确定的运输方式将货物运送至采购人指定地点，相关费用由中标人承担。</w:t>
            </w:r>
          </w:p>
          <w:p>
            <w:pPr>
              <w:spacing w:line="360" w:lineRule="auto"/>
              <w:rPr>
                <w:szCs w:val="21"/>
              </w:rPr>
            </w:pPr>
            <w:r>
              <w:rPr>
                <w:szCs w:val="21"/>
              </w:rPr>
              <w:t>4</w:t>
            </w:r>
            <w:r>
              <w:rPr>
                <w:rFonts w:hint="eastAsia"/>
                <w:szCs w:val="21"/>
              </w:rPr>
              <w:t>、提供质量合格的中药配方颗粒，并按供货批次提供中药配方颗粒的质量检验报告书。</w:t>
            </w:r>
          </w:p>
          <w:p>
            <w:pPr>
              <w:spacing w:line="360" w:lineRule="auto"/>
              <w:rPr>
                <w:szCs w:val="21"/>
              </w:rPr>
            </w:pPr>
            <w:r>
              <w:rPr>
                <w:szCs w:val="21"/>
              </w:rPr>
              <w:t>5</w:t>
            </w:r>
            <w:r>
              <w:rPr>
                <w:rFonts w:hint="eastAsia"/>
                <w:szCs w:val="21"/>
              </w:rPr>
              <w:t>、中标人应根据采购人订单要求及时将货物送至采购人指定收货地点；若采购人订单所列品种中标人暂不能提供，中标人应在接单后</w:t>
            </w:r>
            <w:r>
              <w:rPr>
                <w:szCs w:val="21"/>
              </w:rPr>
              <w:t>24</w:t>
            </w:r>
            <w:r>
              <w:rPr>
                <w:rFonts w:hint="eastAsia"/>
                <w:szCs w:val="21"/>
              </w:rPr>
              <w:t>小时内及时通知采购人。</w:t>
            </w:r>
          </w:p>
          <w:p>
            <w:pPr>
              <w:spacing w:line="360" w:lineRule="auto"/>
              <w:rPr>
                <w:szCs w:val="21"/>
              </w:rPr>
            </w:pPr>
            <w:r>
              <w:rPr>
                <w:szCs w:val="21"/>
              </w:rPr>
              <w:t>6</w:t>
            </w:r>
            <w:r>
              <w:rPr>
                <w:rFonts w:hint="eastAsia"/>
                <w:szCs w:val="21"/>
              </w:rPr>
              <w:t>、中药配方颗粒品种一旦确定，不得无故不予配送，不配送及退货年累计三次以上视为合同违约，采购人有权依法解除合同并要求中标人赔偿由此造成的所有损失。</w:t>
            </w:r>
          </w:p>
          <w:p>
            <w:pPr>
              <w:spacing w:line="360" w:lineRule="auto"/>
              <w:rPr>
                <w:szCs w:val="21"/>
              </w:rPr>
            </w:pPr>
            <w:r>
              <w:rPr>
                <w:szCs w:val="21"/>
              </w:rPr>
              <w:t>7</w:t>
            </w:r>
            <w:r>
              <w:rPr>
                <w:rFonts w:hint="eastAsia"/>
                <w:szCs w:val="21"/>
              </w:rPr>
              <w:t>、中药配方颗粒在交付采购人前发生的风险均由中标人负责。</w:t>
            </w:r>
          </w:p>
          <w:p>
            <w:pPr>
              <w:spacing w:line="360" w:lineRule="auto"/>
              <w:rPr>
                <w:szCs w:val="21"/>
              </w:rPr>
            </w:pPr>
            <w:r>
              <w:rPr>
                <w:szCs w:val="21"/>
              </w:rPr>
              <w:t>8</w:t>
            </w:r>
            <w:r>
              <w:rPr>
                <w:rFonts w:hint="eastAsia"/>
                <w:szCs w:val="21"/>
              </w:rPr>
              <w:t>、在验收过程中发现中标人有违约问题的，采购人可暂缓资金结算，待违约问题解决后，方可办理资金结算事宜。</w:t>
            </w:r>
          </w:p>
          <w:p>
            <w:pPr>
              <w:spacing w:line="360" w:lineRule="auto"/>
              <w:rPr>
                <w:szCs w:val="21"/>
              </w:rPr>
            </w:pPr>
            <w:r>
              <w:rPr>
                <w:szCs w:val="21"/>
              </w:rPr>
              <w:t>9</w:t>
            </w:r>
            <w:r>
              <w:rPr>
                <w:rFonts w:hint="eastAsia"/>
                <w:szCs w:val="21"/>
              </w:rPr>
              <w:t>、接受采购人的临时抽检，检验样品由双方现场包装密封并签字，送有资质的相关部门检测，检测相关费用由中标人承担。</w:t>
            </w:r>
          </w:p>
          <w:p>
            <w:pPr>
              <w:spacing w:line="360" w:lineRule="auto"/>
              <w:rPr>
                <w:szCs w:val="21"/>
              </w:rPr>
            </w:pPr>
            <w:r>
              <w:rPr>
                <w:szCs w:val="21"/>
              </w:rPr>
              <w:t>10</w:t>
            </w:r>
            <w:r>
              <w:rPr>
                <w:rFonts w:hint="eastAsia"/>
                <w:szCs w:val="21"/>
              </w:rPr>
              <w:t>、临近有效期药品中标人应无条件进行调换。年终盘点损耗由中标人自行承担。</w:t>
            </w:r>
          </w:p>
          <w:p>
            <w:pPr>
              <w:spacing w:line="360" w:lineRule="auto"/>
              <w:rPr>
                <w:szCs w:val="21"/>
              </w:rPr>
            </w:pPr>
            <w:r>
              <w:rPr>
                <w:szCs w:val="21"/>
              </w:rPr>
              <w:t>11</w:t>
            </w:r>
            <w:r>
              <w:rPr>
                <w:rFonts w:hint="eastAsia"/>
                <w:szCs w:val="21"/>
              </w:rPr>
              <w:t>、中标人实际配送的货物必须为合格品，不能以次充好或提供假冒伪劣产品，否则采购人有权依法终止与中标人的供货协议并追究相关法律责任。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60" w:lineRule="auto"/>
              <w:rPr>
                <w:szCs w:val="21"/>
              </w:rPr>
            </w:pPr>
            <w:r>
              <w:rPr>
                <w:rFonts w:hint="eastAsia"/>
                <w:szCs w:val="21"/>
              </w:rPr>
              <w:t>中药房的设计、装修方案</w:t>
            </w:r>
          </w:p>
        </w:tc>
        <w:tc>
          <w:tcPr>
            <w:tcW w:w="747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60" w:lineRule="auto"/>
              <w:rPr>
                <w:szCs w:val="21"/>
              </w:rPr>
            </w:pPr>
            <w:r>
              <w:rPr>
                <w:rFonts w:hint="eastAsia"/>
                <w:szCs w:val="21"/>
              </w:rPr>
              <w:t>投标人可根据自身以往项目服务经验为本项目提供中药房的设计、装修方案供参考及评审，如若中标，须在中标方案基础上结合采购人实地情况适当调整中药房的设计、装修方案，调整后的方案须经过采购人同意后方可实施装修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b/>
                <w:szCs w:val="21"/>
              </w:rPr>
            </w:pPr>
            <w:r>
              <w:rPr>
                <w:rFonts w:hint="eastAsia" w:ascii="宋体" w:hAnsi="宋体"/>
                <w:b/>
                <w:szCs w:val="21"/>
              </w:rPr>
              <w:t>二、与实现项目目标相关的其他要求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b/>
                <w:szCs w:val="21"/>
              </w:rPr>
            </w:pPr>
            <w:r>
              <w:rPr>
                <w:rFonts w:hint="eastAsia" w:ascii="宋体" w:hAnsi="宋体"/>
                <w:b/>
                <w:szCs w:val="21"/>
              </w:rPr>
              <w:t>（一）投标人的履约能力要求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管理体系</w:t>
            </w:r>
          </w:p>
        </w:tc>
        <w:tc>
          <w:tcPr>
            <w:tcW w:w="747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详见第四章 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业绩要求</w:t>
            </w:r>
          </w:p>
        </w:tc>
        <w:tc>
          <w:tcPr>
            <w:tcW w:w="747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详见第四章 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其他要求</w:t>
            </w:r>
          </w:p>
        </w:tc>
        <w:tc>
          <w:tcPr>
            <w:tcW w:w="747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详见第四章 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2"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400" w:lineRule="exact"/>
              <w:rPr>
                <w:rFonts w:ascii="宋体" w:hAnsi="宋体" w:cs="宋体"/>
                <w:bCs/>
                <w:szCs w:val="21"/>
              </w:rPr>
            </w:pPr>
            <w:r>
              <w:rPr>
                <w:rFonts w:hint="eastAsia" w:ascii="宋体" w:hAnsi="宋体"/>
                <w:b/>
                <w:szCs w:val="21"/>
              </w:rPr>
              <w:t>（二）验收标准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2"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180"/>
                <w:tab w:val="left" w:pos="1620"/>
              </w:tabs>
              <w:spacing w:line="400" w:lineRule="exact"/>
              <w:jc w:val="left"/>
              <w:rPr>
                <w:rFonts w:ascii="宋体" w:hAnsi="宋体" w:cs="宋体"/>
                <w:bCs/>
                <w:szCs w:val="21"/>
              </w:rPr>
            </w:pPr>
            <w:r>
              <w:rPr>
                <w:rFonts w:ascii="宋体" w:hAnsi="宋体" w:cs="宋体"/>
                <w:bCs/>
                <w:szCs w:val="21"/>
              </w:rPr>
              <w:t>1.</w:t>
            </w:r>
            <w:r>
              <w:rPr>
                <w:rFonts w:hint="eastAsia" w:ascii="宋体" w:hAnsi="宋体" w:cs="宋体"/>
                <w:bCs/>
                <w:szCs w:val="21"/>
              </w:rPr>
              <w:t>按照招标文件要求开展验收。</w:t>
            </w:r>
          </w:p>
          <w:p>
            <w:pPr>
              <w:tabs>
                <w:tab w:val="left" w:pos="180"/>
                <w:tab w:val="left" w:pos="1620"/>
              </w:tabs>
              <w:spacing w:line="400" w:lineRule="exact"/>
              <w:jc w:val="left"/>
              <w:rPr>
                <w:rFonts w:hint="eastAsia" w:ascii="宋体" w:hAnsi="宋体"/>
                <w:szCs w:val="21"/>
              </w:rPr>
            </w:pPr>
            <w:r>
              <w:rPr>
                <w:rFonts w:ascii="宋体" w:hAnsi="宋体" w:cs="宋体"/>
                <w:bCs/>
                <w:szCs w:val="21"/>
              </w:rPr>
              <w:t>2.</w:t>
            </w:r>
            <w:r>
              <w:rPr>
                <w:rFonts w:hint="eastAsia" w:ascii="宋体" w:hAnsi="宋体" w:cs="宋体"/>
                <w:bCs/>
                <w:szCs w:val="21"/>
              </w:rPr>
              <w:t>其他未尽事项按照《关于印发广西壮族自治区政府采购项目履约验收管理办法的通知》</w:t>
            </w:r>
            <w:r>
              <w:rPr>
                <w:rFonts w:ascii="宋体" w:hAnsi="宋体" w:cs="宋体"/>
                <w:bCs/>
                <w:szCs w:val="21"/>
              </w:rPr>
              <w:t>[</w:t>
            </w:r>
            <w:r>
              <w:rPr>
                <w:rFonts w:hint="eastAsia" w:ascii="宋体" w:hAnsi="宋体" w:cs="宋体"/>
                <w:bCs/>
                <w:szCs w:val="21"/>
              </w:rPr>
              <w:t>桂财采〔</w:t>
            </w:r>
            <w:r>
              <w:rPr>
                <w:rFonts w:ascii="宋体" w:hAnsi="宋体" w:cs="宋体"/>
                <w:bCs/>
                <w:szCs w:val="21"/>
              </w:rPr>
              <w:t>2015</w:t>
            </w:r>
            <w:r>
              <w:rPr>
                <w:rFonts w:hint="eastAsia" w:ascii="宋体" w:hAnsi="宋体" w:cs="宋体"/>
                <w:bCs/>
                <w:szCs w:val="21"/>
              </w:rPr>
              <w:t>〕</w:t>
            </w:r>
            <w:r>
              <w:rPr>
                <w:rFonts w:ascii="宋体" w:hAnsi="宋体" w:cs="宋体"/>
                <w:bCs/>
                <w:szCs w:val="21"/>
              </w:rPr>
              <w:t>22</w:t>
            </w:r>
            <w:r>
              <w:rPr>
                <w:rFonts w:hint="eastAsia" w:ascii="宋体" w:hAnsi="宋体" w:cs="宋体"/>
                <w:bCs/>
                <w:szCs w:val="21"/>
              </w:rPr>
              <w:t>号</w:t>
            </w:r>
            <w:r>
              <w:rPr>
                <w:rFonts w:ascii="宋体" w:hAnsi="宋体" w:cs="宋体"/>
                <w:bCs/>
                <w:szCs w:val="21"/>
              </w:rPr>
              <w:t>]</w:t>
            </w:r>
            <w:r>
              <w:rPr>
                <w:rFonts w:hint="eastAsia" w:ascii="宋体" w:hAnsi="宋体" w:cs="宋体"/>
                <w:bCs/>
                <w:szCs w:val="21"/>
              </w:rPr>
              <w:t>以及《财政部关于进一步加强政府采购需求和履约验收管理的指导意见》</w:t>
            </w:r>
            <w:r>
              <w:rPr>
                <w:rFonts w:ascii="宋体" w:hAnsi="宋体" w:cs="宋体"/>
                <w:bCs/>
                <w:szCs w:val="21"/>
              </w:rPr>
              <w:t>[</w:t>
            </w:r>
            <w:r>
              <w:rPr>
                <w:rFonts w:hint="eastAsia" w:ascii="宋体" w:hAnsi="宋体" w:cs="宋体"/>
                <w:bCs/>
                <w:szCs w:val="21"/>
              </w:rPr>
              <w:t>财库〔</w:t>
            </w:r>
            <w:r>
              <w:rPr>
                <w:rFonts w:ascii="宋体" w:hAnsi="宋体" w:cs="宋体"/>
                <w:bCs/>
                <w:szCs w:val="21"/>
              </w:rPr>
              <w:t>2016</w:t>
            </w:r>
            <w:r>
              <w:rPr>
                <w:rFonts w:hint="eastAsia" w:ascii="宋体" w:hAnsi="宋体" w:cs="宋体"/>
                <w:bCs/>
                <w:szCs w:val="21"/>
              </w:rPr>
              <w:t>〕</w:t>
            </w:r>
            <w:r>
              <w:rPr>
                <w:rFonts w:ascii="宋体" w:hAnsi="宋体" w:cs="宋体"/>
                <w:bCs/>
                <w:szCs w:val="21"/>
              </w:rPr>
              <w:t>205</w:t>
            </w:r>
            <w:r>
              <w:rPr>
                <w:rFonts w:hint="eastAsia" w:ascii="宋体" w:hAnsi="宋体" w:cs="宋体"/>
                <w:bCs/>
                <w:szCs w:val="21"/>
              </w:rPr>
              <w:t>号</w:t>
            </w:r>
            <w:r>
              <w:rPr>
                <w:rFonts w:ascii="宋体" w:hAnsi="宋体" w:cs="宋体"/>
                <w:bCs/>
                <w:szCs w:val="21"/>
              </w:rPr>
              <w:t>]</w:t>
            </w:r>
            <w:r>
              <w:rPr>
                <w:rFonts w:hint="eastAsia" w:ascii="宋体" w:hAnsi="宋体" w:cs="宋体"/>
                <w:bCs/>
                <w:szCs w:val="21"/>
              </w:rPr>
              <w:t>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2"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b/>
                <w:szCs w:val="21"/>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宋体" w:hAnsi="宋体"/>
                <w:szCs w:val="21"/>
              </w:rPr>
            </w:pPr>
            <w:r>
              <w:rPr>
                <w:rFonts w:hint="eastAsia" w:ascii="宋体" w:hAnsi="宋体"/>
                <w:szCs w:val="21"/>
              </w:rPr>
              <w:t>1、投标人</w:t>
            </w:r>
            <w:r>
              <w:rPr>
                <w:rFonts w:hint="eastAsia"/>
                <w:szCs w:val="21"/>
              </w:rPr>
              <w:t>供应的中药配方颗粒原料产地须符合国家相关规定，并能对中药配方颗粒原材料产地进行溯源。投标人进行合同履行时可优先考虑符合国家相关规定的</w:t>
            </w:r>
            <w:r>
              <w:rPr>
                <w:rFonts w:hint="eastAsia" w:ascii="宋体" w:hAnsi="宋体"/>
                <w:szCs w:val="21"/>
              </w:rPr>
              <w:t>自有的或合作的中药材种植基地。</w:t>
            </w:r>
          </w:p>
          <w:p>
            <w:pPr>
              <w:adjustRightInd w:val="0"/>
              <w:snapToGrid w:val="0"/>
              <w:spacing w:line="400" w:lineRule="exact"/>
              <w:rPr>
                <w:rFonts w:ascii="宋体" w:hAnsi="宋体"/>
                <w:bCs/>
                <w:szCs w:val="21"/>
              </w:rPr>
            </w:pPr>
            <w:r>
              <w:rPr>
                <w:rFonts w:hint="eastAsia" w:ascii="宋体" w:hAnsi="宋体"/>
                <w:szCs w:val="21"/>
              </w:rPr>
              <w:t>2</w:t>
            </w:r>
            <w:r>
              <w:rPr>
                <w:rFonts w:ascii="宋体" w:hAnsi="宋体"/>
                <w:szCs w:val="21"/>
              </w:rPr>
              <w:t>.</w:t>
            </w:r>
            <w:r>
              <w:rPr>
                <w:rFonts w:hint="eastAsia" w:ascii="宋体" w:hAnsi="宋体"/>
                <w:szCs w:val="21"/>
              </w:rPr>
              <w:t>投标人须根据项目需求及评分标准编制编制技术内容用于评审，</w:t>
            </w:r>
            <w:r>
              <w:rPr>
                <w:rFonts w:hint="eastAsia" w:ascii="宋体" w:hAnsi="宋体"/>
                <w:bCs/>
                <w:szCs w:val="21"/>
              </w:rPr>
              <w:t>内容可以包括但不限于：（1）质量控制和干燥工艺；（2）售后及增值服务；（3）中药房设计、装修及配套服务；（4）配送及仓储能力；</w:t>
            </w:r>
            <w:r>
              <w:rPr>
                <w:rFonts w:hint="eastAsia" w:ascii="宋体" w:hAnsi="宋体"/>
                <w:szCs w:val="21"/>
              </w:rPr>
              <w:t xml:space="preserve"> </w:t>
            </w:r>
          </w:p>
          <w:p>
            <w:pPr>
              <w:adjustRightInd w:val="0"/>
              <w:snapToGrid w:val="0"/>
              <w:spacing w:line="400" w:lineRule="exact"/>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投标人须对采购单位人员进行系统操作、维护、使用培训，以满足日常工作要求。</w:t>
            </w:r>
          </w:p>
          <w:p>
            <w:pPr>
              <w:adjustRightInd w:val="0"/>
              <w:snapToGrid w:val="0"/>
              <w:spacing w:line="400" w:lineRule="exact"/>
              <w:rPr>
                <w:rFonts w:ascii="宋体" w:hAnsi="宋体"/>
                <w:szCs w:val="21"/>
              </w:rPr>
            </w:pPr>
            <w:r>
              <w:rPr>
                <w:rFonts w:hint="eastAsia" w:ascii="宋体" w:hAnsi="宋体"/>
                <w:szCs w:val="21"/>
              </w:rPr>
              <w:t>4、以上技术需求及商务要求中的任何意向内容负偏离的，</w:t>
            </w:r>
            <w:r>
              <w:rPr>
                <w:rFonts w:hint="eastAsia" w:ascii="宋体" w:hAnsi="宋体"/>
                <w:b/>
                <w:sz w:val="24"/>
              </w:rPr>
              <w:t>均按无效投标处理。</w:t>
            </w:r>
          </w:p>
        </w:tc>
      </w:tr>
    </w:tbl>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bookmarkEnd w:id="1"/>
    <w:bookmarkEnd w:id="2"/>
    <w:p>
      <w:pPr>
        <w:snapToGrid w:val="0"/>
        <w:jc w:val="center"/>
        <w:rPr>
          <w:rFonts w:hint="eastAsia" w:ascii="宋体" w:hAnsi="宋体"/>
          <w:sz w:val="30"/>
          <w:szCs w:val="30"/>
        </w:rPr>
      </w:pPr>
    </w:p>
    <w:p>
      <w:pPr>
        <w:widowControl/>
        <w:jc w:val="left"/>
        <w:rPr>
          <w:rFonts w:ascii="宋体" w:hAnsi="宋体" w:cs="宋体"/>
          <w:b/>
          <w:bCs/>
          <w:sz w:val="20"/>
          <w:szCs w:val="20"/>
        </w:rPr>
      </w:pPr>
      <w:r>
        <w:rPr>
          <w:rFonts w:hint="eastAsia" w:ascii="宋体" w:hAnsi="宋体" w:cs="宋体"/>
          <w:b/>
          <w:sz w:val="20"/>
          <w:szCs w:val="20"/>
        </w:rPr>
        <w:t>附件一：</w:t>
      </w:r>
      <w:r>
        <w:rPr>
          <w:rFonts w:hint="eastAsia" w:ascii="宋体" w:hAnsi="宋体" w:cs="宋体"/>
          <w:b/>
          <w:bCs/>
          <w:sz w:val="20"/>
          <w:szCs w:val="20"/>
        </w:rPr>
        <w:t>中药配方颗粒采购预算清单</w:t>
      </w:r>
    </w:p>
    <w:tbl>
      <w:tblPr>
        <w:tblStyle w:val="5"/>
        <w:tblW w:w="8662" w:type="dxa"/>
        <w:jc w:val="center"/>
        <w:tblLayout w:type="autofit"/>
        <w:tblCellMar>
          <w:top w:w="0" w:type="dxa"/>
          <w:left w:w="108" w:type="dxa"/>
          <w:bottom w:w="0" w:type="dxa"/>
          <w:right w:w="108" w:type="dxa"/>
        </w:tblCellMar>
      </w:tblPr>
      <w:tblGrid>
        <w:gridCol w:w="963"/>
        <w:gridCol w:w="2029"/>
        <w:gridCol w:w="1134"/>
        <w:gridCol w:w="1418"/>
        <w:gridCol w:w="1559"/>
        <w:gridCol w:w="1559"/>
      </w:tblGrid>
      <w:tr>
        <w:tblPrEx>
          <w:tblCellMar>
            <w:top w:w="0" w:type="dxa"/>
            <w:left w:w="108" w:type="dxa"/>
            <w:bottom w:w="0" w:type="dxa"/>
            <w:right w:w="108" w:type="dxa"/>
          </w:tblCellMar>
        </w:tblPrEx>
        <w:trPr>
          <w:trHeight w:val="1141"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序号</w:t>
            </w:r>
          </w:p>
        </w:tc>
        <w:tc>
          <w:tcPr>
            <w:tcW w:w="202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药品名称</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产品属性</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每1克颗粒相当于饮片量（g）</w:t>
            </w:r>
          </w:p>
        </w:tc>
        <w:tc>
          <w:tcPr>
            <w:tcW w:w="1559"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预算年使用量</w:t>
            </w:r>
            <w:r>
              <w:rPr>
                <w:rFonts w:hint="eastAsia" w:ascii="宋体" w:hAnsi="宋体" w:cs="宋体"/>
                <w:kern w:val="0"/>
                <w:szCs w:val="21"/>
              </w:rPr>
              <w:br w:type="textWrapping"/>
            </w:r>
            <w:r>
              <w:rPr>
                <w:rFonts w:hint="eastAsia" w:ascii="宋体" w:hAnsi="宋体" w:cs="宋体"/>
                <w:kern w:val="0"/>
                <w:szCs w:val="21"/>
              </w:rPr>
              <w:t>（折合饮片）KG</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上限单价（元/g）</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巴戟天</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76</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0.499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白芍</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446</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0.219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白术</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653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0.372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白鲜皮</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3.7</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26</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0.720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白芷（白芷）</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0.232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百部（对叶百部）</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0.280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百合（卷丹）</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0.187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板蓝根</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0.162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半枝莲</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0.137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薄荷</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3.7</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0.179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北柴胡</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346</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0.635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北沙参</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39</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0.280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槟榔</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0.171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补骨脂</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6.7</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0.156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苍术（北苍术）</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2.7</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119</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1.138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侧柏炭</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0.145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侧柏叶</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0.079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炒白芍</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0.232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炒苍耳子</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0.116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车前草（车前）</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0.123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车前子（车前）</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0.286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陈皮</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203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0.182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赤芍（芍药）</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126</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0.381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川芎</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269</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0.333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刺五加</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0.121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大黄（药用大黄）</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0.260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大青叶</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0.114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大枣</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186</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0.175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丹参</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0.245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淡竹叶</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46</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0.147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当归</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367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0.387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党参（党参）</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404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0.399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地肤子</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0.151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独活</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0.209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杜仲</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0.326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防风</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0.360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防己</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0.787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佛手</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0.510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麸炒白术</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0.374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甘草（甘草）</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195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0.316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干姜</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0.316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葛根</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142</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0.168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钩藤（钩藤）</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0.229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骨碎补</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0.304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瓜蒌（栝楼）</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0.470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广藿香</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0.297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合欢皮</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0.127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荷叶</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0.186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厚朴（厚朴）</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0.250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虎杖</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0.127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化橘红（柚）</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0.208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槐花（槐花）</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0.176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黄柏</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32</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0.260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黄连（黄连）</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32</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1.360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黄芪（蒙古黄芪）</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459</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0.186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黄芩</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285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0.260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鸡血藤</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0.161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蒺藜</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0.172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焦山楂（山里红）</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0.148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金钱草</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0.156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金银花</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1.073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荆芥</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5.7</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0.143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桔梗</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0.317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菊花</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0.403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苦参</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0.191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苦杏仁（西伯利亚杏）</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0.306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款冬花</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0.710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莱菔子</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0.161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连翘（青翘）</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142</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0.696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两面针</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0.147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灵芝（赤芝）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0.338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麻黄（草麻黄）</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0.135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蜜麻黄（草麻黄）</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0.187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墨旱莲</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49</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0.185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木蝴蝶</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42</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0.355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木香</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0.269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牛蒡子</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0.225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牛膝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0.299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女贞子</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62</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0.142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枇杷叶</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0.153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蒲公英（碱地蒲公英）</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3.7</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86</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0.166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前胡</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0.515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秦艽（粗茎秦艽）</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0.410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青皮（个青皮）</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0.169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人参</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1.936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肉苁蓉（管花肉苁蓉）</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0.502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肉桂</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32</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0.245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桑白皮</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0.150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桑寄生</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0.159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桑椹</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0.224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桑叶</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0.105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桑枝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0.068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沙苑子</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1.034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山萸肉</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0.411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山楂（山里红）</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142</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0.136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蛇床子</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0.162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射干</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0.346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升麻（大三叶升麻）</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0.525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生地黄</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195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0.347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生姜</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296</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0.214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首乌藤</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0.140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熟地黄</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0.369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苏木</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0.130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酸枣仁</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32</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3.166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太子参</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0.458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桃仁（桃）</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102</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0.460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天花粉（栝楼）</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0.273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土茯苓</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0.172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菟丝子（南方菟丝子）</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0.299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王不留行</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39</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0.125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乌梅</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0.231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乌药</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0.164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吴茱萸（吴茱萸）</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1.123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夏枯草</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0.234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香附</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0.210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小蓟</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0.143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玄参</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0.185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旋覆花（旋覆花）</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0.352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延胡索</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0.570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野菊花</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0.257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益母草</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0.121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茵陈【滨蒿（绵茵陈）】</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0.147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鱼腥草</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159</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0.116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远志（远志）</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0.850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泽兰</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0.133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泽泻（泽泻）</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0.278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浙贝母</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0.549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知母</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32</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0.280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栀子</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119</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0.232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枳壳</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0.244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枳实（酸橙）</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0.439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制何首乌</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0.228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炙甘草（甘草）</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380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0.351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紫花地丁</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0.140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紫苏梗</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0.137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紫苏子</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0.269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紫菀</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0.278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赤小豆（赤小豆）</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0.178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何首乌</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6.7</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0.199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酒大黄（药用大黄）</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0.262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炮姜</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0.326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瞿麦（石竹）</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0.180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山豆根</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1.882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白扁豆</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0.157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白头翁</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0.827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柏子仁</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0.786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萹蓄</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0.101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蝉蜕</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52</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2.334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炒白扁豆</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0.178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茺蔚子</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0.258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川楝子</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0.137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醋鳖甲</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1.050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大腹皮</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0.119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大血藤</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0.146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灯心草</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0.823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地骨皮（枸杞）</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0.325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地榆（地榆）</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0.216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地榆炭（地榆）</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0.257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丁香</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0.440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莪术（广西莪术）</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0.151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法半夏</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263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0.660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茯苓</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683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0.195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附片（黑顺片）</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0.342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覆盆子</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1.059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藁本（辽藁本）</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0.366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枸杞子</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0.290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瓜蒌皮（栝楼）</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0.238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桂枝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300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0.172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海金沙</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1.316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170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姜黄</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0.198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171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芥子（芥）</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0.230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172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橘核</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0.154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173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决明子（钝叶决明）</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0.156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174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老鹳草（野老鹳草）</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0.142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175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莲子</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49</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0.205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176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芦根</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5.9</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126</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0.129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177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路路通</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0.266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178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麦冬</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0.594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179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蔓荆子（单叶蔓荆）</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0.677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猫爪草</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0.478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牡丹皮</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102</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0.299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佩兰</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0.151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蒲黄（水烛香蒲）</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0.466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茜草</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0.421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羌活（羌活）</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0.772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青蒿</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0.108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乳香（埃塞俄比亚乳香）</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0.360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三棱</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0.146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砂仁（阳春砂）</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1.841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190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山药</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271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0.397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191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锁阳</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0.422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192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天冬</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0.419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193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土鳖虫（地鳖）</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0.800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194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威灵仙（东北铁线莲）</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0.498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195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五味子</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0.639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196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西洋参</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3.238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197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仙鹤草</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29</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0.122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198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仙茅</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0.713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199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薤白（小根蒜）</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0.257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200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益智仁</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0.607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201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玉竹</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0.498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202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皂角刺</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0.315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203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猪苓</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0.942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204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竹茹（青秆竹）</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0.145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205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紫苏叶</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0.202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206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白薇（白薇）</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0.456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207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半边莲</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0.190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208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布渣叶</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0.209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209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穿心莲</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0.163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诃子（诃子）</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0.180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绵萆薢（绵萆薢）</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0.242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五灵脂</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0.250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徐长卿</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0.354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预知子（木通）</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0.283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月季花</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3.7</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0.370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紫草（新疆紫草）</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1.810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天麻</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0.750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续断</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0.229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淫羊藿（淫羊藿）</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0.845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木贼</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0.171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秦皮（尖叶白蜡树）</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0.124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盐杜仲</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0.369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石榴皮</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0.185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白前（柳叶白前）</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0.324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生石膏</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0.093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薏苡仁</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156</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0.139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郁金（广西莪术）</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0.265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炒芥子（芥）</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0.211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穿山龙</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0.226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230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冬葵果</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0.225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231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姜半夏</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0.714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232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金荞麦</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0.163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233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麻黄根（草麻黄）</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0.220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234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密蒙花</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0.351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235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肉豆蔻</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0.415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236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五倍子</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0.420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237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火麻仁</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0.190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238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龙胆（龙胆）</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国标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0.390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239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白茅根</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0.152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240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红花</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1.032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241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黄精（多花黄精）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0.551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242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鸡骨草</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0.180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243</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荔枝核</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0.133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244</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石菖蒲</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4.7</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47</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0.421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245</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石韦（有柄石韦）</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0.199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246</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细辛（北细辛）</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0.706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247</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小茴香</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0.199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248</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制川乌</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2.7</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1.135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249</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白及</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0.823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250</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番泻叶（狭叶番泻）</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0.286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251</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玫瑰花</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3.7</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0.505 </w:t>
            </w:r>
          </w:p>
        </w:tc>
      </w:tr>
      <w:tr>
        <w:tblPrEx>
          <w:tblCellMar>
            <w:top w:w="0" w:type="dxa"/>
            <w:left w:w="108" w:type="dxa"/>
            <w:bottom w:w="0" w:type="dxa"/>
            <w:right w:w="108" w:type="dxa"/>
          </w:tblCellMar>
        </w:tblPrEx>
        <w:trPr>
          <w:trHeight w:val="286" w:hRule="atLeast"/>
          <w:jc w:val="center"/>
        </w:trPr>
        <w:tc>
          <w:tcPr>
            <w:tcW w:w="9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252</w:t>
            </w:r>
          </w:p>
        </w:tc>
        <w:tc>
          <w:tcPr>
            <w:tcW w:w="20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全蝎</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省标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3.4</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0.005</w:t>
            </w:r>
          </w:p>
        </w:tc>
        <w:tc>
          <w:tcPr>
            <w:tcW w:w="1559" w:type="dxa"/>
            <w:tcBorders>
              <w:top w:val="nil"/>
              <w:left w:val="nil"/>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9.836 </w:t>
            </w:r>
          </w:p>
        </w:tc>
      </w:tr>
    </w:tbl>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rPr>
          <w:rFonts w:hint="eastAsia" w:ascii="宋体" w:hAnsi="宋体" w:cs="宋体"/>
          <w:b/>
          <w:bCs/>
          <w:szCs w:val="21"/>
        </w:rPr>
      </w:pPr>
      <w:r>
        <w:rPr>
          <w:rFonts w:hint="eastAsia" w:ascii="宋体" w:hAnsi="宋体" w:cs="宋体"/>
          <w:b/>
          <w:bCs/>
          <w:szCs w:val="21"/>
        </w:rPr>
        <w:t>附件二：中药配方颗粒供应商考核管理办法（试行）</w:t>
      </w:r>
    </w:p>
    <w:p>
      <w:pPr>
        <w:tabs>
          <w:tab w:val="left" w:pos="180"/>
          <w:tab w:val="left" w:pos="1620"/>
        </w:tabs>
        <w:spacing w:line="400" w:lineRule="exact"/>
        <w:ind w:firstLine="420" w:firstLineChars="200"/>
        <w:rPr>
          <w:rFonts w:hint="eastAsia" w:ascii="宋体" w:hAnsi="宋体" w:cs="宋体"/>
          <w:bCs/>
          <w:szCs w:val="21"/>
        </w:rPr>
      </w:pPr>
      <w:r>
        <w:rPr>
          <w:rFonts w:hint="eastAsia" w:ascii="宋体" w:hAnsi="宋体" w:cs="宋体"/>
          <w:bCs/>
          <w:szCs w:val="21"/>
        </w:rPr>
        <w:t>1.根据配方颗粒供应商资质合法性、供货情况、中药配方颗粒质量、伴随服务、增值服务及考核配合情况对供应商进行考核，每个考核周期为6个月，即考核期分别为1月1日至6月30日、7月1日至12月31日，总分100分，采用扣分/加分制。</w:t>
      </w:r>
    </w:p>
    <w:p>
      <w:pPr>
        <w:tabs>
          <w:tab w:val="left" w:pos="180"/>
          <w:tab w:val="left" w:pos="1620"/>
        </w:tabs>
        <w:spacing w:line="400" w:lineRule="exact"/>
        <w:ind w:firstLine="420" w:firstLineChars="200"/>
        <w:rPr>
          <w:rFonts w:ascii="宋体" w:hAnsi="宋体" w:cs="宋体"/>
          <w:bCs/>
          <w:szCs w:val="21"/>
        </w:rPr>
      </w:pPr>
      <w:r>
        <w:rPr>
          <w:rFonts w:hint="eastAsia" w:ascii="宋体" w:hAnsi="宋体" w:cs="宋体"/>
          <w:bCs/>
          <w:szCs w:val="21"/>
        </w:rPr>
        <w:t>2、如出现《配方颗粒供应商评估表》中的扣分、加分项，由中药库及时填写考核评价表，逐级反馈，按考核周期汇总分数，并要求供应商限期整改。</w:t>
      </w:r>
    </w:p>
    <w:p>
      <w:pPr>
        <w:tabs>
          <w:tab w:val="left" w:pos="180"/>
          <w:tab w:val="left" w:pos="1620"/>
        </w:tabs>
        <w:spacing w:line="400" w:lineRule="exact"/>
        <w:ind w:firstLine="420" w:firstLineChars="200"/>
        <w:rPr>
          <w:rFonts w:ascii="宋体" w:hAnsi="宋体" w:cs="宋体"/>
          <w:bCs/>
          <w:szCs w:val="21"/>
        </w:rPr>
      </w:pPr>
      <w:r>
        <w:rPr>
          <w:rFonts w:hint="eastAsia" w:ascii="宋体" w:hAnsi="宋体" w:cs="宋体"/>
          <w:bCs/>
          <w:szCs w:val="21"/>
        </w:rPr>
        <w:t>3、</w:t>
      </w:r>
      <w:bookmarkStart w:id="3" w:name="OLE_LINK12"/>
      <w:r>
        <w:rPr>
          <w:rFonts w:hint="eastAsia" w:ascii="宋体" w:hAnsi="宋体" w:cs="宋体"/>
          <w:bCs/>
          <w:szCs w:val="21"/>
        </w:rPr>
        <w:t>年度考核</w:t>
      </w:r>
      <w:bookmarkEnd w:id="3"/>
      <w:r>
        <w:rPr>
          <w:rFonts w:hint="eastAsia" w:ascii="宋体" w:hAnsi="宋体" w:cs="宋体"/>
          <w:bCs/>
          <w:szCs w:val="21"/>
        </w:rPr>
        <w:t>分数＜80分的配送供应商视为考核“不合格”；80＜年度考核分数＜90分的视为考核“合格”；年度考核分数≥90分的视为考核“优秀”。</w:t>
      </w:r>
    </w:p>
    <w:p>
      <w:pPr>
        <w:tabs>
          <w:tab w:val="left" w:pos="180"/>
          <w:tab w:val="left" w:pos="1620"/>
        </w:tabs>
        <w:spacing w:line="400" w:lineRule="exact"/>
        <w:ind w:firstLine="420" w:firstLineChars="200"/>
        <w:rPr>
          <w:rFonts w:ascii="宋体" w:hAnsi="宋体" w:cs="宋体"/>
          <w:bCs/>
          <w:szCs w:val="21"/>
        </w:rPr>
      </w:pPr>
      <w:bookmarkStart w:id="4" w:name="OLE_LINK16"/>
      <w:r>
        <w:rPr>
          <w:rFonts w:hint="eastAsia" w:ascii="宋体" w:hAnsi="宋体" w:cs="宋体"/>
          <w:bCs/>
          <w:szCs w:val="21"/>
        </w:rPr>
        <w:t>4、</w:t>
      </w:r>
      <w:bookmarkEnd w:id="4"/>
      <w:r>
        <w:rPr>
          <w:rFonts w:hint="eastAsia" w:ascii="宋体" w:hAnsi="宋体" w:cs="宋体"/>
          <w:bCs/>
          <w:szCs w:val="21"/>
        </w:rPr>
        <w:t>考核“不合格”的配送供应商经药事会讨论后依法终止合同重新招标。</w:t>
      </w:r>
    </w:p>
    <w:tbl>
      <w:tblPr>
        <w:tblStyle w:val="5"/>
        <w:tblW w:w="10488" w:type="dxa"/>
        <w:jc w:val="center"/>
        <w:tblLayout w:type="fixed"/>
        <w:tblCellMar>
          <w:top w:w="0" w:type="dxa"/>
          <w:left w:w="108" w:type="dxa"/>
          <w:bottom w:w="0" w:type="dxa"/>
          <w:right w:w="108" w:type="dxa"/>
        </w:tblCellMar>
      </w:tblPr>
      <w:tblGrid>
        <w:gridCol w:w="1250"/>
        <w:gridCol w:w="517"/>
        <w:gridCol w:w="2216"/>
        <w:gridCol w:w="484"/>
        <w:gridCol w:w="2283"/>
        <w:gridCol w:w="2333"/>
        <w:gridCol w:w="1405"/>
      </w:tblGrid>
      <w:tr>
        <w:tblPrEx>
          <w:tblCellMar>
            <w:top w:w="0" w:type="dxa"/>
            <w:left w:w="108" w:type="dxa"/>
            <w:bottom w:w="0" w:type="dxa"/>
            <w:right w:w="108" w:type="dxa"/>
          </w:tblCellMar>
        </w:tblPrEx>
        <w:trPr>
          <w:trHeight w:val="405" w:hRule="atLeast"/>
          <w:jc w:val="center"/>
        </w:trPr>
        <w:tc>
          <w:tcPr>
            <w:tcW w:w="10488" w:type="dxa"/>
            <w:gridSpan w:val="7"/>
            <w:tcBorders>
              <w:top w:val="nil"/>
              <w:left w:val="nil"/>
              <w:bottom w:val="nil"/>
              <w:right w:val="nil"/>
            </w:tcBorders>
            <w:noWrap w:val="0"/>
            <w:vAlign w:val="center"/>
          </w:tcPr>
          <w:p>
            <w:pPr>
              <w:widowControl/>
              <w:jc w:val="center"/>
              <w:textAlignment w:val="center"/>
              <w:rPr>
                <w:rFonts w:ascii="宋体" w:hAnsi="宋体" w:cs="方正小标宋简体"/>
                <w:b/>
                <w:bCs/>
                <w:szCs w:val="21"/>
              </w:rPr>
            </w:pPr>
            <w:r>
              <w:rPr>
                <w:rFonts w:hint="eastAsia" w:ascii="宋体" w:hAnsi="宋体" w:cs="方正小标宋简体"/>
                <w:b/>
                <w:bCs/>
                <w:kern w:val="0"/>
                <w:szCs w:val="21"/>
                <w:lang w:bidi="ar"/>
              </w:rPr>
              <w:t>中药配方颗粒供应商评估表（总分100分）</w:t>
            </w:r>
          </w:p>
        </w:tc>
      </w:tr>
      <w:tr>
        <w:tblPrEx>
          <w:tblCellMar>
            <w:top w:w="0" w:type="dxa"/>
            <w:left w:w="108" w:type="dxa"/>
            <w:bottom w:w="0" w:type="dxa"/>
            <w:right w:w="108" w:type="dxa"/>
          </w:tblCellMar>
        </w:tblPrEx>
        <w:trPr>
          <w:trHeight w:val="400" w:hRule="atLeast"/>
          <w:jc w:val="center"/>
        </w:trPr>
        <w:tc>
          <w:tcPr>
            <w:tcW w:w="10488" w:type="dxa"/>
            <w:gridSpan w:val="7"/>
            <w:tcBorders>
              <w:top w:val="nil"/>
              <w:left w:val="nil"/>
              <w:bottom w:val="nil"/>
              <w:right w:val="nil"/>
            </w:tcBorders>
            <w:noWrap w:val="0"/>
            <w:vAlign w:val="center"/>
          </w:tcPr>
          <w:p>
            <w:pPr>
              <w:widowControl/>
              <w:jc w:val="left"/>
              <w:textAlignment w:val="center"/>
              <w:rPr>
                <w:rFonts w:ascii="宋体" w:hAnsi="宋体" w:cs="仿宋_GB2312"/>
                <w:b/>
                <w:bCs/>
                <w:szCs w:val="21"/>
              </w:rPr>
            </w:pPr>
            <w:r>
              <w:rPr>
                <w:rFonts w:ascii="宋体" w:hAnsi="宋体" w:cs="仿宋_GB2312"/>
                <w:b/>
                <w:bCs/>
                <w:szCs w:val="21"/>
                <w:lang w:bidi="ar"/>
              </w:rPr>
              <w:t xml:space="preserve">供应商名称：                                       评估时间：      </w:t>
            </w:r>
            <w:r>
              <w:rPr>
                <w:rFonts w:ascii="宋体" w:hAnsi="宋体" w:cs="仿宋_GB2312"/>
                <w:szCs w:val="21"/>
                <w:lang w:bidi="ar"/>
              </w:rPr>
              <w:t>年     月     日</w:t>
            </w:r>
          </w:p>
        </w:tc>
      </w:tr>
      <w:tr>
        <w:tblPrEx>
          <w:tblCellMar>
            <w:top w:w="0" w:type="dxa"/>
            <w:left w:w="108" w:type="dxa"/>
            <w:bottom w:w="0" w:type="dxa"/>
            <w:right w:w="108" w:type="dxa"/>
          </w:tblCellMar>
        </w:tblPrEx>
        <w:trPr>
          <w:trHeight w:val="270" w:hRule="atLeast"/>
          <w:jc w:val="center"/>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评估项目</w:t>
            </w:r>
          </w:p>
        </w:tc>
        <w:tc>
          <w:tcPr>
            <w:tcW w:w="27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评估内容</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评估细则</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得分</w:t>
            </w:r>
          </w:p>
        </w:tc>
      </w:tr>
      <w:tr>
        <w:tblPrEx>
          <w:tblCellMar>
            <w:top w:w="0" w:type="dxa"/>
            <w:left w:w="108" w:type="dxa"/>
            <w:bottom w:w="0" w:type="dxa"/>
            <w:right w:w="108" w:type="dxa"/>
          </w:tblCellMar>
        </w:tblPrEx>
        <w:trPr>
          <w:trHeight w:val="600" w:hRule="atLeast"/>
          <w:jc w:val="center"/>
        </w:trPr>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Cs w:val="21"/>
              </w:rPr>
            </w:pPr>
            <w:r>
              <w:rPr>
                <w:rFonts w:ascii="宋体" w:hAnsi="宋体" w:cs="宋体"/>
                <w:b/>
                <w:bCs/>
                <w:szCs w:val="21"/>
                <w:lang w:bidi="ar"/>
              </w:rPr>
              <w:t>证照资质</w:t>
            </w:r>
            <w:r>
              <w:rPr>
                <w:rFonts w:ascii="宋体" w:hAnsi="宋体" w:cs="宋体"/>
                <w:b/>
                <w:bCs/>
                <w:szCs w:val="21"/>
                <w:lang w:bidi="ar"/>
              </w:rPr>
              <w:br w:type="textWrapping"/>
            </w:r>
            <w:r>
              <w:rPr>
                <w:rFonts w:ascii="宋体" w:hAnsi="宋体" w:cs="宋体"/>
                <w:b/>
                <w:bCs/>
                <w:szCs w:val="21"/>
                <w:lang w:bidi="ar"/>
              </w:rPr>
              <w:t>（一票否决）</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企业法人营业执照</w:t>
            </w:r>
          </w:p>
        </w:tc>
        <w:tc>
          <w:tcPr>
            <w:tcW w:w="4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一票否决</w:t>
            </w:r>
          </w:p>
        </w:tc>
        <w:tc>
          <w:tcPr>
            <w:tcW w:w="22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无营业执照或执照过期即否决</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有（  ）未过期（  ）</w:t>
            </w:r>
            <w:r>
              <w:rPr>
                <w:rFonts w:hint="eastAsia" w:ascii="宋体" w:hAnsi="宋体" w:cs="宋体"/>
                <w:kern w:val="0"/>
                <w:szCs w:val="21"/>
                <w:lang w:bidi="ar"/>
              </w:rPr>
              <w:br w:type="textWrapping"/>
            </w:r>
            <w:r>
              <w:rPr>
                <w:rFonts w:hint="eastAsia" w:ascii="宋体" w:hAnsi="宋体" w:cs="宋体"/>
                <w:kern w:val="0"/>
                <w:szCs w:val="21"/>
                <w:lang w:bidi="ar"/>
              </w:rPr>
              <w:t>无（  ）过  期（  ）</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药品生产许可证或药品经营许可证</w:t>
            </w:r>
          </w:p>
        </w:tc>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无许可证或许可证过期即否决</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有（  ）未过期（  ）</w:t>
            </w:r>
            <w:r>
              <w:rPr>
                <w:rFonts w:hint="eastAsia" w:ascii="宋体" w:hAnsi="宋体" w:cs="宋体"/>
                <w:kern w:val="0"/>
                <w:szCs w:val="21"/>
                <w:lang w:bidi="ar"/>
              </w:rPr>
              <w:br w:type="textWrapping"/>
            </w:r>
            <w:r>
              <w:rPr>
                <w:rFonts w:hint="eastAsia" w:ascii="宋体" w:hAnsi="宋体" w:cs="宋体"/>
                <w:kern w:val="0"/>
                <w:szCs w:val="21"/>
                <w:lang w:bidi="ar"/>
              </w:rPr>
              <w:t>无（  ）过  期（  ）</w:t>
            </w:r>
          </w:p>
        </w:tc>
        <w:tc>
          <w:tcPr>
            <w:tcW w:w="1405" w:type="dxa"/>
            <w:tcBorders>
              <w:top w:val="single" w:color="000000" w:sz="4" w:space="0"/>
              <w:left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销售人员的授权委托书、身份证。</w:t>
            </w:r>
          </w:p>
        </w:tc>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无证或证件过期即否决</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有（  ）未过期（  ）</w:t>
            </w:r>
            <w:r>
              <w:rPr>
                <w:rFonts w:hint="eastAsia" w:ascii="宋体" w:hAnsi="宋体" w:cs="宋体"/>
                <w:kern w:val="0"/>
                <w:szCs w:val="21"/>
                <w:lang w:bidi="ar"/>
              </w:rPr>
              <w:br w:type="textWrapping"/>
            </w:r>
            <w:r>
              <w:rPr>
                <w:rFonts w:hint="eastAsia" w:ascii="宋体" w:hAnsi="宋体" w:cs="宋体"/>
                <w:kern w:val="0"/>
                <w:szCs w:val="21"/>
                <w:lang w:bidi="ar"/>
              </w:rPr>
              <w:t>无（  ）过  期（  ）</w:t>
            </w:r>
          </w:p>
        </w:tc>
        <w:tc>
          <w:tcPr>
            <w:tcW w:w="1405" w:type="dxa"/>
            <w:tcBorders>
              <w:top w:val="single" w:color="000000" w:sz="4" w:space="0"/>
              <w:left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质量保证协议书</w:t>
            </w:r>
          </w:p>
        </w:tc>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缺一项即否决</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有（  ）未过期（  ）</w:t>
            </w:r>
            <w:r>
              <w:rPr>
                <w:rFonts w:hint="eastAsia" w:ascii="宋体" w:hAnsi="宋体" w:cs="宋体"/>
                <w:kern w:val="0"/>
                <w:szCs w:val="21"/>
                <w:lang w:bidi="ar"/>
              </w:rPr>
              <w:br w:type="textWrapping"/>
            </w:r>
            <w:r>
              <w:rPr>
                <w:rFonts w:hint="eastAsia" w:ascii="宋体" w:hAnsi="宋体" w:cs="宋体"/>
                <w:kern w:val="0"/>
                <w:szCs w:val="21"/>
                <w:lang w:bidi="ar"/>
              </w:rPr>
              <w:t>无（  ）过  期（  ）</w:t>
            </w:r>
          </w:p>
        </w:tc>
        <w:tc>
          <w:tcPr>
            <w:tcW w:w="1405" w:type="dxa"/>
            <w:tcBorders>
              <w:top w:val="single" w:color="000000" w:sz="4" w:space="0"/>
              <w:left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廉洁协议书</w:t>
            </w:r>
          </w:p>
        </w:tc>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无协议书即否决</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有（  ）未过期（  ）</w:t>
            </w:r>
            <w:r>
              <w:rPr>
                <w:rFonts w:hint="eastAsia" w:ascii="宋体" w:hAnsi="宋体" w:cs="宋体"/>
                <w:kern w:val="0"/>
                <w:szCs w:val="21"/>
                <w:lang w:bidi="ar"/>
              </w:rPr>
              <w:br w:type="textWrapping"/>
            </w:r>
            <w:r>
              <w:rPr>
                <w:rFonts w:hint="eastAsia" w:ascii="宋体" w:hAnsi="宋体" w:cs="宋体"/>
                <w:kern w:val="0"/>
                <w:szCs w:val="21"/>
                <w:lang w:bidi="ar"/>
              </w:rPr>
              <w:t>无（  ）过  期（  ）</w:t>
            </w:r>
          </w:p>
        </w:tc>
        <w:tc>
          <w:tcPr>
            <w:tcW w:w="1405" w:type="dxa"/>
            <w:tcBorders>
              <w:top w:val="single" w:color="000000" w:sz="4" w:space="0"/>
              <w:left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500" w:hRule="atLeast"/>
          <w:jc w:val="center"/>
        </w:trPr>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供货能力评估</w:t>
            </w:r>
            <w:r>
              <w:rPr>
                <w:rFonts w:hint="eastAsia" w:ascii="宋体" w:hAnsi="宋体" w:cs="宋体"/>
                <w:b/>
                <w:bCs/>
                <w:kern w:val="0"/>
                <w:szCs w:val="21"/>
                <w:lang w:bidi="ar"/>
              </w:rPr>
              <w:br w:type="textWrapping"/>
            </w:r>
            <w:r>
              <w:rPr>
                <w:rFonts w:hint="eastAsia" w:ascii="宋体" w:hAnsi="宋体" w:cs="宋体"/>
                <w:b/>
                <w:bCs/>
                <w:kern w:val="0"/>
                <w:szCs w:val="21"/>
                <w:lang w:bidi="ar"/>
              </w:rPr>
              <w:t>（25分）</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配送是否及时</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及时  10分（  ）  一般  5分（  ）  不及时  0分（  ）</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5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22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送货量与计划相符率</w:t>
            </w:r>
          </w:p>
        </w:tc>
        <w:tc>
          <w:tcPr>
            <w:tcW w:w="4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22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缺货批次</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szCs w:val="21"/>
              </w:rPr>
            </w:pPr>
          </w:p>
        </w:tc>
        <w:tc>
          <w:tcPr>
            <w:tcW w:w="14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1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缺货率</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jc w:val="right"/>
              <w:textAlignment w:val="center"/>
              <w:rPr>
                <w:rFonts w:ascii="宋体" w:hAnsi="宋体" w:cs="宋体"/>
                <w:szCs w:val="21"/>
              </w:rPr>
            </w:pPr>
            <w:r>
              <w:rPr>
                <w:rFonts w:hint="eastAsia" w:ascii="宋体" w:hAnsi="宋体" w:cs="宋体"/>
                <w:kern w:val="0"/>
                <w:szCs w:val="21"/>
                <w:lang w:bidi="ar"/>
              </w:rPr>
              <w:t>%</w:t>
            </w:r>
          </w:p>
        </w:tc>
        <w:tc>
          <w:tcPr>
            <w:tcW w:w="14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1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应达99%-100%，低于99%，每降1%扣2分</w:t>
            </w:r>
          </w:p>
        </w:tc>
        <w:tc>
          <w:tcPr>
            <w:tcW w:w="14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缺货是否告知</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是  5分（  ）            否  0分（  ）</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60" w:hRule="atLeast"/>
          <w:jc w:val="center"/>
        </w:trPr>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配方颗粒</w:t>
            </w:r>
            <w:r>
              <w:rPr>
                <w:rFonts w:hint="eastAsia" w:ascii="宋体" w:hAnsi="宋体" w:cs="宋体"/>
                <w:b/>
                <w:bCs/>
                <w:kern w:val="0"/>
                <w:szCs w:val="21"/>
                <w:lang w:bidi="ar"/>
              </w:rPr>
              <w:br w:type="textWrapping"/>
            </w:r>
            <w:r>
              <w:rPr>
                <w:rFonts w:hint="eastAsia" w:ascii="宋体" w:hAnsi="宋体" w:cs="宋体"/>
                <w:b/>
                <w:bCs/>
                <w:kern w:val="0"/>
                <w:szCs w:val="21"/>
                <w:lang w:bidi="ar"/>
              </w:rPr>
              <w:t>质量评估</w:t>
            </w:r>
            <w:r>
              <w:rPr>
                <w:rFonts w:hint="eastAsia" w:ascii="宋体" w:hAnsi="宋体" w:cs="宋体"/>
                <w:b/>
                <w:bCs/>
                <w:kern w:val="0"/>
                <w:szCs w:val="21"/>
                <w:lang w:bidi="ar"/>
              </w:rPr>
              <w:br w:type="textWrapping"/>
            </w:r>
            <w:r>
              <w:rPr>
                <w:rFonts w:hint="eastAsia" w:ascii="宋体" w:hAnsi="宋体" w:cs="宋体"/>
                <w:b/>
                <w:bCs/>
                <w:kern w:val="0"/>
                <w:szCs w:val="21"/>
                <w:lang w:bidi="ar"/>
              </w:rPr>
              <w:t>（30分）</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1.配方颗粒名称是否规范。</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是  2分（  ）            否  0分（  ）</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5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2.配方颗粒包装是否标示生产批号。</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是  2分（  ）            否  0分（  ）</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3.配方颗粒包装是否符合要求。</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是  2分（  ）            否  0分（  ）</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4.包装称量是否与标示量一致。</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是  2分（  ）            否  0分（  ）</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5.检验报告有无、检查内容是否按标准全检。</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是  2分（  ）            否  0分（  ）</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22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验收退货情况</w:t>
            </w:r>
            <w:r>
              <w:rPr>
                <w:rFonts w:hint="eastAsia" w:ascii="宋体" w:hAnsi="宋体" w:cs="宋体"/>
                <w:kern w:val="0"/>
                <w:szCs w:val="21"/>
                <w:lang w:bidi="ar"/>
              </w:rPr>
              <w:br w:type="textWrapping"/>
            </w:r>
            <w:r>
              <w:rPr>
                <w:rFonts w:hint="eastAsia" w:ascii="宋体" w:hAnsi="宋体" w:cs="宋体"/>
                <w:kern w:val="0"/>
                <w:szCs w:val="21"/>
                <w:lang w:bidi="ar"/>
              </w:rPr>
              <w:t>（采购总批次：     批次）</w:t>
            </w:r>
          </w:p>
        </w:tc>
        <w:tc>
          <w:tcPr>
            <w:tcW w:w="4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20</w:t>
            </w:r>
          </w:p>
        </w:tc>
        <w:tc>
          <w:tcPr>
            <w:tcW w:w="22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质量不佳</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right"/>
              <w:textAlignment w:val="center"/>
              <w:rPr>
                <w:rFonts w:ascii="宋体" w:hAnsi="宋体" w:cs="宋体"/>
                <w:szCs w:val="21"/>
              </w:rPr>
            </w:pPr>
            <w:r>
              <w:rPr>
                <w:rFonts w:hint="eastAsia" w:ascii="宋体" w:hAnsi="宋体" w:cs="宋体"/>
                <w:kern w:val="0"/>
                <w:szCs w:val="21"/>
                <w:lang w:bidi="ar"/>
              </w:rPr>
              <w:t>批次</w:t>
            </w:r>
          </w:p>
        </w:tc>
        <w:tc>
          <w:tcPr>
            <w:tcW w:w="14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品种不符</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right"/>
              <w:textAlignment w:val="center"/>
              <w:rPr>
                <w:rFonts w:ascii="宋体" w:hAnsi="宋体" w:cs="宋体"/>
                <w:szCs w:val="21"/>
              </w:rPr>
            </w:pPr>
            <w:r>
              <w:rPr>
                <w:rFonts w:hint="eastAsia" w:ascii="宋体" w:hAnsi="宋体" w:cs="宋体"/>
                <w:kern w:val="0"/>
                <w:szCs w:val="21"/>
                <w:lang w:bidi="ar"/>
              </w:rPr>
              <w:t>批次</w:t>
            </w:r>
          </w:p>
        </w:tc>
        <w:tc>
          <w:tcPr>
            <w:tcW w:w="14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生虫、霉变、走油</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right"/>
              <w:textAlignment w:val="center"/>
              <w:rPr>
                <w:rFonts w:ascii="宋体" w:hAnsi="宋体" w:cs="宋体"/>
                <w:szCs w:val="21"/>
              </w:rPr>
            </w:pPr>
            <w:r>
              <w:rPr>
                <w:rFonts w:hint="eastAsia" w:ascii="宋体" w:hAnsi="宋体" w:cs="宋体"/>
                <w:kern w:val="0"/>
                <w:szCs w:val="21"/>
                <w:lang w:bidi="ar"/>
              </w:rPr>
              <w:t>批次</w:t>
            </w:r>
          </w:p>
        </w:tc>
        <w:tc>
          <w:tcPr>
            <w:tcW w:w="14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掺杂</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right"/>
              <w:textAlignment w:val="center"/>
              <w:rPr>
                <w:rFonts w:ascii="宋体" w:hAnsi="宋体" w:cs="宋体"/>
                <w:szCs w:val="21"/>
              </w:rPr>
            </w:pPr>
            <w:r>
              <w:rPr>
                <w:rFonts w:hint="eastAsia" w:ascii="宋体" w:hAnsi="宋体" w:cs="宋体"/>
                <w:kern w:val="0"/>
                <w:szCs w:val="21"/>
                <w:lang w:bidi="ar"/>
              </w:rPr>
              <w:t>批次</w:t>
            </w:r>
          </w:p>
        </w:tc>
        <w:tc>
          <w:tcPr>
            <w:tcW w:w="14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其他</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right"/>
              <w:textAlignment w:val="center"/>
              <w:rPr>
                <w:rFonts w:ascii="宋体" w:hAnsi="宋体" w:cs="宋体"/>
                <w:szCs w:val="21"/>
              </w:rPr>
            </w:pPr>
            <w:r>
              <w:rPr>
                <w:rFonts w:hint="eastAsia" w:ascii="宋体" w:hAnsi="宋体" w:cs="宋体"/>
                <w:kern w:val="0"/>
                <w:szCs w:val="21"/>
                <w:lang w:bidi="ar"/>
              </w:rPr>
              <w:t>批次</w:t>
            </w:r>
          </w:p>
        </w:tc>
        <w:tc>
          <w:tcPr>
            <w:tcW w:w="14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退货批次</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4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退货率</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jc w:val="right"/>
              <w:textAlignment w:val="center"/>
              <w:rPr>
                <w:rFonts w:ascii="宋体" w:hAnsi="宋体" w:cs="宋体"/>
                <w:szCs w:val="21"/>
              </w:rPr>
            </w:pPr>
            <w:r>
              <w:rPr>
                <w:rFonts w:hint="eastAsia" w:ascii="宋体" w:hAnsi="宋体" w:cs="宋体"/>
                <w:kern w:val="0"/>
                <w:szCs w:val="21"/>
                <w:lang w:bidi="ar"/>
              </w:rPr>
              <w:t>%</w:t>
            </w:r>
          </w:p>
        </w:tc>
        <w:tc>
          <w:tcPr>
            <w:tcW w:w="14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2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应达100%，每降1%扣1分</w:t>
            </w:r>
          </w:p>
        </w:tc>
        <w:tc>
          <w:tcPr>
            <w:tcW w:w="14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服务质量评估（45）</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随货票据及时，项目准确齐全</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 xml:space="preserve">及时 3分（  ）  不及时 0分（  ） </w:t>
            </w:r>
            <w:r>
              <w:rPr>
                <w:rFonts w:hint="eastAsia" w:ascii="宋体" w:hAnsi="宋体" w:cs="宋体"/>
                <w:kern w:val="0"/>
                <w:szCs w:val="21"/>
                <w:lang w:bidi="ar"/>
              </w:rPr>
              <w:br w:type="textWrapping"/>
            </w:r>
            <w:r>
              <w:rPr>
                <w:rFonts w:hint="eastAsia" w:ascii="宋体" w:hAnsi="宋体" w:cs="宋体"/>
                <w:kern w:val="0"/>
                <w:szCs w:val="21"/>
                <w:lang w:bidi="ar"/>
              </w:rPr>
              <w:t>齐全 2分（  ）  不齐全 0分（  ）</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资质证件到期是否主动提供新证</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是 5分 （  ）      否  0分（  ）</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5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17</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投诉响应及时性</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及时 5分（ ） 一般 3分（ ） 不及时 0分（ ）</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5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18</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配送上架服务</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好  5分（ ）   一般 3分（ ）     差 0分（ ）</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5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19</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Cs w:val="21"/>
              </w:rPr>
            </w:pPr>
            <w:r>
              <w:rPr>
                <w:rFonts w:hint="eastAsia" w:ascii="宋体" w:hAnsi="宋体" w:cs="宋体"/>
                <w:kern w:val="0"/>
                <w:szCs w:val="21"/>
                <w:lang w:bidi="ar"/>
              </w:rPr>
              <w:t>退换货处理效果</w:t>
            </w:r>
          </w:p>
        </w:tc>
        <w:tc>
          <w:tcPr>
            <w:tcW w:w="4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46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Cs w:val="21"/>
              </w:rPr>
            </w:pPr>
            <w:r>
              <w:rPr>
                <w:rFonts w:hint="eastAsia" w:ascii="宋体" w:hAnsi="宋体" w:cs="宋体"/>
                <w:kern w:val="0"/>
                <w:szCs w:val="21"/>
                <w:lang w:bidi="ar"/>
              </w:rPr>
              <w:t>及时 5分（ ）   不及时 0分（ ）</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5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20</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提供调剂人员与业务水平匹配情况</w:t>
            </w:r>
          </w:p>
        </w:tc>
        <w:tc>
          <w:tcPr>
            <w:tcW w:w="4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好 5分（ ）    一般 3分（ ）     差 0分（  ）</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5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21</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Cs w:val="21"/>
              </w:rPr>
            </w:pPr>
            <w:r>
              <w:rPr>
                <w:rFonts w:hint="eastAsia" w:ascii="宋体" w:hAnsi="宋体" w:cs="宋体"/>
                <w:kern w:val="0"/>
                <w:szCs w:val="21"/>
                <w:lang w:bidi="ar"/>
              </w:rPr>
              <w:t>平均候药时间</w:t>
            </w:r>
          </w:p>
        </w:tc>
        <w:tc>
          <w:tcPr>
            <w:tcW w:w="4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2283"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ascii="宋体" w:hAnsi="宋体" w:cs="宋体"/>
                <w:szCs w:val="21"/>
              </w:rPr>
            </w:pPr>
            <w:r>
              <w:rPr>
                <w:rFonts w:hint="eastAsia" w:ascii="宋体" w:hAnsi="宋体" w:cs="宋体"/>
                <w:kern w:val="0"/>
                <w:szCs w:val="21"/>
                <w:lang w:bidi="ar"/>
              </w:rPr>
              <w:t>小于等于30分钟  5分（  ）</w:t>
            </w:r>
          </w:p>
        </w:tc>
        <w:tc>
          <w:tcPr>
            <w:tcW w:w="2333" w:type="dxa"/>
            <w:tcBorders>
              <w:top w:val="single" w:color="000000" w:sz="4" w:space="0"/>
              <w:left w:val="nil"/>
              <w:bottom w:val="nil"/>
              <w:right w:val="single" w:color="000000" w:sz="4" w:space="0"/>
            </w:tcBorders>
            <w:noWrap/>
            <w:vAlign w:val="center"/>
          </w:tcPr>
          <w:p>
            <w:pPr>
              <w:widowControl/>
              <w:jc w:val="left"/>
              <w:textAlignment w:val="center"/>
              <w:rPr>
                <w:rFonts w:ascii="宋体" w:hAnsi="宋体" w:cs="宋体"/>
                <w:szCs w:val="21"/>
              </w:rPr>
            </w:pPr>
            <w:r>
              <w:rPr>
                <w:rFonts w:hint="eastAsia" w:ascii="宋体" w:hAnsi="宋体" w:cs="宋体"/>
                <w:kern w:val="0"/>
                <w:szCs w:val="21"/>
                <w:lang w:bidi="ar"/>
              </w:rPr>
              <w:t>大于30分钟   0分（  ）</w:t>
            </w:r>
          </w:p>
        </w:tc>
        <w:tc>
          <w:tcPr>
            <w:tcW w:w="1405" w:type="dxa"/>
            <w:tcBorders>
              <w:top w:val="single" w:color="000000" w:sz="4" w:space="0"/>
              <w:left w:val="nil"/>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22</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是否能帮助解决实际工作中常见的问题。</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2283" w:type="dxa"/>
            <w:tcBorders>
              <w:top w:val="single" w:color="000000" w:sz="4" w:space="0"/>
              <w:left w:val="single" w:color="000000" w:sz="4" w:space="0"/>
              <w:bottom w:val="single" w:color="000000" w:sz="4" w:space="0"/>
              <w:right w:val="nil"/>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可以  5分（  ）</w:t>
            </w:r>
          </w:p>
        </w:tc>
        <w:tc>
          <w:tcPr>
            <w:tcW w:w="2333" w:type="dxa"/>
            <w:tcBorders>
              <w:top w:val="single" w:color="000000" w:sz="4" w:space="0"/>
              <w:left w:val="nil"/>
              <w:bottom w:val="nil"/>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不可以   0分（  ）</w:t>
            </w:r>
          </w:p>
        </w:tc>
        <w:tc>
          <w:tcPr>
            <w:tcW w:w="1405" w:type="dxa"/>
            <w:tcBorders>
              <w:top w:val="single" w:color="000000" w:sz="4" w:space="0"/>
              <w:left w:val="nil"/>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23</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根据临床需求，是否能提供目录外的品规</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2283" w:type="dxa"/>
            <w:tcBorders>
              <w:top w:val="single" w:color="000000" w:sz="4" w:space="0"/>
              <w:left w:val="single" w:color="000000" w:sz="4" w:space="0"/>
              <w:bottom w:val="single" w:color="000000" w:sz="4" w:space="0"/>
              <w:right w:val="nil"/>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可以  2分（  ）</w:t>
            </w:r>
          </w:p>
        </w:tc>
        <w:tc>
          <w:tcPr>
            <w:tcW w:w="233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不可以   0分（  ）</w:t>
            </w:r>
          </w:p>
        </w:tc>
        <w:tc>
          <w:tcPr>
            <w:tcW w:w="1405" w:type="dxa"/>
            <w:tcBorders>
              <w:top w:val="single" w:color="000000" w:sz="4" w:space="0"/>
              <w:left w:val="nil"/>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24</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配方颗粒价格合理。</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2283" w:type="dxa"/>
            <w:tcBorders>
              <w:top w:val="single" w:color="000000" w:sz="4" w:space="0"/>
              <w:left w:val="single" w:color="000000" w:sz="4" w:space="0"/>
              <w:bottom w:val="single" w:color="000000" w:sz="4" w:space="0"/>
              <w:right w:val="nil"/>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合理  1分（  ）</w:t>
            </w:r>
          </w:p>
        </w:tc>
        <w:tc>
          <w:tcPr>
            <w:tcW w:w="2333" w:type="dxa"/>
            <w:tcBorders>
              <w:top w:val="nil"/>
              <w:left w:val="nil"/>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不合理   0分（  ）</w:t>
            </w:r>
          </w:p>
        </w:tc>
        <w:tc>
          <w:tcPr>
            <w:tcW w:w="1405" w:type="dxa"/>
            <w:tcBorders>
              <w:top w:val="single" w:color="000000" w:sz="4" w:space="0"/>
              <w:left w:val="nil"/>
              <w:bottom w:val="single" w:color="000000" w:sz="4" w:space="0"/>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52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p>
        </w:tc>
        <w:tc>
          <w:tcPr>
            <w:tcW w:w="517"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c>
          <w:tcPr>
            <w:tcW w:w="2216" w:type="dxa"/>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送检次数及检验结果。</w:t>
            </w:r>
          </w:p>
        </w:tc>
        <w:tc>
          <w:tcPr>
            <w:tcW w:w="48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4616" w:type="dxa"/>
            <w:gridSpan w:val="2"/>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有被药监部门要求送检，结果不合格的扣2分</w:t>
            </w:r>
          </w:p>
        </w:tc>
        <w:tc>
          <w:tcPr>
            <w:tcW w:w="1405" w:type="dxa"/>
            <w:tcBorders>
              <w:top w:val="single" w:color="000000" w:sz="4" w:space="0"/>
              <w:left w:val="single" w:color="000000" w:sz="4" w:space="0"/>
              <w:bottom w:val="nil"/>
              <w:right w:val="single" w:color="000000" w:sz="4" w:space="0"/>
            </w:tcBorders>
            <w:noWrap w:val="0"/>
            <w:vAlign w:val="center"/>
          </w:tcPr>
          <w:p>
            <w:pPr>
              <w:jc w:val="left"/>
              <w:rPr>
                <w:rFonts w:ascii="宋体" w:hAnsi="宋体" w:cs="宋体"/>
                <w:szCs w:val="21"/>
              </w:rPr>
            </w:pPr>
          </w:p>
        </w:tc>
      </w:tr>
      <w:tr>
        <w:tblPrEx>
          <w:tblCellMar>
            <w:top w:w="0" w:type="dxa"/>
            <w:left w:w="108" w:type="dxa"/>
            <w:bottom w:w="0" w:type="dxa"/>
            <w:right w:w="108" w:type="dxa"/>
          </w:tblCellMar>
        </w:tblPrEx>
        <w:trPr>
          <w:trHeight w:val="600" w:hRule="atLeast"/>
          <w:jc w:val="center"/>
        </w:trPr>
        <w:tc>
          <w:tcPr>
            <w:tcW w:w="9083"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总分</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0" w:type="dxa"/>
            <w:left w:w="108" w:type="dxa"/>
            <w:bottom w:w="0" w:type="dxa"/>
            <w:right w:w="108" w:type="dxa"/>
          </w:tblCellMar>
        </w:tblPrEx>
        <w:trPr>
          <w:trHeight w:val="420" w:hRule="atLeast"/>
          <w:jc w:val="center"/>
        </w:trPr>
        <w:tc>
          <w:tcPr>
            <w:tcW w:w="10488" w:type="dxa"/>
            <w:gridSpan w:val="7"/>
            <w:tcBorders>
              <w:top w:val="nil"/>
              <w:left w:val="nil"/>
              <w:bottom w:val="nil"/>
              <w:right w:val="nil"/>
            </w:tcBorders>
            <w:noWrap/>
            <w:vAlign w:val="center"/>
          </w:tcPr>
          <w:p>
            <w:pPr>
              <w:widowControl/>
              <w:jc w:val="left"/>
              <w:textAlignment w:val="center"/>
              <w:rPr>
                <w:rFonts w:ascii="宋体" w:hAnsi="宋体" w:cs="宋体"/>
                <w:szCs w:val="21"/>
              </w:rPr>
            </w:pPr>
            <w:r>
              <w:rPr>
                <w:rFonts w:hint="eastAsia" w:ascii="宋体" w:hAnsi="宋体" w:cs="宋体"/>
                <w:kern w:val="0"/>
                <w:szCs w:val="21"/>
                <w:lang w:bidi="ar"/>
              </w:rPr>
              <w:t>评估结果：优秀 90-100分（   ）  合格 80-89分（   ）   不合格 &lt;80分 (    )</w:t>
            </w:r>
          </w:p>
        </w:tc>
      </w:tr>
      <w:tr>
        <w:tblPrEx>
          <w:tblCellMar>
            <w:top w:w="0" w:type="dxa"/>
            <w:left w:w="108" w:type="dxa"/>
            <w:bottom w:w="0" w:type="dxa"/>
            <w:right w:w="108" w:type="dxa"/>
          </w:tblCellMar>
        </w:tblPrEx>
        <w:trPr>
          <w:trHeight w:val="320" w:hRule="atLeast"/>
          <w:jc w:val="center"/>
        </w:trPr>
        <w:tc>
          <w:tcPr>
            <w:tcW w:w="10488" w:type="dxa"/>
            <w:gridSpan w:val="7"/>
            <w:tcBorders>
              <w:top w:val="nil"/>
              <w:left w:val="nil"/>
              <w:bottom w:val="nil"/>
              <w:right w:val="nil"/>
            </w:tcBorders>
            <w:noWrap/>
            <w:vAlign w:val="center"/>
          </w:tcPr>
          <w:p>
            <w:pPr>
              <w:widowControl/>
              <w:jc w:val="left"/>
              <w:textAlignment w:val="center"/>
              <w:rPr>
                <w:rFonts w:ascii="宋体" w:hAnsi="宋体" w:cs="方正小标宋简体"/>
                <w:b/>
                <w:bCs/>
                <w:szCs w:val="21"/>
              </w:rPr>
            </w:pPr>
            <w:r>
              <w:rPr>
                <w:rFonts w:hint="eastAsia" w:ascii="宋体" w:hAnsi="宋体" w:cs="方正小标宋简体"/>
                <w:b/>
                <w:bCs/>
                <w:kern w:val="0"/>
                <w:szCs w:val="21"/>
                <w:lang w:bidi="ar"/>
              </w:rPr>
              <w:t>结果评定：</w:t>
            </w:r>
          </w:p>
        </w:tc>
      </w:tr>
      <w:tr>
        <w:tblPrEx>
          <w:tblCellMar>
            <w:top w:w="0" w:type="dxa"/>
            <w:left w:w="108" w:type="dxa"/>
            <w:bottom w:w="0" w:type="dxa"/>
            <w:right w:w="108" w:type="dxa"/>
          </w:tblCellMar>
        </w:tblPrEx>
        <w:trPr>
          <w:trHeight w:val="320" w:hRule="atLeast"/>
          <w:jc w:val="center"/>
        </w:trPr>
        <w:tc>
          <w:tcPr>
            <w:tcW w:w="10488" w:type="dxa"/>
            <w:gridSpan w:val="7"/>
            <w:tcBorders>
              <w:top w:val="nil"/>
              <w:left w:val="nil"/>
              <w:bottom w:val="nil"/>
              <w:right w:val="nil"/>
            </w:tcBorders>
            <w:noWrap/>
            <w:vAlign w:val="center"/>
          </w:tcPr>
          <w:p>
            <w:pPr>
              <w:widowControl/>
              <w:jc w:val="left"/>
              <w:textAlignment w:val="center"/>
              <w:rPr>
                <w:rFonts w:ascii="宋体" w:hAnsi="宋体" w:cs="仿宋_GB2312"/>
                <w:szCs w:val="21"/>
              </w:rPr>
            </w:pPr>
            <w:r>
              <w:rPr>
                <w:rFonts w:hint="eastAsia" w:ascii="宋体" w:hAnsi="宋体" w:cs="仿宋_GB2312"/>
                <w:kern w:val="0"/>
                <w:szCs w:val="21"/>
                <w:lang w:bidi="ar"/>
              </w:rPr>
              <w:t>一、评估周期</w:t>
            </w:r>
          </w:p>
        </w:tc>
      </w:tr>
      <w:tr>
        <w:tblPrEx>
          <w:tblCellMar>
            <w:top w:w="0" w:type="dxa"/>
            <w:left w:w="108" w:type="dxa"/>
            <w:bottom w:w="0" w:type="dxa"/>
            <w:right w:w="108" w:type="dxa"/>
          </w:tblCellMar>
        </w:tblPrEx>
        <w:trPr>
          <w:trHeight w:val="320" w:hRule="atLeast"/>
          <w:jc w:val="center"/>
        </w:trPr>
        <w:tc>
          <w:tcPr>
            <w:tcW w:w="10488" w:type="dxa"/>
            <w:gridSpan w:val="7"/>
            <w:tcBorders>
              <w:top w:val="nil"/>
              <w:left w:val="nil"/>
              <w:bottom w:val="nil"/>
              <w:right w:val="nil"/>
            </w:tcBorders>
            <w:noWrap/>
            <w:vAlign w:val="center"/>
          </w:tcPr>
          <w:p>
            <w:pPr>
              <w:widowControl/>
              <w:ind w:firstLine="211" w:firstLineChars="100"/>
              <w:jc w:val="left"/>
              <w:textAlignment w:val="center"/>
              <w:rPr>
                <w:rFonts w:ascii="宋体" w:hAnsi="宋体" w:cs="仿宋_GB2312"/>
                <w:b/>
                <w:bCs/>
                <w:szCs w:val="21"/>
              </w:rPr>
            </w:pPr>
            <w:r>
              <w:rPr>
                <w:rFonts w:hint="eastAsia" w:ascii="宋体" w:hAnsi="宋体" w:cs="仿宋_GB2312"/>
                <w:b/>
                <w:bCs/>
                <w:kern w:val="0"/>
                <w:szCs w:val="21"/>
                <w:lang w:bidi="ar"/>
              </w:rPr>
              <w:t>每6个月评估一次。</w:t>
            </w:r>
          </w:p>
        </w:tc>
      </w:tr>
      <w:tr>
        <w:tblPrEx>
          <w:tblCellMar>
            <w:top w:w="0" w:type="dxa"/>
            <w:left w:w="108" w:type="dxa"/>
            <w:bottom w:w="0" w:type="dxa"/>
            <w:right w:w="108" w:type="dxa"/>
          </w:tblCellMar>
        </w:tblPrEx>
        <w:trPr>
          <w:trHeight w:val="320" w:hRule="atLeast"/>
          <w:jc w:val="center"/>
        </w:trPr>
        <w:tc>
          <w:tcPr>
            <w:tcW w:w="10488" w:type="dxa"/>
            <w:gridSpan w:val="7"/>
            <w:tcBorders>
              <w:top w:val="nil"/>
              <w:left w:val="nil"/>
              <w:bottom w:val="nil"/>
              <w:right w:val="nil"/>
            </w:tcBorders>
            <w:noWrap/>
            <w:vAlign w:val="center"/>
          </w:tcPr>
          <w:p>
            <w:pPr>
              <w:widowControl/>
              <w:jc w:val="left"/>
              <w:textAlignment w:val="center"/>
              <w:rPr>
                <w:rFonts w:ascii="宋体" w:hAnsi="宋体" w:cs="仿宋_GB2312"/>
                <w:szCs w:val="21"/>
              </w:rPr>
            </w:pPr>
            <w:r>
              <w:rPr>
                <w:rFonts w:hint="eastAsia" w:ascii="宋体" w:hAnsi="宋体" w:cs="仿宋_GB2312"/>
                <w:kern w:val="0"/>
                <w:szCs w:val="21"/>
                <w:lang w:bidi="ar"/>
              </w:rPr>
              <w:t>二、评估等级划分</w:t>
            </w:r>
          </w:p>
        </w:tc>
      </w:tr>
      <w:tr>
        <w:tblPrEx>
          <w:tblCellMar>
            <w:top w:w="0" w:type="dxa"/>
            <w:left w:w="108" w:type="dxa"/>
            <w:bottom w:w="0" w:type="dxa"/>
            <w:right w:w="108" w:type="dxa"/>
          </w:tblCellMar>
        </w:tblPrEx>
        <w:trPr>
          <w:trHeight w:val="320" w:hRule="atLeast"/>
          <w:jc w:val="center"/>
        </w:trPr>
        <w:tc>
          <w:tcPr>
            <w:tcW w:w="10488" w:type="dxa"/>
            <w:gridSpan w:val="7"/>
            <w:tcBorders>
              <w:top w:val="nil"/>
              <w:left w:val="nil"/>
              <w:bottom w:val="nil"/>
              <w:right w:val="nil"/>
            </w:tcBorders>
            <w:noWrap/>
            <w:vAlign w:val="center"/>
          </w:tcPr>
          <w:p>
            <w:pPr>
              <w:widowControl/>
              <w:ind w:firstLine="211" w:firstLineChars="100"/>
              <w:jc w:val="left"/>
              <w:textAlignment w:val="center"/>
              <w:rPr>
                <w:rFonts w:ascii="宋体" w:hAnsi="宋体" w:cs="仿宋_GB2312"/>
                <w:b/>
                <w:bCs/>
                <w:szCs w:val="21"/>
              </w:rPr>
            </w:pPr>
            <w:r>
              <w:rPr>
                <w:rFonts w:hint="eastAsia" w:ascii="宋体" w:hAnsi="宋体" w:cs="仿宋_GB2312"/>
                <w:b/>
                <w:bCs/>
                <w:kern w:val="0"/>
                <w:szCs w:val="21"/>
                <w:lang w:bidi="ar"/>
              </w:rPr>
              <w:t>1、优秀：90分及以上的，保留供应资格。</w:t>
            </w:r>
          </w:p>
        </w:tc>
      </w:tr>
      <w:tr>
        <w:tblPrEx>
          <w:tblCellMar>
            <w:top w:w="0" w:type="dxa"/>
            <w:left w:w="108" w:type="dxa"/>
            <w:bottom w:w="0" w:type="dxa"/>
            <w:right w:w="108" w:type="dxa"/>
          </w:tblCellMar>
        </w:tblPrEx>
        <w:trPr>
          <w:trHeight w:val="320" w:hRule="atLeast"/>
          <w:jc w:val="center"/>
        </w:trPr>
        <w:tc>
          <w:tcPr>
            <w:tcW w:w="10488" w:type="dxa"/>
            <w:gridSpan w:val="7"/>
            <w:tcBorders>
              <w:top w:val="nil"/>
              <w:left w:val="nil"/>
              <w:bottom w:val="nil"/>
              <w:right w:val="nil"/>
            </w:tcBorders>
            <w:noWrap/>
            <w:vAlign w:val="center"/>
          </w:tcPr>
          <w:p>
            <w:pPr>
              <w:widowControl/>
              <w:ind w:firstLine="211" w:firstLineChars="100"/>
              <w:jc w:val="left"/>
              <w:textAlignment w:val="center"/>
              <w:rPr>
                <w:rFonts w:ascii="宋体" w:hAnsi="宋体" w:cs="仿宋_GB2312"/>
                <w:b/>
                <w:bCs/>
                <w:szCs w:val="21"/>
              </w:rPr>
            </w:pPr>
            <w:r>
              <w:rPr>
                <w:rFonts w:hint="eastAsia" w:ascii="宋体" w:hAnsi="宋体" w:cs="仿宋_GB2312"/>
                <w:b/>
                <w:bCs/>
                <w:kern w:val="0"/>
                <w:szCs w:val="21"/>
                <w:lang w:bidi="ar"/>
              </w:rPr>
              <w:t>2、合格：80分及以上，90分以下的，保留供应资格，限期整改。</w:t>
            </w:r>
          </w:p>
        </w:tc>
      </w:tr>
      <w:tr>
        <w:tblPrEx>
          <w:tblCellMar>
            <w:top w:w="0" w:type="dxa"/>
            <w:left w:w="108" w:type="dxa"/>
            <w:bottom w:w="0" w:type="dxa"/>
            <w:right w:w="108" w:type="dxa"/>
          </w:tblCellMar>
        </w:tblPrEx>
        <w:trPr>
          <w:trHeight w:val="320" w:hRule="atLeast"/>
          <w:jc w:val="center"/>
        </w:trPr>
        <w:tc>
          <w:tcPr>
            <w:tcW w:w="10488" w:type="dxa"/>
            <w:gridSpan w:val="7"/>
            <w:tcBorders>
              <w:top w:val="nil"/>
              <w:left w:val="nil"/>
              <w:bottom w:val="nil"/>
              <w:right w:val="nil"/>
            </w:tcBorders>
            <w:noWrap/>
            <w:vAlign w:val="center"/>
          </w:tcPr>
          <w:p>
            <w:pPr>
              <w:widowControl/>
              <w:ind w:firstLine="211" w:firstLineChars="100"/>
              <w:jc w:val="left"/>
              <w:textAlignment w:val="center"/>
              <w:rPr>
                <w:rFonts w:ascii="宋体" w:hAnsi="宋体" w:cs="仿宋_GB2312"/>
                <w:b/>
                <w:bCs/>
                <w:szCs w:val="21"/>
              </w:rPr>
            </w:pPr>
            <w:r>
              <w:rPr>
                <w:rFonts w:hint="eastAsia" w:ascii="宋体" w:hAnsi="宋体" w:cs="仿宋_GB2312"/>
                <w:b/>
                <w:bCs/>
                <w:kern w:val="0"/>
                <w:szCs w:val="21"/>
                <w:lang w:bidi="ar"/>
              </w:rPr>
              <w:t>3、不合格：低于80分，取消供应资格</w:t>
            </w:r>
          </w:p>
        </w:tc>
      </w:tr>
      <w:tr>
        <w:tblPrEx>
          <w:tblCellMar>
            <w:top w:w="0" w:type="dxa"/>
            <w:left w:w="108" w:type="dxa"/>
            <w:bottom w:w="0" w:type="dxa"/>
            <w:right w:w="108" w:type="dxa"/>
          </w:tblCellMar>
        </w:tblPrEx>
        <w:trPr>
          <w:trHeight w:val="320" w:hRule="atLeast"/>
          <w:jc w:val="center"/>
        </w:trPr>
        <w:tc>
          <w:tcPr>
            <w:tcW w:w="10488" w:type="dxa"/>
            <w:gridSpan w:val="7"/>
            <w:tcBorders>
              <w:top w:val="nil"/>
              <w:left w:val="nil"/>
              <w:bottom w:val="nil"/>
              <w:right w:val="nil"/>
            </w:tcBorders>
            <w:noWrap/>
            <w:vAlign w:val="center"/>
          </w:tcPr>
          <w:p>
            <w:pPr>
              <w:widowControl/>
              <w:ind w:firstLine="211" w:firstLineChars="100"/>
              <w:jc w:val="left"/>
              <w:textAlignment w:val="center"/>
              <w:rPr>
                <w:rFonts w:ascii="宋体" w:hAnsi="宋体" w:cs="仿宋_GB2312"/>
                <w:b/>
                <w:bCs/>
                <w:szCs w:val="21"/>
              </w:rPr>
            </w:pPr>
            <w:r>
              <w:rPr>
                <w:rFonts w:hint="eastAsia" w:ascii="宋体" w:hAnsi="宋体" w:cs="仿宋_GB2312"/>
                <w:b/>
                <w:bCs/>
                <w:kern w:val="0"/>
                <w:szCs w:val="21"/>
                <w:lang w:bidi="ar"/>
              </w:rPr>
              <w:t>4、一票否决：无证照资质或证照资质不符合规定要求的，取消供应资格。</w:t>
            </w:r>
          </w:p>
        </w:tc>
      </w:tr>
      <w:tr>
        <w:tblPrEx>
          <w:tblCellMar>
            <w:top w:w="0" w:type="dxa"/>
            <w:left w:w="108" w:type="dxa"/>
            <w:bottom w:w="0" w:type="dxa"/>
            <w:right w:w="108" w:type="dxa"/>
          </w:tblCellMar>
        </w:tblPrEx>
        <w:trPr>
          <w:trHeight w:val="320" w:hRule="atLeast"/>
          <w:jc w:val="center"/>
        </w:trPr>
        <w:tc>
          <w:tcPr>
            <w:tcW w:w="10488" w:type="dxa"/>
            <w:gridSpan w:val="7"/>
            <w:tcBorders>
              <w:top w:val="nil"/>
              <w:left w:val="nil"/>
              <w:bottom w:val="nil"/>
              <w:right w:val="nil"/>
            </w:tcBorders>
            <w:noWrap/>
            <w:vAlign w:val="center"/>
          </w:tcPr>
          <w:p>
            <w:pPr>
              <w:widowControl/>
              <w:jc w:val="left"/>
              <w:textAlignment w:val="center"/>
              <w:rPr>
                <w:rFonts w:ascii="宋体" w:hAnsi="宋体" w:cs="仿宋_GB2312"/>
                <w:szCs w:val="21"/>
              </w:rPr>
            </w:pPr>
            <w:r>
              <w:rPr>
                <w:rFonts w:hint="eastAsia" w:ascii="宋体" w:hAnsi="宋体" w:cs="仿宋_GB2312"/>
                <w:kern w:val="0"/>
                <w:szCs w:val="21"/>
                <w:lang w:bidi="ar"/>
              </w:rPr>
              <w:t>三、评估意见及建议：</w:t>
            </w:r>
          </w:p>
        </w:tc>
      </w:tr>
      <w:tr>
        <w:tblPrEx>
          <w:tblCellMar>
            <w:top w:w="0" w:type="dxa"/>
            <w:left w:w="108" w:type="dxa"/>
            <w:bottom w:w="0" w:type="dxa"/>
            <w:right w:w="108" w:type="dxa"/>
          </w:tblCellMar>
        </w:tblPrEx>
        <w:trPr>
          <w:trHeight w:val="400" w:hRule="atLeast"/>
          <w:jc w:val="center"/>
        </w:trPr>
        <w:tc>
          <w:tcPr>
            <w:tcW w:w="10488" w:type="dxa"/>
            <w:gridSpan w:val="7"/>
            <w:tcBorders>
              <w:top w:val="nil"/>
              <w:left w:val="nil"/>
              <w:bottom w:val="nil"/>
              <w:right w:val="nil"/>
            </w:tcBorders>
            <w:noWrap/>
            <w:vAlign w:val="center"/>
          </w:tcPr>
          <w:p>
            <w:pPr>
              <w:jc w:val="left"/>
              <w:rPr>
                <w:rFonts w:ascii="宋体" w:hAnsi="宋体" w:cs="仿宋_GB2312"/>
                <w:szCs w:val="21"/>
              </w:rPr>
            </w:pPr>
          </w:p>
        </w:tc>
      </w:tr>
      <w:tr>
        <w:tblPrEx>
          <w:tblCellMar>
            <w:top w:w="0" w:type="dxa"/>
            <w:left w:w="108" w:type="dxa"/>
            <w:bottom w:w="0" w:type="dxa"/>
            <w:right w:w="108" w:type="dxa"/>
          </w:tblCellMar>
        </w:tblPrEx>
        <w:trPr>
          <w:trHeight w:val="320" w:hRule="atLeast"/>
          <w:jc w:val="center"/>
        </w:trPr>
        <w:tc>
          <w:tcPr>
            <w:tcW w:w="10488" w:type="dxa"/>
            <w:gridSpan w:val="7"/>
            <w:tcBorders>
              <w:top w:val="nil"/>
              <w:left w:val="nil"/>
              <w:bottom w:val="nil"/>
              <w:right w:val="nil"/>
            </w:tcBorders>
            <w:noWrap/>
            <w:vAlign w:val="center"/>
          </w:tcPr>
          <w:p>
            <w:pPr>
              <w:widowControl/>
              <w:jc w:val="left"/>
              <w:textAlignment w:val="center"/>
              <w:rPr>
                <w:rFonts w:ascii="宋体" w:hAnsi="宋体" w:cs="仿宋_GB2312"/>
                <w:szCs w:val="21"/>
              </w:rPr>
            </w:pPr>
            <w:r>
              <w:rPr>
                <w:rFonts w:hint="eastAsia" w:ascii="宋体" w:hAnsi="宋体" w:cs="仿宋_GB2312"/>
                <w:kern w:val="0"/>
                <w:szCs w:val="21"/>
                <w:lang w:bidi="ar"/>
              </w:rPr>
              <w:t>四、评估结果：优秀（   ）  合格（   ）  不合格（   ）。</w:t>
            </w:r>
          </w:p>
        </w:tc>
      </w:tr>
      <w:tr>
        <w:tblPrEx>
          <w:tblCellMar>
            <w:top w:w="0" w:type="dxa"/>
            <w:left w:w="108" w:type="dxa"/>
            <w:bottom w:w="0" w:type="dxa"/>
            <w:right w:w="108" w:type="dxa"/>
          </w:tblCellMar>
        </w:tblPrEx>
        <w:trPr>
          <w:trHeight w:val="320" w:hRule="atLeast"/>
          <w:jc w:val="center"/>
        </w:trPr>
        <w:tc>
          <w:tcPr>
            <w:tcW w:w="10488" w:type="dxa"/>
            <w:gridSpan w:val="7"/>
            <w:tcBorders>
              <w:top w:val="nil"/>
              <w:left w:val="nil"/>
              <w:bottom w:val="nil"/>
              <w:right w:val="nil"/>
            </w:tcBorders>
            <w:noWrap/>
            <w:vAlign w:val="center"/>
          </w:tcPr>
          <w:p>
            <w:pPr>
              <w:widowControl/>
              <w:jc w:val="left"/>
              <w:textAlignment w:val="center"/>
              <w:rPr>
                <w:rFonts w:ascii="宋体" w:hAnsi="宋体" w:cs="仿宋_GB2312"/>
                <w:szCs w:val="21"/>
              </w:rPr>
            </w:pPr>
            <w:r>
              <w:rPr>
                <w:rFonts w:hint="eastAsia" w:ascii="宋体" w:hAnsi="宋体" w:cs="仿宋_GB2312"/>
                <w:kern w:val="0"/>
                <w:szCs w:val="21"/>
                <w:lang w:bidi="ar"/>
              </w:rPr>
              <w:t>五、评估小组成员签字：</w:t>
            </w:r>
          </w:p>
        </w:tc>
      </w:tr>
      <w:tr>
        <w:tblPrEx>
          <w:tblCellMar>
            <w:top w:w="0" w:type="dxa"/>
            <w:left w:w="108" w:type="dxa"/>
            <w:bottom w:w="0" w:type="dxa"/>
            <w:right w:w="108" w:type="dxa"/>
          </w:tblCellMar>
        </w:tblPrEx>
        <w:trPr>
          <w:trHeight w:val="400" w:hRule="atLeast"/>
          <w:jc w:val="center"/>
        </w:trPr>
        <w:tc>
          <w:tcPr>
            <w:tcW w:w="10488" w:type="dxa"/>
            <w:gridSpan w:val="7"/>
            <w:tcBorders>
              <w:top w:val="nil"/>
              <w:left w:val="nil"/>
              <w:bottom w:val="nil"/>
              <w:right w:val="nil"/>
            </w:tcBorders>
            <w:noWrap/>
            <w:vAlign w:val="center"/>
          </w:tcPr>
          <w:p>
            <w:pPr>
              <w:jc w:val="left"/>
              <w:rPr>
                <w:rFonts w:ascii="宋体" w:hAnsi="宋体" w:cs="仿宋_GB2312"/>
                <w:szCs w:val="21"/>
              </w:rPr>
            </w:pPr>
          </w:p>
        </w:tc>
      </w:tr>
      <w:tr>
        <w:tblPrEx>
          <w:tblCellMar>
            <w:top w:w="0" w:type="dxa"/>
            <w:left w:w="108" w:type="dxa"/>
            <w:bottom w:w="0" w:type="dxa"/>
            <w:right w:w="108" w:type="dxa"/>
          </w:tblCellMar>
        </w:tblPrEx>
        <w:trPr>
          <w:trHeight w:val="320" w:hRule="atLeast"/>
          <w:jc w:val="center"/>
        </w:trPr>
        <w:tc>
          <w:tcPr>
            <w:tcW w:w="10488" w:type="dxa"/>
            <w:gridSpan w:val="7"/>
            <w:tcBorders>
              <w:top w:val="nil"/>
              <w:left w:val="nil"/>
              <w:bottom w:val="nil"/>
              <w:right w:val="nil"/>
            </w:tcBorders>
            <w:noWrap/>
            <w:vAlign w:val="center"/>
          </w:tcPr>
          <w:p>
            <w:pPr>
              <w:widowControl/>
              <w:ind w:firstLine="840" w:firstLineChars="400"/>
              <w:jc w:val="right"/>
              <w:textAlignment w:val="center"/>
              <w:rPr>
                <w:rFonts w:ascii="宋体" w:hAnsi="宋体" w:cs="仿宋_GB2312"/>
                <w:szCs w:val="21"/>
              </w:rPr>
            </w:pPr>
            <w:r>
              <w:rPr>
                <w:rFonts w:hint="eastAsia" w:ascii="宋体" w:hAnsi="宋体" w:cs="仿宋_GB2312"/>
                <w:kern w:val="0"/>
                <w:szCs w:val="21"/>
                <w:lang w:bidi="ar"/>
              </w:rPr>
              <w:t>年    月    日</w:t>
            </w:r>
          </w:p>
        </w:tc>
      </w:tr>
      <w:tr>
        <w:tblPrEx>
          <w:tblCellMar>
            <w:top w:w="0" w:type="dxa"/>
            <w:left w:w="108" w:type="dxa"/>
            <w:bottom w:w="0" w:type="dxa"/>
            <w:right w:w="108" w:type="dxa"/>
          </w:tblCellMar>
        </w:tblPrEx>
        <w:trPr>
          <w:trHeight w:val="320" w:hRule="atLeast"/>
          <w:jc w:val="center"/>
        </w:trPr>
        <w:tc>
          <w:tcPr>
            <w:tcW w:w="10488" w:type="dxa"/>
            <w:gridSpan w:val="7"/>
            <w:tcBorders>
              <w:top w:val="nil"/>
              <w:left w:val="nil"/>
              <w:bottom w:val="nil"/>
              <w:right w:val="nil"/>
            </w:tcBorders>
            <w:noWrap/>
            <w:vAlign w:val="center"/>
          </w:tcPr>
          <w:p>
            <w:pPr>
              <w:jc w:val="left"/>
              <w:rPr>
                <w:rFonts w:ascii="宋体" w:hAnsi="宋体" w:cs="仿宋_GB2312"/>
                <w:szCs w:val="21"/>
              </w:rPr>
            </w:pPr>
          </w:p>
        </w:tc>
      </w:tr>
      <w:tr>
        <w:tblPrEx>
          <w:tblCellMar>
            <w:top w:w="0" w:type="dxa"/>
            <w:left w:w="108" w:type="dxa"/>
            <w:bottom w:w="0" w:type="dxa"/>
            <w:right w:w="108" w:type="dxa"/>
          </w:tblCellMar>
        </w:tblPrEx>
        <w:trPr>
          <w:trHeight w:val="320" w:hRule="atLeast"/>
          <w:jc w:val="center"/>
        </w:trPr>
        <w:tc>
          <w:tcPr>
            <w:tcW w:w="10488" w:type="dxa"/>
            <w:gridSpan w:val="7"/>
            <w:tcBorders>
              <w:top w:val="nil"/>
              <w:left w:val="nil"/>
              <w:bottom w:val="nil"/>
              <w:right w:val="nil"/>
            </w:tcBorders>
            <w:noWrap/>
            <w:vAlign w:val="center"/>
          </w:tcPr>
          <w:p>
            <w:pPr>
              <w:widowControl/>
              <w:jc w:val="left"/>
              <w:textAlignment w:val="center"/>
              <w:rPr>
                <w:rFonts w:ascii="宋体" w:hAnsi="宋体" w:cs="仿宋_GB2312"/>
                <w:szCs w:val="21"/>
              </w:rPr>
            </w:pPr>
            <w:r>
              <w:rPr>
                <w:rFonts w:hint="eastAsia" w:ascii="宋体" w:hAnsi="宋体" w:cs="仿宋_GB2312"/>
                <w:kern w:val="0"/>
                <w:szCs w:val="21"/>
                <w:lang w:bidi="ar"/>
              </w:rPr>
              <w:t>六、被评供应商反馈意见：同意（  ）    不同意（  ）</w:t>
            </w:r>
          </w:p>
        </w:tc>
      </w:tr>
      <w:tr>
        <w:tblPrEx>
          <w:tblCellMar>
            <w:top w:w="0" w:type="dxa"/>
            <w:left w:w="108" w:type="dxa"/>
            <w:bottom w:w="0" w:type="dxa"/>
            <w:right w:w="108" w:type="dxa"/>
          </w:tblCellMar>
        </w:tblPrEx>
        <w:trPr>
          <w:trHeight w:val="285" w:hRule="atLeast"/>
          <w:jc w:val="center"/>
        </w:trPr>
        <w:tc>
          <w:tcPr>
            <w:tcW w:w="10488" w:type="dxa"/>
            <w:gridSpan w:val="7"/>
            <w:tcBorders>
              <w:top w:val="nil"/>
              <w:left w:val="nil"/>
              <w:bottom w:val="nil"/>
              <w:right w:val="nil"/>
            </w:tcBorders>
            <w:noWrap/>
            <w:vAlign w:val="center"/>
          </w:tcPr>
          <w:p>
            <w:pPr>
              <w:widowControl/>
              <w:jc w:val="left"/>
              <w:textAlignment w:val="center"/>
              <w:rPr>
                <w:rFonts w:ascii="宋体" w:hAnsi="宋体" w:cs="仿宋_GB2312"/>
                <w:szCs w:val="21"/>
              </w:rPr>
            </w:pPr>
            <w:r>
              <w:rPr>
                <w:rFonts w:hint="eastAsia" w:ascii="宋体" w:hAnsi="宋体" w:cs="仿宋_GB2312"/>
                <w:kern w:val="0"/>
                <w:szCs w:val="21"/>
                <w:lang w:bidi="ar"/>
              </w:rPr>
              <w:t>如不同意，请注明理由：</w:t>
            </w:r>
          </w:p>
        </w:tc>
      </w:tr>
      <w:tr>
        <w:tblPrEx>
          <w:tblCellMar>
            <w:top w:w="0" w:type="dxa"/>
            <w:left w:w="108" w:type="dxa"/>
            <w:bottom w:w="0" w:type="dxa"/>
            <w:right w:w="108" w:type="dxa"/>
          </w:tblCellMar>
        </w:tblPrEx>
        <w:trPr>
          <w:trHeight w:val="400" w:hRule="atLeast"/>
          <w:jc w:val="center"/>
        </w:trPr>
        <w:tc>
          <w:tcPr>
            <w:tcW w:w="10488" w:type="dxa"/>
            <w:gridSpan w:val="7"/>
            <w:tcBorders>
              <w:top w:val="nil"/>
              <w:left w:val="nil"/>
              <w:bottom w:val="nil"/>
              <w:right w:val="nil"/>
            </w:tcBorders>
            <w:noWrap/>
            <w:vAlign w:val="center"/>
          </w:tcPr>
          <w:p>
            <w:pPr>
              <w:jc w:val="left"/>
              <w:rPr>
                <w:rFonts w:ascii="宋体" w:hAnsi="宋体" w:cs="仿宋_GB2312"/>
                <w:szCs w:val="21"/>
              </w:rPr>
            </w:pPr>
          </w:p>
        </w:tc>
      </w:tr>
      <w:tr>
        <w:tblPrEx>
          <w:tblCellMar>
            <w:top w:w="0" w:type="dxa"/>
            <w:left w:w="108" w:type="dxa"/>
            <w:bottom w:w="0" w:type="dxa"/>
            <w:right w:w="108" w:type="dxa"/>
          </w:tblCellMar>
        </w:tblPrEx>
        <w:trPr>
          <w:trHeight w:val="400" w:hRule="atLeast"/>
          <w:jc w:val="center"/>
        </w:trPr>
        <w:tc>
          <w:tcPr>
            <w:tcW w:w="10488" w:type="dxa"/>
            <w:gridSpan w:val="7"/>
            <w:tcBorders>
              <w:top w:val="nil"/>
              <w:left w:val="nil"/>
              <w:bottom w:val="nil"/>
              <w:right w:val="nil"/>
            </w:tcBorders>
            <w:noWrap/>
            <w:vAlign w:val="center"/>
          </w:tcPr>
          <w:p>
            <w:pPr>
              <w:widowControl/>
              <w:ind w:firstLine="840" w:firstLineChars="400"/>
              <w:jc w:val="right"/>
              <w:textAlignment w:val="center"/>
              <w:rPr>
                <w:rFonts w:ascii="宋体" w:hAnsi="宋体" w:cs="仿宋_GB2312"/>
                <w:szCs w:val="21"/>
              </w:rPr>
            </w:pPr>
            <w:r>
              <w:rPr>
                <w:rFonts w:hint="eastAsia" w:ascii="宋体" w:hAnsi="宋体" w:cs="仿宋_GB2312"/>
                <w:kern w:val="0"/>
                <w:szCs w:val="21"/>
                <w:lang w:bidi="ar"/>
              </w:rPr>
              <w:t>被评供应商负责人签字：（企业公章）</w:t>
            </w:r>
          </w:p>
        </w:tc>
      </w:tr>
      <w:tr>
        <w:tblPrEx>
          <w:tblCellMar>
            <w:top w:w="0" w:type="dxa"/>
            <w:left w:w="108" w:type="dxa"/>
            <w:bottom w:w="0" w:type="dxa"/>
            <w:right w:w="108" w:type="dxa"/>
          </w:tblCellMar>
        </w:tblPrEx>
        <w:trPr>
          <w:trHeight w:val="400" w:hRule="atLeast"/>
          <w:jc w:val="center"/>
        </w:trPr>
        <w:tc>
          <w:tcPr>
            <w:tcW w:w="10488" w:type="dxa"/>
            <w:gridSpan w:val="7"/>
            <w:tcBorders>
              <w:top w:val="nil"/>
              <w:left w:val="nil"/>
              <w:bottom w:val="nil"/>
              <w:right w:val="nil"/>
            </w:tcBorders>
            <w:noWrap/>
            <w:vAlign w:val="center"/>
          </w:tcPr>
          <w:p>
            <w:pPr>
              <w:jc w:val="right"/>
              <w:rPr>
                <w:rFonts w:ascii="宋体" w:hAnsi="宋体" w:cs="仿宋_GB2312"/>
                <w:szCs w:val="21"/>
              </w:rPr>
            </w:pPr>
          </w:p>
        </w:tc>
      </w:tr>
      <w:tr>
        <w:tblPrEx>
          <w:tblCellMar>
            <w:top w:w="0" w:type="dxa"/>
            <w:left w:w="108" w:type="dxa"/>
            <w:bottom w:w="0" w:type="dxa"/>
            <w:right w:w="108" w:type="dxa"/>
          </w:tblCellMar>
        </w:tblPrEx>
        <w:trPr>
          <w:trHeight w:val="400" w:hRule="atLeast"/>
          <w:jc w:val="center"/>
        </w:trPr>
        <w:tc>
          <w:tcPr>
            <w:tcW w:w="10488" w:type="dxa"/>
            <w:gridSpan w:val="7"/>
            <w:tcBorders>
              <w:top w:val="nil"/>
              <w:left w:val="nil"/>
              <w:bottom w:val="nil"/>
              <w:right w:val="nil"/>
            </w:tcBorders>
            <w:noWrap/>
            <w:vAlign w:val="center"/>
          </w:tcPr>
          <w:p>
            <w:pPr>
              <w:widowControl/>
              <w:ind w:firstLine="840" w:firstLineChars="400"/>
              <w:jc w:val="right"/>
              <w:textAlignment w:val="center"/>
              <w:rPr>
                <w:rFonts w:ascii="宋体" w:hAnsi="宋体" w:cs="仿宋_GB2312"/>
                <w:szCs w:val="21"/>
              </w:rPr>
            </w:pPr>
            <w:r>
              <w:rPr>
                <w:rFonts w:hint="eastAsia" w:ascii="宋体" w:hAnsi="宋体" w:cs="仿宋_GB2312"/>
                <w:kern w:val="0"/>
                <w:szCs w:val="21"/>
                <w:lang w:bidi="ar"/>
              </w:rPr>
              <w:t>年    月    日</w:t>
            </w:r>
          </w:p>
        </w:tc>
      </w:tr>
    </w:tbl>
    <w:p>
      <w:pPr>
        <w:tabs>
          <w:tab w:val="left" w:pos="180"/>
          <w:tab w:val="left" w:pos="1620"/>
        </w:tabs>
        <w:spacing w:line="400" w:lineRule="exact"/>
        <w:ind w:firstLine="422" w:firstLineChars="200"/>
        <w:rPr>
          <w:rFonts w:hint="eastAsia" w:ascii="宋体" w:hAnsi="宋体" w:cs="宋体"/>
          <w:b/>
          <w:bCs/>
          <w:szCs w:val="21"/>
        </w:rPr>
      </w:pPr>
    </w:p>
    <w:p>
      <w:pPr>
        <w:tabs>
          <w:tab w:val="left" w:pos="180"/>
          <w:tab w:val="left" w:pos="1620"/>
        </w:tabs>
        <w:spacing w:line="400" w:lineRule="exact"/>
        <w:ind w:firstLine="422" w:firstLineChars="200"/>
        <w:rPr>
          <w:rFonts w:hint="eastAsia" w:ascii="宋体" w:hAnsi="宋体" w:cs="宋体"/>
          <w:b/>
          <w:bCs/>
          <w:szCs w:val="21"/>
        </w:rPr>
      </w:pPr>
    </w:p>
    <w:p>
      <w:pPr>
        <w:widowControl/>
        <w:jc w:val="left"/>
        <w:rPr>
          <w:rFonts w:hint="eastAsia" w:ascii="宋体" w:hAnsi="宋体" w:cs="宋体"/>
          <w:sz w:val="20"/>
          <w:szCs w:val="20"/>
        </w:rPr>
      </w:pPr>
    </w:p>
    <w:p>
      <w:pPr>
        <w:widowControl/>
        <w:jc w:val="left"/>
        <w:rPr>
          <w:rFonts w:ascii="黑体" w:hAnsi="黑体" w:eastAsia="黑体" w:cs="黑体"/>
          <w:sz w:val="32"/>
          <w:szCs w:val="32"/>
        </w:rPr>
      </w:pPr>
      <w:r>
        <w:rPr>
          <w:rFonts w:ascii="宋体" w:hAnsi="宋体" w:cs="宋体"/>
          <w:sz w:val="20"/>
          <w:szCs w:val="20"/>
        </w:rPr>
        <w:br w:type="page"/>
      </w:r>
      <w:r>
        <w:rPr>
          <w:rFonts w:hint="eastAsia" w:ascii="黑体" w:hAnsi="黑体" w:eastAsia="黑体" w:cs="黑体"/>
          <w:sz w:val="32"/>
          <w:szCs w:val="32"/>
        </w:rPr>
        <w:t>附件1：</w:t>
      </w:r>
    </w:p>
    <w:p>
      <w:pPr>
        <w:pStyle w:val="4"/>
        <w:jc w:val="center"/>
        <w:rPr>
          <w:rFonts w:hint="eastAsia"/>
          <w:b/>
          <w:sz w:val="28"/>
          <w:szCs w:val="28"/>
        </w:rPr>
      </w:pPr>
      <w:r>
        <w:rPr>
          <w:rFonts w:hint="eastAsia"/>
          <w:b/>
          <w:sz w:val="28"/>
          <w:szCs w:val="28"/>
        </w:rPr>
        <w:t>中小企业划型标准规定</w:t>
      </w:r>
    </w:p>
    <w:p>
      <w:pPr>
        <w:pStyle w:val="4"/>
        <w:jc w:val="center"/>
        <w:rPr>
          <w:rFonts w:ascii="宋体" w:hAnsi="宋体"/>
          <w:sz w:val="21"/>
          <w:szCs w:val="21"/>
        </w:rPr>
      </w:pPr>
      <w:r>
        <w:rPr>
          <w:rFonts w:hint="eastAsia" w:ascii="宋体" w:hAnsi="宋体"/>
          <w:szCs w:val="21"/>
        </w:rPr>
        <w:t>工信部联企业[2011]300号</w:t>
      </w:r>
    </w:p>
    <w:p>
      <w:pPr>
        <w:pStyle w:val="4"/>
        <w:rPr>
          <w:rFonts w:hint="eastAsia"/>
          <w:szCs w:val="21"/>
        </w:rPr>
      </w:pPr>
    </w:p>
    <w:p>
      <w:pPr>
        <w:pStyle w:val="4"/>
        <w:rPr>
          <w:szCs w:val="21"/>
        </w:rPr>
      </w:pPr>
      <w:r>
        <w:rPr>
          <w:rFonts w:hint="eastAsia"/>
          <w:szCs w:val="21"/>
        </w:rPr>
        <w:t>　　一、根据《中华人民共和国中小企业促进法》和《国务院关于进一步促进中小企业发展的若干意见》</w:t>
      </w:r>
      <w:r>
        <w:rPr>
          <w:szCs w:val="21"/>
        </w:rPr>
        <w:t>(</w:t>
      </w:r>
      <w:r>
        <w:rPr>
          <w:rFonts w:hint="eastAsia"/>
          <w:szCs w:val="21"/>
        </w:rPr>
        <w:t>国发</w:t>
      </w:r>
      <w:r>
        <w:rPr>
          <w:szCs w:val="21"/>
        </w:rPr>
        <w:t>[2009]36</w:t>
      </w:r>
      <w:r>
        <w:rPr>
          <w:rFonts w:hint="eastAsia"/>
          <w:szCs w:val="21"/>
        </w:rPr>
        <w:t>号</w:t>
      </w:r>
      <w:r>
        <w:rPr>
          <w:szCs w:val="21"/>
        </w:rPr>
        <w:t>)</w:t>
      </w:r>
      <w:r>
        <w:rPr>
          <w:rFonts w:hint="eastAsia"/>
          <w:szCs w:val="21"/>
        </w:rPr>
        <w:t>，制定本规定。</w:t>
      </w:r>
    </w:p>
    <w:p>
      <w:pPr>
        <w:pStyle w:val="4"/>
        <w:rPr>
          <w:szCs w:val="21"/>
        </w:rPr>
      </w:pPr>
      <w:r>
        <w:rPr>
          <w:rFonts w:hint="eastAsia"/>
          <w:szCs w:val="21"/>
        </w:rPr>
        <w:t>　　二、中小企业划分为中型、小型、微型三种类型，具体标准根据企业从业人员、营业收入、资产总额等指标，结合行业特点制定。</w:t>
      </w:r>
    </w:p>
    <w:p>
      <w:pPr>
        <w:pStyle w:val="4"/>
        <w:rPr>
          <w:szCs w:val="21"/>
        </w:rPr>
      </w:pPr>
      <w:r>
        <w:rPr>
          <w:rFonts w:hint="eastAsia"/>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4"/>
        <w:rPr>
          <w:szCs w:val="21"/>
        </w:rPr>
      </w:pPr>
      <w:r>
        <w:rPr>
          <w:rFonts w:hint="eastAsia"/>
          <w:szCs w:val="21"/>
        </w:rPr>
        <w:t>　　四、各行业划型标准为：</w:t>
      </w:r>
    </w:p>
    <w:p>
      <w:pPr>
        <w:pStyle w:val="4"/>
        <w:rPr>
          <w:szCs w:val="21"/>
        </w:rPr>
      </w:pPr>
      <w:r>
        <w:rPr>
          <w:rFonts w:hint="eastAsia"/>
          <w:szCs w:val="21"/>
        </w:rPr>
        <w:t>　　（一）农、林、牧、渔业。营业收入</w:t>
      </w:r>
      <w:r>
        <w:rPr>
          <w:szCs w:val="21"/>
        </w:rPr>
        <w:t>20000</w:t>
      </w:r>
      <w:r>
        <w:rPr>
          <w:rFonts w:hint="eastAsia"/>
          <w:szCs w:val="21"/>
        </w:rPr>
        <w:t>万元以下的为中小微型企业。其中，营业收入</w:t>
      </w:r>
      <w:r>
        <w:rPr>
          <w:szCs w:val="21"/>
        </w:rPr>
        <w:t>500</w:t>
      </w:r>
      <w:r>
        <w:rPr>
          <w:rFonts w:hint="eastAsia"/>
          <w:szCs w:val="21"/>
        </w:rPr>
        <w:t>万元及以上的为中型企业，营业收入</w:t>
      </w:r>
      <w:r>
        <w:rPr>
          <w:szCs w:val="21"/>
        </w:rPr>
        <w:t>50</w:t>
      </w:r>
      <w:r>
        <w:rPr>
          <w:rFonts w:hint="eastAsia"/>
          <w:szCs w:val="21"/>
        </w:rPr>
        <w:t>万元及以上的为小型企业，营业收入</w:t>
      </w:r>
      <w:r>
        <w:rPr>
          <w:szCs w:val="21"/>
        </w:rPr>
        <w:t>50</w:t>
      </w:r>
      <w:r>
        <w:rPr>
          <w:rFonts w:hint="eastAsia"/>
          <w:szCs w:val="21"/>
        </w:rPr>
        <w:t>万元以下的为微型企业。</w:t>
      </w:r>
    </w:p>
    <w:p>
      <w:pPr>
        <w:pStyle w:val="4"/>
        <w:rPr>
          <w:szCs w:val="21"/>
        </w:rPr>
      </w:pPr>
      <w:r>
        <w:rPr>
          <w:rFonts w:hint="eastAsia"/>
          <w:szCs w:val="21"/>
        </w:rPr>
        <w:t>　　（二）工业。从业人员</w:t>
      </w:r>
      <w:r>
        <w:rPr>
          <w:szCs w:val="21"/>
        </w:rPr>
        <w:t>1000</w:t>
      </w:r>
      <w:r>
        <w:rPr>
          <w:rFonts w:hint="eastAsia"/>
          <w:szCs w:val="21"/>
        </w:rPr>
        <w:t>人以下或营业收入</w:t>
      </w:r>
      <w:r>
        <w:rPr>
          <w:szCs w:val="21"/>
        </w:rPr>
        <w:t>40000</w:t>
      </w:r>
      <w:r>
        <w:rPr>
          <w:rFonts w:hint="eastAsia"/>
          <w:szCs w:val="21"/>
        </w:rPr>
        <w:t>万元以下的为中小微型企业。其中，从业人员</w:t>
      </w:r>
      <w:r>
        <w:rPr>
          <w:szCs w:val="21"/>
        </w:rPr>
        <w:t>300</w:t>
      </w:r>
      <w:r>
        <w:rPr>
          <w:rFonts w:hint="eastAsia"/>
          <w:szCs w:val="21"/>
        </w:rPr>
        <w:t>人及以上，且营业收入</w:t>
      </w:r>
      <w:r>
        <w:rPr>
          <w:szCs w:val="21"/>
        </w:rPr>
        <w:t>2000</w:t>
      </w:r>
      <w:r>
        <w:rPr>
          <w:rFonts w:hint="eastAsia"/>
          <w:szCs w:val="21"/>
        </w:rPr>
        <w:t>万元及以上的为中型企业；从业人员</w:t>
      </w:r>
      <w:r>
        <w:rPr>
          <w:szCs w:val="21"/>
        </w:rPr>
        <w:t>20</w:t>
      </w:r>
      <w:r>
        <w:rPr>
          <w:rFonts w:hint="eastAsia"/>
          <w:szCs w:val="21"/>
        </w:rPr>
        <w:t>人及以上，且营业收入</w:t>
      </w:r>
      <w:r>
        <w:rPr>
          <w:szCs w:val="21"/>
        </w:rPr>
        <w:t>300</w:t>
      </w:r>
      <w:r>
        <w:rPr>
          <w:rFonts w:hint="eastAsia"/>
          <w:szCs w:val="21"/>
        </w:rPr>
        <w:t>万元及以上的为小型企业；从业人员</w:t>
      </w:r>
      <w:r>
        <w:rPr>
          <w:szCs w:val="21"/>
        </w:rPr>
        <w:t>20</w:t>
      </w:r>
      <w:r>
        <w:rPr>
          <w:rFonts w:hint="eastAsia"/>
          <w:szCs w:val="21"/>
        </w:rPr>
        <w:t>人以下或营业收入</w:t>
      </w:r>
      <w:r>
        <w:rPr>
          <w:szCs w:val="21"/>
        </w:rPr>
        <w:t>300</w:t>
      </w:r>
      <w:r>
        <w:rPr>
          <w:rFonts w:hint="eastAsia"/>
          <w:szCs w:val="21"/>
        </w:rPr>
        <w:t>万元以下的为微型企业。</w:t>
      </w:r>
    </w:p>
    <w:p>
      <w:pPr>
        <w:pStyle w:val="4"/>
        <w:rPr>
          <w:szCs w:val="21"/>
        </w:rPr>
      </w:pPr>
      <w:r>
        <w:rPr>
          <w:rFonts w:hint="eastAsia"/>
          <w:szCs w:val="21"/>
        </w:rPr>
        <w:t>　　（三）建筑业。营业收入</w:t>
      </w:r>
      <w:r>
        <w:rPr>
          <w:szCs w:val="21"/>
        </w:rPr>
        <w:t>80000</w:t>
      </w:r>
      <w:r>
        <w:rPr>
          <w:rFonts w:hint="eastAsia"/>
          <w:szCs w:val="21"/>
        </w:rPr>
        <w:t>万元以下或资产总额</w:t>
      </w:r>
      <w:r>
        <w:rPr>
          <w:szCs w:val="21"/>
        </w:rPr>
        <w:t>80000</w:t>
      </w:r>
      <w:r>
        <w:rPr>
          <w:rFonts w:hint="eastAsia"/>
          <w:szCs w:val="21"/>
        </w:rPr>
        <w:t>万元以下的为中小微型企业。其中，营业收入</w:t>
      </w:r>
      <w:r>
        <w:rPr>
          <w:szCs w:val="21"/>
        </w:rPr>
        <w:t>6000</w:t>
      </w:r>
      <w:r>
        <w:rPr>
          <w:rFonts w:hint="eastAsia"/>
          <w:szCs w:val="21"/>
        </w:rPr>
        <w:t>万元及以上，且资产总额</w:t>
      </w:r>
      <w:r>
        <w:rPr>
          <w:szCs w:val="21"/>
        </w:rPr>
        <w:t>5000</w:t>
      </w:r>
      <w:r>
        <w:rPr>
          <w:rFonts w:hint="eastAsia"/>
          <w:szCs w:val="21"/>
        </w:rPr>
        <w:t>万元及以上的为中型企业；营业收入</w:t>
      </w:r>
      <w:r>
        <w:rPr>
          <w:szCs w:val="21"/>
        </w:rPr>
        <w:t>300</w:t>
      </w:r>
      <w:r>
        <w:rPr>
          <w:rFonts w:hint="eastAsia"/>
          <w:szCs w:val="21"/>
        </w:rPr>
        <w:t>万元及以上，且资产总额</w:t>
      </w:r>
      <w:r>
        <w:rPr>
          <w:szCs w:val="21"/>
        </w:rPr>
        <w:t>300</w:t>
      </w:r>
      <w:r>
        <w:rPr>
          <w:rFonts w:hint="eastAsia"/>
          <w:szCs w:val="21"/>
        </w:rPr>
        <w:t>万元及以上的为小型企业；营业收入</w:t>
      </w:r>
      <w:r>
        <w:rPr>
          <w:szCs w:val="21"/>
        </w:rPr>
        <w:t>300</w:t>
      </w:r>
      <w:r>
        <w:rPr>
          <w:rFonts w:hint="eastAsia"/>
          <w:szCs w:val="21"/>
        </w:rPr>
        <w:t>万元以下或资产总额</w:t>
      </w:r>
      <w:r>
        <w:rPr>
          <w:szCs w:val="21"/>
        </w:rPr>
        <w:t>300</w:t>
      </w:r>
      <w:r>
        <w:rPr>
          <w:rFonts w:hint="eastAsia"/>
          <w:szCs w:val="21"/>
        </w:rPr>
        <w:t>万元以下的为微型企业。</w:t>
      </w:r>
    </w:p>
    <w:p>
      <w:pPr>
        <w:pStyle w:val="4"/>
        <w:rPr>
          <w:szCs w:val="21"/>
        </w:rPr>
      </w:pPr>
      <w:r>
        <w:rPr>
          <w:rFonts w:hint="eastAsia"/>
          <w:szCs w:val="21"/>
        </w:rPr>
        <w:t>　　（四）批发业。从业人员</w:t>
      </w:r>
      <w:r>
        <w:rPr>
          <w:szCs w:val="21"/>
        </w:rPr>
        <w:t>200</w:t>
      </w:r>
      <w:r>
        <w:rPr>
          <w:rFonts w:hint="eastAsia"/>
          <w:szCs w:val="21"/>
        </w:rPr>
        <w:t>人以下或营业收入</w:t>
      </w:r>
      <w:r>
        <w:rPr>
          <w:szCs w:val="21"/>
        </w:rPr>
        <w:t>40000</w:t>
      </w:r>
      <w:r>
        <w:rPr>
          <w:rFonts w:hint="eastAsia"/>
          <w:szCs w:val="21"/>
        </w:rPr>
        <w:t>万元以下的为中小微型企业。其中，从业人员</w:t>
      </w:r>
      <w:r>
        <w:rPr>
          <w:szCs w:val="21"/>
        </w:rPr>
        <w:t>20</w:t>
      </w:r>
      <w:r>
        <w:rPr>
          <w:rFonts w:hint="eastAsia"/>
          <w:szCs w:val="21"/>
        </w:rPr>
        <w:t>人及以上，且营业收入</w:t>
      </w:r>
      <w:r>
        <w:rPr>
          <w:szCs w:val="21"/>
        </w:rPr>
        <w:t>5000</w:t>
      </w:r>
      <w:r>
        <w:rPr>
          <w:rFonts w:hint="eastAsia"/>
          <w:szCs w:val="21"/>
        </w:rPr>
        <w:t>万元及以上的为中型企业；从业人员</w:t>
      </w:r>
      <w:r>
        <w:rPr>
          <w:szCs w:val="21"/>
        </w:rPr>
        <w:t>5</w:t>
      </w:r>
      <w:r>
        <w:rPr>
          <w:rFonts w:hint="eastAsia"/>
          <w:szCs w:val="21"/>
        </w:rPr>
        <w:t>人及以上，且营业收入</w:t>
      </w:r>
      <w:r>
        <w:rPr>
          <w:szCs w:val="21"/>
        </w:rPr>
        <w:t>1000</w:t>
      </w:r>
      <w:r>
        <w:rPr>
          <w:rFonts w:hint="eastAsia"/>
          <w:szCs w:val="21"/>
        </w:rPr>
        <w:t>万元及以上的为小型企业；从业人员</w:t>
      </w:r>
      <w:r>
        <w:rPr>
          <w:szCs w:val="21"/>
        </w:rPr>
        <w:t>5</w:t>
      </w:r>
      <w:r>
        <w:rPr>
          <w:rFonts w:hint="eastAsia"/>
          <w:szCs w:val="21"/>
        </w:rPr>
        <w:t>人以下或营业收入</w:t>
      </w:r>
      <w:r>
        <w:rPr>
          <w:szCs w:val="21"/>
        </w:rPr>
        <w:t>1000</w:t>
      </w:r>
      <w:r>
        <w:rPr>
          <w:rFonts w:hint="eastAsia"/>
          <w:szCs w:val="21"/>
        </w:rPr>
        <w:t>万元以下的为微型企业。</w:t>
      </w:r>
    </w:p>
    <w:p>
      <w:pPr>
        <w:pStyle w:val="4"/>
        <w:rPr>
          <w:szCs w:val="21"/>
        </w:rPr>
      </w:pPr>
      <w:r>
        <w:rPr>
          <w:rFonts w:hint="eastAsia"/>
          <w:szCs w:val="21"/>
        </w:rPr>
        <w:t>　　（五）零售业。从业人员</w:t>
      </w:r>
      <w:r>
        <w:rPr>
          <w:szCs w:val="21"/>
        </w:rPr>
        <w:t>300</w:t>
      </w:r>
      <w:r>
        <w:rPr>
          <w:rFonts w:hint="eastAsia"/>
          <w:szCs w:val="21"/>
        </w:rPr>
        <w:t>人以下或营业收入</w:t>
      </w:r>
      <w:r>
        <w:rPr>
          <w:szCs w:val="21"/>
        </w:rPr>
        <w:t>20000</w:t>
      </w:r>
      <w:r>
        <w:rPr>
          <w:rFonts w:hint="eastAsia"/>
          <w:szCs w:val="21"/>
        </w:rPr>
        <w:t>万元以下的为中小微型企业。其中，从业人员</w:t>
      </w:r>
      <w:r>
        <w:rPr>
          <w:szCs w:val="21"/>
        </w:rPr>
        <w:t>50</w:t>
      </w:r>
      <w:r>
        <w:rPr>
          <w:rFonts w:hint="eastAsia"/>
          <w:szCs w:val="21"/>
        </w:rPr>
        <w:t>人及以上，且营业收入</w:t>
      </w:r>
      <w:r>
        <w:rPr>
          <w:szCs w:val="21"/>
        </w:rPr>
        <w:t>500</w:t>
      </w:r>
      <w:r>
        <w:rPr>
          <w:rFonts w:hint="eastAsia"/>
          <w:szCs w:val="21"/>
        </w:rPr>
        <w:t>万元及以上的为中型企业；从业人员</w:t>
      </w:r>
      <w:r>
        <w:rPr>
          <w:szCs w:val="21"/>
        </w:rPr>
        <w:t>10</w:t>
      </w:r>
      <w:r>
        <w:rPr>
          <w:rFonts w:hint="eastAsia"/>
          <w:szCs w:val="21"/>
        </w:rPr>
        <w:t>人及以上，且营业收入</w:t>
      </w:r>
      <w:r>
        <w:rPr>
          <w:szCs w:val="21"/>
        </w:rPr>
        <w:t>100</w:t>
      </w:r>
      <w:r>
        <w:rPr>
          <w:rFonts w:hint="eastAsia"/>
          <w:szCs w:val="21"/>
        </w:rPr>
        <w:t>万元及以上的为小型企业；从业人员</w:t>
      </w:r>
      <w:r>
        <w:rPr>
          <w:szCs w:val="21"/>
        </w:rPr>
        <w:t>10</w:t>
      </w:r>
      <w:r>
        <w:rPr>
          <w:rFonts w:hint="eastAsia"/>
          <w:szCs w:val="21"/>
        </w:rPr>
        <w:t>人以下或营业收入</w:t>
      </w:r>
      <w:r>
        <w:rPr>
          <w:szCs w:val="21"/>
        </w:rPr>
        <w:t>100</w:t>
      </w:r>
      <w:r>
        <w:rPr>
          <w:rFonts w:hint="eastAsia"/>
          <w:szCs w:val="21"/>
        </w:rPr>
        <w:t>万元以下的为微型企业。</w:t>
      </w:r>
    </w:p>
    <w:p>
      <w:pPr>
        <w:pStyle w:val="4"/>
        <w:rPr>
          <w:szCs w:val="21"/>
        </w:rPr>
      </w:pPr>
      <w:r>
        <w:rPr>
          <w:rFonts w:hint="eastAsia"/>
          <w:szCs w:val="21"/>
        </w:rPr>
        <w:t>　　（六）交通运输业。从业人员</w:t>
      </w:r>
      <w:r>
        <w:rPr>
          <w:szCs w:val="21"/>
        </w:rPr>
        <w:t>1000</w:t>
      </w:r>
      <w:r>
        <w:rPr>
          <w:rFonts w:hint="eastAsia"/>
          <w:szCs w:val="21"/>
        </w:rPr>
        <w:t>人以下或营业收入</w:t>
      </w:r>
      <w:r>
        <w:rPr>
          <w:szCs w:val="21"/>
        </w:rPr>
        <w:t>30000</w:t>
      </w:r>
      <w:r>
        <w:rPr>
          <w:rFonts w:hint="eastAsia"/>
          <w:szCs w:val="21"/>
        </w:rPr>
        <w:t>万元以下的为中小微型企业。其中，从业人员</w:t>
      </w:r>
      <w:r>
        <w:rPr>
          <w:szCs w:val="21"/>
        </w:rPr>
        <w:t>300</w:t>
      </w:r>
      <w:r>
        <w:rPr>
          <w:rFonts w:hint="eastAsia"/>
          <w:szCs w:val="21"/>
        </w:rPr>
        <w:t>人及以上，且营业收入</w:t>
      </w:r>
      <w:r>
        <w:rPr>
          <w:szCs w:val="21"/>
        </w:rPr>
        <w:t>3000</w:t>
      </w:r>
      <w:r>
        <w:rPr>
          <w:rFonts w:hint="eastAsia"/>
          <w:szCs w:val="21"/>
        </w:rPr>
        <w:t>万元及以上的为中型企业；从业人员</w:t>
      </w:r>
      <w:r>
        <w:rPr>
          <w:szCs w:val="21"/>
        </w:rPr>
        <w:t>20</w:t>
      </w:r>
      <w:r>
        <w:rPr>
          <w:rFonts w:hint="eastAsia"/>
          <w:szCs w:val="21"/>
        </w:rPr>
        <w:t>人及以上，且营业收入</w:t>
      </w:r>
      <w:r>
        <w:rPr>
          <w:szCs w:val="21"/>
        </w:rPr>
        <w:t>200</w:t>
      </w:r>
      <w:r>
        <w:rPr>
          <w:rFonts w:hint="eastAsia"/>
          <w:szCs w:val="21"/>
        </w:rPr>
        <w:t>万元及以上的为小型企业；从业人员</w:t>
      </w:r>
      <w:r>
        <w:rPr>
          <w:szCs w:val="21"/>
        </w:rPr>
        <w:t>20</w:t>
      </w:r>
      <w:r>
        <w:rPr>
          <w:rFonts w:hint="eastAsia"/>
          <w:szCs w:val="21"/>
        </w:rPr>
        <w:t>人以下或营业收入</w:t>
      </w:r>
      <w:r>
        <w:rPr>
          <w:szCs w:val="21"/>
        </w:rPr>
        <w:t>200</w:t>
      </w:r>
      <w:r>
        <w:rPr>
          <w:rFonts w:hint="eastAsia"/>
          <w:szCs w:val="21"/>
        </w:rPr>
        <w:t>万元以下的为微型企业。</w:t>
      </w:r>
    </w:p>
    <w:p>
      <w:pPr>
        <w:pStyle w:val="4"/>
        <w:rPr>
          <w:szCs w:val="21"/>
        </w:rPr>
      </w:pPr>
      <w:r>
        <w:rPr>
          <w:rFonts w:hint="eastAsia"/>
          <w:szCs w:val="21"/>
        </w:rPr>
        <w:t>　　（七）仓储业。从业人员</w:t>
      </w:r>
      <w:r>
        <w:rPr>
          <w:szCs w:val="21"/>
        </w:rPr>
        <w:t>200</w:t>
      </w:r>
      <w:r>
        <w:rPr>
          <w:rFonts w:hint="eastAsia"/>
          <w:szCs w:val="21"/>
        </w:rPr>
        <w:t>人以下或营业收入</w:t>
      </w:r>
      <w:r>
        <w:rPr>
          <w:szCs w:val="21"/>
        </w:rPr>
        <w:t>30000</w:t>
      </w:r>
      <w:r>
        <w:rPr>
          <w:rFonts w:hint="eastAsia"/>
          <w:szCs w:val="21"/>
        </w:rPr>
        <w:t>万元以下的为中小微型企业。其中，从业人员</w:t>
      </w:r>
      <w:r>
        <w:rPr>
          <w:szCs w:val="21"/>
        </w:rPr>
        <w:t>100</w:t>
      </w:r>
      <w:r>
        <w:rPr>
          <w:rFonts w:hint="eastAsia"/>
          <w:szCs w:val="21"/>
        </w:rPr>
        <w:t>人及以上，且营业收入</w:t>
      </w:r>
      <w:r>
        <w:rPr>
          <w:szCs w:val="21"/>
        </w:rPr>
        <w:t>1000</w:t>
      </w:r>
      <w:r>
        <w:rPr>
          <w:rFonts w:hint="eastAsia"/>
          <w:szCs w:val="21"/>
        </w:rPr>
        <w:t>万元及以上的为中型企业；从业人员</w:t>
      </w:r>
      <w:r>
        <w:rPr>
          <w:szCs w:val="21"/>
        </w:rPr>
        <w:t>20</w:t>
      </w:r>
      <w:r>
        <w:rPr>
          <w:rFonts w:hint="eastAsia"/>
          <w:szCs w:val="21"/>
        </w:rPr>
        <w:t>人及以上，且营业收入</w:t>
      </w:r>
      <w:r>
        <w:rPr>
          <w:szCs w:val="21"/>
        </w:rPr>
        <w:t>100</w:t>
      </w:r>
      <w:r>
        <w:rPr>
          <w:rFonts w:hint="eastAsia"/>
          <w:szCs w:val="21"/>
        </w:rPr>
        <w:t>万元及以上的为小型企业；从业人员</w:t>
      </w:r>
      <w:r>
        <w:rPr>
          <w:szCs w:val="21"/>
        </w:rPr>
        <w:t>20</w:t>
      </w:r>
      <w:r>
        <w:rPr>
          <w:rFonts w:hint="eastAsia"/>
          <w:szCs w:val="21"/>
        </w:rPr>
        <w:t>人以下或营业收入</w:t>
      </w:r>
      <w:r>
        <w:rPr>
          <w:szCs w:val="21"/>
        </w:rPr>
        <w:t>100</w:t>
      </w:r>
      <w:r>
        <w:rPr>
          <w:rFonts w:hint="eastAsia"/>
          <w:szCs w:val="21"/>
        </w:rPr>
        <w:t>万元以下的为微型企业。</w:t>
      </w:r>
    </w:p>
    <w:p>
      <w:pPr>
        <w:pStyle w:val="4"/>
        <w:rPr>
          <w:szCs w:val="21"/>
        </w:rPr>
      </w:pPr>
      <w:r>
        <w:rPr>
          <w:rFonts w:hint="eastAsia"/>
          <w:szCs w:val="21"/>
        </w:rPr>
        <w:t>　　（八）邮政业。从业人员</w:t>
      </w:r>
      <w:r>
        <w:rPr>
          <w:szCs w:val="21"/>
        </w:rPr>
        <w:t>1000</w:t>
      </w:r>
      <w:r>
        <w:rPr>
          <w:rFonts w:hint="eastAsia"/>
          <w:szCs w:val="21"/>
        </w:rPr>
        <w:t>人以下或营业收入</w:t>
      </w:r>
      <w:r>
        <w:rPr>
          <w:szCs w:val="21"/>
        </w:rPr>
        <w:t>30000</w:t>
      </w:r>
      <w:r>
        <w:rPr>
          <w:rFonts w:hint="eastAsia"/>
          <w:szCs w:val="21"/>
        </w:rPr>
        <w:t>万元以下的为中小微型企业。其中，从业人员</w:t>
      </w:r>
      <w:r>
        <w:rPr>
          <w:szCs w:val="21"/>
        </w:rPr>
        <w:t>300</w:t>
      </w:r>
      <w:r>
        <w:rPr>
          <w:rFonts w:hint="eastAsia"/>
          <w:szCs w:val="21"/>
        </w:rPr>
        <w:t>人及以上，且营业收入</w:t>
      </w:r>
      <w:r>
        <w:rPr>
          <w:szCs w:val="21"/>
        </w:rPr>
        <w:t>2000</w:t>
      </w:r>
      <w:r>
        <w:rPr>
          <w:rFonts w:hint="eastAsia"/>
          <w:szCs w:val="21"/>
        </w:rPr>
        <w:t>万元及以上的为中型企业；从业人员</w:t>
      </w:r>
      <w:r>
        <w:rPr>
          <w:szCs w:val="21"/>
        </w:rPr>
        <w:t>20</w:t>
      </w:r>
      <w:r>
        <w:rPr>
          <w:rFonts w:hint="eastAsia"/>
          <w:szCs w:val="21"/>
        </w:rPr>
        <w:t>人及以上，且营业收入</w:t>
      </w:r>
      <w:r>
        <w:rPr>
          <w:szCs w:val="21"/>
        </w:rPr>
        <w:t>100</w:t>
      </w:r>
      <w:r>
        <w:rPr>
          <w:rFonts w:hint="eastAsia"/>
          <w:szCs w:val="21"/>
        </w:rPr>
        <w:t>万元及以上的为小型企业；从业人员</w:t>
      </w:r>
      <w:r>
        <w:rPr>
          <w:szCs w:val="21"/>
        </w:rPr>
        <w:t>20</w:t>
      </w:r>
      <w:r>
        <w:rPr>
          <w:rFonts w:hint="eastAsia"/>
          <w:szCs w:val="21"/>
        </w:rPr>
        <w:t>人以下或营业收入</w:t>
      </w:r>
      <w:r>
        <w:rPr>
          <w:szCs w:val="21"/>
        </w:rPr>
        <w:t>100</w:t>
      </w:r>
      <w:r>
        <w:rPr>
          <w:rFonts w:hint="eastAsia"/>
          <w:szCs w:val="21"/>
        </w:rPr>
        <w:t>万元以下的为微型企业。</w:t>
      </w:r>
    </w:p>
    <w:p>
      <w:pPr>
        <w:pStyle w:val="4"/>
        <w:rPr>
          <w:szCs w:val="21"/>
        </w:rPr>
      </w:pPr>
      <w:r>
        <w:rPr>
          <w:rFonts w:hint="eastAsia"/>
          <w:szCs w:val="21"/>
        </w:rPr>
        <w:t>　　（九）住宿业。从业人员</w:t>
      </w:r>
      <w:r>
        <w:rPr>
          <w:szCs w:val="21"/>
        </w:rPr>
        <w:t>300</w:t>
      </w:r>
      <w:r>
        <w:rPr>
          <w:rFonts w:hint="eastAsia"/>
          <w:szCs w:val="21"/>
        </w:rPr>
        <w:t>人以下或营业收入</w:t>
      </w:r>
      <w:r>
        <w:rPr>
          <w:szCs w:val="21"/>
        </w:rPr>
        <w:t>10000</w:t>
      </w:r>
      <w:r>
        <w:rPr>
          <w:rFonts w:hint="eastAsia"/>
          <w:szCs w:val="21"/>
        </w:rPr>
        <w:t>万元以下的为中小微型企业。其中，从业人员</w:t>
      </w:r>
      <w:r>
        <w:rPr>
          <w:szCs w:val="21"/>
        </w:rPr>
        <w:t>100</w:t>
      </w:r>
      <w:r>
        <w:rPr>
          <w:rFonts w:hint="eastAsia"/>
          <w:szCs w:val="21"/>
        </w:rPr>
        <w:t>人及以上，且营业收入</w:t>
      </w:r>
      <w:r>
        <w:rPr>
          <w:szCs w:val="21"/>
        </w:rPr>
        <w:t>2000</w:t>
      </w:r>
      <w:r>
        <w:rPr>
          <w:rFonts w:hint="eastAsia"/>
          <w:szCs w:val="21"/>
        </w:rPr>
        <w:t>万元及以上的为中型企业；从业人员</w:t>
      </w:r>
      <w:r>
        <w:rPr>
          <w:szCs w:val="21"/>
        </w:rPr>
        <w:t>10</w:t>
      </w:r>
      <w:r>
        <w:rPr>
          <w:rFonts w:hint="eastAsia"/>
          <w:szCs w:val="21"/>
        </w:rPr>
        <w:t>人及以上，且营业收入</w:t>
      </w:r>
      <w:r>
        <w:rPr>
          <w:szCs w:val="21"/>
        </w:rPr>
        <w:t>100</w:t>
      </w:r>
      <w:r>
        <w:rPr>
          <w:rFonts w:hint="eastAsia"/>
          <w:szCs w:val="21"/>
        </w:rPr>
        <w:t>万元及以上的为小型企业；从业人员</w:t>
      </w:r>
      <w:r>
        <w:rPr>
          <w:szCs w:val="21"/>
        </w:rPr>
        <w:t>10</w:t>
      </w:r>
      <w:r>
        <w:rPr>
          <w:rFonts w:hint="eastAsia"/>
          <w:szCs w:val="21"/>
        </w:rPr>
        <w:t>人以下或营业收入</w:t>
      </w:r>
      <w:r>
        <w:rPr>
          <w:szCs w:val="21"/>
        </w:rPr>
        <w:t>100</w:t>
      </w:r>
      <w:r>
        <w:rPr>
          <w:rFonts w:hint="eastAsia"/>
          <w:szCs w:val="21"/>
        </w:rPr>
        <w:t>万元以下的为微型企业。</w:t>
      </w:r>
    </w:p>
    <w:p>
      <w:pPr>
        <w:pStyle w:val="4"/>
        <w:rPr>
          <w:szCs w:val="21"/>
        </w:rPr>
      </w:pPr>
      <w:r>
        <w:rPr>
          <w:rFonts w:hint="eastAsia"/>
          <w:szCs w:val="21"/>
        </w:rPr>
        <w:t>　　（十）餐饮业。从业人员</w:t>
      </w:r>
      <w:r>
        <w:rPr>
          <w:szCs w:val="21"/>
        </w:rPr>
        <w:t>300</w:t>
      </w:r>
      <w:r>
        <w:rPr>
          <w:rFonts w:hint="eastAsia"/>
          <w:szCs w:val="21"/>
        </w:rPr>
        <w:t>人以下或营业收入</w:t>
      </w:r>
      <w:r>
        <w:rPr>
          <w:szCs w:val="21"/>
        </w:rPr>
        <w:t>10000</w:t>
      </w:r>
      <w:r>
        <w:rPr>
          <w:rFonts w:hint="eastAsia"/>
          <w:szCs w:val="21"/>
        </w:rPr>
        <w:t>万元以下的为中小微型企业。其中，从业人员</w:t>
      </w:r>
      <w:r>
        <w:rPr>
          <w:szCs w:val="21"/>
        </w:rPr>
        <w:t>100</w:t>
      </w:r>
      <w:r>
        <w:rPr>
          <w:rFonts w:hint="eastAsia"/>
          <w:szCs w:val="21"/>
        </w:rPr>
        <w:t>人及以上，且营业收入</w:t>
      </w:r>
      <w:r>
        <w:rPr>
          <w:szCs w:val="21"/>
        </w:rPr>
        <w:t>2000</w:t>
      </w:r>
      <w:r>
        <w:rPr>
          <w:rFonts w:hint="eastAsia"/>
          <w:szCs w:val="21"/>
        </w:rPr>
        <w:t>万元及以上的为中型企业；从业人员</w:t>
      </w:r>
      <w:r>
        <w:rPr>
          <w:szCs w:val="21"/>
        </w:rPr>
        <w:t>10</w:t>
      </w:r>
      <w:r>
        <w:rPr>
          <w:rFonts w:hint="eastAsia"/>
          <w:szCs w:val="21"/>
        </w:rPr>
        <w:t>人及以上，且营业收入</w:t>
      </w:r>
      <w:r>
        <w:rPr>
          <w:szCs w:val="21"/>
        </w:rPr>
        <w:t>100</w:t>
      </w:r>
      <w:r>
        <w:rPr>
          <w:rFonts w:hint="eastAsia"/>
          <w:szCs w:val="21"/>
        </w:rPr>
        <w:t>万元及以上的为小型企业；从业人员</w:t>
      </w:r>
      <w:r>
        <w:rPr>
          <w:szCs w:val="21"/>
        </w:rPr>
        <w:t>10</w:t>
      </w:r>
      <w:r>
        <w:rPr>
          <w:rFonts w:hint="eastAsia"/>
          <w:szCs w:val="21"/>
        </w:rPr>
        <w:t>人以下或营业收入</w:t>
      </w:r>
      <w:r>
        <w:rPr>
          <w:szCs w:val="21"/>
        </w:rPr>
        <w:t>100</w:t>
      </w:r>
      <w:r>
        <w:rPr>
          <w:rFonts w:hint="eastAsia"/>
          <w:szCs w:val="21"/>
        </w:rPr>
        <w:t>万元以下的为微型企业。</w:t>
      </w:r>
    </w:p>
    <w:p>
      <w:pPr>
        <w:pStyle w:val="4"/>
        <w:rPr>
          <w:szCs w:val="21"/>
        </w:rPr>
      </w:pPr>
      <w:r>
        <w:rPr>
          <w:rFonts w:hint="eastAsia"/>
          <w:szCs w:val="21"/>
        </w:rPr>
        <w:t>　　（十一）信息传输业。从业人员</w:t>
      </w:r>
      <w:r>
        <w:rPr>
          <w:szCs w:val="21"/>
        </w:rPr>
        <w:t>2000</w:t>
      </w:r>
      <w:r>
        <w:rPr>
          <w:rFonts w:hint="eastAsia"/>
          <w:szCs w:val="21"/>
        </w:rPr>
        <w:t>人以下或营业收入</w:t>
      </w:r>
      <w:r>
        <w:rPr>
          <w:szCs w:val="21"/>
        </w:rPr>
        <w:t>100000</w:t>
      </w:r>
      <w:r>
        <w:rPr>
          <w:rFonts w:hint="eastAsia"/>
          <w:szCs w:val="21"/>
        </w:rPr>
        <w:t>万元以下的为中小微型企业。其中，从业人员</w:t>
      </w:r>
      <w:r>
        <w:rPr>
          <w:szCs w:val="21"/>
        </w:rPr>
        <w:t>100</w:t>
      </w:r>
      <w:r>
        <w:rPr>
          <w:rFonts w:hint="eastAsia"/>
          <w:szCs w:val="21"/>
        </w:rPr>
        <w:t>人及以上，且营业收入</w:t>
      </w:r>
      <w:r>
        <w:rPr>
          <w:szCs w:val="21"/>
        </w:rPr>
        <w:t>1000</w:t>
      </w:r>
      <w:r>
        <w:rPr>
          <w:rFonts w:hint="eastAsia"/>
          <w:szCs w:val="21"/>
        </w:rPr>
        <w:t>万元及以上的为中型企业；从业人员</w:t>
      </w:r>
      <w:r>
        <w:rPr>
          <w:szCs w:val="21"/>
        </w:rPr>
        <w:t>10</w:t>
      </w:r>
      <w:r>
        <w:rPr>
          <w:rFonts w:hint="eastAsia"/>
          <w:szCs w:val="21"/>
        </w:rPr>
        <w:t>人及以上，且营业收入</w:t>
      </w:r>
      <w:r>
        <w:rPr>
          <w:szCs w:val="21"/>
        </w:rPr>
        <w:t>100</w:t>
      </w:r>
      <w:r>
        <w:rPr>
          <w:rFonts w:hint="eastAsia"/>
          <w:szCs w:val="21"/>
        </w:rPr>
        <w:t>万元及以上的为小型企业；从业人员</w:t>
      </w:r>
      <w:r>
        <w:rPr>
          <w:szCs w:val="21"/>
        </w:rPr>
        <w:t>10</w:t>
      </w:r>
      <w:r>
        <w:rPr>
          <w:rFonts w:hint="eastAsia"/>
          <w:szCs w:val="21"/>
        </w:rPr>
        <w:t>人以下或营业收入</w:t>
      </w:r>
      <w:r>
        <w:rPr>
          <w:szCs w:val="21"/>
        </w:rPr>
        <w:t>100</w:t>
      </w:r>
      <w:r>
        <w:rPr>
          <w:rFonts w:hint="eastAsia"/>
          <w:szCs w:val="21"/>
        </w:rPr>
        <w:t>万元以下的为微型企业。</w:t>
      </w:r>
    </w:p>
    <w:p>
      <w:pPr>
        <w:pStyle w:val="4"/>
        <w:rPr>
          <w:szCs w:val="21"/>
        </w:rPr>
      </w:pPr>
      <w:r>
        <w:rPr>
          <w:rFonts w:hint="eastAsia"/>
          <w:szCs w:val="21"/>
        </w:rPr>
        <w:t>　　（十二）软件和信息技术服务业。从业人员</w:t>
      </w:r>
      <w:r>
        <w:rPr>
          <w:szCs w:val="21"/>
        </w:rPr>
        <w:t>300</w:t>
      </w:r>
      <w:r>
        <w:rPr>
          <w:rFonts w:hint="eastAsia"/>
          <w:szCs w:val="21"/>
        </w:rPr>
        <w:t>人以下或营业收入</w:t>
      </w:r>
      <w:r>
        <w:rPr>
          <w:szCs w:val="21"/>
        </w:rPr>
        <w:t>10000</w:t>
      </w:r>
      <w:r>
        <w:rPr>
          <w:rFonts w:hint="eastAsia"/>
          <w:szCs w:val="21"/>
        </w:rPr>
        <w:t>万元以下的为中小微型企业。其中，从业人员</w:t>
      </w:r>
      <w:r>
        <w:rPr>
          <w:szCs w:val="21"/>
        </w:rPr>
        <w:t>100</w:t>
      </w:r>
      <w:r>
        <w:rPr>
          <w:rFonts w:hint="eastAsia"/>
          <w:szCs w:val="21"/>
        </w:rPr>
        <w:t>人及以上，且营业收入</w:t>
      </w:r>
      <w:r>
        <w:rPr>
          <w:szCs w:val="21"/>
        </w:rPr>
        <w:t>1000</w:t>
      </w:r>
      <w:r>
        <w:rPr>
          <w:rFonts w:hint="eastAsia"/>
          <w:szCs w:val="21"/>
        </w:rPr>
        <w:t>万元及以上的为中型企业；从业人员</w:t>
      </w:r>
      <w:r>
        <w:rPr>
          <w:szCs w:val="21"/>
        </w:rPr>
        <w:t>10</w:t>
      </w:r>
      <w:r>
        <w:rPr>
          <w:rFonts w:hint="eastAsia"/>
          <w:szCs w:val="21"/>
        </w:rPr>
        <w:t>人及以上，且营业收入</w:t>
      </w:r>
      <w:r>
        <w:rPr>
          <w:szCs w:val="21"/>
        </w:rPr>
        <w:t>50</w:t>
      </w:r>
      <w:r>
        <w:rPr>
          <w:rFonts w:hint="eastAsia"/>
          <w:szCs w:val="21"/>
        </w:rPr>
        <w:t>万元及以上的为小型企业；从业人员</w:t>
      </w:r>
      <w:r>
        <w:rPr>
          <w:szCs w:val="21"/>
        </w:rPr>
        <w:t>10</w:t>
      </w:r>
      <w:r>
        <w:rPr>
          <w:rFonts w:hint="eastAsia"/>
          <w:szCs w:val="21"/>
        </w:rPr>
        <w:t>人以下或营业收入</w:t>
      </w:r>
      <w:r>
        <w:rPr>
          <w:szCs w:val="21"/>
        </w:rPr>
        <w:t>50</w:t>
      </w:r>
      <w:r>
        <w:rPr>
          <w:rFonts w:hint="eastAsia"/>
          <w:szCs w:val="21"/>
        </w:rPr>
        <w:t>万元以下的为微型企业。</w:t>
      </w:r>
    </w:p>
    <w:p>
      <w:pPr>
        <w:pStyle w:val="4"/>
        <w:rPr>
          <w:szCs w:val="21"/>
        </w:rPr>
      </w:pPr>
      <w:r>
        <w:rPr>
          <w:rFonts w:hint="eastAsia"/>
          <w:szCs w:val="21"/>
        </w:rPr>
        <w:t>　　（十三）房地产开发经营。营业收入</w:t>
      </w:r>
      <w:r>
        <w:rPr>
          <w:szCs w:val="21"/>
        </w:rPr>
        <w:t>200000</w:t>
      </w:r>
      <w:r>
        <w:rPr>
          <w:rFonts w:hint="eastAsia"/>
          <w:szCs w:val="21"/>
        </w:rPr>
        <w:t>万元以下或资产总额</w:t>
      </w:r>
      <w:r>
        <w:rPr>
          <w:szCs w:val="21"/>
        </w:rPr>
        <w:t>10000</w:t>
      </w:r>
      <w:r>
        <w:rPr>
          <w:rFonts w:hint="eastAsia"/>
          <w:szCs w:val="21"/>
        </w:rPr>
        <w:t>万元以下的为中小微型企业。其中，营业收入</w:t>
      </w:r>
      <w:r>
        <w:rPr>
          <w:szCs w:val="21"/>
        </w:rPr>
        <w:t>1000</w:t>
      </w:r>
      <w:r>
        <w:rPr>
          <w:rFonts w:hint="eastAsia"/>
          <w:szCs w:val="21"/>
        </w:rPr>
        <w:t>万元及以上，且资产总额</w:t>
      </w:r>
      <w:r>
        <w:rPr>
          <w:szCs w:val="21"/>
        </w:rPr>
        <w:t>5000</w:t>
      </w:r>
      <w:r>
        <w:rPr>
          <w:rFonts w:hint="eastAsia"/>
          <w:szCs w:val="21"/>
        </w:rPr>
        <w:t>万元及以上的为中型企业；营业收入</w:t>
      </w:r>
      <w:r>
        <w:rPr>
          <w:szCs w:val="21"/>
        </w:rPr>
        <w:t>100</w:t>
      </w:r>
      <w:r>
        <w:rPr>
          <w:rFonts w:hint="eastAsia"/>
          <w:szCs w:val="21"/>
        </w:rPr>
        <w:t>万元及以上，且资产总额</w:t>
      </w:r>
      <w:r>
        <w:rPr>
          <w:szCs w:val="21"/>
        </w:rPr>
        <w:t>2000</w:t>
      </w:r>
      <w:r>
        <w:rPr>
          <w:rFonts w:hint="eastAsia"/>
          <w:szCs w:val="21"/>
        </w:rPr>
        <w:t>万元及以上的为小型企业；营业收入</w:t>
      </w:r>
      <w:r>
        <w:rPr>
          <w:szCs w:val="21"/>
        </w:rPr>
        <w:t>100</w:t>
      </w:r>
      <w:r>
        <w:rPr>
          <w:rFonts w:hint="eastAsia"/>
          <w:szCs w:val="21"/>
        </w:rPr>
        <w:t>万元以下或资产总额</w:t>
      </w:r>
      <w:r>
        <w:rPr>
          <w:szCs w:val="21"/>
        </w:rPr>
        <w:t>2000</w:t>
      </w:r>
      <w:r>
        <w:rPr>
          <w:rFonts w:hint="eastAsia"/>
          <w:szCs w:val="21"/>
        </w:rPr>
        <w:t>万元以下的为微型企业。</w:t>
      </w:r>
    </w:p>
    <w:p>
      <w:pPr>
        <w:pStyle w:val="4"/>
        <w:rPr>
          <w:szCs w:val="21"/>
        </w:rPr>
      </w:pPr>
      <w:r>
        <w:rPr>
          <w:rFonts w:hint="eastAsia"/>
          <w:szCs w:val="21"/>
        </w:rPr>
        <w:t>　　（十四）物业管理。从业人员</w:t>
      </w:r>
      <w:r>
        <w:rPr>
          <w:szCs w:val="21"/>
        </w:rPr>
        <w:t>1000</w:t>
      </w:r>
      <w:r>
        <w:rPr>
          <w:rFonts w:hint="eastAsia"/>
          <w:szCs w:val="21"/>
        </w:rPr>
        <w:t>人以下或营业收入</w:t>
      </w:r>
      <w:r>
        <w:rPr>
          <w:szCs w:val="21"/>
        </w:rPr>
        <w:t>5000</w:t>
      </w:r>
      <w:r>
        <w:rPr>
          <w:rFonts w:hint="eastAsia"/>
          <w:szCs w:val="21"/>
        </w:rPr>
        <w:t>万元以下的为中小微型企业。其中，从业人员</w:t>
      </w:r>
      <w:r>
        <w:rPr>
          <w:szCs w:val="21"/>
        </w:rPr>
        <w:t>300</w:t>
      </w:r>
      <w:r>
        <w:rPr>
          <w:rFonts w:hint="eastAsia"/>
          <w:szCs w:val="21"/>
        </w:rPr>
        <w:t>人及以上，且营业收入</w:t>
      </w:r>
      <w:r>
        <w:rPr>
          <w:szCs w:val="21"/>
        </w:rPr>
        <w:t>1000</w:t>
      </w:r>
      <w:r>
        <w:rPr>
          <w:rFonts w:hint="eastAsia"/>
          <w:szCs w:val="21"/>
        </w:rPr>
        <w:t>万元及以上的为中型企业；从业人员</w:t>
      </w:r>
      <w:r>
        <w:rPr>
          <w:szCs w:val="21"/>
        </w:rPr>
        <w:t>100</w:t>
      </w:r>
      <w:r>
        <w:rPr>
          <w:rFonts w:hint="eastAsia"/>
          <w:szCs w:val="21"/>
        </w:rPr>
        <w:t>人及以上，且营业收入</w:t>
      </w:r>
      <w:r>
        <w:rPr>
          <w:szCs w:val="21"/>
        </w:rPr>
        <w:t>500</w:t>
      </w:r>
      <w:r>
        <w:rPr>
          <w:rFonts w:hint="eastAsia"/>
          <w:szCs w:val="21"/>
        </w:rPr>
        <w:t>万元及以上的为小型企业；从业人员</w:t>
      </w:r>
      <w:r>
        <w:rPr>
          <w:szCs w:val="21"/>
        </w:rPr>
        <w:t>100</w:t>
      </w:r>
      <w:r>
        <w:rPr>
          <w:rFonts w:hint="eastAsia"/>
          <w:szCs w:val="21"/>
        </w:rPr>
        <w:t>人以下或营业收入</w:t>
      </w:r>
      <w:r>
        <w:rPr>
          <w:szCs w:val="21"/>
        </w:rPr>
        <w:t>500</w:t>
      </w:r>
      <w:r>
        <w:rPr>
          <w:rFonts w:hint="eastAsia"/>
          <w:szCs w:val="21"/>
        </w:rPr>
        <w:t>万元以下的为微型企业。</w:t>
      </w:r>
    </w:p>
    <w:p>
      <w:pPr>
        <w:pStyle w:val="4"/>
        <w:rPr>
          <w:szCs w:val="21"/>
        </w:rPr>
      </w:pPr>
      <w:r>
        <w:rPr>
          <w:rFonts w:hint="eastAsia"/>
          <w:szCs w:val="21"/>
        </w:rPr>
        <w:t>　　（十五）租赁和商务服务业。从业人员</w:t>
      </w:r>
      <w:r>
        <w:rPr>
          <w:szCs w:val="21"/>
        </w:rPr>
        <w:t>300</w:t>
      </w:r>
      <w:r>
        <w:rPr>
          <w:rFonts w:hint="eastAsia"/>
          <w:szCs w:val="21"/>
        </w:rPr>
        <w:t>人以下或资产总额</w:t>
      </w:r>
      <w:r>
        <w:rPr>
          <w:szCs w:val="21"/>
        </w:rPr>
        <w:t>120000</w:t>
      </w:r>
      <w:r>
        <w:rPr>
          <w:rFonts w:hint="eastAsia"/>
          <w:szCs w:val="21"/>
        </w:rPr>
        <w:t>万元以下的为中小微型企业。其中，从业人员</w:t>
      </w:r>
      <w:r>
        <w:rPr>
          <w:szCs w:val="21"/>
        </w:rPr>
        <w:t>100</w:t>
      </w:r>
      <w:r>
        <w:rPr>
          <w:rFonts w:hint="eastAsia"/>
          <w:szCs w:val="21"/>
        </w:rPr>
        <w:t>人及以上，且资产总额</w:t>
      </w:r>
      <w:r>
        <w:rPr>
          <w:szCs w:val="21"/>
        </w:rPr>
        <w:t>8000</w:t>
      </w:r>
      <w:r>
        <w:rPr>
          <w:rFonts w:hint="eastAsia"/>
          <w:szCs w:val="21"/>
        </w:rPr>
        <w:t>万元及以上的为中型企业；从业人员</w:t>
      </w:r>
      <w:r>
        <w:rPr>
          <w:szCs w:val="21"/>
        </w:rPr>
        <w:t>10</w:t>
      </w:r>
      <w:r>
        <w:rPr>
          <w:rFonts w:hint="eastAsia"/>
          <w:szCs w:val="21"/>
        </w:rPr>
        <w:t>人及以上，且资产总额</w:t>
      </w:r>
      <w:r>
        <w:rPr>
          <w:szCs w:val="21"/>
        </w:rPr>
        <w:t>100</w:t>
      </w:r>
      <w:r>
        <w:rPr>
          <w:rFonts w:hint="eastAsia"/>
          <w:szCs w:val="21"/>
        </w:rPr>
        <w:t>万元及以上的为小型企业；从业人员</w:t>
      </w:r>
      <w:r>
        <w:rPr>
          <w:szCs w:val="21"/>
        </w:rPr>
        <w:t>10</w:t>
      </w:r>
      <w:r>
        <w:rPr>
          <w:rFonts w:hint="eastAsia"/>
          <w:szCs w:val="21"/>
        </w:rPr>
        <w:t>人以下或资产总额</w:t>
      </w:r>
      <w:r>
        <w:rPr>
          <w:szCs w:val="21"/>
        </w:rPr>
        <w:t>100</w:t>
      </w:r>
      <w:r>
        <w:rPr>
          <w:rFonts w:hint="eastAsia"/>
          <w:szCs w:val="21"/>
        </w:rPr>
        <w:t>万元以下的为微型企业。</w:t>
      </w:r>
    </w:p>
    <w:p>
      <w:pPr>
        <w:pStyle w:val="4"/>
        <w:rPr>
          <w:szCs w:val="21"/>
        </w:rPr>
      </w:pPr>
      <w:r>
        <w:rPr>
          <w:rFonts w:hint="eastAsia"/>
          <w:szCs w:val="21"/>
        </w:rPr>
        <w:t>　　（十六）其他未列明行业。从业人员</w:t>
      </w:r>
      <w:r>
        <w:rPr>
          <w:szCs w:val="21"/>
        </w:rPr>
        <w:t>300</w:t>
      </w:r>
      <w:r>
        <w:rPr>
          <w:rFonts w:hint="eastAsia"/>
          <w:szCs w:val="21"/>
        </w:rPr>
        <w:t>人以下的为中小微型企业。其中，从业人员</w:t>
      </w:r>
      <w:r>
        <w:rPr>
          <w:szCs w:val="21"/>
        </w:rPr>
        <w:t>100</w:t>
      </w:r>
      <w:r>
        <w:rPr>
          <w:rFonts w:hint="eastAsia"/>
          <w:szCs w:val="21"/>
        </w:rPr>
        <w:t>人及以上的为中型企业；从业人员</w:t>
      </w:r>
      <w:r>
        <w:rPr>
          <w:szCs w:val="21"/>
        </w:rPr>
        <w:t>10</w:t>
      </w:r>
      <w:r>
        <w:rPr>
          <w:rFonts w:hint="eastAsia"/>
          <w:szCs w:val="21"/>
        </w:rPr>
        <w:t>人及以上的为小型企业；从业人员</w:t>
      </w:r>
      <w:r>
        <w:rPr>
          <w:szCs w:val="21"/>
        </w:rPr>
        <w:t>10</w:t>
      </w:r>
      <w:r>
        <w:rPr>
          <w:rFonts w:hint="eastAsia"/>
          <w:szCs w:val="21"/>
        </w:rPr>
        <w:t>人以下的为微型企业。</w:t>
      </w:r>
    </w:p>
    <w:p>
      <w:pPr>
        <w:pStyle w:val="4"/>
        <w:rPr>
          <w:szCs w:val="21"/>
        </w:rPr>
      </w:pPr>
      <w:r>
        <w:rPr>
          <w:rFonts w:hint="eastAsia"/>
          <w:szCs w:val="21"/>
        </w:rPr>
        <w:t>　　五、企业类型的划分以统计部门的统计数据为依据。</w:t>
      </w:r>
    </w:p>
    <w:p>
      <w:pPr>
        <w:pStyle w:val="4"/>
        <w:rPr>
          <w:szCs w:val="21"/>
        </w:rPr>
      </w:pPr>
      <w:r>
        <w:rPr>
          <w:rFonts w:hint="eastAsia"/>
          <w:szCs w:val="21"/>
        </w:rPr>
        <w:t>　　六、本规定适用于在中华人民共和国境内依法设立的各类所有制和各种组织形式的企业。个体工商户和本规定以外的行业，参照本规定进行划型。</w:t>
      </w:r>
    </w:p>
    <w:p>
      <w:pPr>
        <w:pStyle w:val="4"/>
        <w:rPr>
          <w:szCs w:val="21"/>
        </w:rPr>
      </w:pPr>
      <w:r>
        <w:rPr>
          <w:rFonts w:hint="eastAsia"/>
          <w:szCs w:val="21"/>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4"/>
        <w:rPr>
          <w:szCs w:val="21"/>
        </w:rPr>
      </w:pPr>
      <w:r>
        <w:rPr>
          <w:rFonts w:hint="eastAsia"/>
          <w:szCs w:val="21"/>
        </w:rPr>
        <w:t>　　八、本规定由工业和信息化部、国家统计局会同有关部门根据《国民经济行业分类》修订情况和企业发展变化情况适时修订。</w:t>
      </w:r>
    </w:p>
    <w:p>
      <w:pPr>
        <w:pStyle w:val="4"/>
        <w:rPr>
          <w:szCs w:val="21"/>
        </w:rPr>
      </w:pPr>
      <w:r>
        <w:rPr>
          <w:rFonts w:hint="eastAsia"/>
          <w:szCs w:val="21"/>
        </w:rPr>
        <w:t>　　九、本规定由工业和信息化部、国家统计局会同有关部门负责解释。</w:t>
      </w:r>
    </w:p>
    <w:p>
      <w:pPr>
        <w:pStyle w:val="4"/>
        <w:ind w:firstLine="420"/>
        <w:rPr>
          <w:szCs w:val="21"/>
        </w:rPr>
      </w:pPr>
      <w:r>
        <w:rPr>
          <w:rFonts w:hint="eastAsia"/>
          <w:szCs w:val="21"/>
        </w:rPr>
        <w:t>十、本规定自发布之日起执行，原国家经贸委、原国家计委、财政部和国家统计局</w:t>
      </w:r>
      <w:r>
        <w:rPr>
          <w:szCs w:val="21"/>
        </w:rPr>
        <w:t>2003</w:t>
      </w:r>
      <w:r>
        <w:rPr>
          <w:rFonts w:hint="eastAsia"/>
          <w:szCs w:val="21"/>
        </w:rPr>
        <w:t>年颁布的《中小企业标准暂行规定》同时废止。</w:t>
      </w:r>
    </w:p>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YmY3NzgyYjRlOGI4N2Q1OWEzYjdkMGY1MzQ5NTAifQ=="/>
  </w:docVars>
  <w:rsids>
    <w:rsidRoot w:val="190B01C1"/>
    <w:rsid w:val="190B01C1"/>
    <w:rsid w:val="575C3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qFormat/>
    <w:uiPriority w:val="99"/>
    <w:pPr>
      <w:spacing w:line="380" w:lineRule="exact"/>
    </w:pPr>
    <w:rPr>
      <w:kern w:val="0"/>
      <w:sz w:val="24"/>
    </w:rPr>
  </w:style>
  <w:style w:type="character" w:styleId="7">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11412</Words>
  <Characters>13870</Characters>
  <Lines>0</Lines>
  <Paragraphs>0</Paragraphs>
  <TotalTime>1</TotalTime>
  <ScaleCrop>false</ScaleCrop>
  <LinksUpToDate>false</LinksUpToDate>
  <CharactersWithSpaces>14597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2024-07-12T00:34:00Z</dcterms:created>
  <dc:creator>Administrator</dc:creator>
  <cp:lastModifiedBy>Administrator</cp:lastModifiedBy>
  <dcterms:modified xsi:type="dcterms:W3CDTF">2024-07-12T07:37:50Z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26372AB957E143A8A874B40792E2BE94_11</vt:lpwstr>
  </property>
</Properties>
</file>