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4"/>
          <w:szCs w:val="24"/>
        </w:rPr>
      </w:pPr>
    </w:p>
    <w:p>
      <w:pPr>
        <w:keepNext w:val="0"/>
        <w:keepLines w:val="0"/>
        <w:pageBreakBefore w:val="0"/>
        <w:widowControl w:val="0"/>
        <w:kinsoku/>
        <w:wordWrap/>
        <w:overflowPunct/>
        <w:topLinePunct w:val="0"/>
        <w:autoSpaceDE/>
        <w:autoSpaceDN/>
        <w:bidi w:val="0"/>
        <w:adjustRightInd/>
        <w:snapToGrid/>
        <w:spacing w:after="0" w:line="360" w:lineRule="auto"/>
        <w:textAlignment w:val="auto"/>
        <w:rPr>
          <w:rFonts w:hint="eastAsia" w:asciiTheme="majorEastAsia" w:hAnsiTheme="majorEastAsia" w:eastAsiaTheme="majorEastAsia" w:cstheme="majorEastAsia"/>
          <w:sz w:val="24"/>
          <w:szCs w:val="24"/>
        </w:rPr>
        <w:sectPr>
          <w:type w:val="continuous"/>
          <w:pgSz w:w="23820" w:h="16840" w:orient="landscape"/>
          <w:pgMar w:top="1580" w:right="1380" w:bottom="280" w:left="1340" w:header="720" w:footer="720" w:gutter="0"/>
          <w:cols w:space="720" w:num="1"/>
        </w:sect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一、任务依据及测设经过、设计标准、建设意义</w:t>
      </w:r>
    </w:p>
    <w:p>
      <w:pPr>
        <w:pStyle w:val="3"/>
        <w:keepNext w:val="0"/>
        <w:keepLines w:val="0"/>
        <w:pageBreakBefore w:val="0"/>
        <w:widowControl w:val="0"/>
        <w:kinsoku/>
        <w:wordWrap/>
        <w:overflowPunct/>
        <w:topLinePunct w:val="0"/>
        <w:autoSpaceDE/>
        <w:autoSpaceDN/>
        <w:bidi w:val="0"/>
        <w:adjustRightInd/>
        <w:snapToGrid/>
        <w:spacing w:line="360" w:lineRule="auto"/>
        <w:ind w:left="644" w:right="0"/>
        <w:jc w:val="left"/>
        <w:textAlignment w:val="auto"/>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b w:val="0"/>
          <w:bCs w:val="0"/>
          <w:spacing w:val="0"/>
          <w:w w:val="100"/>
          <w:sz w:val="24"/>
          <w:szCs w:val="24"/>
        </w:rPr>
        <w:t>1、任务依据及测设经过</w:t>
      </w:r>
    </w:p>
    <w:p>
      <w:pPr>
        <w:keepNext w:val="0"/>
        <w:keepLines w:val="0"/>
        <w:pageBreakBefore w:val="0"/>
        <w:widowControl w:val="0"/>
        <w:tabs>
          <w:tab w:val="left" w:pos="2804"/>
        </w:tabs>
        <w:kinsoku/>
        <w:wordWrap/>
        <w:overflowPunct/>
        <w:topLinePunct w:val="0"/>
        <w:autoSpaceDE/>
        <w:autoSpaceDN/>
        <w:bidi w:val="0"/>
        <w:adjustRightInd/>
        <w:snapToGrid/>
        <w:spacing w:line="360" w:lineRule="auto"/>
        <w:ind w:left="644" w:right="0" w:firstLine="0"/>
        <w:jc w:val="left"/>
        <w:textAlignment w:val="auto"/>
        <w:rPr>
          <w:rFonts w:hint="eastAsia" w:asciiTheme="majorEastAsia" w:hAnsiTheme="majorEastAsia" w:eastAsiaTheme="majorEastAsia" w:cstheme="majorEastAsia"/>
          <w:b/>
          <w:bCs/>
          <w:i w:val="0"/>
          <w:iCs w:val="0"/>
          <w:sz w:val="52"/>
          <w:szCs w:val="52"/>
        </w:rPr>
      </w:pPr>
      <w:r>
        <w:rPr>
          <w:rFonts w:hint="eastAsia" w:asciiTheme="majorEastAsia" w:hAnsiTheme="majorEastAsia" w:eastAsiaTheme="majorEastAsia" w:cstheme="majorEastAsia"/>
          <w:spacing w:val="0"/>
          <w:w w:val="100"/>
          <w:sz w:val="24"/>
          <w:szCs w:val="24"/>
        </w:rPr>
        <w:br w:type="column"/>
      </w:r>
      <w:r>
        <w:rPr>
          <w:rFonts w:hint="eastAsia" w:asciiTheme="majorEastAsia" w:hAnsiTheme="majorEastAsia" w:eastAsiaTheme="majorEastAsia" w:cstheme="majorEastAsia"/>
          <w:b/>
          <w:bCs/>
          <w:i w:val="0"/>
          <w:iCs w:val="0"/>
          <w:spacing w:val="0"/>
          <w:w w:val="100"/>
          <w:sz w:val="52"/>
          <w:szCs w:val="52"/>
        </w:rPr>
        <w:t>第一篇</w:t>
      </w:r>
      <w:r>
        <w:rPr>
          <w:rFonts w:hint="eastAsia" w:asciiTheme="majorEastAsia" w:hAnsiTheme="majorEastAsia" w:eastAsiaTheme="majorEastAsia" w:cstheme="majorEastAsia"/>
          <w:b/>
          <w:bCs/>
          <w:i w:val="0"/>
          <w:iCs w:val="0"/>
          <w:spacing w:val="0"/>
          <w:w w:val="100"/>
          <w:sz w:val="52"/>
          <w:szCs w:val="52"/>
        </w:rPr>
        <w:tab/>
      </w:r>
      <w:r>
        <w:rPr>
          <w:rFonts w:hint="eastAsia" w:asciiTheme="majorEastAsia" w:hAnsiTheme="majorEastAsia" w:eastAsiaTheme="majorEastAsia" w:cstheme="majorEastAsia"/>
          <w:b/>
          <w:bCs/>
          <w:i w:val="0"/>
          <w:iCs w:val="0"/>
          <w:spacing w:val="0"/>
          <w:w w:val="100"/>
          <w:sz w:val="52"/>
          <w:szCs w:val="52"/>
        </w:rPr>
        <w:t>总说明</w:t>
      </w:r>
    </w:p>
    <w:p>
      <w:pPr>
        <w:keepNext w:val="0"/>
        <w:keepLines w:val="0"/>
        <w:pageBreakBefore w:val="0"/>
        <w:widowControl w:val="0"/>
        <w:kinsoku/>
        <w:wordWrap/>
        <w:overflowPunct/>
        <w:topLinePunct w:val="0"/>
        <w:autoSpaceDE/>
        <w:autoSpaceDN/>
        <w:bidi w:val="0"/>
        <w:adjustRightInd/>
        <w:snapToGrid/>
        <w:spacing w:after="0" w:line="360" w:lineRule="auto"/>
        <w:jc w:val="left"/>
        <w:textAlignment w:val="auto"/>
        <w:rPr>
          <w:rFonts w:hint="eastAsia" w:asciiTheme="majorEastAsia" w:hAnsiTheme="majorEastAsia" w:eastAsiaTheme="majorEastAsia" w:cstheme="majorEastAsia"/>
          <w:b/>
          <w:bCs/>
          <w:i w:val="0"/>
          <w:iCs w:val="0"/>
          <w:sz w:val="52"/>
          <w:szCs w:val="52"/>
        </w:rPr>
        <w:sectPr>
          <w:type w:val="continuous"/>
          <w:pgSz w:w="23820" w:h="16840" w:orient="landscape"/>
          <w:pgMar w:top="1580" w:right="1380" w:bottom="280" w:left="1340" w:header="720" w:footer="720" w:gutter="0"/>
          <w:cols w:equalWidth="0" w:num="2">
            <w:col w:w="6575" w:space="1547"/>
            <w:col w:w="12978"/>
          </w:cols>
        </w:sectPr>
      </w:pP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港南区瓦塘镇福新村马垌屯至山猪窝道路硬化工程一阶段施工图设计工作是</w:t>
      </w:r>
      <w:r>
        <w:rPr>
          <w:rFonts w:hint="eastAsia" w:asciiTheme="majorEastAsia" w:hAnsiTheme="majorEastAsia" w:eastAsiaTheme="majorEastAsia" w:cstheme="majorEastAsia"/>
          <w:b w:val="0"/>
          <w:bCs w:val="0"/>
          <w:spacing w:val="0"/>
          <w:w w:val="100"/>
          <w:sz w:val="24"/>
          <w:szCs w:val="24"/>
          <w:lang w:eastAsia="zh-CN"/>
        </w:rPr>
        <w:t>受瓦塘镇人民政府委托及</w:t>
      </w:r>
      <w:r>
        <w:rPr>
          <w:rFonts w:hint="eastAsia" w:asciiTheme="majorEastAsia" w:hAnsiTheme="majorEastAsia" w:eastAsiaTheme="majorEastAsia" w:cstheme="majorEastAsia"/>
          <w:b w:val="0"/>
          <w:bCs w:val="0"/>
          <w:spacing w:val="0"/>
          <w:w w:val="100"/>
          <w:sz w:val="24"/>
          <w:szCs w:val="24"/>
        </w:rPr>
        <w:t>甲乙双方《公路测设合同书》以及部颁有关标准进行的</w:t>
      </w:r>
      <w:r>
        <w:rPr>
          <w:rFonts w:hint="eastAsia" w:asciiTheme="majorEastAsia" w:hAnsiTheme="majorEastAsia" w:eastAsiaTheme="majorEastAsia" w:cstheme="majorEastAsia"/>
          <w:b w:val="0"/>
          <w:bCs w:val="0"/>
          <w:spacing w:val="0"/>
          <w:w w:val="100"/>
          <w:sz w:val="24"/>
          <w:szCs w:val="24"/>
          <w:lang w:eastAsia="zh-CN"/>
        </w:rPr>
        <w:t>。</w:t>
      </w:r>
      <w:r>
        <w:rPr>
          <w:rFonts w:hint="eastAsia" w:asciiTheme="majorEastAsia" w:hAnsiTheme="majorEastAsia" w:eastAsiaTheme="majorEastAsia" w:cstheme="majorEastAsia"/>
          <w:b w:val="0"/>
          <w:bCs w:val="0"/>
          <w:spacing w:val="0"/>
          <w:w w:val="100"/>
          <w:sz w:val="24"/>
          <w:szCs w:val="24"/>
        </w:rPr>
        <w:t>接到测设任务后，我公司即组织技术人员，按要求完成所有外业勘测调查工作及一阶段施工图设计文件。</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2、设计标准</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根据《公路测设合同书》及有关要求，标准为参照四级公路标准，主要技术指标为:</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1)设计速度为 20 公里/小时。</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2)路基宽度：</w:t>
      </w:r>
      <w:r>
        <w:rPr>
          <w:rFonts w:hint="eastAsia" w:asciiTheme="majorEastAsia" w:hAnsiTheme="majorEastAsia" w:eastAsiaTheme="majorEastAsia" w:cstheme="majorEastAsia"/>
          <w:b w:val="0"/>
          <w:bCs w:val="0"/>
          <w:spacing w:val="0"/>
          <w:w w:val="100"/>
          <w:sz w:val="24"/>
          <w:szCs w:val="24"/>
          <w:lang w:eastAsia="zh-CN"/>
        </w:rPr>
        <w:t>详见路面结构图</w:t>
      </w:r>
      <w:r>
        <w:rPr>
          <w:rFonts w:hint="eastAsia" w:asciiTheme="majorEastAsia" w:hAnsiTheme="majorEastAsia" w:eastAsiaTheme="majorEastAsia" w:cstheme="majorEastAsia"/>
          <w:b w:val="0"/>
          <w:bCs w:val="0"/>
          <w:spacing w:val="0"/>
          <w:w w:val="100"/>
          <w:sz w:val="24"/>
          <w:szCs w:val="24"/>
        </w:rPr>
        <w:t>。</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3)路面类型及宽度:</w:t>
      </w:r>
      <w:r>
        <w:rPr>
          <w:rFonts w:hint="eastAsia" w:asciiTheme="majorEastAsia" w:hAnsiTheme="majorEastAsia" w:eastAsiaTheme="majorEastAsia" w:cstheme="majorEastAsia"/>
          <w:b w:val="0"/>
          <w:bCs w:val="0"/>
          <w:spacing w:val="0"/>
          <w:w w:val="100"/>
          <w:sz w:val="24"/>
          <w:szCs w:val="24"/>
          <w:lang w:eastAsia="zh-CN"/>
        </w:rPr>
        <w:t>详见路面结构图</w:t>
      </w:r>
      <w:r>
        <w:rPr>
          <w:rFonts w:hint="eastAsia" w:asciiTheme="majorEastAsia" w:hAnsiTheme="majorEastAsia" w:eastAsiaTheme="majorEastAsia" w:cstheme="majorEastAsia"/>
          <w:b w:val="0"/>
          <w:bCs w:val="0"/>
          <w:spacing w:val="0"/>
          <w:w w:val="100"/>
          <w:sz w:val="24"/>
          <w:szCs w:val="24"/>
        </w:rPr>
        <w:t>。</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4)汽车荷载等级:公路—II 级。</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5)设计洪水频率:大、中桥为  1/50;小桥涵及路基为  1/25。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lang w:eastAsia="zh-CN"/>
        </w:rPr>
        <w:t>二、</w:t>
      </w:r>
      <w:r>
        <w:rPr>
          <w:rFonts w:hint="eastAsia" w:asciiTheme="majorEastAsia" w:hAnsiTheme="majorEastAsia" w:eastAsiaTheme="majorEastAsia" w:cstheme="majorEastAsia"/>
          <w:b/>
          <w:bCs/>
          <w:sz w:val="28"/>
          <w:szCs w:val="28"/>
        </w:rPr>
        <w:t xml:space="preserve">路线起讫点、中间控制点、全长、所经主要河流、村镇及工程概况 </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rPr>
        <w:t>全线主要工程量:</w:t>
      </w:r>
      <w:r>
        <w:rPr>
          <w:rFonts w:hint="eastAsia" w:asciiTheme="majorEastAsia" w:hAnsiTheme="majorEastAsia" w:eastAsiaTheme="majorEastAsia" w:cstheme="majorEastAsia"/>
          <w:b w:val="0"/>
          <w:bCs w:val="0"/>
          <w:spacing w:val="0"/>
          <w:w w:val="100"/>
          <w:sz w:val="24"/>
          <w:szCs w:val="24"/>
          <w:lang w:eastAsia="zh-CN"/>
        </w:rPr>
        <w:t>级配碎石基层</w:t>
      </w:r>
      <w:r>
        <w:rPr>
          <w:rFonts w:hint="eastAsia" w:asciiTheme="majorEastAsia" w:hAnsiTheme="majorEastAsia" w:eastAsiaTheme="majorEastAsia" w:cstheme="majorEastAsia"/>
          <w:b w:val="0"/>
          <w:bCs w:val="0"/>
          <w:spacing w:val="0"/>
          <w:w w:val="100"/>
          <w:sz w:val="24"/>
          <w:szCs w:val="24"/>
          <w:lang w:val="en-US" w:eastAsia="zh-CN"/>
        </w:rPr>
        <w:t>5610平方米，</w:t>
      </w:r>
      <w:bookmarkStart w:id="0" w:name="_GoBack"/>
      <w:bookmarkEnd w:id="0"/>
      <w:r>
        <w:rPr>
          <w:rFonts w:hint="eastAsia" w:asciiTheme="majorEastAsia" w:hAnsiTheme="majorEastAsia" w:eastAsiaTheme="majorEastAsia" w:cstheme="majorEastAsia"/>
          <w:b w:val="0"/>
          <w:bCs w:val="0"/>
          <w:spacing w:val="0"/>
          <w:w w:val="100"/>
          <w:sz w:val="24"/>
          <w:szCs w:val="24"/>
        </w:rPr>
        <w:t>水泥混凝土面层</w:t>
      </w:r>
      <w:r>
        <w:rPr>
          <w:rFonts w:hint="eastAsia" w:asciiTheme="majorEastAsia" w:hAnsiTheme="majorEastAsia" w:eastAsiaTheme="majorEastAsia" w:cstheme="majorEastAsia"/>
          <w:b w:val="0"/>
          <w:bCs w:val="0"/>
          <w:spacing w:val="0"/>
          <w:w w:val="100"/>
          <w:sz w:val="24"/>
          <w:szCs w:val="24"/>
          <w:lang w:val="en-US" w:eastAsia="zh-CN"/>
        </w:rPr>
        <w:t>5310</w:t>
      </w:r>
      <w:r>
        <w:rPr>
          <w:rFonts w:hint="eastAsia" w:asciiTheme="majorEastAsia" w:hAnsiTheme="majorEastAsia" w:eastAsiaTheme="majorEastAsia" w:cstheme="majorEastAsia"/>
          <w:b w:val="0"/>
          <w:bCs w:val="0"/>
          <w:spacing w:val="0"/>
          <w:w w:val="100"/>
          <w:sz w:val="24"/>
          <w:szCs w:val="24"/>
        </w:rPr>
        <w:t>平方米</w:t>
      </w:r>
      <w:r>
        <w:rPr>
          <w:rFonts w:hint="eastAsia" w:asciiTheme="majorEastAsia" w:hAnsiTheme="majorEastAsia" w:eastAsiaTheme="majorEastAsia" w:cstheme="majorEastAsia"/>
          <w:b w:val="0"/>
          <w:bCs w:val="0"/>
          <w:spacing w:val="0"/>
          <w:w w:val="100"/>
          <w:sz w:val="24"/>
          <w:szCs w:val="24"/>
          <w:lang w:val="en-US" w:eastAsia="zh-CN"/>
        </w:rPr>
        <w:t>等</w:t>
      </w:r>
      <w:r>
        <w:rPr>
          <w:rFonts w:hint="eastAsia" w:asciiTheme="majorEastAsia" w:hAnsiTheme="majorEastAsia" w:eastAsiaTheme="majorEastAsia" w:cstheme="majorEastAsia"/>
          <w:b w:val="0"/>
          <w:bCs w:val="0"/>
          <w:spacing w:val="0"/>
          <w:w w:val="100"/>
          <w:sz w:val="24"/>
          <w:szCs w:val="24"/>
          <w:lang w:eastAsia="zh-CN"/>
        </w:rPr>
        <w:t>。</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eastAsia="宋体" w:asciiTheme="majorEastAsia" w:hAnsiTheme="majorEastAsia" w:cstheme="majorEastAsia"/>
          <w:b w:val="0"/>
          <w:bCs w:val="0"/>
          <w:spacing w:val="0"/>
          <w:w w:val="100"/>
          <w:sz w:val="24"/>
          <w:szCs w:val="24"/>
        </w:rPr>
        <w:t>项目路线起点位于</w:t>
      </w:r>
      <w:r>
        <w:rPr>
          <w:rFonts w:hint="eastAsia" w:asciiTheme="majorEastAsia" w:hAnsiTheme="majorEastAsia" w:eastAsiaTheme="majorEastAsia" w:cstheme="majorEastAsia"/>
          <w:b w:val="0"/>
          <w:bCs w:val="0"/>
          <w:spacing w:val="0"/>
          <w:w w:val="100"/>
          <w:sz w:val="24"/>
          <w:szCs w:val="24"/>
        </w:rPr>
        <w:t>港南区瓦塘镇福新村马垌屯</w:t>
      </w:r>
      <w:r>
        <w:rPr>
          <w:rFonts w:hint="eastAsia" w:eastAsia="宋体" w:asciiTheme="majorEastAsia" w:hAnsiTheme="majorEastAsia" w:cstheme="majorEastAsia"/>
          <w:b w:val="0"/>
          <w:bCs w:val="0"/>
          <w:spacing w:val="0"/>
          <w:w w:val="100"/>
          <w:sz w:val="24"/>
          <w:szCs w:val="24"/>
        </w:rPr>
        <w:t>，起点桩号K0+000，终点</w:t>
      </w:r>
      <w:r>
        <w:rPr>
          <w:rFonts w:hint="eastAsia" w:eastAsia="宋体" w:asciiTheme="majorEastAsia" w:hAnsiTheme="majorEastAsia" w:cstheme="majorEastAsia"/>
          <w:b w:val="0"/>
          <w:bCs w:val="0"/>
          <w:spacing w:val="0"/>
          <w:w w:val="100"/>
          <w:sz w:val="24"/>
          <w:szCs w:val="24"/>
          <w:lang w:eastAsia="zh-CN"/>
        </w:rPr>
        <w:t>位</w:t>
      </w:r>
      <w:r>
        <w:rPr>
          <w:rFonts w:hint="eastAsia" w:eastAsia="宋体" w:asciiTheme="majorEastAsia" w:hAnsiTheme="majorEastAsia" w:cstheme="majorEastAsia"/>
          <w:b w:val="0"/>
          <w:bCs w:val="0"/>
          <w:spacing w:val="0"/>
          <w:w w:val="100"/>
          <w:sz w:val="24"/>
          <w:szCs w:val="24"/>
        </w:rPr>
        <w:t>于</w:t>
      </w:r>
      <w:r>
        <w:rPr>
          <w:rFonts w:hint="eastAsia" w:asciiTheme="majorEastAsia" w:hAnsiTheme="majorEastAsia" w:eastAsiaTheme="majorEastAsia" w:cstheme="majorEastAsia"/>
          <w:b w:val="0"/>
          <w:bCs w:val="0"/>
          <w:spacing w:val="0"/>
          <w:w w:val="100"/>
          <w:sz w:val="24"/>
          <w:szCs w:val="24"/>
        </w:rPr>
        <w:t>山猪窝</w:t>
      </w:r>
      <w:r>
        <w:rPr>
          <w:rFonts w:hint="eastAsia" w:eastAsia="宋体" w:asciiTheme="majorEastAsia" w:hAnsiTheme="majorEastAsia" w:cstheme="majorEastAsia"/>
          <w:b w:val="0"/>
          <w:bCs w:val="0"/>
          <w:spacing w:val="0"/>
          <w:w w:val="100"/>
          <w:sz w:val="24"/>
          <w:szCs w:val="24"/>
        </w:rPr>
        <w:t>，终点桩</w:t>
      </w:r>
      <w:r>
        <w:rPr>
          <w:rFonts w:hint="eastAsia" w:eastAsia="宋体" w:asciiTheme="majorEastAsia" w:hAnsiTheme="majorEastAsia" w:cstheme="majorEastAsia"/>
          <w:b w:val="0"/>
          <w:bCs w:val="0"/>
          <w:spacing w:val="0"/>
          <w:w w:val="100"/>
          <w:sz w:val="24"/>
          <w:szCs w:val="24"/>
          <w:lang w:eastAsia="zh-CN"/>
        </w:rPr>
        <w:t>号</w:t>
      </w:r>
      <w:r>
        <w:rPr>
          <w:rFonts w:hint="eastAsia" w:eastAsia="宋体" w:asciiTheme="majorEastAsia" w:hAnsiTheme="majorEastAsia" w:cstheme="majorEastAsia"/>
          <w:b w:val="0"/>
          <w:bCs w:val="0"/>
          <w:spacing w:val="0"/>
          <w:w w:val="100"/>
          <w:sz w:val="24"/>
          <w:szCs w:val="24"/>
          <w:lang w:val="en-US" w:eastAsia="zh-CN"/>
        </w:rPr>
        <w:t>K0</w:t>
      </w:r>
      <w:r>
        <w:rPr>
          <w:rFonts w:hint="eastAsia" w:eastAsia="宋体" w:asciiTheme="majorEastAsia" w:hAnsiTheme="majorEastAsia" w:cstheme="majorEastAsia"/>
          <w:b w:val="0"/>
          <w:bCs w:val="0"/>
          <w:spacing w:val="0"/>
          <w:w w:val="100"/>
          <w:sz w:val="24"/>
          <w:szCs w:val="24"/>
        </w:rPr>
        <w:t>+</w:t>
      </w:r>
      <w:r>
        <w:rPr>
          <w:rFonts w:hint="eastAsia" w:eastAsia="宋体" w:asciiTheme="majorEastAsia" w:hAnsiTheme="majorEastAsia" w:cstheme="majorEastAsia"/>
          <w:b w:val="0"/>
          <w:bCs w:val="0"/>
          <w:spacing w:val="0"/>
          <w:w w:val="100"/>
          <w:sz w:val="24"/>
          <w:szCs w:val="24"/>
          <w:lang w:val="en-US" w:eastAsia="zh-CN"/>
        </w:rPr>
        <w:t>850</w:t>
      </w:r>
      <w:r>
        <w:rPr>
          <w:rFonts w:hint="eastAsia" w:eastAsia="宋体" w:asciiTheme="majorEastAsia" w:hAnsiTheme="majorEastAsia" w:cstheme="majorEastAsia"/>
          <w:b w:val="0"/>
          <w:bCs w:val="0"/>
          <w:spacing w:val="0"/>
          <w:w w:val="100"/>
          <w:sz w:val="24"/>
          <w:szCs w:val="24"/>
        </w:rPr>
        <w:t>，</w:t>
      </w:r>
      <w:r>
        <w:rPr>
          <w:rFonts w:hint="eastAsia" w:eastAsia="宋体" w:asciiTheme="majorEastAsia" w:hAnsiTheme="majorEastAsia" w:cstheme="majorEastAsia"/>
          <w:b w:val="0"/>
          <w:bCs w:val="0"/>
          <w:spacing w:val="0"/>
          <w:w w:val="100"/>
          <w:sz w:val="24"/>
          <w:szCs w:val="24"/>
          <w:lang w:eastAsia="zh-CN"/>
        </w:rPr>
        <w:t>支线长</w:t>
      </w:r>
      <w:r>
        <w:rPr>
          <w:rFonts w:hint="eastAsia" w:eastAsia="宋体" w:asciiTheme="majorEastAsia" w:hAnsiTheme="majorEastAsia" w:cstheme="majorEastAsia"/>
          <w:b w:val="0"/>
          <w:bCs w:val="0"/>
          <w:spacing w:val="0"/>
          <w:w w:val="100"/>
          <w:sz w:val="24"/>
          <w:szCs w:val="24"/>
          <w:lang w:val="en-US" w:eastAsia="zh-CN"/>
        </w:rPr>
        <w:t>0650km，路线</w:t>
      </w:r>
      <w:r>
        <w:rPr>
          <w:rFonts w:hint="eastAsia" w:eastAsia="宋体" w:asciiTheme="majorEastAsia" w:hAnsiTheme="majorEastAsia" w:cstheme="majorEastAsia"/>
          <w:b w:val="0"/>
          <w:bCs w:val="0"/>
          <w:spacing w:val="0"/>
          <w:w w:val="100"/>
          <w:sz w:val="24"/>
          <w:szCs w:val="24"/>
        </w:rPr>
        <w:t>全长</w:t>
      </w:r>
      <w:r>
        <w:rPr>
          <w:rFonts w:hint="eastAsia" w:eastAsia="宋体" w:asciiTheme="majorEastAsia" w:hAnsiTheme="majorEastAsia" w:cstheme="majorEastAsia"/>
          <w:b w:val="0"/>
          <w:bCs w:val="0"/>
          <w:spacing w:val="0"/>
          <w:w w:val="100"/>
          <w:sz w:val="24"/>
          <w:szCs w:val="24"/>
          <w:lang w:val="en-US" w:eastAsia="zh-CN"/>
        </w:rPr>
        <w:t>1.500</w:t>
      </w:r>
      <w:r>
        <w:rPr>
          <w:rFonts w:hint="eastAsia" w:eastAsia="宋体" w:asciiTheme="majorEastAsia" w:hAnsiTheme="majorEastAsia" w:cstheme="majorEastAsia"/>
          <w:b w:val="0"/>
          <w:bCs w:val="0"/>
          <w:spacing w:val="0"/>
          <w:w w:val="100"/>
          <w:sz w:val="24"/>
          <w:szCs w:val="24"/>
        </w:rPr>
        <w:t xml:space="preserve">公里。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8"/>
          <w:szCs w:val="28"/>
          <w:lang w:eastAsia="zh-CN"/>
        </w:rPr>
      </w:pPr>
      <w:r>
        <w:rPr>
          <w:rFonts w:hint="eastAsia" w:asciiTheme="majorEastAsia" w:hAnsiTheme="majorEastAsia" w:eastAsiaTheme="majorEastAsia" w:cstheme="majorEastAsia"/>
          <w:b/>
          <w:bCs/>
          <w:sz w:val="28"/>
          <w:szCs w:val="28"/>
          <w:lang w:eastAsia="zh-CN"/>
        </w:rPr>
        <w:t>三、沿线地形、地质、气候、水文等自然地理特征</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en-US"/>
        </w:rPr>
      </w:pPr>
      <w:r>
        <w:rPr>
          <w:rFonts w:hint="eastAsia" w:asciiTheme="majorEastAsia" w:hAnsiTheme="majorEastAsia" w:eastAsiaTheme="majorEastAsia" w:cstheme="majorEastAsia"/>
          <w:b w:val="0"/>
          <w:bCs w:val="0"/>
          <w:spacing w:val="0"/>
          <w:w w:val="100"/>
          <w:sz w:val="24"/>
          <w:szCs w:val="24"/>
          <w:lang w:val="en-US" w:eastAsia="zh-CN"/>
        </w:rPr>
        <w:t>1、</w:t>
      </w:r>
      <w:r>
        <w:rPr>
          <w:rFonts w:hint="eastAsia" w:asciiTheme="majorEastAsia" w:hAnsiTheme="majorEastAsia" w:eastAsiaTheme="majorEastAsia" w:cstheme="majorEastAsia"/>
          <w:b w:val="0"/>
          <w:bCs w:val="0"/>
          <w:spacing w:val="0"/>
          <w:w w:val="100"/>
          <w:sz w:val="24"/>
          <w:szCs w:val="24"/>
          <w:lang w:val="en-US" w:eastAsia="en-US"/>
        </w:rPr>
        <w:t xml:space="preserve">地形 </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en-US"/>
        </w:rPr>
        <w:t>全线为平地，坡度</w:t>
      </w:r>
      <w:r>
        <w:rPr>
          <w:rFonts w:hint="eastAsia" w:asciiTheme="majorEastAsia" w:hAnsiTheme="majorEastAsia" w:eastAsiaTheme="majorEastAsia" w:cstheme="majorEastAsia"/>
          <w:b w:val="0"/>
          <w:bCs w:val="0"/>
          <w:spacing w:val="0"/>
          <w:w w:val="100"/>
          <w:sz w:val="24"/>
          <w:szCs w:val="24"/>
          <w:lang w:val="en-US" w:eastAsia="zh-CN"/>
        </w:rPr>
        <w:t>平</w:t>
      </w:r>
      <w:r>
        <w:rPr>
          <w:rFonts w:hint="eastAsia" w:asciiTheme="majorEastAsia" w:hAnsiTheme="majorEastAsia" w:eastAsiaTheme="majorEastAsia" w:cstheme="majorEastAsia"/>
          <w:b w:val="0"/>
          <w:bCs w:val="0"/>
          <w:spacing w:val="0"/>
          <w:w w:val="100"/>
          <w:sz w:val="24"/>
          <w:szCs w:val="24"/>
          <w:lang w:val="en-US" w:eastAsia="en-US"/>
        </w:rPr>
        <w:t>缓。</w:t>
      </w:r>
      <w:r>
        <w:rPr>
          <w:rFonts w:hint="eastAsia" w:asciiTheme="majorEastAsia" w:hAnsiTheme="majorEastAsia" w:eastAsiaTheme="majorEastAsia" w:cstheme="majorEastAsia"/>
          <w:b w:val="0"/>
          <w:bCs w:val="0"/>
          <w:spacing w:val="0"/>
          <w:w w:val="100"/>
          <w:sz w:val="24"/>
          <w:szCs w:val="24"/>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en-US"/>
        </w:rPr>
      </w:pPr>
      <w:r>
        <w:rPr>
          <w:rFonts w:hint="eastAsia" w:asciiTheme="majorEastAsia" w:hAnsiTheme="majorEastAsia" w:eastAsiaTheme="majorEastAsia" w:cstheme="majorEastAsia"/>
          <w:b w:val="0"/>
          <w:bCs w:val="0"/>
          <w:spacing w:val="0"/>
          <w:w w:val="100"/>
          <w:sz w:val="24"/>
          <w:szCs w:val="24"/>
          <w:lang w:val="en-US" w:eastAsia="en-US"/>
        </w:rPr>
        <w:t>2、地质构造</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 xml:space="preserve">沿线地质主要为粘性土，地质构造好，未存在不良的地质构造。 </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lang w:val="en-US" w:eastAsia="zh-CN"/>
        </w:rPr>
        <w:t>3、</w:t>
      </w:r>
      <w:r>
        <w:rPr>
          <w:rFonts w:hint="eastAsia" w:asciiTheme="majorEastAsia" w:hAnsiTheme="majorEastAsia" w:eastAsiaTheme="majorEastAsia" w:cstheme="majorEastAsia"/>
          <w:b w:val="0"/>
          <w:bCs w:val="0"/>
          <w:spacing w:val="0"/>
          <w:w w:val="100"/>
          <w:sz w:val="24"/>
          <w:szCs w:val="24"/>
        </w:rPr>
        <w:t>气候</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路线位于广西东南部。冬无严寒，夏无酷暑，气候温和，雨盆充沛，日照充足，无霜期长，利于施工，但雨季时间长，对路基、路面及人工构造物等施工均有一定的影响，应合理安排施工工序， 抓紧早季施工。</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 xml:space="preserve">4、水文 </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沿线路基及桥涵均满足设计洪水位的要求，并根据实际情况设置了防护工程。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b/>
          <w:bCs/>
          <w:sz w:val="28"/>
          <w:szCs w:val="28"/>
          <w:lang w:eastAsia="zh-CN"/>
        </w:rPr>
      </w:pPr>
      <w:r>
        <w:rPr>
          <w:rFonts w:hint="eastAsia" w:asciiTheme="majorEastAsia" w:hAnsiTheme="majorEastAsia" w:eastAsiaTheme="majorEastAsia" w:cstheme="majorEastAsia"/>
          <w:b/>
          <w:bCs/>
          <w:sz w:val="28"/>
          <w:szCs w:val="28"/>
          <w:lang w:eastAsia="zh-CN"/>
        </w:rPr>
        <w:t>四、天然筑路材料、水、电等建设条件与公路建设的关系</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沿线筑路材料</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 xml:space="preserve"> 1、石料</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石料在贵港市城区区各石场购买，石质主要为石灰岩，能满足构造物、桥涵及路面强度的要求。</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 xml:space="preserve"> 2、砂</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采用贵港市江岸砂场河砂,或者机制砂</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 xml:space="preserve"> 3、水泥</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本工程路面、构造物所用水泥在贵港市购买。</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(二)水</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沿线均有河流、灌溉沟及水库，取水方便。</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r>
        <w:rPr>
          <w:rFonts w:hint="eastAsia" w:asciiTheme="majorEastAsia" w:hAnsiTheme="majorEastAsia" w:eastAsiaTheme="majorEastAsia" w:cstheme="majorEastAsia"/>
          <w:b w:val="0"/>
          <w:bCs w:val="0"/>
          <w:spacing w:val="0"/>
          <w:w w:val="100"/>
          <w:sz w:val="24"/>
          <w:szCs w:val="24"/>
          <w:lang w:val="en-US" w:eastAsia="zh-CN"/>
        </w:rPr>
        <w:t>(三)电</w:t>
      </w:r>
    </w:p>
    <w:p>
      <w:pPr>
        <w:pStyle w:val="3"/>
        <w:keepNext w:val="0"/>
        <w:keepLines w:val="0"/>
        <w:pageBreakBefore w:val="0"/>
        <w:widowControl w:val="0"/>
        <w:kinsoku/>
        <w:wordWrap/>
        <w:overflowPunct/>
        <w:topLinePunct w:val="0"/>
        <w:autoSpaceDE/>
        <w:autoSpaceDN/>
        <w:bidi w:val="0"/>
        <w:adjustRightInd/>
        <w:snapToGrid/>
        <w:spacing w:line="360" w:lineRule="auto"/>
        <w:ind w:left="600" w:right="0" w:firstLine="0"/>
        <w:jc w:val="left"/>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b w:val="0"/>
          <w:bCs w:val="0"/>
          <w:spacing w:val="0"/>
          <w:w w:val="100"/>
        </w:rPr>
        <w:t>公路沿线附近有农用高压线，与有关部门协商即可使用。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五、与周围环境和自然景观相协调情况</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本工程沿旧路布设，尽量避开民房，尽量少占用水田，路线设计己考虑尽量少破坏沿线地貌、地形、林场、天然树木及建筑等。线形设计尽量采用较大的平曲线半径、竖曲线半径、形成合理的组 合和良好的空间线型，使之顺畅、舒展，并与自然景观融为一体。</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路基挖方和填方对自然地貌地形改变较大，需采用种植乔、灌、草、花等进行绿化，个别路段宜采用浆砌片石进行防护。路基破坏了的自然水系及灌溉沟要移到路外，并予以恢复，同时要完善全 线排水系统。通过对路基的砌体防护、绿化、美化，使之与大自然融为一体。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六、新技术、新材料、新设备、新工艺的采用和计算机应用等情况</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1、在本工程设计中充分学习和贯彻了新规范和新技术，主要有：国家标准《道路交通标志和标线》(GB5768-99)、交通部标准《公路工程技术标准》(JTGB01-2014)、《公路环境保护设计规范》 (JTJ/T006-98)、《公路工程基本建设项目概预算编制办法》(JTGB06-2007)等，详见各篇设计说明和图表。</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2、为提高设计精度、提高工作效率本次路线设计采用了较先进的公路工程辅助设计系统，结合数字化专用地形图进行选线，然后利用全站仪配合PC-E50</w:t>
      </w:r>
      <w:r>
        <w:rPr>
          <w:rFonts w:hint="eastAsia" w:asciiTheme="majorEastAsia" w:hAnsiTheme="majorEastAsia" w:eastAsiaTheme="majorEastAsia" w:cstheme="majorEastAsia"/>
          <w:b w:val="0"/>
          <w:bCs w:val="0"/>
          <w:spacing w:val="0"/>
          <w:w w:val="100"/>
          <w:sz w:val="24"/>
          <w:szCs w:val="24"/>
          <w:lang w:val="en-US" w:eastAsia="zh-CN"/>
        </w:rPr>
        <w:t>0</w:t>
      </w:r>
      <w:r>
        <w:rPr>
          <w:rFonts w:hint="eastAsia" w:asciiTheme="majorEastAsia" w:hAnsiTheme="majorEastAsia" w:eastAsiaTheme="majorEastAsia" w:cstheme="majorEastAsia"/>
          <w:b w:val="0"/>
          <w:bCs w:val="0"/>
          <w:spacing w:val="0"/>
          <w:w w:val="100"/>
          <w:sz w:val="24"/>
          <w:szCs w:val="24"/>
        </w:rPr>
        <w:t>便携式计算机进行实地放线测设，并 按实地情况进行调查。横断面采用全站仪配合抬竿法测量。</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rPr>
      </w:pPr>
      <w:r>
        <w:rPr>
          <w:rFonts w:hint="eastAsia" w:asciiTheme="majorEastAsia" w:hAnsiTheme="majorEastAsia" w:eastAsiaTheme="majorEastAsia" w:cstheme="majorEastAsia"/>
          <w:b w:val="0"/>
          <w:bCs w:val="0"/>
          <w:spacing w:val="0"/>
          <w:w w:val="100"/>
          <w:sz w:val="24"/>
          <w:szCs w:val="24"/>
        </w:rPr>
        <w:t>3、路线、路基和涵洞分别采用道路CAD及涵洞CA</w:t>
      </w:r>
      <w:r>
        <w:rPr>
          <w:rFonts w:hint="eastAsia" w:asciiTheme="majorEastAsia" w:hAnsiTheme="majorEastAsia" w:eastAsiaTheme="majorEastAsia" w:cstheme="majorEastAsia"/>
          <w:b w:val="0"/>
          <w:bCs w:val="0"/>
          <w:spacing w:val="0"/>
          <w:w w:val="100"/>
          <w:sz w:val="24"/>
          <w:szCs w:val="24"/>
          <w:lang w:val="en-US" w:eastAsia="zh-CN"/>
        </w:rPr>
        <w:t>D</w:t>
      </w:r>
      <w:r>
        <w:rPr>
          <w:rFonts w:hint="eastAsia" w:asciiTheme="majorEastAsia" w:hAnsiTheme="majorEastAsia" w:eastAsiaTheme="majorEastAsia" w:cstheme="majorEastAsia"/>
          <w:b w:val="0"/>
          <w:bCs w:val="0"/>
          <w:spacing w:val="0"/>
          <w:w w:val="100"/>
          <w:sz w:val="24"/>
          <w:szCs w:val="24"/>
        </w:rPr>
        <w:t>进行辅助设计，全部设计文件采用计算机绘制，采用激光打印机出图，保证了图表的整洁、美观。CAD技术在本项目中的大量应用，显著地 提高了设计质量，加快了设计进度，使得本建设项目达到方案优、投资省、工期短、效益好的效果。</w:t>
      </w:r>
    </w:p>
    <w:p>
      <w:pPr>
        <w:pStyle w:val="3"/>
        <w:keepNext w:val="0"/>
        <w:keepLines w:val="0"/>
        <w:pageBreakBefore w:val="0"/>
        <w:widowControl w:val="0"/>
        <w:kinsoku/>
        <w:wordWrap/>
        <w:overflowPunct/>
        <w:topLinePunct w:val="0"/>
        <w:autoSpaceDE/>
        <w:autoSpaceDN/>
        <w:bidi w:val="0"/>
        <w:adjustRightInd/>
        <w:snapToGrid/>
        <w:spacing w:line="360" w:lineRule="auto"/>
        <w:ind w:left="115" w:right="249" w:firstLine="459"/>
        <w:jc w:val="left"/>
        <w:textAlignment w:val="auto"/>
        <w:rPr>
          <w:rFonts w:hint="eastAsia" w:asciiTheme="majorEastAsia" w:hAnsiTheme="majorEastAsia" w:eastAsiaTheme="majorEastAsia" w:cstheme="majorEastAsia"/>
          <w:b w:val="0"/>
          <w:bCs w:val="0"/>
          <w:spacing w:val="0"/>
          <w:w w:val="100"/>
          <w:sz w:val="24"/>
          <w:szCs w:val="24"/>
          <w:lang w:val="en-US" w:eastAsia="zh-CN"/>
        </w:rPr>
      </w:pPr>
    </w:p>
    <w:sectPr>
      <w:type w:val="continuous"/>
      <w:pgSz w:w="23820" w:h="16840" w:orient="landscape"/>
      <w:pgMar w:top="1580" w:right="1380" w:bottom="280" w:left="13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NTA5ODcwOGQ0ZGIzMTQ5MmRmMTRhNWNhM2NjMDExODQifQ=="/>
  </w:docVars>
  <w:rsids>
    <w:rsidRoot w:val="00000000"/>
    <w:rsid w:val="00C776D6"/>
    <w:rsid w:val="016B109C"/>
    <w:rsid w:val="02C438DE"/>
    <w:rsid w:val="036E56C5"/>
    <w:rsid w:val="03E000BA"/>
    <w:rsid w:val="04096F7B"/>
    <w:rsid w:val="053F2034"/>
    <w:rsid w:val="05667DFB"/>
    <w:rsid w:val="05C77983"/>
    <w:rsid w:val="084C77CA"/>
    <w:rsid w:val="09572D99"/>
    <w:rsid w:val="0B211586"/>
    <w:rsid w:val="0B3B01FC"/>
    <w:rsid w:val="0B67451F"/>
    <w:rsid w:val="0BAC64C5"/>
    <w:rsid w:val="0BFD1732"/>
    <w:rsid w:val="0C897588"/>
    <w:rsid w:val="0D697B09"/>
    <w:rsid w:val="0E1239F9"/>
    <w:rsid w:val="0E441EFA"/>
    <w:rsid w:val="0EB017DA"/>
    <w:rsid w:val="0F0B6446"/>
    <w:rsid w:val="0FF03331"/>
    <w:rsid w:val="0FF34170"/>
    <w:rsid w:val="102B4FA2"/>
    <w:rsid w:val="10E41BC6"/>
    <w:rsid w:val="136116D1"/>
    <w:rsid w:val="13783520"/>
    <w:rsid w:val="13BF3682"/>
    <w:rsid w:val="15140C8E"/>
    <w:rsid w:val="160B582A"/>
    <w:rsid w:val="16AE1A65"/>
    <w:rsid w:val="16BF699C"/>
    <w:rsid w:val="16EE6414"/>
    <w:rsid w:val="17F17867"/>
    <w:rsid w:val="19BB3462"/>
    <w:rsid w:val="1A060EFD"/>
    <w:rsid w:val="1A691313"/>
    <w:rsid w:val="1B7C6E0F"/>
    <w:rsid w:val="1B8C02ED"/>
    <w:rsid w:val="1C2A45EB"/>
    <w:rsid w:val="1CD96170"/>
    <w:rsid w:val="1DB91FA2"/>
    <w:rsid w:val="1E135E59"/>
    <w:rsid w:val="1F005651"/>
    <w:rsid w:val="1F175742"/>
    <w:rsid w:val="1FB72055"/>
    <w:rsid w:val="203C57CC"/>
    <w:rsid w:val="208120C5"/>
    <w:rsid w:val="20AD0837"/>
    <w:rsid w:val="20F546B7"/>
    <w:rsid w:val="2161080F"/>
    <w:rsid w:val="24E0742D"/>
    <w:rsid w:val="24FA6740"/>
    <w:rsid w:val="252E63EA"/>
    <w:rsid w:val="25302162"/>
    <w:rsid w:val="25403EC7"/>
    <w:rsid w:val="25427A70"/>
    <w:rsid w:val="25D9359C"/>
    <w:rsid w:val="2606437E"/>
    <w:rsid w:val="26416C70"/>
    <w:rsid w:val="289F6A97"/>
    <w:rsid w:val="28C92B67"/>
    <w:rsid w:val="29860A51"/>
    <w:rsid w:val="2A2E48DD"/>
    <w:rsid w:val="2BCE115B"/>
    <w:rsid w:val="2EB72FAC"/>
    <w:rsid w:val="30C5019F"/>
    <w:rsid w:val="31F142FA"/>
    <w:rsid w:val="32034EF7"/>
    <w:rsid w:val="33E459A5"/>
    <w:rsid w:val="350F7F7D"/>
    <w:rsid w:val="35FF4BB7"/>
    <w:rsid w:val="371E516A"/>
    <w:rsid w:val="37225E2C"/>
    <w:rsid w:val="38C35ACF"/>
    <w:rsid w:val="392841C8"/>
    <w:rsid w:val="3BE65657"/>
    <w:rsid w:val="402C30CE"/>
    <w:rsid w:val="404A7C55"/>
    <w:rsid w:val="40A20572"/>
    <w:rsid w:val="40DA6973"/>
    <w:rsid w:val="41E44DB9"/>
    <w:rsid w:val="425B5B74"/>
    <w:rsid w:val="429559C7"/>
    <w:rsid w:val="42DD41F4"/>
    <w:rsid w:val="441F0261"/>
    <w:rsid w:val="46153F31"/>
    <w:rsid w:val="461867E0"/>
    <w:rsid w:val="463F7FFF"/>
    <w:rsid w:val="47DA2169"/>
    <w:rsid w:val="47E41E10"/>
    <w:rsid w:val="482C3F97"/>
    <w:rsid w:val="4884619D"/>
    <w:rsid w:val="49925216"/>
    <w:rsid w:val="4B394846"/>
    <w:rsid w:val="4B863218"/>
    <w:rsid w:val="4CEA4ED2"/>
    <w:rsid w:val="4D4A0AAE"/>
    <w:rsid w:val="4EB06FFB"/>
    <w:rsid w:val="4F555EFB"/>
    <w:rsid w:val="4FB05ACA"/>
    <w:rsid w:val="52092E92"/>
    <w:rsid w:val="52E64006"/>
    <w:rsid w:val="52EF17BA"/>
    <w:rsid w:val="544D6654"/>
    <w:rsid w:val="54CF1C7F"/>
    <w:rsid w:val="55B404AA"/>
    <w:rsid w:val="568D0DED"/>
    <w:rsid w:val="57DB6EED"/>
    <w:rsid w:val="584B5EFC"/>
    <w:rsid w:val="58DA5965"/>
    <w:rsid w:val="590D3EF2"/>
    <w:rsid w:val="5A77229B"/>
    <w:rsid w:val="5A9D304D"/>
    <w:rsid w:val="5B39401A"/>
    <w:rsid w:val="5BDC18BA"/>
    <w:rsid w:val="5D080DC3"/>
    <w:rsid w:val="5DE7103C"/>
    <w:rsid w:val="5F8F4F65"/>
    <w:rsid w:val="5FAB0479"/>
    <w:rsid w:val="60107EBF"/>
    <w:rsid w:val="61C62602"/>
    <w:rsid w:val="621729C8"/>
    <w:rsid w:val="62B45D24"/>
    <w:rsid w:val="62BC5E5C"/>
    <w:rsid w:val="63170325"/>
    <w:rsid w:val="639341CC"/>
    <w:rsid w:val="64231BA7"/>
    <w:rsid w:val="650E3A02"/>
    <w:rsid w:val="65D55EDF"/>
    <w:rsid w:val="66504218"/>
    <w:rsid w:val="66CD6B09"/>
    <w:rsid w:val="67957627"/>
    <w:rsid w:val="69A82C82"/>
    <w:rsid w:val="6B740DDF"/>
    <w:rsid w:val="6CA1785E"/>
    <w:rsid w:val="6D314C97"/>
    <w:rsid w:val="704C4277"/>
    <w:rsid w:val="70673092"/>
    <w:rsid w:val="71E46493"/>
    <w:rsid w:val="74594423"/>
    <w:rsid w:val="768A0F6F"/>
    <w:rsid w:val="77282B47"/>
    <w:rsid w:val="779F1A2C"/>
    <w:rsid w:val="78AC2A23"/>
    <w:rsid w:val="79824150"/>
    <w:rsid w:val="79C1537C"/>
    <w:rsid w:val="7C203985"/>
    <w:rsid w:val="7C6D58E2"/>
    <w:rsid w:val="7CBC5CC3"/>
    <w:rsid w:val="7D496337"/>
    <w:rsid w:val="7E0922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spacing w:after="0" w:line="240" w:lineRule="auto"/>
    </w:pPr>
    <w:rPr>
      <w:rFonts w:asciiTheme="minorHAnsi" w:hAnsiTheme="minorHAnsi" w:eastAsiaTheme="minorHAnsi" w:cstheme="minorBidi"/>
      <w:sz w:val="22"/>
      <w:szCs w:val="22"/>
      <w:lang w:val="en-US" w:eastAsia="en-US" w:bidi="ar-SA"/>
    </w:rPr>
  </w:style>
  <w:style w:type="paragraph" w:styleId="2">
    <w:name w:val="heading 1"/>
    <w:basedOn w:val="1"/>
    <w:next w:val="1"/>
    <w:autoRedefine/>
    <w:qFormat/>
    <w:uiPriority w:val="1"/>
    <w:pPr>
      <w:ind w:left="661"/>
      <w:outlineLvl w:val="1"/>
    </w:pPr>
    <w:rPr>
      <w:rFonts w:ascii="Microsoft JhengHei" w:hAnsi="Microsoft JhengHei" w:eastAsia="Microsoft JhengHei"/>
      <w:b/>
      <w:bCs/>
      <w:sz w:val="28"/>
      <w:szCs w:val="28"/>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ind w:left="580"/>
    </w:pPr>
    <w:rPr>
      <w:rFonts w:ascii="Microsoft JhengHei" w:hAnsi="Microsoft JhengHei" w:eastAsia="Microsoft JhengHei"/>
      <w:sz w:val="24"/>
      <w:szCs w:val="24"/>
    </w:rPr>
  </w:style>
  <w:style w:type="table" w:customStyle="1" w:styleId="6">
    <w:name w:val="Table Normal"/>
    <w:autoRedefine/>
    <w:semiHidden/>
    <w:unhideWhenUsed/>
    <w:qFormat/>
    <w:uiPriority w:val="2"/>
    <w:tblPr>
      <w:tblCellMar>
        <w:top w:w="0" w:type="dxa"/>
        <w:left w:w="0" w:type="dxa"/>
        <w:bottom w:w="0" w:type="dxa"/>
        <w:right w:w="0" w:type="dxa"/>
      </w:tblCellMar>
    </w:tblPr>
  </w:style>
  <w:style w:type="paragraph" w:styleId="7">
    <w:name w:val="List Paragraph"/>
    <w:basedOn w:val="1"/>
    <w:qFormat/>
    <w:uiPriority w:val="1"/>
  </w:style>
  <w:style w:type="paragraph" w:customStyle="1" w:styleId="8">
    <w:name w:val="Table Paragraph"/>
    <w:basedOn w:val="1"/>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Pages>
  <Words>1368</Words>
  <Characters>1457</Characters>
  <TotalTime>34</TotalTime>
  <ScaleCrop>false</ScaleCrop>
  <LinksUpToDate>false</LinksUpToDate>
  <CharactersWithSpaces>1508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2019-09-03T09:27:00Z</dcterms:created>
  <dc:creator>Administrator</dc:creator>
  <cp:lastModifiedBy>木糖醇</cp:lastModifiedBy>
  <cp:lastPrinted>2023-09-15T13:18:00Z</cp:lastPrinted>
  <dcterms:modified xsi:type="dcterms:W3CDTF">2024-01-10T08:55:19Z</dcterms:modified>
  <dc:title>封面（一阶段设计）.doc</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2019-09-03T00:00:00Z</vt:filetime>
  </property>
  <property fmtid="{D5CDD505-2E9C-101B-9397-08002B2CF9AE}" pid="3" name="LastSaved">
    <vt:filetime>2019-09-03T00:00:00Z</vt:filetime>
  </property>
  <property fmtid="{D5CDD505-2E9C-101B-9397-08002B2CF9AE}" pid="4" name="KSOProductBuildVer">
    <vt:lpwstr>2052-12.1.0.16120</vt:lpwstr>
  </property>
  <property fmtid="{D5CDD505-2E9C-101B-9397-08002B2CF9AE}" pid="5" name="ICV">
    <vt:lpwstr>839FE1C5A81D4F9F9C10D744458439F6</vt:lpwstr>
  </property>
</Properties>
</file>