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96EFB">
      <w:pPr>
        <w:widowControl/>
        <w:shd w:val="clear"/>
        <w:spacing w:line="360" w:lineRule="auto"/>
        <w:jc w:val="center"/>
        <w:rPr>
          <w:rFonts w:ascii="宋体" w:hAnsi="宋体"/>
          <w:color w:val="000000" w:themeColor="text1"/>
          <w:kern w:val="0"/>
          <w:szCs w:val="21"/>
          <w:highlight w:val="none"/>
          <w14:textFill>
            <w14:solidFill>
              <w14:schemeClr w14:val="tx1"/>
            </w14:solidFill>
          </w14:textFill>
        </w:rPr>
      </w:pPr>
      <w:bookmarkStart w:id="109" w:name="_GoBack"/>
      <w:bookmarkEnd w:id="109"/>
    </w:p>
    <w:p w14:paraId="142661BB">
      <w:pPr>
        <w:widowControl/>
        <w:shd w:val="clear"/>
        <w:spacing w:line="360" w:lineRule="auto"/>
        <w:jc w:val="center"/>
        <w:rPr>
          <w:rFonts w:ascii="宋体" w:hAnsi="宋体"/>
          <w:color w:val="000000" w:themeColor="text1"/>
          <w:kern w:val="0"/>
          <w:szCs w:val="21"/>
          <w:highlight w:val="none"/>
          <w14:textFill>
            <w14:solidFill>
              <w14:schemeClr w14:val="tx1"/>
            </w14:solidFill>
          </w14:textFill>
        </w:rPr>
      </w:pPr>
    </w:p>
    <w:p w14:paraId="2CB96BA2">
      <w:pPr>
        <w:shd w:val="clear"/>
        <w:autoSpaceDE w:val="0"/>
        <w:autoSpaceDN w:val="0"/>
        <w:adjustRightInd w:val="0"/>
        <w:rPr>
          <w:color w:val="000000" w:themeColor="text1"/>
          <w:sz w:val="44"/>
          <w:szCs w:val="44"/>
          <w:highlight w:val="none"/>
          <w14:textFill>
            <w14:solidFill>
              <w14:schemeClr w14:val="tx1"/>
            </w14:solidFill>
          </w14:textFill>
        </w:rPr>
      </w:pPr>
      <w:r>
        <w:rPr>
          <w:color w:val="000000" w:themeColor="text1"/>
          <w:sz w:val="28"/>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1397635</wp:posOffset>
                </wp:positionH>
                <wp:positionV relativeFrom="paragraph">
                  <wp:posOffset>784860</wp:posOffset>
                </wp:positionV>
                <wp:extent cx="4037330" cy="314325"/>
                <wp:effectExtent l="0" t="0" r="0" b="0"/>
                <wp:wrapNone/>
                <wp:docPr id="37" name="自选图形 4"/>
                <wp:cNvGraphicFramePr/>
                <a:graphic xmlns:a="http://schemas.openxmlformats.org/drawingml/2006/main">
                  <a:graphicData uri="http://schemas.microsoft.com/office/word/2010/wordprocessingShape">
                    <wps:wsp>
                      <wps:cNvSpPr/>
                      <wps:spPr>
                        <a:xfrm>
                          <a:off x="0" y="0"/>
                          <a:ext cx="4037330" cy="314325"/>
                        </a:xfrm>
                        <a:prstGeom prst="flowChartProcess">
                          <a:avLst/>
                        </a:prstGeom>
                        <a:noFill/>
                        <a:ln>
                          <a:noFill/>
                        </a:ln>
                      </wps:spPr>
                      <wps:txbx>
                        <w:txbxContent>
                          <w:p w14:paraId="74AD322C">
                            <w:pPr>
                              <w:rPr>
                                <w:rFonts w:ascii="楷体" w:hAnsi="楷体" w:eastAsia="楷体" w:cs="楷体"/>
                                <w:b/>
                                <w:bCs/>
                                <w:sz w:val="15"/>
                                <w:szCs w:val="15"/>
                              </w:rPr>
                            </w:pPr>
                            <w:r>
                              <w:rPr>
                                <w:rFonts w:hint="eastAsia"/>
                                <w:b/>
                                <w:bCs/>
                                <w:szCs w:val="21"/>
                              </w:rPr>
                              <w:t xml:space="preserve">  </w:t>
                            </w:r>
                            <w:r>
                              <w:rPr>
                                <w:rFonts w:hint="eastAsia"/>
                                <w:b/>
                                <w:bCs/>
                                <w:sz w:val="15"/>
                                <w:szCs w:val="15"/>
                              </w:rPr>
                              <w:t>FA  ZHENG  XIANG  MU  GUAN  LI  JI  TUAN  YOU  XIAN  GONG  SI</w:t>
                            </w:r>
                          </w:p>
                          <w:p w14:paraId="249964B3"/>
                        </w:txbxContent>
                      </wps:txbx>
                      <wps:bodyPr lIns="91439" tIns="45720" rIns="91439" bIns="45720" upright="1"/>
                    </wps:wsp>
                  </a:graphicData>
                </a:graphic>
              </wp:anchor>
            </w:drawing>
          </mc:Choice>
          <mc:Fallback>
            <w:pict>
              <v:shape id="自选图形 4" o:spid="_x0000_s1026" o:spt="109" type="#_x0000_t109" style="position:absolute;left:0pt;margin-left:110.05pt;margin-top:61.8pt;height:24.75pt;width:317.9pt;z-index:251663360;mso-width-relative:page;mso-height-relative:page;" filled="f" stroked="f" coordsize="21600,21600" o:gfxdata="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R7NN9kAAAALAQAADwAAAAAAAAABACAAAAAiAAAA&#10;ZHJzL2Rvd25yZXYueG1sUEsBAhQAFAAAAAgAh07iQOcNP4fNAQAAiAMAAA4AAAAAAAAAAQAgAAAA&#10;KAEAAGRycy9lMm9Eb2MueG1sUEsFBgAAAAAGAAYAWQEAAGcFAAAAAA==&#10;">
                <v:fill on="f" focussize="0,0"/>
                <v:stroke on="f"/>
                <v:imagedata o:title=""/>
                <o:lock v:ext="edit" aspectratio="f"/>
                <v:textbox inset="7.19992125984252pt,1.27mm,7.19992125984252pt,1.27mm">
                  <w:txbxContent>
                    <w:p w14:paraId="74AD322C">
                      <w:pPr>
                        <w:rPr>
                          <w:rFonts w:ascii="楷体" w:hAnsi="楷体" w:eastAsia="楷体" w:cs="楷体"/>
                          <w:b/>
                          <w:bCs/>
                          <w:sz w:val="15"/>
                          <w:szCs w:val="15"/>
                        </w:rPr>
                      </w:pPr>
                      <w:r>
                        <w:rPr>
                          <w:rFonts w:hint="eastAsia"/>
                          <w:b/>
                          <w:bCs/>
                          <w:szCs w:val="21"/>
                        </w:rPr>
                        <w:t xml:space="preserve">  </w:t>
                      </w:r>
                      <w:r>
                        <w:rPr>
                          <w:rFonts w:hint="eastAsia"/>
                          <w:b/>
                          <w:bCs/>
                          <w:sz w:val="15"/>
                          <w:szCs w:val="15"/>
                        </w:rPr>
                        <w:t>FA  ZHENG  XIANG  MU  GUAN  LI  JI  TUAN  YOU  XIAN  GONG  SI</w:t>
                      </w:r>
                    </w:p>
                    <w:p w14:paraId="249964B3"/>
                  </w:txbxContent>
                </v:textbox>
              </v:shape>
            </w:pict>
          </mc:Fallback>
        </mc:AlternateContent>
      </w:r>
      <w:r>
        <w:rPr>
          <w:color w:val="000000" w:themeColor="text1"/>
          <w:sz w:val="28"/>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1465580</wp:posOffset>
                </wp:positionH>
                <wp:positionV relativeFrom="paragraph">
                  <wp:posOffset>422275</wp:posOffset>
                </wp:positionV>
                <wp:extent cx="4283710" cy="591185"/>
                <wp:effectExtent l="0" t="0" r="0" b="0"/>
                <wp:wrapNone/>
                <wp:docPr id="38" name="自选图形 5"/>
                <wp:cNvGraphicFramePr/>
                <a:graphic xmlns:a="http://schemas.openxmlformats.org/drawingml/2006/main">
                  <a:graphicData uri="http://schemas.microsoft.com/office/word/2010/wordprocessingShape">
                    <wps:wsp>
                      <wps:cNvSpPr/>
                      <wps:spPr>
                        <a:xfrm>
                          <a:off x="0" y="0"/>
                          <a:ext cx="4283710" cy="591185"/>
                        </a:xfrm>
                        <a:prstGeom prst="flowChartProcess">
                          <a:avLst/>
                        </a:prstGeom>
                        <a:noFill/>
                        <a:ln>
                          <a:noFill/>
                        </a:ln>
                      </wps:spPr>
                      <wps:txbx>
                        <w:txbxContent>
                          <w:p w14:paraId="2DD0E728">
                            <w:pPr>
                              <w:rPr>
                                <w:b/>
                                <w:bCs/>
                                <w:sz w:val="48"/>
                                <w:szCs w:val="48"/>
                              </w:rPr>
                            </w:pPr>
                            <w:r>
                              <w:rPr>
                                <w:rFonts w:hint="eastAsia" w:ascii="楷体" w:hAnsi="楷体" w:eastAsia="楷体" w:cs="楷体"/>
                                <w:b/>
                                <w:bCs/>
                                <w:sz w:val="48"/>
                                <w:szCs w:val="48"/>
                              </w:rPr>
                              <w:t xml:space="preserve">法正项目管理集团有限公司 </w:t>
                            </w:r>
                          </w:p>
                        </w:txbxContent>
                      </wps:txbx>
                      <wps:bodyPr lIns="91439" tIns="45720" rIns="91439" bIns="45720" upright="1"/>
                    </wps:wsp>
                  </a:graphicData>
                </a:graphic>
              </wp:anchor>
            </w:drawing>
          </mc:Choice>
          <mc:Fallback>
            <w:pict>
              <v:shape id="自选图形 5" o:spid="_x0000_s1026" o:spt="109" type="#_x0000_t109" style="position:absolute;left:0pt;margin-left:115.4pt;margin-top:33.25pt;height:46.55pt;width:337.3pt;z-index:251662336;mso-width-relative:page;mso-height-relative:page;" filled="f" stroked="f" coordsize="21600,21600" o:gfxdata="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Jcs/ZAAAACgEAAA8AAAAAAAAAAQAgAAAAIgAA&#10;AGRycy9kb3ducmV2LnhtbFBLAQIUABQAAAAIAIdO4kCh6AJtzgEAAIgDAAAOAAAAAAAAAAEAIAAA&#10;ACgBAABkcnMvZTJvRG9jLnhtbFBLBQYAAAAABgAGAFkBAABoBQAAAAA=&#10;">
                <v:fill on="f" focussize="0,0"/>
                <v:stroke on="f"/>
                <v:imagedata o:title=""/>
                <o:lock v:ext="edit" aspectratio="f"/>
                <v:textbox inset="7.19992125984252pt,1.27mm,7.19992125984252pt,1.27mm">
                  <w:txbxContent>
                    <w:p w14:paraId="2DD0E728">
                      <w:pPr>
                        <w:rPr>
                          <w:b/>
                          <w:bCs/>
                          <w:sz w:val="48"/>
                          <w:szCs w:val="48"/>
                        </w:rPr>
                      </w:pPr>
                      <w:r>
                        <w:rPr>
                          <w:rFonts w:hint="eastAsia" w:ascii="楷体" w:hAnsi="楷体" w:eastAsia="楷体" w:cs="楷体"/>
                          <w:b/>
                          <w:bCs/>
                          <w:sz w:val="48"/>
                          <w:szCs w:val="48"/>
                        </w:rPr>
                        <w:t xml:space="preserve">法正项目管理集团有限公司 </w:t>
                      </w:r>
                    </w:p>
                  </w:txbxContent>
                </v:textbox>
              </v:shape>
            </w:pict>
          </mc:Fallback>
        </mc:AlternateContent>
      </w:r>
      <w:r>
        <w:rPr>
          <w:color w:val="000000" w:themeColor="text1"/>
          <w:sz w:val="44"/>
          <w:szCs w:val="44"/>
          <w:highlight w:val="none"/>
          <w14:textFill>
            <w14:solidFill>
              <w14:schemeClr w14:val="tx1"/>
            </w14:solidFill>
          </w14:textFill>
        </w:rPr>
        <w:drawing>
          <wp:inline distT="0" distB="0" distL="114300" distR="114300">
            <wp:extent cx="1058545" cy="885825"/>
            <wp:effectExtent l="0" t="0" r="8255" b="9525"/>
            <wp:docPr id="39" name="图片 1" descr="竖版图标-法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竖版图标-法正"/>
                    <pic:cNvPicPr>
                      <a:picLocks noChangeAspect="1"/>
                    </pic:cNvPicPr>
                  </pic:nvPicPr>
                  <pic:blipFill>
                    <a:blip r:embed="rId38" cstate="print"/>
                    <a:stretch>
                      <a:fillRect/>
                    </a:stretch>
                  </pic:blipFill>
                  <pic:spPr>
                    <a:xfrm>
                      <a:off x="0" y="0"/>
                      <a:ext cx="1058545" cy="885825"/>
                    </a:xfrm>
                    <a:prstGeom prst="rect">
                      <a:avLst/>
                    </a:prstGeom>
                    <a:noFill/>
                    <a:ln w="9525">
                      <a:noFill/>
                    </a:ln>
                  </pic:spPr>
                </pic:pic>
              </a:graphicData>
            </a:graphic>
          </wp:inline>
        </w:drawing>
      </w:r>
    </w:p>
    <w:p w14:paraId="37BB521C">
      <w:pPr>
        <w:shd w:val="clear"/>
        <w:autoSpaceDE w:val="0"/>
        <w:autoSpaceDN w:val="0"/>
        <w:adjustRightInd w:val="0"/>
        <w:rPr>
          <w:color w:val="000000" w:themeColor="text1"/>
          <w:sz w:val="44"/>
          <w:szCs w:val="44"/>
          <w:highlight w:val="none"/>
          <w14:textFill>
            <w14:solidFill>
              <w14:schemeClr w14:val="tx1"/>
            </w14:solidFill>
          </w14:textFill>
        </w:rPr>
      </w:pPr>
    </w:p>
    <w:p w14:paraId="24B25ECC">
      <w:pPr>
        <w:shd w:val="clear"/>
        <w:spacing w:line="360" w:lineRule="auto"/>
        <w:jc w:val="center"/>
        <w:rPr>
          <w:rFonts w:ascii="宋体" w:hAnsi="宋体"/>
          <w:b/>
          <w:color w:val="000000" w:themeColor="text1"/>
          <w:kern w:val="0"/>
          <w:sz w:val="44"/>
          <w:szCs w:val="44"/>
          <w:highlight w:val="none"/>
          <w14:textFill>
            <w14:solidFill>
              <w14:schemeClr w14:val="tx1"/>
            </w14:solidFill>
          </w14:textFill>
        </w:rPr>
      </w:pPr>
    </w:p>
    <w:p w14:paraId="1F893EB3">
      <w:pPr>
        <w:keepNext w:val="0"/>
        <w:keepLines w:val="0"/>
        <w:pageBreakBefore w:val="0"/>
        <w:shd w:val="clear"/>
        <w:kinsoku/>
        <w:wordWrap/>
        <w:overflowPunct/>
        <w:topLinePunct w:val="0"/>
        <w:autoSpaceDE/>
        <w:autoSpaceDN/>
        <w:bidi w:val="0"/>
        <w:adjustRightInd/>
        <w:snapToGrid/>
        <w:spacing w:line="480" w:lineRule="auto"/>
        <w:jc w:val="center"/>
        <w:textAlignment w:val="auto"/>
        <w:rPr>
          <w:rFonts w:ascii="宋体" w:hAnsi="宋体"/>
          <w:b/>
          <w:color w:val="000000" w:themeColor="text1"/>
          <w:kern w:val="0"/>
          <w:sz w:val="44"/>
          <w:szCs w:val="44"/>
          <w:highlight w:val="none"/>
          <w14:textFill>
            <w14:solidFill>
              <w14:schemeClr w14:val="tx1"/>
            </w14:solidFill>
          </w14:textFill>
        </w:rPr>
      </w:pPr>
      <w:r>
        <w:rPr>
          <w:rFonts w:ascii="宋体" w:hAnsi="宋体"/>
          <w:color w:val="000000" w:themeColor="text1"/>
          <w:kern w:val="0"/>
          <w:sz w:val="20"/>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475615</wp:posOffset>
                </wp:positionH>
                <wp:positionV relativeFrom="paragraph">
                  <wp:posOffset>517525</wp:posOffset>
                </wp:positionV>
                <wp:extent cx="5209540" cy="0"/>
                <wp:effectExtent l="0" t="28575" r="10160" b="2857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209540" cy="0"/>
                        </a:xfrm>
                        <a:prstGeom prst="straightConnector1">
                          <a:avLst/>
                        </a:prstGeom>
                        <a:noFill/>
                        <a:ln w="57150" cmpd="thinThick">
                          <a:solidFill>
                            <a:srgbClr val="000000"/>
                          </a:solidFill>
                          <a:round/>
                        </a:ln>
                        <a:effectLst/>
                      </wps:spPr>
                      <wps:bodyPr/>
                    </wps:wsp>
                  </a:graphicData>
                </a:graphic>
              </wp:anchor>
            </w:drawing>
          </mc:Choice>
          <mc:Fallback>
            <w:pict>
              <v:shape id="AutoShape 2" o:spid="_x0000_s1026" o:spt="32" type="#_x0000_t32" style="position:absolute;left:0pt;margin-left:37.45pt;margin-top:40.75pt;height:0pt;width:410.2pt;z-index:251660288;mso-width-relative:page;mso-height-relative:page;" filled="f" stroked="t" coordsize="21600,21600" o:gfxdata="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UDfynVAAAACAEA&#10;AA8AAAAAAAAAAQAgAAAAIgAAAGRycy9kb3ducmV2LnhtbFBLAQIUABQAAAAIAIdO4kCopTO75AEA&#10;ANIDAAAOAAAAAAAAAAEAIAAAACQBAABkcnMvZTJvRG9jLnhtbFBLBQYAAAAABgAGAFkBAAB6BQAA&#10;AAA=&#10;">
                <v:fill on="f" focussize="0,0"/>
                <v:stroke weight="4.5pt" color="#000000" linestyle="thinThick" joinstyle="round"/>
                <v:imagedata o:title=""/>
                <o:lock v:ext="edit" aspectratio="f"/>
              </v:shape>
            </w:pict>
          </mc:Fallback>
        </mc:AlternateContent>
      </w:r>
      <w:r>
        <w:rPr>
          <w:rFonts w:hint="eastAsia" w:ascii="宋体" w:hAnsi="宋体"/>
          <w:b/>
          <w:color w:val="000000" w:themeColor="text1"/>
          <w:kern w:val="0"/>
          <w:sz w:val="44"/>
          <w:szCs w:val="44"/>
          <w:highlight w:val="none"/>
          <w14:textFill>
            <w14:solidFill>
              <w14:schemeClr w14:val="tx1"/>
            </w14:solidFill>
          </w14:textFill>
        </w:rPr>
        <w:t>广西壮族自治区政府采购</w:t>
      </w:r>
    </w:p>
    <w:p w14:paraId="66645D2E">
      <w:pPr>
        <w:keepNext w:val="0"/>
        <w:keepLines w:val="0"/>
        <w:pageBreakBefore w:val="0"/>
        <w:widowControl/>
        <w:shd w:val="clear"/>
        <w:kinsoku/>
        <w:wordWrap/>
        <w:overflowPunct/>
        <w:topLinePunct w:val="0"/>
        <w:autoSpaceDE/>
        <w:autoSpaceDN/>
        <w:bidi w:val="0"/>
        <w:adjustRightInd/>
        <w:snapToGrid/>
        <w:spacing w:before="120" w:line="480" w:lineRule="auto"/>
        <w:jc w:val="center"/>
        <w:textAlignment w:val="auto"/>
        <w:rPr>
          <w:rFonts w:ascii="宋体" w:hAnsi="宋体"/>
          <w:b/>
          <w:color w:val="000000" w:themeColor="text1"/>
          <w:spacing w:val="20"/>
          <w:kern w:val="0"/>
          <w:sz w:val="72"/>
          <w:szCs w:val="72"/>
          <w:highlight w:val="none"/>
          <w14:textFill>
            <w14:solidFill>
              <w14:schemeClr w14:val="tx1"/>
            </w14:solidFill>
          </w14:textFill>
        </w:rPr>
      </w:pPr>
      <w:r>
        <w:rPr>
          <w:rFonts w:hint="eastAsia" w:ascii="宋体" w:hAnsi="宋体"/>
          <w:b/>
          <w:color w:val="000000" w:themeColor="text1"/>
          <w:spacing w:val="20"/>
          <w:kern w:val="0"/>
          <w:sz w:val="72"/>
          <w:szCs w:val="72"/>
          <w:highlight w:val="none"/>
          <w:lang w:val="en-US" w:eastAsia="zh-CN"/>
          <w14:textFill>
            <w14:solidFill>
              <w14:schemeClr w14:val="tx1"/>
            </w14:solidFill>
          </w14:textFill>
        </w:rPr>
        <w:t>征集</w:t>
      </w:r>
      <w:r>
        <w:rPr>
          <w:rFonts w:hint="eastAsia" w:ascii="宋体" w:hAnsi="宋体"/>
          <w:b/>
          <w:color w:val="000000" w:themeColor="text1"/>
          <w:spacing w:val="20"/>
          <w:kern w:val="0"/>
          <w:sz w:val="72"/>
          <w:szCs w:val="72"/>
          <w:highlight w:val="none"/>
          <w14:textFill>
            <w14:solidFill>
              <w14:schemeClr w14:val="tx1"/>
            </w14:solidFill>
          </w14:textFill>
        </w:rPr>
        <w:t>文件</w:t>
      </w:r>
    </w:p>
    <w:p w14:paraId="5902C25C">
      <w:pPr>
        <w:shd w:val="clear"/>
        <w:jc w:val="center"/>
        <w:rPr>
          <w:rFonts w:ascii="宋体" w:hAnsi="宋体"/>
          <w:color w:val="000000" w:themeColor="text1"/>
          <w:sz w:val="40"/>
          <w:szCs w:val="32"/>
          <w:highlight w:val="none"/>
          <w14:textFill>
            <w14:solidFill>
              <w14:schemeClr w14:val="tx1"/>
            </w14:solidFill>
          </w14:textFill>
        </w:rPr>
      </w:pPr>
      <w:r>
        <w:rPr>
          <w:rFonts w:hint="eastAsia" w:ascii="宋体" w:hAnsi="宋体"/>
          <w:color w:val="000000" w:themeColor="text1"/>
          <w:sz w:val="40"/>
          <w:szCs w:val="32"/>
          <w:highlight w:val="none"/>
          <w14:textFill>
            <w14:solidFill>
              <w14:schemeClr w14:val="tx1"/>
            </w14:solidFill>
          </w14:textFill>
        </w:rPr>
        <w:t>（全流程电子化采购）</w:t>
      </w:r>
    </w:p>
    <w:p w14:paraId="512F98F0">
      <w:pPr>
        <w:pStyle w:val="19"/>
        <w:shd w:val="clear"/>
        <w:rPr>
          <w:rFonts w:ascii="宋体" w:hAnsi="宋体"/>
          <w:color w:val="000000" w:themeColor="text1"/>
          <w:highlight w:val="none"/>
          <w14:textFill>
            <w14:solidFill>
              <w14:schemeClr w14:val="tx1"/>
            </w14:solidFill>
          </w14:textFill>
        </w:rPr>
      </w:pPr>
    </w:p>
    <w:p w14:paraId="00F4583D">
      <w:pPr>
        <w:shd w:val="clear"/>
        <w:spacing w:before="120" w:line="360" w:lineRule="auto"/>
        <w:ind w:left="958" w:leftChars="456" w:firstLine="0" w:firstLineChars="0"/>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项目名称：</w:t>
      </w:r>
      <w:r>
        <w:rPr>
          <w:rFonts w:hint="eastAsia" w:ascii="宋体" w:hAnsi="宋体"/>
          <w:b/>
          <w:color w:val="000000" w:themeColor="text1"/>
          <w:sz w:val="32"/>
          <w:szCs w:val="32"/>
          <w:highlight w:val="none"/>
          <w:lang w:eastAsia="zh-CN"/>
          <w14:textFill>
            <w14:solidFill>
              <w14:schemeClr w14:val="tx1"/>
            </w14:solidFill>
          </w14:textFill>
        </w:rPr>
        <w:t>2025-2027年度上思县财政投资评审服务框架协议采购</w:t>
      </w:r>
    </w:p>
    <w:p w14:paraId="1BB5B4A1">
      <w:pPr>
        <w:shd w:val="clear"/>
        <w:spacing w:before="120" w:line="360" w:lineRule="auto"/>
        <w:ind w:left="958" w:leftChars="456" w:firstLine="0" w:firstLineChars="0"/>
        <w:rPr>
          <w:rFonts w:hint="default" w:ascii="宋体" w:hAnsi="宋体" w:eastAsia="宋体"/>
          <w:b/>
          <w:bCs/>
          <w:color w:val="000000" w:themeColor="text1"/>
          <w:spacing w:val="40"/>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项目编号：</w:t>
      </w:r>
      <w:r>
        <w:rPr>
          <w:rFonts w:hint="eastAsia" w:ascii="宋体" w:hAnsi="宋体"/>
          <w:b/>
          <w:color w:val="000000" w:themeColor="text1"/>
          <w:sz w:val="32"/>
          <w:szCs w:val="32"/>
          <w:highlight w:val="none"/>
          <w:lang w:val="en-US" w:eastAsia="zh-CN"/>
          <w14:textFill>
            <w14:solidFill>
              <w14:schemeClr w14:val="tx1"/>
            </w14:solidFill>
          </w14:textFill>
        </w:rPr>
        <w:t>FCZC2025-K3-210001-FZXM</w:t>
      </w:r>
    </w:p>
    <w:p w14:paraId="6FC9793E">
      <w:pPr>
        <w:shd w:val="clear"/>
        <w:snapToGrid w:val="0"/>
        <w:spacing w:before="50" w:line="360" w:lineRule="auto"/>
        <w:ind w:firstLine="764" w:firstLineChars="239"/>
        <w:rPr>
          <w:rFonts w:ascii="宋体" w:hAnsi="宋体"/>
          <w:color w:val="000000" w:themeColor="text1"/>
          <w:sz w:val="32"/>
          <w:szCs w:val="32"/>
          <w:highlight w:val="none"/>
          <w14:textFill>
            <w14:solidFill>
              <w14:schemeClr w14:val="tx1"/>
            </w14:solidFill>
          </w14:textFill>
        </w:rPr>
      </w:pPr>
    </w:p>
    <w:p w14:paraId="56D6A944">
      <w:pPr>
        <w:shd w:val="clear"/>
        <w:snapToGrid w:val="0"/>
        <w:spacing w:before="50" w:line="360" w:lineRule="auto"/>
        <w:rPr>
          <w:rFonts w:ascii="宋体" w:hAnsi="宋体"/>
          <w:color w:val="000000" w:themeColor="text1"/>
          <w:sz w:val="32"/>
          <w:szCs w:val="32"/>
          <w:highlight w:val="none"/>
          <w14:textFill>
            <w14:solidFill>
              <w14:schemeClr w14:val="tx1"/>
            </w14:solidFill>
          </w14:textFill>
        </w:rPr>
      </w:pPr>
    </w:p>
    <w:p w14:paraId="32DEB46E">
      <w:pPr>
        <w:shd w:val="clear"/>
        <w:snapToGrid w:val="0"/>
        <w:spacing w:before="50" w:line="360" w:lineRule="auto"/>
        <w:ind w:firstLine="764" w:firstLineChars="239"/>
        <w:rPr>
          <w:rFonts w:ascii="宋体" w:hAnsi="宋体"/>
          <w:color w:val="000000" w:themeColor="text1"/>
          <w:sz w:val="32"/>
          <w:szCs w:val="32"/>
          <w:highlight w:val="none"/>
          <w14:textFill>
            <w14:solidFill>
              <w14:schemeClr w14:val="tx1"/>
            </w14:solidFill>
          </w14:textFill>
        </w:rPr>
      </w:pPr>
    </w:p>
    <w:p w14:paraId="665A1E06">
      <w:pPr>
        <w:shd w:val="clear"/>
        <w:snapToGrid w:val="0"/>
        <w:spacing w:before="50" w:line="360" w:lineRule="auto"/>
        <w:ind w:firstLine="717" w:firstLineChars="239"/>
        <w:rPr>
          <w:rFonts w:ascii="宋体" w:hAnsi="宋体"/>
          <w:color w:val="000000" w:themeColor="text1"/>
          <w:sz w:val="30"/>
          <w:szCs w:val="30"/>
          <w:highlight w:val="none"/>
          <w14:textFill>
            <w14:solidFill>
              <w14:schemeClr w14:val="tx1"/>
            </w14:solidFill>
          </w14:textFill>
        </w:rPr>
      </w:pPr>
    </w:p>
    <w:p w14:paraId="419D452B">
      <w:pPr>
        <w:widowControl/>
        <w:shd w:val="clear"/>
        <w:spacing w:line="360" w:lineRule="auto"/>
        <w:ind w:firstLine="964" w:firstLineChars="300"/>
        <w:rPr>
          <w:rFonts w:hint="default" w:ascii="宋体" w:hAnsi="宋体" w:eastAsia="宋体"/>
          <w:b/>
          <w:color w:val="000000" w:themeColor="text1"/>
          <w:kern w:val="0"/>
          <w:sz w:val="32"/>
          <w:szCs w:val="32"/>
          <w:highlight w:val="none"/>
          <w:lang w:val="en-US" w:eastAsia="zh-CN"/>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采购人：</w:t>
      </w:r>
      <w:bookmarkStart w:id="0" w:name="OLE_LINK168"/>
      <w:bookmarkStart w:id="1" w:name="OLE_LINK167"/>
      <w:r>
        <w:rPr>
          <w:rFonts w:hint="eastAsia" w:ascii="宋体" w:hAnsi="宋体"/>
          <w:b/>
          <w:color w:val="000000" w:themeColor="text1"/>
          <w:kern w:val="0"/>
          <w:sz w:val="32"/>
          <w:szCs w:val="32"/>
          <w:highlight w:val="none"/>
          <w:lang w:val="en-US" w:eastAsia="zh-CN"/>
          <w14:textFill>
            <w14:solidFill>
              <w14:schemeClr w14:val="tx1"/>
            </w14:solidFill>
          </w14:textFill>
        </w:rPr>
        <w:t>上思县财政局</w:t>
      </w:r>
    </w:p>
    <w:bookmarkEnd w:id="0"/>
    <w:bookmarkEnd w:id="1"/>
    <w:p w14:paraId="04A4D81C">
      <w:pPr>
        <w:widowControl/>
        <w:shd w:val="clear"/>
        <w:spacing w:line="600" w:lineRule="auto"/>
        <w:ind w:firstLine="964" w:firstLineChars="300"/>
        <w:rPr>
          <w:rFonts w:hint="eastAsia" w:ascii="宋体" w:hAnsi="宋体" w:eastAsia="宋体"/>
          <w:b/>
          <w:color w:val="000000" w:themeColor="text1"/>
          <w:kern w:val="0"/>
          <w:sz w:val="32"/>
          <w:szCs w:val="32"/>
          <w:highlight w:val="none"/>
          <w:lang w:eastAsia="zh-CN"/>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采购代理机构：</w:t>
      </w:r>
      <w:r>
        <w:rPr>
          <w:rFonts w:hint="eastAsia" w:ascii="宋体" w:hAnsi="宋体"/>
          <w:b/>
          <w:color w:val="000000" w:themeColor="text1"/>
          <w:kern w:val="0"/>
          <w:sz w:val="32"/>
          <w:szCs w:val="32"/>
          <w:highlight w:val="none"/>
          <w:lang w:eastAsia="zh-CN"/>
          <w14:textFill>
            <w14:solidFill>
              <w14:schemeClr w14:val="tx1"/>
            </w14:solidFill>
          </w14:textFill>
        </w:rPr>
        <w:t>法正项目管理集团有限公司</w:t>
      </w:r>
    </w:p>
    <w:p w14:paraId="541B5C88">
      <w:pPr>
        <w:widowControl/>
        <w:shd w:val="clear"/>
        <w:spacing w:line="600" w:lineRule="auto"/>
        <w:jc w:val="center"/>
        <w:rPr>
          <w:rFonts w:hint="eastAsia" w:ascii="宋体" w:hAnsi="宋体" w:eastAsia="宋体"/>
          <w:color w:val="000000" w:themeColor="text1"/>
          <w:sz w:val="30"/>
          <w:szCs w:val="72"/>
          <w:highlight w:val="none"/>
          <w:lang w:eastAsia="zh-CN"/>
          <w14:textFill>
            <w14:solidFill>
              <w14:schemeClr w14:val="tx1"/>
            </w14:solidFill>
          </w14:textFill>
        </w:rPr>
        <w:sectPr>
          <w:footerReference r:id="rId4" w:type="default"/>
          <w:headerReference r:id="rId3" w:type="even"/>
          <w:footerReference r:id="rId5" w:type="even"/>
          <w:pgSz w:w="11906" w:h="16838"/>
          <w:pgMar w:top="1134" w:right="1247" w:bottom="1134" w:left="1247" w:header="851" w:footer="992" w:gutter="113"/>
          <w:pgNumType w:start="0"/>
          <w:cols w:space="720" w:num="1"/>
          <w:titlePg/>
          <w:docGrid w:linePitch="312" w:charSpace="0"/>
        </w:sectPr>
      </w:pPr>
      <w:r>
        <w:rPr>
          <w:rFonts w:ascii="宋体" w:hAnsi="宋体"/>
          <w:b/>
          <w:color w:val="000000" w:themeColor="text1"/>
          <w:kern w:val="0"/>
          <w:sz w:val="32"/>
          <w:szCs w:val="32"/>
          <w:highlight w:val="none"/>
          <w14:textFill>
            <w14:solidFill>
              <w14:schemeClr w14:val="tx1"/>
            </w14:solidFill>
          </w14:textFill>
        </w:rPr>
        <w:t>日期：</w:t>
      </w:r>
      <w:r>
        <w:rPr>
          <w:rFonts w:hint="eastAsia" w:ascii="宋体" w:hAnsi="宋体"/>
          <w:b/>
          <w:color w:val="000000" w:themeColor="text1"/>
          <w:kern w:val="0"/>
          <w:sz w:val="32"/>
          <w:szCs w:val="32"/>
          <w:highlight w:val="none"/>
          <w:lang w:eastAsia="zh-CN"/>
          <w14:textFill>
            <w14:solidFill>
              <w14:schemeClr w14:val="tx1"/>
            </w14:solidFill>
          </w14:textFill>
        </w:rPr>
        <w:t>2025年</w:t>
      </w:r>
      <w:r>
        <w:rPr>
          <w:rFonts w:hint="eastAsia" w:ascii="宋体" w:hAnsi="宋体"/>
          <w:b/>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b/>
          <w:color w:val="000000" w:themeColor="text1"/>
          <w:kern w:val="0"/>
          <w:sz w:val="32"/>
          <w:szCs w:val="32"/>
          <w:highlight w:val="none"/>
          <w:lang w:eastAsia="zh-CN"/>
          <w14:textFill>
            <w14:solidFill>
              <w14:schemeClr w14:val="tx1"/>
            </w14:solidFill>
          </w14:textFill>
        </w:rPr>
        <w:t>月</w:t>
      </w:r>
      <w:r>
        <w:rPr>
          <w:rFonts w:hint="eastAsia" w:ascii="宋体" w:hAnsi="宋体"/>
          <w:b/>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b/>
          <w:color w:val="000000" w:themeColor="text1"/>
          <w:kern w:val="0"/>
          <w:sz w:val="32"/>
          <w:szCs w:val="32"/>
          <w:highlight w:val="none"/>
          <w:lang w:eastAsia="zh-CN"/>
          <w14:textFill>
            <w14:solidFill>
              <w14:schemeClr w14:val="tx1"/>
            </w14:solidFill>
          </w14:textFill>
        </w:rPr>
        <w:t>日</w:t>
      </w:r>
    </w:p>
    <w:p w14:paraId="292CF952">
      <w:pPr>
        <w:pStyle w:val="17"/>
        <w:shd w:val="clear"/>
        <w:jc w:val="both"/>
        <w:rPr>
          <w:rFonts w:ascii="宋体" w:hAnsi="宋体"/>
          <w:color w:val="000000" w:themeColor="text1"/>
          <w:highlight w:val="none"/>
          <w14:textFill>
            <w14:solidFill>
              <w14:schemeClr w14:val="tx1"/>
            </w14:solidFill>
          </w14:textFill>
        </w:rPr>
      </w:pPr>
    </w:p>
    <w:p w14:paraId="4088CFB6">
      <w:pPr>
        <w:shd w:val="clear"/>
        <w:spacing w:line="360" w:lineRule="auto"/>
        <w:jc w:val="center"/>
        <w:rPr>
          <w:rFonts w:ascii="宋体" w:hAnsi="宋体"/>
          <w:b/>
          <w:color w:val="000000" w:themeColor="text1"/>
          <w:sz w:val="40"/>
          <w:szCs w:val="44"/>
          <w:highlight w:val="none"/>
          <w14:textFill>
            <w14:solidFill>
              <w14:schemeClr w14:val="tx1"/>
            </w14:solidFill>
          </w14:textFill>
        </w:rPr>
      </w:pPr>
      <w:r>
        <w:rPr>
          <w:rFonts w:hint="eastAsia" w:ascii="宋体" w:hAnsi="宋体"/>
          <w:b/>
          <w:color w:val="000000" w:themeColor="text1"/>
          <w:sz w:val="40"/>
          <w:szCs w:val="44"/>
          <w:highlight w:val="none"/>
          <w14:textFill>
            <w14:solidFill>
              <w14:schemeClr w14:val="tx1"/>
            </w14:solidFill>
          </w14:textFill>
        </w:rPr>
        <w:t>目录</w:t>
      </w:r>
    </w:p>
    <w:p w14:paraId="072FAD32">
      <w:pPr>
        <w:pStyle w:val="35"/>
        <w:shd w:val="clear"/>
        <w:tabs>
          <w:tab w:val="right" w:leader="dot" w:pos="9299"/>
          <w:tab w:val="clear" w:pos="8398"/>
        </w:tabs>
        <w:rPr>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fldChar w:fldCharType="begin"/>
      </w:r>
      <w:r>
        <w:rPr>
          <w:b w:val="0"/>
          <w:color w:val="000000" w:themeColor="text1"/>
          <w:highlight w:val="none"/>
          <w14:textFill>
            <w14:solidFill>
              <w14:schemeClr w14:val="tx1"/>
            </w14:solidFill>
          </w14:textFill>
        </w:rPr>
        <w:instrText xml:space="preserve"> TOC \o "1-1" \h \z \u </w:instrText>
      </w:r>
      <w:r>
        <w:rPr>
          <w:b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_Toc3444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 xml:space="preserve">第一章 </w:t>
      </w:r>
      <w:r>
        <w:rPr>
          <w:rFonts w:hint="eastAsia" w:ascii="宋体" w:hAnsi="宋体"/>
          <w:color w:val="000000" w:themeColor="text1"/>
          <w:highlight w:val="none"/>
          <w:lang w:val="en-US" w:eastAsia="zh-CN"/>
          <w14:textFill>
            <w14:solidFill>
              <w14:schemeClr w14:val="tx1"/>
            </w14:solidFill>
          </w14:textFill>
        </w:rPr>
        <w:t>征集</w:t>
      </w:r>
      <w:r>
        <w:rPr>
          <w:rFonts w:hint="eastAsia" w:ascii="宋体" w:hAnsi="宋体"/>
          <w:color w:val="000000" w:themeColor="text1"/>
          <w:highlight w:val="none"/>
          <w14:textFill>
            <w14:solidFill>
              <w14:schemeClr w14:val="tx1"/>
            </w14:solidFill>
          </w14:textFill>
        </w:rPr>
        <w:t>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_Toc3444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D68CA12">
      <w:pPr>
        <w:pStyle w:val="35"/>
        <w:shd w:val="clear"/>
        <w:tabs>
          <w:tab w:val="right" w:leader="dot" w:pos="9299"/>
          <w:tab w:val="clear" w:pos="8398"/>
        </w:tabs>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_Toc17160 </w:instrText>
      </w:r>
      <w:r>
        <w:rPr>
          <w:rFonts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第二章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fldChar w:fldCharType="end"/>
      </w:r>
    </w:p>
    <w:p w14:paraId="3DD36E03">
      <w:pPr>
        <w:pStyle w:val="35"/>
        <w:shd w:val="clear"/>
        <w:tabs>
          <w:tab w:val="right" w:leader="dot" w:pos="9299"/>
          <w:tab w:val="clear" w:pos="8398"/>
        </w:tabs>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_Toc12389 </w:instrText>
      </w:r>
      <w:r>
        <w:rPr>
          <w:rFonts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 xml:space="preserve">第三章 </w:t>
      </w:r>
      <w:r>
        <w:rPr>
          <w:rFonts w:hint="eastAsia" w:ascii="宋体" w:hAnsi="宋体"/>
          <w:color w:val="000000" w:themeColor="text1"/>
          <w:highlight w:val="none"/>
          <w:lang w:eastAsia="zh-CN"/>
          <w14:textFill>
            <w14:solidFill>
              <w14:schemeClr w14:val="tx1"/>
            </w14:solidFill>
          </w14:textFill>
        </w:rPr>
        <w:t>供应商</w:t>
      </w:r>
      <w:r>
        <w:rPr>
          <w:rFonts w:hint="eastAsia" w:ascii="宋体" w:hAnsi="宋体"/>
          <w:color w:val="000000" w:themeColor="text1"/>
          <w:highlight w:val="none"/>
          <w14:textFill>
            <w14:solidFill>
              <w14:schemeClr w14:val="tx1"/>
            </w14:solidFill>
          </w14:textFill>
        </w:rPr>
        <w:t>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fldChar w:fldCharType="end"/>
      </w:r>
    </w:p>
    <w:p w14:paraId="181FD977">
      <w:pPr>
        <w:pStyle w:val="35"/>
        <w:shd w:val="clear"/>
        <w:tabs>
          <w:tab w:val="right" w:leader="dot" w:pos="9299"/>
          <w:tab w:val="clear" w:pos="8398"/>
        </w:tabs>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_Toc13745 </w:instrText>
      </w:r>
      <w:r>
        <w:rPr>
          <w:rFonts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第四章 评标方法及评标标准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fldChar w:fldCharType="end"/>
      </w:r>
    </w:p>
    <w:p w14:paraId="7CC68EDB">
      <w:pPr>
        <w:pStyle w:val="35"/>
        <w:shd w:val="clear"/>
        <w:tabs>
          <w:tab w:val="right" w:leader="dot" w:pos="9299"/>
          <w:tab w:val="clear" w:pos="8398"/>
        </w:tabs>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_Toc5785 </w:instrText>
      </w:r>
      <w:r>
        <w:rPr>
          <w:rFonts w:ascii="宋体" w:hAnsi="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 拟签订的合同文本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fldChar w:fldCharType="end"/>
      </w:r>
    </w:p>
    <w:p w14:paraId="69B1B9AC">
      <w:pPr>
        <w:pStyle w:val="35"/>
        <w:shd w:val="clear"/>
        <w:tabs>
          <w:tab w:val="right" w:leader="dot" w:pos="9299"/>
          <w:tab w:val="clear" w:pos="8398"/>
        </w:tabs>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_Toc22189 </w:instrText>
      </w:r>
      <w:r>
        <w:rPr>
          <w:rFonts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第六章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_Toc22189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fldChar w:fldCharType="end"/>
      </w:r>
    </w:p>
    <w:p w14:paraId="49C4F608">
      <w:pPr>
        <w:shd w:val="clear"/>
        <w:spacing w:beforeLines="50" w:line="480" w:lineRule="exact"/>
        <w:rPr>
          <w:rFonts w:ascii="宋体" w:hAnsi="宋体"/>
          <w:b/>
          <w:color w:val="000000" w:themeColor="text1"/>
          <w:sz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end"/>
      </w:r>
    </w:p>
    <w:p w14:paraId="4A9A7FBA">
      <w:pPr>
        <w:pStyle w:val="2"/>
        <w:shd w:val="clear"/>
        <w:rPr>
          <w:color w:val="000000" w:themeColor="text1"/>
          <w:highlight w:val="none"/>
          <w14:textFill>
            <w14:solidFill>
              <w14:schemeClr w14:val="tx1"/>
            </w14:solidFill>
          </w14:textFill>
        </w:rPr>
      </w:pPr>
    </w:p>
    <w:p w14:paraId="58CAF639">
      <w:pPr>
        <w:shd w:val="clear"/>
        <w:rPr>
          <w:color w:val="000000" w:themeColor="text1"/>
          <w:highlight w:val="none"/>
          <w14:textFill>
            <w14:solidFill>
              <w14:schemeClr w14:val="tx1"/>
            </w14:solidFill>
          </w14:textFill>
        </w:rPr>
      </w:pPr>
    </w:p>
    <w:p w14:paraId="46257094">
      <w:pPr>
        <w:pStyle w:val="2"/>
        <w:keepNext w:val="0"/>
        <w:keepLines w:val="0"/>
        <w:shd w:val="clear"/>
        <w:tabs>
          <w:tab w:val="left" w:pos="0"/>
          <w:tab w:val="left" w:pos="3165"/>
          <w:tab w:val="center" w:pos="4153"/>
        </w:tabs>
        <w:autoSpaceDE w:val="0"/>
        <w:autoSpaceDN w:val="0"/>
        <w:adjustRightInd w:val="0"/>
        <w:spacing w:before="0" w:after="0" w:line="360" w:lineRule="auto"/>
        <w:rPr>
          <w:rFonts w:ascii="宋体" w:hAnsi="宋体"/>
          <w:color w:val="000000" w:themeColor="text1"/>
          <w:highlight w:val="none"/>
          <w14:textFill>
            <w14:solidFill>
              <w14:schemeClr w14:val="tx1"/>
            </w14:solidFill>
          </w14:textFill>
        </w:rPr>
        <w:sectPr>
          <w:footerReference r:id="rId9" w:type="first"/>
          <w:headerReference r:id="rId6" w:type="default"/>
          <w:footerReference r:id="rId7" w:type="default"/>
          <w:footerReference r:id="rId8" w:type="even"/>
          <w:pgSz w:w="11906" w:h="16838"/>
          <w:pgMar w:top="1134" w:right="1247" w:bottom="1134" w:left="1247" w:header="737" w:footer="680" w:gutter="113"/>
          <w:cols w:space="720" w:num="1"/>
          <w:titlePg/>
          <w:docGrid w:linePitch="312" w:charSpace="0"/>
        </w:sectPr>
      </w:pPr>
      <w:bookmarkStart w:id="2" w:name="_Toc254970489"/>
      <w:bookmarkStart w:id="3" w:name="_Toc254970630"/>
    </w:p>
    <w:p w14:paraId="0848928F">
      <w:pPr>
        <w:pStyle w:val="2"/>
        <w:keepNext w:val="0"/>
        <w:keepLines w:val="0"/>
        <w:shd w:val="clear"/>
        <w:tabs>
          <w:tab w:val="left" w:pos="0"/>
          <w:tab w:val="left" w:pos="3165"/>
          <w:tab w:val="center" w:pos="4153"/>
        </w:tabs>
        <w:autoSpaceDE w:val="0"/>
        <w:autoSpaceDN w:val="0"/>
        <w:adjustRightInd w:val="0"/>
        <w:spacing w:before="0" w:after="0" w:line="360" w:lineRule="auto"/>
        <w:rPr>
          <w:rFonts w:ascii="宋体" w:hAnsi="宋体"/>
          <w:color w:val="000000" w:themeColor="text1"/>
          <w:highlight w:val="none"/>
          <w14:textFill>
            <w14:solidFill>
              <w14:schemeClr w14:val="tx1"/>
            </w14:solidFill>
          </w14:textFill>
        </w:rPr>
      </w:pPr>
      <w:bookmarkStart w:id="4" w:name="_Toc3444"/>
      <w:r>
        <w:rPr>
          <w:rFonts w:hint="eastAsia" w:ascii="宋体" w:hAnsi="宋体"/>
          <w:color w:val="000000" w:themeColor="text1"/>
          <w:highlight w:val="none"/>
          <w14:textFill>
            <w14:solidFill>
              <w14:schemeClr w14:val="tx1"/>
            </w14:solidFill>
          </w14:textFill>
        </w:rPr>
        <w:t>第一章</w:t>
      </w:r>
      <w:bookmarkEnd w:id="2"/>
      <w:bookmarkEnd w:id="3"/>
      <w:bookmarkStart w:id="5" w:name="_Toc35393789"/>
      <w:bookmarkStart w:id="6" w:name="_Toc28359001"/>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征集</w:t>
      </w:r>
      <w:r>
        <w:rPr>
          <w:rFonts w:hint="eastAsia" w:ascii="宋体" w:hAnsi="宋体"/>
          <w:color w:val="000000" w:themeColor="text1"/>
          <w:highlight w:val="none"/>
          <w14:textFill>
            <w14:solidFill>
              <w14:schemeClr w14:val="tx1"/>
            </w14:solidFill>
          </w14:textFill>
        </w:rPr>
        <w:t>公告</w:t>
      </w:r>
      <w:bookmarkEnd w:id="4"/>
      <w:bookmarkEnd w:id="5"/>
      <w:bookmarkEnd w:id="6"/>
      <w:bookmarkStart w:id="7" w:name="OLE_LINK15"/>
      <w:bookmarkStart w:id="8" w:name="OLE_LINK20"/>
      <w:bookmarkStart w:id="9" w:name="OLE_LINK3"/>
      <w:bookmarkStart w:id="10" w:name="OLE_LINK29"/>
    </w:p>
    <w:p w14:paraId="0EA75E86">
      <w:pPr>
        <w:pBdr>
          <w:top w:val="single" w:color="auto" w:sz="4" w:space="1"/>
          <w:left w:val="single" w:color="auto" w:sz="4" w:space="4"/>
          <w:bottom w:val="single" w:color="auto" w:sz="4" w:space="1"/>
          <w:right w:val="single" w:color="auto" w:sz="4" w:space="0"/>
        </w:pBdr>
        <w:shd w:val="clear"/>
        <w:spacing w:line="42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项目概况</w:t>
      </w:r>
      <w:r>
        <w:rPr>
          <w:rFonts w:hint="eastAsia" w:ascii="宋体" w:hAnsi="宋体"/>
          <w:b/>
          <w:color w:val="000000" w:themeColor="text1"/>
          <w:szCs w:val="21"/>
          <w:highlight w:val="none"/>
          <w:lang w:eastAsia="zh-CN"/>
          <w14:textFill>
            <w14:solidFill>
              <w14:schemeClr w14:val="tx1"/>
            </w14:solidFill>
          </w14:textFill>
        </w:rPr>
        <w:t>：</w:t>
      </w:r>
    </w:p>
    <w:p w14:paraId="21EDDA6F">
      <w:pPr>
        <w:pBdr>
          <w:top w:val="single" w:color="auto" w:sz="4" w:space="1"/>
          <w:left w:val="single" w:color="auto" w:sz="4" w:space="4"/>
          <w:bottom w:val="single" w:color="auto" w:sz="4" w:space="1"/>
          <w:right w:val="single" w:color="auto" w:sz="4" w:space="0"/>
        </w:pBdr>
        <w:shd w:val="clear"/>
        <w:spacing w:line="420" w:lineRule="exact"/>
        <w:ind w:firstLine="420" w:firstLineChars="200"/>
        <w:rPr>
          <w:rFonts w:ascii="宋体" w:hAnsi="宋体"/>
          <w:color w:val="000000" w:themeColor="text1"/>
          <w:szCs w:val="21"/>
          <w:highlight w:val="none"/>
          <w14:textFill>
            <w14:solidFill>
              <w14:schemeClr w14:val="tx1"/>
            </w14:solidFill>
          </w14:textFill>
        </w:rPr>
      </w:pPr>
      <w:bookmarkStart w:id="11" w:name="OLE_LINK31"/>
      <w:bookmarkStart w:id="12" w:name="OLE_LINK30"/>
      <w:r>
        <w:rPr>
          <w:rFonts w:hint="eastAsia" w:ascii="宋体" w:hAnsi="宋体"/>
          <w:color w:val="000000" w:themeColor="text1"/>
          <w:szCs w:val="21"/>
          <w:highlight w:val="none"/>
          <w:u w:val="single"/>
          <w:lang w:val="en-US" w:eastAsia="zh-CN"/>
          <w14:textFill>
            <w14:solidFill>
              <w14:schemeClr w14:val="tx1"/>
            </w14:solidFill>
          </w14:textFill>
        </w:rPr>
        <w:t xml:space="preserve">2025-2027年度上思县财政投资评审服务框架协议采购 </w:t>
      </w:r>
      <w:r>
        <w:rPr>
          <w:rFonts w:hint="eastAsia" w:ascii="宋体" w:hAnsi="宋体"/>
          <w:color w:val="000000" w:themeColor="text1"/>
          <w:szCs w:val="21"/>
          <w:highlight w:val="none"/>
          <w14:textFill>
            <w14:solidFill>
              <w14:schemeClr w14:val="tx1"/>
            </w14:solidFill>
          </w14:textFill>
        </w:rPr>
        <w:t>项目的潜在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w:t>
      </w:r>
      <w:r>
        <w:rPr>
          <w:rFonts w:hint="eastAsia" w:ascii="宋体" w:hAnsi="宋体"/>
          <w:color w:val="000000" w:themeColor="text1"/>
          <w:szCs w:val="21"/>
          <w:highlight w:val="none"/>
          <w:u w:val="single"/>
          <w14:textFill>
            <w14:solidFill>
              <w14:schemeClr w14:val="tx1"/>
            </w14:solidFill>
          </w14:textFill>
        </w:rPr>
        <w:t>广西政府采购云平台（https://www.gcy.zfcg.gxzf.gov.cn/</w:t>
      </w:r>
      <w:r>
        <w:rPr>
          <w:rFonts w:ascii="宋体" w:hAnsi="宋体"/>
          <w:color w:val="000000" w:themeColor="text1"/>
          <w:szCs w:val="21"/>
          <w:highlight w:val="none"/>
          <w:u w:val="single"/>
          <w14:textFill>
            <w14:solidFill>
              <w14:schemeClr w14:val="tx1"/>
            </w14:solidFill>
          </w14:textFill>
        </w:rPr>
        <w:t>）自行下载获</w:t>
      </w:r>
      <w:r>
        <w:rPr>
          <w:rFonts w:hint="eastAsia" w:ascii="宋体" w:hAnsi="宋体"/>
          <w:color w:val="000000" w:themeColor="text1"/>
          <w:szCs w:val="21"/>
          <w:highlight w:val="none"/>
          <w14:textFill>
            <w14:solidFill>
              <w14:schemeClr w14:val="tx1"/>
            </w14:solidFill>
          </w14:textFill>
        </w:rPr>
        <w:t>取</w:t>
      </w:r>
      <w:r>
        <w:rPr>
          <w:rFonts w:hint="eastAsia" w:ascii="宋体" w:hAnsi="宋体"/>
          <w:color w:val="000000" w:themeColor="text1"/>
          <w:szCs w:val="21"/>
          <w:highlight w:val="none"/>
          <w:lang w:eastAsia="zh-CN"/>
          <w14:textFill>
            <w14:solidFill>
              <w14:schemeClr w14:val="tx1"/>
            </w14:solidFill>
          </w14:textFill>
        </w:rPr>
        <w:t>征集文件</w:t>
      </w:r>
      <w:r>
        <w:rPr>
          <w:rFonts w:hint="eastAsia" w:ascii="宋体" w:hAnsi="宋体"/>
          <w:color w:val="000000" w:themeColor="text1"/>
          <w:szCs w:val="21"/>
          <w:highlight w:val="none"/>
          <w14:textFill>
            <w14:solidFill>
              <w14:schemeClr w14:val="tx1"/>
            </w14:solidFill>
          </w14:textFill>
        </w:rPr>
        <w:t>，并于</w:t>
      </w:r>
      <w:bookmarkStart w:id="13" w:name="OLE_LINK206"/>
      <w:bookmarkStart w:id="14" w:name="OLE_LINK205"/>
      <w:r>
        <w:rPr>
          <w:rFonts w:hint="eastAsia" w:ascii="宋体" w:hAnsi="宋体"/>
          <w:color w:val="000000" w:themeColor="text1"/>
          <w:szCs w:val="21"/>
          <w:highlight w:val="none"/>
          <w:u w:val="single"/>
          <w:lang w:eastAsia="zh-CN"/>
          <w14:textFill>
            <w14:solidFill>
              <w14:schemeClr w14:val="tx1"/>
            </w14:solidFill>
          </w14:textFill>
        </w:rPr>
        <w:t>2025年</w:t>
      </w:r>
      <w:r>
        <w:rPr>
          <w:rFonts w:hint="eastAsia" w:ascii="宋体" w:hAnsi="宋体"/>
          <w:bCs/>
          <w:color w:val="000000" w:themeColor="text1"/>
          <w:szCs w:val="21"/>
          <w:highlight w:val="none"/>
          <w:u w:val="single"/>
          <w:lang w:val="en-US" w:eastAsia="zh-CN"/>
          <w14:textFill>
            <w14:solidFill>
              <w14:schemeClr w14:val="tx1"/>
            </w14:solidFill>
          </w14:textFill>
        </w:rPr>
        <w:t xml:space="preserve">  月  日</w:t>
      </w:r>
      <w:r>
        <w:rPr>
          <w:rFonts w:ascii="宋体" w:hAnsi="宋体"/>
          <w:bCs/>
          <w:color w:val="000000" w:themeColor="text1"/>
          <w:szCs w:val="21"/>
          <w:highlight w:val="none"/>
          <w:u w:val="single"/>
          <w14:textFill>
            <w14:solidFill>
              <w14:schemeClr w14:val="tx1"/>
            </w14:solidFill>
          </w14:textFill>
        </w:rPr>
        <w:t>09</w:t>
      </w:r>
      <w:r>
        <w:rPr>
          <w:rFonts w:hint="eastAsia" w:ascii="宋体" w:hAnsi="宋体"/>
          <w:color w:val="000000" w:themeColor="text1"/>
          <w:szCs w:val="21"/>
          <w:highlight w:val="none"/>
          <w:u w:val="single"/>
          <w14:textFill>
            <w14:solidFill>
              <w14:schemeClr w14:val="tx1"/>
            </w14:solidFill>
          </w14:textFill>
        </w:rPr>
        <w:t>：</w:t>
      </w:r>
      <w:bookmarkEnd w:id="13"/>
      <w:bookmarkEnd w:id="14"/>
      <w:r>
        <w:rPr>
          <w:rFonts w:hint="eastAsia" w:ascii="宋体" w:hAnsi="宋体"/>
          <w:color w:val="000000" w:themeColor="text1"/>
          <w:szCs w:val="21"/>
          <w:highlight w:val="none"/>
          <w:u w:val="single"/>
          <w:lang w:val="en-US" w:eastAsia="zh-CN"/>
          <w14:textFill>
            <w14:solidFill>
              <w14:schemeClr w14:val="tx1"/>
            </w14:solidFill>
          </w14:textFill>
        </w:rPr>
        <w:t>30</w:t>
      </w:r>
      <w:r>
        <w:rPr>
          <w:rFonts w:ascii="宋体" w:hAnsi="宋体"/>
          <w:color w:val="000000" w:themeColor="text1"/>
          <w:szCs w:val="21"/>
          <w:highlight w:val="none"/>
          <w:u w:val="single"/>
          <w14:textFill>
            <w14:solidFill>
              <w14:schemeClr w14:val="tx1"/>
            </w14:solidFill>
          </w14:textFill>
        </w:rPr>
        <w:t>（北京时间）</w:t>
      </w:r>
      <w:r>
        <w:rPr>
          <w:rFonts w:hint="eastAsia" w:ascii="宋体" w:hAnsi="宋体"/>
          <w:bCs/>
          <w:color w:val="000000" w:themeColor="text1"/>
          <w:szCs w:val="21"/>
          <w:highlight w:val="none"/>
          <w14:textFill>
            <w14:solidFill>
              <w14:schemeClr w14:val="tx1"/>
            </w14:solidFill>
          </w14:textFill>
        </w:rPr>
        <w:t>前按要求递交投标</w:t>
      </w:r>
      <w:r>
        <w:rPr>
          <w:rFonts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bookmarkEnd w:id="11"/>
    <w:bookmarkEnd w:id="12"/>
    <w:p w14:paraId="34FB09F0">
      <w:pPr>
        <w:shd w:val="clear"/>
        <w:spacing w:line="420" w:lineRule="exact"/>
        <w:outlineLvl w:val="1"/>
        <w:rPr>
          <w:rFonts w:ascii="宋体" w:hAnsi="宋体"/>
          <w:b/>
          <w:bCs/>
          <w:color w:val="000000" w:themeColor="text1"/>
          <w:szCs w:val="21"/>
          <w:highlight w:val="none"/>
          <w14:textFill>
            <w14:solidFill>
              <w14:schemeClr w14:val="tx1"/>
            </w14:solidFill>
          </w14:textFill>
        </w:rPr>
      </w:pPr>
      <w:bookmarkStart w:id="15" w:name="_Toc35393621"/>
      <w:bookmarkStart w:id="16" w:name="_Toc35393790"/>
      <w:bookmarkStart w:id="17" w:name="_Toc28359002"/>
      <w:bookmarkStart w:id="18" w:name="_Toc28359079"/>
      <w:bookmarkStart w:id="19" w:name="_Hlk24379207"/>
      <w:r>
        <w:rPr>
          <w:rFonts w:hint="eastAsia" w:ascii="宋体" w:hAnsi="宋体"/>
          <w:b/>
          <w:bCs/>
          <w:color w:val="000000" w:themeColor="text1"/>
          <w:szCs w:val="21"/>
          <w:highlight w:val="none"/>
          <w14:textFill>
            <w14:solidFill>
              <w14:schemeClr w14:val="tx1"/>
            </w14:solidFill>
          </w14:textFill>
        </w:rPr>
        <w:t>一、项目基本情况</w:t>
      </w:r>
      <w:bookmarkEnd w:id="15"/>
      <w:bookmarkEnd w:id="16"/>
      <w:bookmarkEnd w:id="17"/>
      <w:bookmarkEnd w:id="18"/>
    </w:p>
    <w:p w14:paraId="69AE1605">
      <w:pPr>
        <w:shd w:val="clear"/>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20" w:name="OLE_LINK32"/>
      <w:bookmarkStart w:id="21" w:name="OLE_LINK33"/>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val="en-US" w:eastAsia="zh-CN"/>
          <w14:textFill>
            <w14:solidFill>
              <w14:schemeClr w14:val="tx1"/>
            </w14:solidFill>
          </w14:textFill>
        </w:rPr>
        <w:t>FCZC2025-K3-210001-FZXM</w:t>
      </w:r>
    </w:p>
    <w:p w14:paraId="6408BE62">
      <w:pPr>
        <w:shd w:val="clear"/>
        <w:spacing w:line="42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bookmarkEnd w:id="19"/>
      <w:r>
        <w:rPr>
          <w:rFonts w:hint="eastAsia" w:ascii="宋体" w:hAnsi="宋体"/>
          <w:color w:val="000000" w:themeColor="text1"/>
          <w:szCs w:val="21"/>
          <w:highlight w:val="none"/>
          <w:lang w:eastAsia="zh-CN"/>
          <w14:textFill>
            <w14:solidFill>
              <w14:schemeClr w14:val="tx1"/>
            </w14:solidFill>
          </w14:textFill>
        </w:rPr>
        <w:t>2025-2027年度上思县财政投资评审服务框架协议采购</w:t>
      </w:r>
    </w:p>
    <w:p w14:paraId="76C8963B">
      <w:pPr>
        <w:shd w:val="clear"/>
        <w:spacing w:line="420" w:lineRule="exact"/>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w:t>
      </w:r>
      <w:r>
        <w:rPr>
          <w:rFonts w:hint="eastAsia" w:ascii="宋体" w:hAnsi="宋体"/>
          <w:color w:val="000000" w:themeColor="text1"/>
          <w:szCs w:val="21"/>
          <w:highlight w:val="none"/>
          <w:u w:val="single"/>
          <w:lang w:val="en-US" w:eastAsia="zh-CN"/>
          <w14:textFill>
            <w14:solidFill>
              <w14:schemeClr w14:val="tx1"/>
            </w14:solidFill>
          </w14:textFill>
        </w:rPr>
        <w:t>1元</w:t>
      </w:r>
    </w:p>
    <w:bookmarkEnd w:id="20"/>
    <w:bookmarkEnd w:id="21"/>
    <w:p w14:paraId="455B69BC">
      <w:pPr>
        <w:shd w:val="clear"/>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
        <w:gridCol w:w="1808"/>
        <w:gridCol w:w="4187"/>
        <w:gridCol w:w="1808"/>
      </w:tblGrid>
      <w:tr w14:paraId="3EA9A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1A5E5551">
            <w:pPr>
              <w:keepNext w:val="0"/>
              <w:keepLines w:val="0"/>
              <w:pageBreakBefore w:val="0"/>
              <w:shd w:val="clear"/>
              <w:kinsoku/>
              <w:wordWrap/>
              <w:overflowPunct/>
              <w:topLinePunct w:val="0"/>
              <w:autoSpaceDE/>
              <w:autoSpaceDN/>
              <w:bidi w:val="0"/>
              <w:snapToGrid w:val="0"/>
              <w:spacing w:line="400" w:lineRule="exact"/>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分标号</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4B6FCF4B">
            <w:pPr>
              <w:keepNext w:val="0"/>
              <w:keepLines w:val="0"/>
              <w:pageBreakBefore w:val="0"/>
              <w:shd w:val="clear"/>
              <w:kinsoku/>
              <w:wordWrap/>
              <w:overflowPunct/>
              <w:topLinePunct w:val="0"/>
              <w:autoSpaceDE/>
              <w:autoSpaceDN/>
              <w:bidi w:val="0"/>
              <w:snapToGrid w:val="0"/>
              <w:spacing w:line="400" w:lineRule="exact"/>
              <w:jc w:val="center"/>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标的名称</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569E4A67">
            <w:pPr>
              <w:keepNext w:val="0"/>
              <w:keepLines w:val="0"/>
              <w:pageBreakBefore w:val="0"/>
              <w:shd w:val="clear"/>
              <w:kinsoku/>
              <w:wordWrap/>
              <w:overflowPunct/>
              <w:topLinePunct w:val="0"/>
              <w:autoSpaceDE/>
              <w:autoSpaceDN/>
              <w:bidi w:val="0"/>
              <w:snapToGrid w:val="0"/>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一阶段供应商入围数量</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5815694A">
            <w:pPr>
              <w:keepNext w:val="0"/>
              <w:keepLines w:val="0"/>
              <w:pageBreakBefore w:val="0"/>
              <w:shd w:val="clear"/>
              <w:kinsoku/>
              <w:wordWrap/>
              <w:overflowPunct/>
              <w:topLinePunct w:val="0"/>
              <w:autoSpaceDE/>
              <w:autoSpaceDN/>
              <w:bidi w:val="0"/>
              <w:snapToGrid w:val="0"/>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简要规格描述或项目基本概况</w:t>
            </w:r>
          </w:p>
        </w:tc>
      </w:tr>
      <w:tr w14:paraId="3850A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078DEF17">
            <w:pPr>
              <w:shd w:val="clea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01分标</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464A3E5B">
            <w:pPr>
              <w:keepNext w:val="0"/>
              <w:keepLines w:val="0"/>
              <w:pageBreakBefore w:val="0"/>
              <w:shd w:val="clear"/>
              <w:kinsoku/>
              <w:wordWrap/>
              <w:overflowPunct/>
              <w:topLinePunct w:val="0"/>
              <w:autoSpaceDE/>
              <w:autoSpaceDN/>
              <w:bidi w:val="0"/>
              <w:snapToGrid w:val="0"/>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普通类项目评审服务</w:t>
            </w:r>
          </w:p>
        </w:tc>
        <w:tc>
          <w:tcPr>
            <w:tcW w:w="4187" w:type="dxa"/>
            <w:tcBorders>
              <w:top w:val="single" w:color="auto" w:sz="4" w:space="0"/>
              <w:left w:val="single" w:color="auto" w:sz="4" w:space="0"/>
              <w:bottom w:val="single" w:color="auto" w:sz="4" w:space="0"/>
              <w:right w:val="single" w:color="auto" w:sz="4" w:space="0"/>
            </w:tcBorders>
            <w:noWrap w:val="0"/>
            <w:vAlign w:val="top"/>
          </w:tcPr>
          <w:p w14:paraId="3EB94F1E">
            <w:pPr>
              <w:keepNext w:val="0"/>
              <w:keepLines w:val="0"/>
              <w:pageBreakBefore w:val="0"/>
              <w:shd w:val="clear"/>
              <w:kinsoku/>
              <w:wordWrap/>
              <w:overflowPunct/>
              <w:topLinePunct w:val="0"/>
              <w:autoSpaceDE/>
              <w:autoSpaceDN/>
              <w:bidi w:val="0"/>
              <w:snapToGrid w:val="0"/>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采用质量优先法按评审综合得分排名，选择不多于</w:t>
            </w:r>
            <w:r>
              <w:rPr>
                <w:rFonts w:hint="eastAsia" w:ascii="宋体" w:hAnsi="宋体"/>
                <w:color w:val="000000" w:themeColor="text1"/>
                <w:szCs w:val="21"/>
                <w:highlight w:val="none"/>
                <w:lang w:eastAsia="zh-CN"/>
                <w14:textFill>
                  <w14:solidFill>
                    <w14:schemeClr w14:val="tx1"/>
                  </w14:solidFill>
                </w14:textFill>
              </w:rPr>
              <w:t>10家</w:t>
            </w:r>
            <w:r>
              <w:rPr>
                <w:rFonts w:hint="eastAsia" w:ascii="宋体" w:hAnsi="宋体"/>
                <w:color w:val="000000" w:themeColor="text1"/>
                <w:szCs w:val="21"/>
                <w:highlight w:val="none"/>
                <w14:textFill>
                  <w14:solidFill>
                    <w14:schemeClr w14:val="tx1"/>
                  </w14:solidFill>
                </w14:textFill>
              </w:rPr>
              <w:t>的中介机构。</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0C1D6F66">
            <w:pPr>
              <w:keepNext w:val="0"/>
              <w:keepLines w:val="0"/>
              <w:pageBreakBefore w:val="0"/>
              <w:shd w:val="clear"/>
              <w:kinsoku/>
              <w:wordWrap/>
              <w:overflowPunct/>
              <w:topLinePunct w:val="0"/>
              <w:autoSpaceDE/>
              <w:autoSpaceDN/>
              <w:bidi w:val="0"/>
              <w:snapToGrid w:val="0"/>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详见采购需求</w:t>
            </w:r>
          </w:p>
        </w:tc>
      </w:tr>
      <w:tr w14:paraId="3CE6E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14:paraId="2C0F8BE4">
            <w:pPr>
              <w:shd w:val="clea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02分标</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15A79CBD">
            <w:pPr>
              <w:keepNext w:val="0"/>
              <w:keepLines w:val="0"/>
              <w:pageBreakBefore w:val="0"/>
              <w:shd w:val="clear"/>
              <w:kinsoku/>
              <w:wordWrap/>
              <w:overflowPunct/>
              <w:topLinePunct w:val="0"/>
              <w:autoSpaceDE/>
              <w:autoSpaceDN/>
              <w:bidi w:val="0"/>
              <w:snapToGrid w:val="0"/>
              <w:spacing w:line="400" w:lineRule="exact"/>
              <w:jc w:val="center"/>
              <w:textAlignment w:val="auto"/>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信息化项目评审服务</w:t>
            </w:r>
          </w:p>
        </w:tc>
        <w:tc>
          <w:tcPr>
            <w:tcW w:w="4187" w:type="dxa"/>
            <w:tcBorders>
              <w:top w:val="single" w:color="auto" w:sz="4" w:space="0"/>
              <w:left w:val="single" w:color="auto" w:sz="4" w:space="0"/>
              <w:bottom w:val="single" w:color="auto" w:sz="4" w:space="0"/>
              <w:right w:val="single" w:color="auto" w:sz="4" w:space="0"/>
            </w:tcBorders>
            <w:noWrap w:val="0"/>
            <w:vAlign w:val="top"/>
          </w:tcPr>
          <w:p w14:paraId="34A764BE">
            <w:pPr>
              <w:keepNext w:val="0"/>
              <w:keepLines w:val="0"/>
              <w:pageBreakBefore w:val="0"/>
              <w:shd w:val="clear"/>
              <w:kinsoku/>
              <w:wordWrap/>
              <w:overflowPunct/>
              <w:topLinePunct w:val="0"/>
              <w:autoSpaceDE/>
              <w:autoSpaceDN/>
              <w:bidi w:val="0"/>
              <w:snapToGrid w:val="0"/>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采用质量优先法按评审综合得分排名，选择不多于3家的中介机构。</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11851F1A">
            <w:pPr>
              <w:keepNext w:val="0"/>
              <w:keepLines w:val="0"/>
              <w:pageBreakBefore w:val="0"/>
              <w:shd w:val="clear"/>
              <w:kinsoku/>
              <w:wordWrap/>
              <w:overflowPunct/>
              <w:topLinePunct w:val="0"/>
              <w:autoSpaceDE/>
              <w:autoSpaceDN/>
              <w:bidi w:val="0"/>
              <w:snapToGrid w:val="0"/>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详见采购需求</w:t>
            </w:r>
          </w:p>
        </w:tc>
      </w:tr>
    </w:tbl>
    <w:p w14:paraId="331554BE">
      <w:pPr>
        <w:keepNext w:val="0"/>
        <w:keepLines w:val="0"/>
        <w:pageBreakBefore w:val="0"/>
        <w:shd w:val="clear"/>
        <w:kinsoku/>
        <w:wordWrap/>
        <w:overflowPunct/>
        <w:topLinePunct w:val="0"/>
        <w:autoSpaceDE/>
        <w:autoSpaceDN/>
        <w:bidi w:val="0"/>
        <w:spacing w:line="400" w:lineRule="exact"/>
        <w:ind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本项目采购标的分为2个分标，供应商可选择单个或全部分标进行响应并入围。</w:t>
      </w:r>
    </w:p>
    <w:p w14:paraId="1286641B">
      <w:pPr>
        <w:keepNext w:val="0"/>
        <w:keepLines w:val="0"/>
        <w:pageBreakBefore w:val="0"/>
        <w:shd w:val="clear"/>
        <w:kinsoku/>
        <w:wordWrap/>
        <w:overflowPunct/>
        <w:topLinePunct w:val="0"/>
        <w:autoSpaceDE/>
        <w:autoSpaceDN/>
        <w:bidi w:val="0"/>
        <w:spacing w:line="400" w:lineRule="exact"/>
        <w:ind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color w:val="000000" w:themeColor="text1"/>
          <w:szCs w:val="21"/>
          <w:highlight w:val="none"/>
          <w:lang w:val="en-US" w:eastAsia="zh-CN"/>
          <w14:textFill>
            <w14:solidFill>
              <w14:schemeClr w14:val="tx1"/>
            </w14:solidFill>
          </w14:textFill>
        </w:rPr>
        <w:t>服务期限</w:t>
      </w:r>
      <w:r>
        <w:rPr>
          <w:rFonts w:hint="eastAsia" w:ascii="宋体" w:hAnsi="宋体"/>
          <w:color w:val="000000" w:themeColor="text1"/>
          <w:szCs w:val="21"/>
          <w:highlight w:val="none"/>
          <w14:textFill>
            <w14:solidFill>
              <w14:schemeClr w14:val="tx1"/>
            </w14:solidFill>
          </w14:textFill>
        </w:rPr>
        <w:t>）：本框架协议服务期限为</w:t>
      </w:r>
      <w:r>
        <w:rPr>
          <w:rFonts w:hint="eastAsia" w:ascii="宋体" w:hAnsi="宋体"/>
          <w:color w:val="000000" w:themeColor="text1"/>
          <w:szCs w:val="21"/>
          <w:highlight w:val="none"/>
          <w:lang w:val="en-US" w:eastAsia="zh-CN"/>
          <w14:textFill>
            <w14:solidFill>
              <w14:schemeClr w14:val="tx1"/>
            </w14:solidFill>
          </w14:textFill>
        </w:rPr>
        <w:t>两年</w:t>
      </w:r>
      <w:r>
        <w:rPr>
          <w:rFonts w:hint="eastAsia" w:ascii="宋体" w:hAnsi="宋体"/>
          <w:color w:val="000000" w:themeColor="text1"/>
          <w:szCs w:val="21"/>
          <w:highlight w:val="none"/>
          <w14:textFill>
            <w14:solidFill>
              <w14:schemeClr w14:val="tx1"/>
            </w14:solidFill>
          </w14:textFill>
        </w:rPr>
        <w:t>。具体起止时间以框架协议签订时间为准。如有协助评审的项目无法在框架协议有效期内完成，服务项目的供应商可顺延服务时间，直至完成项目评审工作</w:t>
      </w:r>
      <w:r>
        <w:rPr>
          <w:rFonts w:hint="eastAsia" w:ascii="宋体" w:hAnsi="宋体" w:cs="宋体"/>
          <w:color w:val="000000" w:themeColor="text1"/>
          <w:kern w:val="44"/>
          <w:szCs w:val="21"/>
          <w:highlight w:val="none"/>
          <w14:textFill>
            <w14:solidFill>
              <w14:schemeClr w14:val="tx1"/>
            </w14:solidFill>
          </w14:textFill>
        </w:rPr>
        <w:t>。</w:t>
      </w:r>
    </w:p>
    <w:p w14:paraId="1090DED2">
      <w:pPr>
        <w:keepNext w:val="0"/>
        <w:keepLines w:val="0"/>
        <w:pageBreakBefore w:val="0"/>
        <w:shd w:val="clear"/>
        <w:kinsoku/>
        <w:wordWrap/>
        <w:overflowPunct/>
        <w:topLinePunct w:val="0"/>
        <w:autoSpaceDE/>
        <w:autoSpaceDN/>
        <w:bidi w:val="0"/>
        <w:spacing w:line="400" w:lineRule="exact"/>
        <w:ind w:firstLine="420" w:firstLineChars="200"/>
        <w:jc w:val="left"/>
        <w:textAlignment w:val="auto"/>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44"/>
          <w:szCs w:val="21"/>
          <w:highlight w:val="none"/>
          <w14:textFill>
            <w14:solidFill>
              <w14:schemeClr w14:val="tx1"/>
            </w14:solidFill>
          </w14:textFill>
        </w:rPr>
        <w:t>是否接受联合体：否。</w:t>
      </w:r>
      <w:bookmarkStart w:id="22" w:name="_Toc35393622"/>
      <w:bookmarkStart w:id="23" w:name="_Toc28359003"/>
      <w:bookmarkStart w:id="24" w:name="_Toc35393791"/>
      <w:bookmarkStart w:id="25" w:name="_Toc28359080"/>
    </w:p>
    <w:p w14:paraId="4637068D">
      <w:pPr>
        <w:shd w:val="clear"/>
        <w:spacing w:line="420" w:lineRule="exact"/>
        <w:jc w:val="left"/>
        <w:outlineLvl w:val="1"/>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二、申请人的资格要求：</w:t>
      </w:r>
      <w:bookmarkEnd w:id="22"/>
      <w:bookmarkEnd w:id="23"/>
      <w:bookmarkEnd w:id="24"/>
      <w:bookmarkEnd w:id="25"/>
    </w:p>
    <w:p w14:paraId="47EA0FC2">
      <w:pPr>
        <w:shd w:val="clear"/>
        <w:spacing w:line="420" w:lineRule="exact"/>
        <w:ind w:firstLine="420" w:firstLineChars="200"/>
        <w:outlineLvl w:val="9"/>
        <w:rPr>
          <w:rFonts w:ascii="宋体" w:hAnsi="宋体"/>
          <w:color w:val="000000" w:themeColor="text1"/>
          <w:szCs w:val="21"/>
          <w:highlight w:val="none"/>
          <w14:textFill>
            <w14:solidFill>
              <w14:schemeClr w14:val="tx1"/>
            </w14:solidFill>
          </w14:textFill>
        </w:rPr>
      </w:pPr>
      <w:bookmarkStart w:id="26" w:name="_Hlk51746371"/>
      <w:bookmarkStart w:id="27" w:name="OLE_LINK174"/>
      <w:bookmarkStart w:id="28" w:name="OLE_LINK173"/>
      <w:r>
        <w:rPr>
          <w:rFonts w:ascii="宋体" w:hAnsi="宋体"/>
          <w:color w:val="000000" w:themeColor="text1"/>
          <w:szCs w:val="21"/>
          <w:highlight w:val="none"/>
          <w14:textFill>
            <w14:solidFill>
              <w14:schemeClr w14:val="tx1"/>
            </w14:solidFill>
          </w14:textFill>
        </w:rPr>
        <w:t>1.满足《中华人民共和国政府采购法》第二十二条规定；</w:t>
      </w:r>
      <w:bookmarkStart w:id="29" w:name="_Toc28359004"/>
      <w:bookmarkStart w:id="30" w:name="_Toc28359081"/>
    </w:p>
    <w:p w14:paraId="38FBCDCE">
      <w:pPr>
        <w:shd w:val="clea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2.落实政府采购政策需满足的资格要求：</w:t>
      </w:r>
      <w:bookmarkEnd w:id="26"/>
      <w:bookmarkStart w:id="31" w:name="_Toc35393623"/>
      <w:bookmarkStart w:id="32" w:name="_Toc35393792"/>
      <w:r>
        <w:rPr>
          <w:rFonts w:hint="eastAsia" w:ascii="宋体" w:hAnsi="宋体"/>
          <w:color w:val="000000" w:themeColor="text1"/>
          <w:szCs w:val="21"/>
          <w:highlight w:val="none"/>
          <w14:textFill>
            <w14:solidFill>
              <w14:schemeClr w14:val="tx1"/>
            </w14:solidFill>
          </w14:textFill>
        </w:rPr>
        <w:t>非专门面向中小企业采购；</w:t>
      </w:r>
    </w:p>
    <w:p w14:paraId="27A0521C">
      <w:pPr>
        <w:shd w:val="clear"/>
        <w:spacing w:line="420" w:lineRule="exact"/>
        <w:ind w:firstLine="420" w:firstLineChars="200"/>
        <w:outlineLvl w:val="9"/>
        <w:rPr>
          <w:rFonts w:hint="eastAsia" w:ascii="宋体" w:hAnsi="宋体"/>
          <w:color w:val="000000" w:themeColor="text1"/>
          <w:szCs w:val="21"/>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3.本项目的特定资格要求：</w:t>
      </w:r>
      <w:bookmarkEnd w:id="27"/>
      <w:bookmarkEnd w:id="28"/>
    </w:p>
    <w:p w14:paraId="361A9BF2">
      <w:pPr>
        <w:shd w:val="clear"/>
        <w:spacing w:line="420" w:lineRule="exact"/>
        <w:ind w:firstLine="420" w:firstLineChars="200"/>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(1)01分标，供应商具有可参与协审部门</w:t>
      </w:r>
      <w:r>
        <w:rPr>
          <w:rFonts w:hint="eastAsia" w:ascii="宋体" w:hAnsi="宋体" w:eastAsia="宋体" w:cs="宋体"/>
          <w:color w:val="000000" w:themeColor="text1"/>
          <w:sz w:val="21"/>
          <w:szCs w:val="21"/>
          <w:highlight w:val="none"/>
          <w:lang w:val="en-US"/>
          <w14:textFill>
            <w14:solidFill>
              <w14:schemeClr w14:val="tx1"/>
            </w14:solidFill>
          </w14:textFill>
        </w:rPr>
        <w:t>项目工程概（预）算、工程量清单和招标控制价</w:t>
      </w:r>
      <w:r>
        <w:rPr>
          <w:rFonts w:hint="eastAsia" w:ascii="宋体" w:hAnsi="宋体"/>
          <w:color w:val="000000" w:themeColor="text1"/>
          <w:szCs w:val="21"/>
          <w:highlight w:val="none"/>
          <w:lang w:val="en-US" w:eastAsia="zh-CN"/>
          <w14:textFill>
            <w14:solidFill>
              <w14:schemeClr w14:val="tx1"/>
            </w14:solidFill>
          </w14:textFill>
        </w:rPr>
        <w:t>等工作的工程造价专业技术能力。</w:t>
      </w:r>
    </w:p>
    <w:p w14:paraId="647A4041">
      <w:pPr>
        <w:shd w:val="clear"/>
        <w:spacing w:line="420" w:lineRule="exact"/>
        <w:ind w:firstLine="420" w:firstLineChars="200"/>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(2)02分标，具有以下资质要求之一的单位：</w:t>
      </w:r>
    </w:p>
    <w:p w14:paraId="46700631">
      <w:pPr>
        <w:shd w:val="clear"/>
        <w:spacing w:line="420" w:lineRule="exact"/>
        <w:ind w:firstLine="420" w:firstLineChars="200"/>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①具有国家住房和城乡建设部颁发的《工程设计资格证书》[电子通信广电行业的电子系统工程类或通信工程类（必须具备有线通信或无线通信或邮政工程或通信铁塔四种任意一种专业）]乙级或以上资质的单位；</w:t>
      </w:r>
    </w:p>
    <w:p w14:paraId="66CB66B7">
      <w:pPr>
        <w:shd w:val="clear"/>
        <w:spacing w:line="420" w:lineRule="exact"/>
        <w:ind w:firstLine="420" w:firstLineChars="200"/>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②取得信息化主管部门授权实施电子系统工程造价审核资格单位。</w:t>
      </w:r>
    </w:p>
    <w:p w14:paraId="7A142380">
      <w:pPr>
        <w:shd w:val="clear"/>
        <w:spacing w:line="420" w:lineRule="exact"/>
        <w:ind w:firstLine="0" w:firstLineChars="0"/>
        <w:outlineLvl w:val="1"/>
        <w:rPr>
          <w:rFonts w:hint="eastAsia" w:ascii="宋体" w:hAnsi="宋体" w:eastAsia="宋体"/>
          <w:b/>
          <w:bCs/>
          <w:color w:val="000000" w:themeColor="text1"/>
          <w:szCs w:val="21"/>
          <w:highlight w:val="none"/>
          <w:lang w:eastAsia="zh-CN"/>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三、获取</w:t>
      </w:r>
      <w:bookmarkEnd w:id="29"/>
      <w:bookmarkEnd w:id="30"/>
      <w:bookmarkEnd w:id="31"/>
      <w:bookmarkEnd w:id="32"/>
      <w:r>
        <w:rPr>
          <w:rFonts w:hint="eastAsia" w:ascii="宋体" w:hAnsi="宋体"/>
          <w:b/>
          <w:bCs/>
          <w:color w:val="000000" w:themeColor="text1"/>
          <w:szCs w:val="21"/>
          <w:highlight w:val="none"/>
          <w:lang w:eastAsia="zh-CN"/>
          <w14:textFill>
            <w14:solidFill>
              <w14:schemeClr w14:val="tx1"/>
            </w14:solidFill>
          </w14:textFill>
        </w:rPr>
        <w:t>征集文件</w:t>
      </w:r>
    </w:p>
    <w:p w14:paraId="5312F6E2">
      <w:pPr>
        <w:shd w:val="clea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lang w:eastAsia="zh-CN"/>
          <w14:textFill>
            <w14:solidFill>
              <w14:schemeClr w14:val="tx1"/>
            </w14:solidFill>
          </w14:textFill>
        </w:rPr>
        <w:t>2025年</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日</w:t>
      </w:r>
      <w:r>
        <w:rPr>
          <w:rFonts w:hint="eastAsia" w:ascii="宋体" w:hAnsi="宋体"/>
          <w:color w:val="000000" w:themeColor="text1"/>
          <w:szCs w:val="21"/>
          <w:highlight w:val="none"/>
          <w14:textFill>
            <w14:solidFill>
              <w14:schemeClr w14:val="tx1"/>
            </w14:solidFill>
          </w14:textFill>
        </w:rPr>
        <w:t>至</w:t>
      </w:r>
      <w:r>
        <w:rPr>
          <w:rFonts w:hint="eastAsia" w:ascii="宋体" w:hAnsi="宋体"/>
          <w:color w:val="000000" w:themeColor="text1"/>
          <w:szCs w:val="21"/>
          <w:highlight w:val="none"/>
          <w:u w:val="single"/>
          <w:lang w:eastAsia="zh-CN"/>
          <w14:textFill>
            <w14:solidFill>
              <w14:schemeClr w14:val="tx1"/>
            </w14:solidFill>
          </w14:textFill>
        </w:rPr>
        <w:t>2025</w:t>
      </w:r>
      <w:r>
        <w:rPr>
          <w:rFonts w:hint="eastAsia" w:ascii="宋体" w:hAnsi="宋体"/>
          <w:bCs/>
          <w:color w:val="000000" w:themeColor="text1"/>
          <w:szCs w:val="21"/>
          <w:highlight w:val="none"/>
          <w:u w:val="singl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 xml:space="preserve">   月   </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color w:val="000000" w:themeColor="text1"/>
          <w:szCs w:val="21"/>
          <w:highlight w:val="none"/>
          <w14:textFill>
            <w14:solidFill>
              <w14:schemeClr w14:val="tx1"/>
            </w14:solidFill>
          </w14:textFill>
        </w:rPr>
        <w:t>，每天上午</w:t>
      </w:r>
      <w:r>
        <w:rPr>
          <w:rFonts w:ascii="宋体" w:hAnsi="宋体"/>
          <w:color w:val="000000" w:themeColor="text1"/>
          <w:szCs w:val="21"/>
          <w:highlight w:val="none"/>
          <w14:textFill>
            <w14:solidFill>
              <w14:schemeClr w14:val="tx1"/>
            </w14:solidFill>
          </w14:textFill>
        </w:rPr>
        <w:t>00:00至1</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59，下午</w:t>
      </w:r>
      <w:r>
        <w:rPr>
          <w:rFonts w:ascii="宋体" w:hAnsi="宋体"/>
          <w:color w:val="000000" w:themeColor="text1"/>
          <w:szCs w:val="21"/>
          <w:highlight w:val="none"/>
          <w14:textFill>
            <w14:solidFill>
              <w14:schemeClr w14:val="tx1"/>
            </w14:solidFill>
          </w14:textFill>
        </w:rPr>
        <w:t>12:00至18:00（北京时间，法定节假日除外）</w:t>
      </w:r>
    </w:p>
    <w:p w14:paraId="34C69997">
      <w:pPr>
        <w:shd w:val="clear"/>
        <w:spacing w:line="42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bookmarkStart w:id="33" w:name="_Toc28359082"/>
      <w:bookmarkStart w:id="34" w:name="_Toc28359005"/>
      <w:bookmarkStart w:id="35" w:name="_Toc35393624"/>
      <w:bookmarkStart w:id="36" w:name="_Toc35393793"/>
      <w:r>
        <w:rPr>
          <w:rFonts w:ascii="宋体" w:hAnsi="宋体"/>
          <w:color w:val="000000" w:themeColor="text1"/>
          <w:szCs w:val="21"/>
          <w:highlight w:val="none"/>
          <w14:textFill>
            <w14:solidFill>
              <w14:schemeClr w14:val="tx1"/>
            </w14:solidFill>
          </w14:textFill>
        </w:rPr>
        <w:t>地点：广西政府采购云平台（https://www.gcy.zfcg.gxzf.gov.cn/）</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简称“桂采云”</w:t>
      </w:r>
      <w:r>
        <w:rPr>
          <w:rFonts w:hint="eastAsia" w:ascii="宋体" w:hAnsi="宋体"/>
          <w:color w:val="000000" w:themeColor="text1"/>
          <w:szCs w:val="21"/>
          <w:highlight w:val="none"/>
          <w:lang w:eastAsia="zh-CN"/>
          <w14:textFill>
            <w14:solidFill>
              <w14:schemeClr w14:val="tx1"/>
            </w14:solidFill>
          </w14:textFill>
        </w:rPr>
        <w:t>）</w:t>
      </w:r>
    </w:p>
    <w:p w14:paraId="3BD5A93C">
      <w:pPr>
        <w:shd w:val="clea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方式：网上下载。本项目不提供纸质文件，潜在供应商需使用账号登录或者使用CA登录“广西政府采购云平台”平台（https://www.gcy.zfcg.gxzf.gov.cn/）</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进入“项目采购”应用，在获取采购文件菜单中选择项目并获取</w:t>
      </w:r>
      <w:r>
        <w:rPr>
          <w:rFonts w:hint="eastAsia" w:ascii="宋体" w:hAnsi="宋体"/>
          <w:color w:val="000000" w:themeColor="text1"/>
          <w:szCs w:val="21"/>
          <w:highlight w:val="none"/>
          <w:lang w:eastAsia="zh-CN"/>
          <w14:textFill>
            <w14:solidFill>
              <w14:schemeClr w14:val="tx1"/>
            </w14:solidFill>
          </w14:textFill>
        </w:rPr>
        <w:t>征集文件</w:t>
      </w:r>
      <w:r>
        <w:rPr>
          <w:rFonts w:ascii="宋体" w:hAnsi="宋体"/>
          <w:color w:val="000000" w:themeColor="text1"/>
          <w:szCs w:val="21"/>
          <w:highlight w:val="none"/>
          <w14:textFill>
            <w14:solidFill>
              <w14:schemeClr w14:val="tx1"/>
            </w14:solidFill>
          </w14:textFill>
        </w:rPr>
        <w:t>（或在“广西政府采购云平台电子投标客户端</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获取采购文件”跳转到广西政府采购云平台系统获取）。各供应商需下载使用新版客户端，新版客户端下载路径：广西政府采购网（访问地址http://zfcg.gxzf.gov.cn/）—办事服务—下载专区。原在政采云平台注册的临时供应商需在新平台启用后重新注册登记。电子投标文件制作需要基于“广西政府采购云平台”获取的</w:t>
      </w:r>
      <w:r>
        <w:rPr>
          <w:rFonts w:hint="eastAsia" w:ascii="宋体" w:hAnsi="宋体"/>
          <w:color w:val="000000" w:themeColor="text1"/>
          <w:szCs w:val="21"/>
          <w:highlight w:val="none"/>
          <w:lang w:eastAsia="zh-CN"/>
          <w14:textFill>
            <w14:solidFill>
              <w14:schemeClr w14:val="tx1"/>
            </w14:solidFill>
          </w14:textFill>
        </w:rPr>
        <w:t>征集文件</w:t>
      </w:r>
      <w:r>
        <w:rPr>
          <w:rFonts w:ascii="宋体" w:hAnsi="宋体"/>
          <w:color w:val="000000" w:themeColor="text1"/>
          <w:szCs w:val="21"/>
          <w:highlight w:val="none"/>
          <w14:textFill>
            <w14:solidFill>
              <w14:schemeClr w14:val="tx1"/>
            </w14:solidFill>
          </w14:textFill>
        </w:rPr>
        <w:t>编制，通过其他方式获取</w:t>
      </w:r>
      <w:r>
        <w:rPr>
          <w:rFonts w:hint="eastAsia" w:ascii="宋体" w:hAnsi="宋体"/>
          <w:color w:val="000000" w:themeColor="text1"/>
          <w:szCs w:val="21"/>
          <w:highlight w:val="none"/>
          <w:lang w:eastAsia="zh-CN"/>
          <w14:textFill>
            <w14:solidFill>
              <w14:schemeClr w14:val="tx1"/>
            </w14:solidFill>
          </w14:textFill>
        </w:rPr>
        <w:t>征集文件</w:t>
      </w:r>
      <w:r>
        <w:rPr>
          <w:rFonts w:ascii="宋体" w:hAnsi="宋体"/>
          <w:color w:val="000000" w:themeColor="text1"/>
          <w:szCs w:val="21"/>
          <w:highlight w:val="none"/>
          <w14:textFill>
            <w14:solidFill>
              <w14:schemeClr w14:val="tx1"/>
            </w14:solidFill>
          </w14:textFill>
        </w:rPr>
        <w:t>的，将有可能导致供应商无法在广西政府采购云平台编制及上传投标文件。</w:t>
      </w:r>
      <w:r>
        <w:rPr>
          <w:rFonts w:ascii="宋体" w:hAnsi="宋体"/>
          <w:color w:val="000000" w:themeColor="text1"/>
          <w:szCs w:val="21"/>
          <w:highlight w:val="none"/>
          <w14:textFill>
            <w14:solidFill>
              <w14:schemeClr w14:val="tx1"/>
            </w14:solidFill>
          </w14:textFill>
        </w:rPr>
        <w:br w:type="textWrapping"/>
      </w:r>
      <w:r>
        <w:rPr>
          <w:rFonts w:ascii="宋体" w:hAnsi="宋体"/>
          <w:color w:val="000000" w:themeColor="text1"/>
          <w:szCs w:val="21"/>
          <w:highlight w:val="none"/>
          <w14:textFill>
            <w14:solidFill>
              <w14:schemeClr w14:val="tx1"/>
            </w14:solidFill>
          </w14:textFill>
        </w:rPr>
        <w:t>售价：0元</w:t>
      </w:r>
    </w:p>
    <w:p w14:paraId="7DC1643B">
      <w:pPr>
        <w:shd w:val="clear"/>
        <w:spacing w:line="420" w:lineRule="exact"/>
        <w:outlineLvl w:val="1"/>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四、提交投标文件</w:t>
      </w:r>
      <w:bookmarkEnd w:id="33"/>
      <w:bookmarkEnd w:id="34"/>
      <w:r>
        <w:rPr>
          <w:rFonts w:hint="eastAsia" w:ascii="宋体" w:hAnsi="宋体"/>
          <w:b/>
          <w:bCs/>
          <w:color w:val="000000" w:themeColor="text1"/>
          <w:szCs w:val="21"/>
          <w:highlight w:val="none"/>
          <w14:textFill>
            <w14:solidFill>
              <w14:schemeClr w14:val="tx1"/>
            </w14:solidFill>
          </w14:textFill>
        </w:rPr>
        <w:t>截止时间、开标时间和地点</w:t>
      </w:r>
      <w:bookmarkEnd w:id="35"/>
      <w:bookmarkEnd w:id="36"/>
    </w:p>
    <w:p w14:paraId="5E151051">
      <w:pPr>
        <w:shd w:val="clear"/>
        <w:spacing w:line="420" w:lineRule="exact"/>
        <w:ind w:firstLine="420" w:firstLineChars="200"/>
        <w:rPr>
          <w:rFonts w:ascii="宋体" w:hAnsi="宋体"/>
          <w:color w:val="000000" w:themeColor="text1"/>
          <w:szCs w:val="21"/>
          <w:highlight w:val="none"/>
          <w14:textFill>
            <w14:solidFill>
              <w14:schemeClr w14:val="tx1"/>
            </w14:solidFill>
          </w14:textFill>
        </w:rPr>
      </w:pPr>
      <w:bookmarkStart w:id="37" w:name="_Toc28359007"/>
      <w:bookmarkStart w:id="38" w:name="_Toc28359084"/>
      <w:bookmarkStart w:id="39" w:name="_Toc35393625"/>
      <w:bookmarkStart w:id="40" w:name="_Toc35393794"/>
      <w:r>
        <w:rPr>
          <w:rFonts w:ascii="宋体" w:hAnsi="宋体"/>
          <w:color w:val="000000" w:themeColor="text1"/>
          <w:szCs w:val="21"/>
          <w:highlight w:val="none"/>
          <w14:textFill>
            <w14:solidFill>
              <w14:schemeClr w14:val="tx1"/>
            </w14:solidFill>
          </w14:textFill>
        </w:rPr>
        <w:t>提交投标文件截止时间：</w:t>
      </w:r>
      <w:r>
        <w:rPr>
          <w:rFonts w:hint="eastAsia" w:ascii="宋体" w:hAnsi="宋体"/>
          <w:color w:val="000000" w:themeColor="text1"/>
          <w:szCs w:val="21"/>
          <w:highlight w:val="none"/>
          <w:u w:val="single"/>
          <w:lang w:val="en-US" w:eastAsia="zh-CN"/>
          <w14:textFill>
            <w14:solidFill>
              <w14:schemeClr w14:val="tx1"/>
            </w14:solidFill>
          </w14:textFill>
        </w:rPr>
        <w:t>2025</w:t>
      </w:r>
      <w:r>
        <w:rPr>
          <w:rFonts w:hint="eastAsia" w:ascii="宋体" w:hAnsi="宋体"/>
          <w:bCs/>
          <w:color w:val="000000" w:themeColor="text1"/>
          <w:szCs w:val="21"/>
          <w:highlight w:val="none"/>
          <w:u w:val="singl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 xml:space="preserve">   月   日</w:t>
      </w:r>
      <w:r>
        <w:rPr>
          <w:rFonts w:ascii="宋体" w:hAnsi="宋体"/>
          <w:bCs/>
          <w:color w:val="000000" w:themeColor="text1"/>
          <w:szCs w:val="21"/>
          <w:highlight w:val="none"/>
          <w:u w:val="single"/>
          <w14:textFill>
            <w14:solidFill>
              <w14:schemeClr w14:val="tx1"/>
            </w14:solidFill>
          </w14:textFill>
        </w:rPr>
        <w:t>09</w:t>
      </w:r>
      <w:r>
        <w:rPr>
          <w:rFonts w:hint="eastAsia" w:ascii="宋体" w:hAnsi="宋体"/>
          <w:color w:val="000000" w:themeColor="text1"/>
          <w:szCs w:val="21"/>
          <w:highlight w:val="none"/>
          <w:u w:val="single"/>
          <w:lang w:val="en-US" w:eastAsia="zh-CN"/>
          <w14:textFill>
            <w14:solidFill>
              <w14:schemeClr w14:val="tx1"/>
            </w14:solidFill>
          </w14:textFill>
        </w:rPr>
        <w:t>时30分</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北京时间）</w:t>
      </w:r>
    </w:p>
    <w:p w14:paraId="7BE6C255">
      <w:pPr>
        <w:shd w:val="clea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投标地点：</w:t>
      </w:r>
      <w:bookmarkStart w:id="41" w:name="OLE_LINK37"/>
      <w:bookmarkStart w:id="42" w:name="OLE_LINK34"/>
      <w:r>
        <w:rPr>
          <w:rFonts w:ascii="宋体" w:hAnsi="宋体"/>
          <w:color w:val="000000" w:themeColor="text1"/>
          <w:szCs w:val="21"/>
          <w:highlight w:val="none"/>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（https://www.gcy.zfcg.gxzf.gov.cn/</w:t>
      </w:r>
      <w:r>
        <w:rPr>
          <w:rFonts w:ascii="宋体" w:hAnsi="宋体"/>
          <w:color w:val="000000" w:themeColor="text1"/>
          <w:szCs w:val="21"/>
          <w:highlight w:val="none"/>
          <w14:textFill>
            <w14:solidFill>
              <w14:schemeClr w14:val="tx1"/>
            </w14:solidFill>
          </w14:textFill>
        </w:rPr>
        <w:t>）</w:t>
      </w:r>
      <w:bookmarkEnd w:id="41"/>
      <w:bookmarkEnd w:id="42"/>
    </w:p>
    <w:p w14:paraId="1A53AC12">
      <w:pPr>
        <w:shd w:val="clea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开标时间：</w:t>
      </w:r>
      <w:r>
        <w:rPr>
          <w:rFonts w:hint="eastAsia" w:ascii="宋体" w:hAnsi="宋体"/>
          <w:color w:val="000000" w:themeColor="text1"/>
          <w:szCs w:val="21"/>
          <w:highlight w:val="none"/>
          <w:u w:val="single"/>
          <w:lang w:val="en-US" w:eastAsia="zh-CN"/>
          <w14:textFill>
            <w14:solidFill>
              <w14:schemeClr w14:val="tx1"/>
            </w14:solidFill>
          </w14:textFill>
        </w:rPr>
        <w:t>2025</w:t>
      </w:r>
      <w:r>
        <w:rPr>
          <w:rFonts w:hint="eastAsia" w:ascii="宋体" w:hAnsi="宋体"/>
          <w:bCs/>
          <w:color w:val="000000" w:themeColor="text1"/>
          <w:szCs w:val="21"/>
          <w:highlight w:val="none"/>
          <w:u w:val="singl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 xml:space="preserve">    月    日</w:t>
      </w:r>
      <w:r>
        <w:rPr>
          <w:rFonts w:ascii="宋体" w:hAnsi="宋体"/>
          <w:bCs/>
          <w:color w:val="000000" w:themeColor="text1"/>
          <w:szCs w:val="21"/>
          <w:highlight w:val="none"/>
          <w:u w:val="single"/>
          <w14:textFill>
            <w14:solidFill>
              <w14:schemeClr w14:val="tx1"/>
            </w14:solidFill>
          </w14:textFill>
        </w:rPr>
        <w:t>09</w:t>
      </w:r>
      <w:r>
        <w:rPr>
          <w:rFonts w:hint="eastAsia" w:ascii="宋体" w:hAnsi="宋体"/>
          <w:color w:val="000000" w:themeColor="text1"/>
          <w:szCs w:val="21"/>
          <w:highlight w:val="none"/>
          <w:u w:val="single"/>
          <w:lang w:val="en-US" w:eastAsia="zh-CN"/>
          <w14:textFill>
            <w14:solidFill>
              <w14:schemeClr w14:val="tx1"/>
            </w14:solidFill>
          </w14:textFill>
        </w:rPr>
        <w:t>时30分</w:t>
      </w:r>
      <w:r>
        <w:rPr>
          <w:rFonts w:ascii="宋体" w:hAnsi="宋体"/>
          <w:color w:val="000000" w:themeColor="text1"/>
          <w:szCs w:val="21"/>
          <w:highlight w:val="none"/>
          <w14:textFill>
            <w14:solidFill>
              <w14:schemeClr w14:val="tx1"/>
            </w14:solidFill>
          </w14:textFill>
        </w:rPr>
        <w:t>（北京时间）</w:t>
      </w:r>
    </w:p>
    <w:p w14:paraId="2C9D5FB2">
      <w:pPr>
        <w:shd w:val="clear"/>
        <w:spacing w:line="4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开标地点：</w:t>
      </w:r>
      <w:bookmarkStart w:id="43" w:name="OLE_LINK39"/>
      <w:bookmarkStart w:id="44" w:name="OLE_LINK38"/>
      <w:r>
        <w:rPr>
          <w:rFonts w:ascii="宋体" w:hAnsi="宋体"/>
          <w:color w:val="000000" w:themeColor="text1"/>
          <w:szCs w:val="21"/>
          <w:highlight w:val="none"/>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电子开标大厅</w:t>
      </w:r>
      <w:bookmarkEnd w:id="43"/>
      <w:bookmarkEnd w:id="44"/>
    </w:p>
    <w:p w14:paraId="0DC41C52">
      <w:pPr>
        <w:shd w:val="clear"/>
        <w:spacing w:line="420" w:lineRule="exact"/>
        <w:outlineLvl w:val="1"/>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五、公告期限</w:t>
      </w:r>
      <w:bookmarkEnd w:id="37"/>
      <w:bookmarkEnd w:id="38"/>
      <w:bookmarkEnd w:id="39"/>
      <w:bookmarkEnd w:id="40"/>
    </w:p>
    <w:p w14:paraId="303C6CF0">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自本公告发布之日起</w:t>
      </w:r>
      <w:r>
        <w:rPr>
          <w:rFonts w:ascii="宋体" w:hAnsi="宋体"/>
          <w:color w:val="000000" w:themeColor="text1"/>
          <w:kern w:val="0"/>
          <w:szCs w:val="21"/>
          <w:highlight w:val="none"/>
          <w14:textFill>
            <w14:solidFill>
              <w14:schemeClr w14:val="tx1"/>
            </w14:solidFill>
          </w14:textFill>
        </w:rPr>
        <w:t>5个工作日。</w:t>
      </w:r>
    </w:p>
    <w:p w14:paraId="7953B5FC">
      <w:pPr>
        <w:shd w:val="clear"/>
        <w:spacing w:line="420" w:lineRule="exact"/>
        <w:outlineLvl w:val="1"/>
        <w:rPr>
          <w:rFonts w:hint="eastAsia" w:ascii="宋体" w:hAnsi="宋体"/>
          <w:b/>
          <w:bCs/>
          <w:color w:val="000000" w:themeColor="text1"/>
          <w:szCs w:val="21"/>
          <w:highlight w:val="none"/>
          <w14:textFill>
            <w14:solidFill>
              <w14:schemeClr w14:val="tx1"/>
            </w14:solidFill>
          </w14:textFill>
        </w:rPr>
      </w:pPr>
      <w:bookmarkStart w:id="45" w:name="_Toc35393626"/>
      <w:bookmarkStart w:id="46" w:name="_Toc35393795"/>
      <w:r>
        <w:rPr>
          <w:rFonts w:hint="eastAsia" w:ascii="宋体" w:hAnsi="宋体"/>
          <w:b/>
          <w:bCs/>
          <w:color w:val="000000" w:themeColor="text1"/>
          <w:szCs w:val="21"/>
          <w:highlight w:val="none"/>
          <w14:textFill>
            <w14:solidFill>
              <w14:schemeClr w14:val="tx1"/>
            </w14:solidFill>
          </w14:textFill>
        </w:rPr>
        <w:t>六、其他补充事宜</w:t>
      </w:r>
      <w:bookmarkEnd w:id="45"/>
      <w:bookmarkEnd w:id="46"/>
    </w:p>
    <w:p w14:paraId="5668B282">
      <w:pPr>
        <w:shd w:val="clear"/>
        <w:spacing w:line="400" w:lineRule="exact"/>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投标保证金：本项目不收取投标保证金</w:t>
      </w:r>
    </w:p>
    <w:p w14:paraId="35329B22">
      <w:pPr>
        <w:shd w:val="clear"/>
        <w:spacing w:line="400" w:lineRule="exact"/>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网上查询地址：中国政府采购网、广西壮族自治区政府采购网、全国公共资源交易平台（广西.防城港）。</w:t>
      </w:r>
    </w:p>
    <w:p w14:paraId="49322A66">
      <w:pPr>
        <w:shd w:val="clear"/>
        <w:spacing w:line="400" w:lineRule="exact"/>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3、本项目需要落实的政府采购政策：</w:t>
      </w:r>
    </w:p>
    <w:p w14:paraId="79717466">
      <w:pPr>
        <w:shd w:val="clea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14:paraId="4448E469">
      <w:pPr>
        <w:shd w:val="clea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14:paraId="0248B463">
      <w:pPr>
        <w:shd w:val="clea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（3）强制采购节能产品；优先采购节能产品、环境标志产品。</w:t>
      </w:r>
    </w:p>
    <w:p w14:paraId="5C7F3E0F">
      <w:pPr>
        <w:shd w:val="clea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14:paraId="17E1348B">
      <w:pPr>
        <w:shd w:val="clea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p w14:paraId="5333D5AC">
      <w:pPr>
        <w:shd w:val="clea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（6）扶持不发达地区和少数民族地区政策。</w:t>
      </w:r>
    </w:p>
    <w:p w14:paraId="423D9D2B">
      <w:pPr>
        <w:shd w:val="clear"/>
        <w:snapToGrid w:val="0"/>
        <w:spacing w:line="400" w:lineRule="exact"/>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bCs/>
          <w:color w:val="000000" w:themeColor="text1"/>
          <w:szCs w:val="21"/>
          <w:highlight w:val="none"/>
          <w14:textFill>
            <w14:solidFill>
              <w14:schemeClr w14:val="tx1"/>
            </w14:solidFill>
          </w14:textFill>
        </w:rPr>
        <w:t>根据《〈政府采购法实施条例〉释义》，银行、保险、石油石化、电力、电信等有行业特殊情况的，取得营业执照的分支机构可以分公司名义参与投标，采购文件中涉及的“法定代表人”在前述特殊行业中即对应为“分支机构负责人”。</w:t>
      </w:r>
    </w:p>
    <w:p w14:paraId="00D67E41">
      <w:pPr>
        <w:shd w:val="clea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F3A06B4">
      <w:pPr>
        <w:shd w:val="clea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6、对在“信用中国”网站</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www.creditchina.gov.cn) 、中国政府采购网</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www.ccgp.gov.cn</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被列入失信被执行人、重大税收违法案件当事人名单、政府采购严重违法失信行为记录名单及其他不符合《中华人民共和国政府采购法》第二十二条规定条件的供应商，不得参与政府采购活动。</w:t>
      </w:r>
    </w:p>
    <w:p w14:paraId="55DFCD53">
      <w:pPr>
        <w:shd w:val="clea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C1E1670">
      <w:pPr>
        <w:shd w:val="clea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r>
        <w:rPr>
          <w:rFonts w:hint="eastAsia" w:ascii="宋体" w:hAnsi="宋体" w:cs="宋体"/>
          <w:b/>
          <w:bCs/>
          <w:color w:val="000000" w:themeColor="text1"/>
          <w:kern w:val="0"/>
          <w:szCs w:val="21"/>
          <w:highlight w:val="none"/>
          <w14:textFill>
            <w14:solidFill>
              <w14:schemeClr w14:val="tx1"/>
            </w14:solidFill>
          </w14:textFill>
        </w:rPr>
        <w:t>供应商</w:t>
      </w:r>
      <w:r>
        <w:rPr>
          <w:rFonts w:hint="eastAsia" w:ascii="宋体" w:hAnsi="宋体"/>
          <w:b/>
          <w:bCs/>
          <w:color w:val="000000" w:themeColor="text1"/>
          <w:szCs w:val="21"/>
          <w:highlight w:val="none"/>
          <w14:textFill>
            <w14:solidFill>
              <w14:schemeClr w14:val="tx1"/>
            </w14:solidFill>
          </w14:textFill>
        </w:rPr>
        <w:t>投标注意事项</w:t>
      </w:r>
    </w:p>
    <w:p w14:paraId="3CCF84C2">
      <w:pPr>
        <w:widowControl/>
        <w:shd w:val="clear"/>
        <w:spacing w:line="360" w:lineRule="auto"/>
        <w:ind w:firstLine="420" w:firstLineChars="200"/>
        <w:jc w:val="left"/>
        <w:rPr>
          <w:rFonts w:hint="eastAsia" w:ascii="宋体" w:hAnsi="宋体" w:eastAsia="宋体" w:cs="Times New Roman"/>
          <w:b w:val="0"/>
          <w:bCs w:val="0"/>
          <w:color w:val="000000" w:themeColor="text1"/>
          <w:szCs w:val="21"/>
          <w:highlight w:val="none"/>
          <w:u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（1）投标文件提交方式：本项目为全流程电子化项目，通过</w:t>
      </w:r>
      <w:r>
        <w:rPr>
          <w:rFonts w:hint="eastAsia" w:ascii="宋体" w:hAnsi="宋体" w:cs="Times New Roman"/>
          <w:color w:val="000000" w:themeColor="text1"/>
          <w:szCs w:val="21"/>
          <w:highlight w:val="none"/>
          <w:lang w:eastAsia="zh-CN"/>
          <w14:textFill>
            <w14:solidFill>
              <w14:schemeClr w14:val="tx1"/>
            </w14:solidFill>
          </w14:textFill>
        </w:rPr>
        <w:t>广西政府采购云平台</w:t>
      </w:r>
      <w:r>
        <w:rPr>
          <w:rFonts w:hint="eastAsia" w:ascii="宋体" w:hAnsi="宋体" w:eastAsia="宋体" w:cs="Times New Roman"/>
          <w:b w:val="0"/>
          <w:bCs w:val="0"/>
          <w:color w:val="000000" w:themeColor="text1"/>
          <w:szCs w:val="21"/>
          <w:highlight w:val="none"/>
          <w:u w:val="none"/>
          <w14:textFill>
            <w14:solidFill>
              <w14:schemeClr w14:val="tx1"/>
            </w14:solidFill>
          </w14:textFill>
        </w:rPr>
        <w:t>实行在线电子投标，供应商应先安装“</w:t>
      </w:r>
      <w:r>
        <w:rPr>
          <w:rFonts w:hint="eastAsia" w:ascii="宋体" w:hAnsi="宋体" w:cs="Times New Roman"/>
          <w:b w:val="0"/>
          <w:bCs w:val="0"/>
          <w:color w:val="000000" w:themeColor="text1"/>
          <w:szCs w:val="21"/>
          <w:highlight w:val="none"/>
          <w:u w:val="none"/>
          <w:lang w:eastAsia="zh-CN"/>
          <w14:textFill>
            <w14:solidFill>
              <w14:schemeClr w14:val="tx1"/>
            </w14:solidFill>
          </w14:textFill>
        </w:rPr>
        <w:t>广西政府采购云平台电子投标客户端</w:t>
      </w:r>
      <w:r>
        <w:rPr>
          <w:rFonts w:hint="eastAsia" w:ascii="宋体" w:hAnsi="宋体" w:eastAsia="宋体" w:cs="Times New Roman"/>
          <w:b w:val="0"/>
          <w:bCs w:val="0"/>
          <w:color w:val="000000" w:themeColor="text1"/>
          <w:szCs w:val="21"/>
          <w:highlight w:val="none"/>
          <w:u w:val="none"/>
          <w14:textFill>
            <w14:solidFill>
              <w14:schemeClr w14:val="tx1"/>
            </w14:solidFill>
          </w14:textFill>
        </w:rPr>
        <w:t>”（请自行前往</w:t>
      </w:r>
      <w:r>
        <w:rPr>
          <w:rFonts w:hint="eastAsia" w:ascii="宋体" w:hAnsi="宋体" w:cs="Times New Roman"/>
          <w:b w:val="0"/>
          <w:bCs w:val="0"/>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Times New Roman"/>
          <w:b w:val="0"/>
          <w:bCs w:val="0"/>
          <w:color w:val="000000" w:themeColor="text1"/>
          <w:szCs w:val="21"/>
          <w:highlight w:val="none"/>
          <w:u w:val="none"/>
          <w14:textFill>
            <w14:solidFill>
              <w14:schemeClr w14:val="tx1"/>
            </w14:solidFill>
          </w14:textFill>
        </w:rPr>
        <w:t>进行下载），并按照本项目招标文件和</w:t>
      </w:r>
      <w:r>
        <w:rPr>
          <w:rFonts w:hint="eastAsia" w:ascii="宋体" w:hAnsi="宋体" w:cs="Times New Roman"/>
          <w:b w:val="0"/>
          <w:bCs w:val="0"/>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Times New Roman"/>
          <w:b w:val="0"/>
          <w:bCs w:val="0"/>
          <w:color w:val="000000" w:themeColor="text1"/>
          <w:szCs w:val="21"/>
          <w:highlight w:val="none"/>
          <w:u w:val="none"/>
          <w14:textFill>
            <w14:solidFill>
              <w14:schemeClr w14:val="tx1"/>
            </w14:solidFill>
          </w14:textFill>
        </w:rPr>
        <w:t>的要求编制、加密后在投标截止时间前通过网络上传至</w:t>
      </w:r>
      <w:r>
        <w:rPr>
          <w:rFonts w:hint="eastAsia" w:ascii="宋体" w:hAnsi="宋体" w:cs="Times New Roman"/>
          <w:b w:val="0"/>
          <w:bCs w:val="0"/>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Times New Roman"/>
          <w:b w:val="0"/>
          <w:bCs w:val="0"/>
          <w:color w:val="000000" w:themeColor="text1"/>
          <w:szCs w:val="21"/>
          <w:highlight w:val="none"/>
          <w:u w:val="none"/>
          <w14:textFill>
            <w14:solidFill>
              <w14:schemeClr w14:val="tx1"/>
            </w14:solidFill>
          </w14:textFill>
        </w:rPr>
        <w:t>，</w:t>
      </w:r>
      <w:r>
        <w:rPr>
          <w:rFonts w:hint="eastAsia" w:ascii="宋体" w:hAnsi="宋体" w:cs="Times New Roman"/>
          <w:b/>
          <w:bCs/>
          <w:color w:val="000000" w:themeColor="text1"/>
          <w:szCs w:val="21"/>
          <w:highlight w:val="none"/>
          <w:u w:val="none"/>
          <w:lang w:eastAsia="zh-CN"/>
          <w14:textFill>
            <w14:solidFill>
              <w14:schemeClr w14:val="tx1"/>
            </w14:solidFill>
          </w14:textFill>
        </w:rPr>
        <w:t>投标人</w:t>
      </w:r>
      <w:r>
        <w:rPr>
          <w:rFonts w:hint="eastAsia" w:ascii="宋体" w:hAnsi="宋体" w:eastAsia="宋体" w:cs="Times New Roman"/>
          <w:b/>
          <w:bCs/>
          <w:color w:val="000000" w:themeColor="text1"/>
          <w:szCs w:val="21"/>
          <w:highlight w:val="none"/>
          <w:u w:val="none"/>
          <w14:textFill>
            <w14:solidFill>
              <w14:schemeClr w14:val="tx1"/>
            </w14:solidFill>
          </w14:textFill>
        </w:rPr>
        <w:t>在</w:t>
      </w:r>
      <w:r>
        <w:rPr>
          <w:rFonts w:hint="eastAsia" w:ascii="宋体" w:hAnsi="宋体" w:cs="Times New Roman"/>
          <w:b/>
          <w:bCs/>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Times New Roman"/>
          <w:b/>
          <w:bCs/>
          <w:color w:val="000000" w:themeColor="text1"/>
          <w:szCs w:val="21"/>
          <w:highlight w:val="none"/>
          <w:u w:val="none"/>
          <w14:textFill>
            <w14:solidFill>
              <w14:schemeClr w14:val="tx1"/>
            </w14:solidFill>
          </w14:textFill>
        </w:rPr>
        <w:t>提交电子版投标文件时，请填写参加远程开标活动经办人联系方式</w:t>
      </w:r>
      <w:r>
        <w:rPr>
          <w:rFonts w:hint="eastAsia" w:ascii="宋体" w:hAnsi="宋体" w:eastAsia="宋体" w:cs="Times New Roman"/>
          <w:b w:val="0"/>
          <w:bCs w:val="0"/>
          <w:color w:val="000000" w:themeColor="text1"/>
          <w:szCs w:val="21"/>
          <w:highlight w:val="none"/>
          <w:u w:val="none"/>
          <w14:textFill>
            <w14:solidFill>
              <w14:schemeClr w14:val="tx1"/>
            </w14:solidFill>
          </w14:textFill>
        </w:rPr>
        <w:t>。</w:t>
      </w:r>
    </w:p>
    <w:p w14:paraId="3CB53CBF">
      <w:pPr>
        <w:widowControl/>
        <w:shd w:val="clear"/>
        <w:spacing w:line="360" w:lineRule="auto"/>
        <w:ind w:firstLine="420" w:firstLineChars="200"/>
        <w:jc w:val="left"/>
        <w:rPr>
          <w:rFonts w:hint="eastAsia" w:ascii="宋体" w:hAnsi="宋体" w:eastAsia="宋体" w:cs="Times New Roman"/>
          <w:b w:val="0"/>
          <w:bCs w:val="0"/>
          <w:color w:val="000000" w:themeColor="text1"/>
          <w:szCs w:val="21"/>
          <w:highlight w:val="none"/>
          <w:u w:val="none"/>
          <w14:textFill>
            <w14:solidFill>
              <w14:schemeClr w14:val="tx1"/>
            </w14:solidFill>
          </w14:textFill>
        </w:rPr>
      </w:pPr>
      <w:r>
        <w:rPr>
          <w:rFonts w:hint="eastAsia" w:ascii="宋体" w:hAnsi="宋体" w:eastAsia="宋体" w:cs="Times New Roman"/>
          <w:b w:val="0"/>
          <w:bCs w:val="0"/>
          <w:color w:val="000000" w:themeColor="text1"/>
          <w:szCs w:val="21"/>
          <w:highlight w:val="none"/>
          <w:u w:val="none"/>
          <w14:textFill>
            <w14:solidFill>
              <w14:schemeClr w14:val="tx1"/>
            </w14:solidFill>
          </w14:textFill>
        </w:rPr>
        <w:t>（2）未进行网上注册并办理数字证书（CA认证）的供应商将无法参与本项目政府采购活动，潜在</w:t>
      </w:r>
      <w:r>
        <w:rPr>
          <w:rFonts w:hint="eastAsia" w:ascii="宋体" w:hAnsi="宋体" w:cs="Times New Roman"/>
          <w:b w:val="0"/>
          <w:bCs w:val="0"/>
          <w:color w:val="000000" w:themeColor="text1"/>
          <w:szCs w:val="21"/>
          <w:highlight w:val="none"/>
          <w:u w:val="none"/>
          <w:lang w:eastAsia="zh-CN"/>
          <w14:textFill>
            <w14:solidFill>
              <w14:schemeClr w14:val="tx1"/>
            </w14:solidFill>
          </w14:textFill>
        </w:rPr>
        <w:t>投标人</w:t>
      </w:r>
      <w:r>
        <w:rPr>
          <w:rFonts w:hint="eastAsia" w:ascii="宋体" w:hAnsi="宋体" w:eastAsia="宋体" w:cs="Times New Roman"/>
          <w:b w:val="0"/>
          <w:bCs w:val="0"/>
          <w:color w:val="000000" w:themeColor="text1"/>
          <w:szCs w:val="21"/>
          <w:highlight w:val="none"/>
          <w:u w:val="none"/>
          <w14:textFill>
            <w14:solidFill>
              <w14:schemeClr w14:val="tx1"/>
            </w14:solidFill>
          </w14:textFill>
        </w:rPr>
        <w:t>应当在投标截止时间前，完成电子交易平台上的CA数字证书办理及投标文件的提交。</w:t>
      </w:r>
    </w:p>
    <w:p w14:paraId="48545AF9">
      <w:pPr>
        <w:widowControl/>
        <w:shd w:val="clear"/>
        <w:spacing w:line="360" w:lineRule="auto"/>
        <w:ind w:firstLine="420" w:firstLineChars="200"/>
        <w:jc w:val="left"/>
        <w:rPr>
          <w:rFonts w:hint="eastAsia" w:ascii="宋体" w:hAnsi="宋体" w:eastAsia="宋体" w:cs="Times New Roman"/>
          <w:b w:val="0"/>
          <w:bCs w:val="0"/>
          <w:color w:val="000000" w:themeColor="text1"/>
          <w:szCs w:val="21"/>
          <w:highlight w:val="none"/>
          <w:u w:val="none"/>
          <w14:textFill>
            <w14:solidFill>
              <w14:schemeClr w14:val="tx1"/>
            </w14:solidFill>
          </w14:textFill>
        </w:rPr>
      </w:pPr>
      <w:r>
        <w:rPr>
          <w:rFonts w:hint="eastAsia" w:ascii="宋体" w:hAnsi="宋体" w:eastAsia="宋体" w:cs="Times New Roman"/>
          <w:b w:val="0"/>
          <w:bCs w:val="0"/>
          <w:color w:val="000000" w:themeColor="text1"/>
          <w:szCs w:val="21"/>
          <w:highlight w:val="none"/>
          <w:u w:val="none"/>
          <w14:textFill>
            <w14:solidFill>
              <w14:schemeClr w14:val="tx1"/>
            </w14:solidFill>
          </w14:textFill>
        </w:rPr>
        <w:t>（3）为确保网上操作合法、有效和安全，请投标</w:t>
      </w:r>
      <w:r>
        <w:rPr>
          <w:rFonts w:hint="eastAsia" w:ascii="宋体" w:hAnsi="宋体" w:cs="Times New Roman"/>
          <w:b w:val="0"/>
          <w:bCs w:val="0"/>
          <w:color w:val="000000" w:themeColor="text1"/>
          <w:szCs w:val="21"/>
          <w:highlight w:val="none"/>
          <w:u w:val="none"/>
          <w:lang w:eastAsia="zh-CN"/>
          <w14:textFill>
            <w14:solidFill>
              <w14:schemeClr w14:val="tx1"/>
            </w14:solidFill>
          </w14:textFill>
        </w:rPr>
        <w:t>人</w:t>
      </w:r>
      <w:r>
        <w:rPr>
          <w:rFonts w:hint="eastAsia" w:ascii="宋体" w:hAnsi="宋体" w:eastAsia="宋体" w:cs="Times New Roman"/>
          <w:b w:val="0"/>
          <w:bCs w:val="0"/>
          <w:color w:val="000000" w:themeColor="text1"/>
          <w:szCs w:val="21"/>
          <w:highlight w:val="none"/>
          <w:u w:val="none"/>
          <w14:textFill>
            <w14:solidFill>
              <w14:schemeClr w14:val="tx1"/>
            </w14:solidFill>
          </w14:textFill>
        </w:rPr>
        <w:t>确保在电子投标过程中能够对相关数据电文进行加密和使用电子签章，妥善保管CA数字证书并使用有效的CA数字证书参与整个招标活动。</w:t>
      </w:r>
    </w:p>
    <w:p w14:paraId="1B57E2F3">
      <w:pPr>
        <w:shd w:val="clear"/>
        <w:spacing w:line="360" w:lineRule="auto"/>
        <w:ind w:firstLine="422" w:firstLineChars="200"/>
        <w:rPr>
          <w:rFonts w:hint="eastAsia" w:ascii="宋体" w:hAnsi="宋体" w:eastAsia="宋体" w:cs="Times New Roman"/>
          <w:b/>
          <w:bCs/>
          <w:color w:val="000000" w:themeColor="text1"/>
          <w:szCs w:val="21"/>
          <w:highlight w:val="none"/>
          <w:u w:val="none"/>
          <w14:textFill>
            <w14:solidFill>
              <w14:schemeClr w14:val="tx1"/>
            </w14:solidFill>
          </w14:textFill>
        </w:rPr>
      </w:pPr>
      <w:r>
        <w:rPr>
          <w:rFonts w:hint="eastAsia" w:ascii="宋体" w:hAnsi="宋体" w:eastAsia="宋体" w:cs="Times New Roman"/>
          <w:b/>
          <w:bCs/>
          <w:color w:val="000000" w:themeColor="text1"/>
          <w:szCs w:val="21"/>
          <w:highlight w:val="none"/>
          <w:u w:val="none"/>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Times New Roman"/>
          <w:b/>
          <w:bCs/>
          <w:color w:val="000000" w:themeColor="text1"/>
          <w:szCs w:val="21"/>
          <w:highlight w:val="none"/>
          <w:u w:val="none"/>
          <w14:textFill>
            <w14:solidFill>
              <w14:schemeClr w14:val="tx1"/>
            </w14:solidFill>
          </w14:textFill>
        </w:rPr>
        <w:t>将予以拒收。</w:t>
      </w:r>
    </w:p>
    <w:p w14:paraId="43C52258">
      <w:pPr>
        <w:shd w:val="clear"/>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）CA证书在线解密：</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投标时，需携带制作投标文件时用来加密的有效数字证书（CA认证）登录</w:t>
      </w:r>
      <w:r>
        <w:rPr>
          <w:rFonts w:hint="eastAsia" w:ascii="宋体" w:hAnsi="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14:textFill>
            <w14:solidFill>
              <w14:schemeClr w14:val="tx1"/>
            </w14:solidFill>
          </w14:textFill>
        </w:rPr>
        <w:t>电子开标大厅现场按规定时间对加密的投标文件进行解密。</w:t>
      </w:r>
    </w:p>
    <w:p w14:paraId="2AB4D328">
      <w:pPr>
        <w:shd w:val="clear"/>
        <w:snapToGrid w:val="0"/>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eastAsia="zh-CN"/>
          <w14:textFill>
            <w14:solidFill>
              <w14:schemeClr w14:val="tx1"/>
            </w14:solidFill>
          </w14:textFill>
        </w:rPr>
        <w:t>）若对项目采购电子交易系统操作有疑问，可登录广西政府采购云平台，点击右侧咨询小采，获取采小蜜智能服务管家帮助，或拨打广西政府采购云平台服务热线</w:t>
      </w:r>
      <w:r>
        <w:rPr>
          <w:rFonts w:hint="eastAsia" w:ascii="宋体" w:hAnsi="宋体" w:eastAsia="宋体" w:cs="宋体"/>
          <w:color w:val="000000" w:themeColor="text1"/>
          <w:kern w:val="0"/>
          <w:szCs w:val="21"/>
          <w:highlight w:val="none"/>
          <w:lang w:val="en-US" w:eastAsia="zh-CN"/>
          <w14:textFill>
            <w14:solidFill>
              <w14:schemeClr w14:val="tx1"/>
            </w14:solidFill>
          </w14:textFill>
        </w:rPr>
        <w:t>95763</w:t>
      </w:r>
      <w:r>
        <w:rPr>
          <w:rFonts w:hint="eastAsia" w:ascii="宋体" w:hAnsi="宋体" w:eastAsia="宋体" w:cs="宋体"/>
          <w:color w:val="000000" w:themeColor="text1"/>
          <w:kern w:val="0"/>
          <w:szCs w:val="21"/>
          <w:highlight w:val="none"/>
          <w:lang w:eastAsia="zh-CN"/>
          <w14:textFill>
            <w14:solidFill>
              <w14:schemeClr w14:val="tx1"/>
            </w14:solidFill>
          </w14:textFill>
        </w:rPr>
        <w:t>获取热线服务帮助。</w:t>
      </w:r>
    </w:p>
    <w:p w14:paraId="021BDECD">
      <w:pPr>
        <w:shd w:val="clear"/>
        <w:spacing w:line="400" w:lineRule="exact"/>
        <w:ind w:firstLine="420"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Style w:val="155"/>
          <w:rFonts w:hint="eastAsia" w:ascii="宋体" w:hAnsi="宋体" w:eastAsia="宋体" w:cs="宋体"/>
          <w:color w:val="000000" w:themeColor="text1"/>
          <w:szCs w:val="21"/>
          <w:highlight w:val="none"/>
          <w:lang w:val="en-US" w:eastAsia="zh-CN"/>
          <w14:textFill>
            <w14:solidFill>
              <w14:schemeClr w14:val="tx1"/>
            </w14:solidFill>
          </w14:textFill>
        </w:rPr>
        <w:t>监督部门：</w:t>
      </w:r>
      <w:r>
        <w:rPr>
          <w:rStyle w:val="155"/>
          <w:rFonts w:hint="eastAsia" w:ascii="宋体" w:hAnsi="宋体" w:cs="宋体"/>
          <w:color w:val="000000" w:themeColor="text1"/>
          <w:szCs w:val="21"/>
          <w:highlight w:val="none"/>
          <w:lang w:val="en-US" w:eastAsia="zh-CN"/>
          <w14:textFill>
            <w14:solidFill>
              <w14:schemeClr w14:val="tx1"/>
            </w14:solidFill>
          </w14:textFill>
        </w:rPr>
        <w:t xml:space="preserve">上思县政府采购中心  </w:t>
      </w:r>
      <w:r>
        <w:rPr>
          <w:rStyle w:val="155"/>
          <w:rFonts w:hint="eastAsia" w:ascii="宋体" w:hAnsi="宋体" w:eastAsia="宋体" w:cs="宋体"/>
          <w:color w:val="000000" w:themeColor="text1"/>
          <w:szCs w:val="21"/>
          <w:highlight w:val="none"/>
          <w:lang w:val="en-US" w:eastAsia="zh-CN"/>
          <w14:textFill>
            <w14:solidFill>
              <w14:schemeClr w14:val="tx1"/>
            </w14:solidFill>
          </w14:textFill>
        </w:rPr>
        <w:t>电 话：</w:t>
      </w:r>
      <w:r>
        <w:rPr>
          <w:rStyle w:val="155"/>
          <w:rFonts w:hint="eastAsia" w:ascii="宋体" w:hAnsi="宋体" w:cs="宋体"/>
          <w:color w:val="000000" w:themeColor="text1"/>
          <w:szCs w:val="21"/>
          <w:highlight w:val="none"/>
          <w:lang w:val="en-US" w:eastAsia="zh-CN"/>
          <w14:textFill>
            <w14:solidFill>
              <w14:schemeClr w14:val="tx1"/>
            </w14:solidFill>
          </w14:textFill>
        </w:rPr>
        <w:t>0770-8521708</w:t>
      </w:r>
    </w:p>
    <w:p w14:paraId="202A7607">
      <w:pPr>
        <w:shd w:val="clear"/>
        <w:rPr>
          <w:color w:val="000000" w:themeColor="text1"/>
          <w:highlight w:val="none"/>
          <w14:textFill>
            <w14:solidFill>
              <w14:schemeClr w14:val="tx1"/>
            </w14:solidFill>
          </w14:textFill>
        </w:rPr>
      </w:pPr>
    </w:p>
    <w:p w14:paraId="3A8CA70A">
      <w:pPr>
        <w:shd w:val="clear"/>
        <w:spacing w:line="420" w:lineRule="exact"/>
        <w:outlineLvl w:val="1"/>
        <w:rPr>
          <w:rFonts w:ascii="宋体" w:hAnsi="宋体"/>
          <w:b/>
          <w:bCs/>
          <w:color w:val="000000" w:themeColor="text1"/>
          <w:szCs w:val="21"/>
          <w:highlight w:val="none"/>
          <w14:textFill>
            <w14:solidFill>
              <w14:schemeClr w14:val="tx1"/>
            </w14:solidFill>
          </w14:textFill>
        </w:rPr>
      </w:pPr>
      <w:bookmarkStart w:id="47" w:name="_Toc35393627"/>
      <w:bookmarkStart w:id="48" w:name="_Toc35393796"/>
      <w:bookmarkStart w:id="49" w:name="_Toc28359008"/>
      <w:bookmarkStart w:id="50" w:name="_Toc28359085"/>
      <w:r>
        <w:rPr>
          <w:rFonts w:hint="eastAsia" w:ascii="宋体" w:hAnsi="宋体"/>
          <w:b/>
          <w:bCs/>
          <w:color w:val="000000" w:themeColor="text1"/>
          <w:szCs w:val="21"/>
          <w:highlight w:val="none"/>
          <w14:textFill>
            <w14:solidFill>
              <w14:schemeClr w14:val="tx1"/>
            </w14:solidFill>
          </w14:textFill>
        </w:rPr>
        <w:t>七、对本次招标提出询问，请按</w:t>
      </w:r>
      <w:r>
        <w:rPr>
          <w:rFonts w:ascii="宋体" w:hAnsi="宋体"/>
          <w:b/>
          <w:bCs/>
          <w:color w:val="000000" w:themeColor="text1"/>
          <w:szCs w:val="21"/>
          <w:highlight w:val="none"/>
          <w14:textFill>
            <w14:solidFill>
              <w14:schemeClr w14:val="tx1"/>
            </w14:solidFill>
          </w14:textFill>
        </w:rPr>
        <w:t>以下方式</w:t>
      </w:r>
      <w:r>
        <w:rPr>
          <w:rFonts w:hint="eastAsia" w:ascii="宋体" w:hAnsi="宋体"/>
          <w:b/>
          <w:bCs/>
          <w:color w:val="000000" w:themeColor="text1"/>
          <w:szCs w:val="21"/>
          <w:highlight w:val="none"/>
          <w14:textFill>
            <w14:solidFill>
              <w14:schemeClr w14:val="tx1"/>
            </w14:solidFill>
          </w14:textFill>
        </w:rPr>
        <w:t>联系</w:t>
      </w:r>
      <w:bookmarkEnd w:id="47"/>
      <w:bookmarkEnd w:id="48"/>
      <w:bookmarkEnd w:id="49"/>
      <w:bookmarkEnd w:id="50"/>
    </w:p>
    <w:p w14:paraId="723A9D51">
      <w:pPr>
        <w:shd w:val="clear"/>
        <w:spacing w:line="420" w:lineRule="exact"/>
        <w:ind w:firstLine="420" w:firstLineChars="200"/>
        <w:jc w:val="left"/>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1.采购人信息：</w:t>
      </w:r>
    </w:p>
    <w:p w14:paraId="3953F7BC">
      <w:pPr>
        <w:shd w:val="clear"/>
        <w:spacing w:line="420" w:lineRule="exact"/>
        <w:ind w:firstLine="420" w:firstLineChars="200"/>
        <w:jc w:val="left"/>
        <w:rPr>
          <w:rFonts w:hint="eastAsia" w:ascii="宋体" w:hAnsi="宋体" w:eastAsia="宋体"/>
          <w:color w:val="000000" w:themeColor="text1"/>
          <w:kern w:val="0"/>
          <w:szCs w:val="21"/>
          <w:highlight w:val="none"/>
          <w:lang w:eastAsia="zh-CN" w:bidi="zh-TW"/>
          <w14:textFill>
            <w14:solidFill>
              <w14:schemeClr w14:val="tx1"/>
            </w14:solidFill>
          </w14:textFill>
        </w:rPr>
      </w:pPr>
      <w:r>
        <w:rPr>
          <w:rFonts w:hint="eastAsia" w:ascii="宋体" w:hAnsi="宋体"/>
          <w:color w:val="000000" w:themeColor="text1"/>
          <w:kern w:val="0"/>
          <w:szCs w:val="21"/>
          <w:highlight w:val="none"/>
          <w:lang w:bidi="zh-TW"/>
          <w14:textFill>
            <w14:solidFill>
              <w14:schemeClr w14:val="tx1"/>
            </w14:solidFill>
          </w14:textFill>
        </w:rPr>
        <w:t>名称：</w:t>
      </w:r>
      <w:r>
        <w:rPr>
          <w:rFonts w:hint="eastAsia" w:ascii="宋体" w:hAnsi="宋体"/>
          <w:color w:val="000000" w:themeColor="text1"/>
          <w:kern w:val="0"/>
          <w:szCs w:val="21"/>
          <w:highlight w:val="none"/>
          <w:lang w:val="en-US" w:eastAsia="zh-CN" w:bidi="zh-TW"/>
          <w14:textFill>
            <w14:solidFill>
              <w14:schemeClr w14:val="tx1"/>
            </w14:solidFill>
          </w14:textFill>
        </w:rPr>
        <w:t>上思县财政局</w:t>
      </w:r>
    </w:p>
    <w:p w14:paraId="2D3E88E0">
      <w:pPr>
        <w:shd w:val="clear"/>
        <w:spacing w:line="420" w:lineRule="exact"/>
        <w:ind w:firstLine="420" w:firstLineChars="200"/>
        <w:jc w:val="left"/>
        <w:rPr>
          <w:rFonts w:hint="eastAsia" w:ascii="宋体" w:hAnsi="宋体" w:eastAsia="宋体"/>
          <w:color w:val="000000" w:themeColor="text1"/>
          <w:kern w:val="0"/>
          <w:szCs w:val="21"/>
          <w:highlight w:val="none"/>
          <w:lang w:eastAsia="zh-CN" w:bidi="zh-TW"/>
          <w14:textFill>
            <w14:solidFill>
              <w14:schemeClr w14:val="tx1"/>
            </w14:solidFill>
          </w14:textFill>
        </w:rPr>
      </w:pPr>
      <w:r>
        <w:rPr>
          <w:rFonts w:hint="eastAsia" w:ascii="宋体" w:hAnsi="宋体"/>
          <w:color w:val="000000" w:themeColor="text1"/>
          <w:kern w:val="0"/>
          <w:szCs w:val="21"/>
          <w:highlight w:val="none"/>
          <w:lang w:bidi="zh-TW"/>
          <w14:textFill>
            <w14:solidFill>
              <w14:schemeClr w14:val="tx1"/>
            </w14:solidFill>
          </w14:textFill>
        </w:rPr>
        <w:t>地址：</w:t>
      </w:r>
      <w:r>
        <w:rPr>
          <w:rFonts w:hint="eastAsia" w:ascii="宋体" w:hAnsi="宋体" w:cs="宋体"/>
          <w:color w:val="000000" w:themeColor="text1"/>
          <w:kern w:val="0"/>
          <w:szCs w:val="21"/>
          <w:highlight w:val="none"/>
          <w:lang w:eastAsia="zh-CN"/>
          <w14:textFill>
            <w14:solidFill>
              <w14:schemeClr w14:val="tx1"/>
            </w14:solidFill>
          </w14:textFill>
        </w:rPr>
        <w:t>上思县思阳镇更生路35号财政大厦</w:t>
      </w:r>
      <w:r>
        <w:rPr>
          <w:rFonts w:hint="eastAsia" w:ascii="宋体" w:hAnsi="宋体"/>
          <w:color w:val="000000" w:themeColor="text1"/>
          <w:kern w:val="0"/>
          <w:szCs w:val="21"/>
          <w:highlight w:val="none"/>
          <w:lang w:val="en-US" w:eastAsia="zh-CN" w:bidi="zh-TW"/>
          <w14:textFill>
            <w14:solidFill>
              <w14:schemeClr w14:val="tx1"/>
            </w14:solidFill>
          </w14:textFill>
        </w:rPr>
        <w:t xml:space="preserve"> </w:t>
      </w:r>
    </w:p>
    <w:p w14:paraId="6E2B7886">
      <w:pPr>
        <w:shd w:val="clear"/>
        <w:spacing w:line="420" w:lineRule="exact"/>
        <w:ind w:firstLine="420" w:firstLineChars="200"/>
        <w:jc w:val="left"/>
        <w:rPr>
          <w:rFonts w:hint="eastAsia" w:ascii="宋体" w:hAnsi="宋体" w:eastAsia="宋体"/>
          <w:color w:val="000000" w:themeColor="text1"/>
          <w:kern w:val="0"/>
          <w:szCs w:val="21"/>
          <w:highlight w:val="none"/>
          <w:lang w:eastAsia="zh-CN" w:bidi="zh-TW"/>
          <w14:textFill>
            <w14:solidFill>
              <w14:schemeClr w14:val="tx1"/>
            </w14:solidFill>
          </w14:textFill>
        </w:rPr>
      </w:pPr>
      <w:r>
        <w:rPr>
          <w:rFonts w:hint="eastAsia" w:ascii="宋体" w:hAnsi="宋体"/>
          <w:color w:val="000000" w:themeColor="text1"/>
          <w:kern w:val="0"/>
          <w:szCs w:val="21"/>
          <w:highlight w:val="none"/>
          <w:lang w:bidi="zh-TW"/>
          <w14:textFill>
            <w14:solidFill>
              <w14:schemeClr w14:val="tx1"/>
            </w14:solidFill>
          </w14:textFill>
        </w:rPr>
        <w:t>项目联系人：</w:t>
      </w:r>
      <w:r>
        <w:rPr>
          <w:rFonts w:hint="eastAsia" w:ascii="宋体" w:hAnsi="宋体"/>
          <w:color w:val="000000" w:themeColor="text1"/>
          <w:kern w:val="0"/>
          <w:szCs w:val="21"/>
          <w:highlight w:val="none"/>
          <w:lang w:val="en-US" w:eastAsia="zh-CN" w:bidi="zh-TW"/>
          <w14:textFill>
            <w14:solidFill>
              <w14:schemeClr w14:val="tx1"/>
            </w14:solidFill>
          </w14:textFill>
        </w:rPr>
        <w:t xml:space="preserve">梁艺潇     </w:t>
      </w:r>
      <w:r>
        <w:rPr>
          <w:rFonts w:hint="eastAsia" w:ascii="宋体" w:hAnsi="宋体"/>
          <w:color w:val="000000" w:themeColor="text1"/>
          <w:kern w:val="0"/>
          <w:szCs w:val="21"/>
          <w:highlight w:val="none"/>
          <w:lang w:bidi="zh-TW"/>
          <w14:textFill>
            <w14:solidFill>
              <w14:schemeClr w14:val="tx1"/>
            </w14:solidFill>
          </w14:textFill>
        </w:rPr>
        <w:t xml:space="preserve">    联系方式：</w:t>
      </w:r>
      <w:r>
        <w:rPr>
          <w:rFonts w:hint="eastAsia" w:ascii="宋体" w:hAnsi="宋体"/>
          <w:color w:val="000000" w:themeColor="text1"/>
          <w:kern w:val="0"/>
          <w:szCs w:val="21"/>
          <w:highlight w:val="none"/>
          <w:lang w:val="en-US" w:eastAsia="zh-CN" w:bidi="zh-TW"/>
          <w14:textFill>
            <w14:solidFill>
              <w14:schemeClr w14:val="tx1"/>
            </w14:solidFill>
          </w14:textFill>
        </w:rPr>
        <w:t xml:space="preserve">0770-8512657   </w:t>
      </w:r>
    </w:p>
    <w:p w14:paraId="72469F09">
      <w:pPr>
        <w:shd w:val="clear"/>
        <w:spacing w:line="420" w:lineRule="exact"/>
        <w:ind w:firstLine="420" w:firstLineChars="200"/>
        <w:jc w:val="left"/>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2.采购代理机构信息：</w:t>
      </w:r>
    </w:p>
    <w:p w14:paraId="424E32F2">
      <w:pPr>
        <w:shd w:val="clear"/>
        <w:spacing w:line="42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lang w:eastAsia="zh-CN"/>
          <w14:textFill>
            <w14:solidFill>
              <w14:schemeClr w14:val="tx1"/>
            </w14:solidFill>
          </w14:textFill>
        </w:rPr>
        <w:t>法正项目管理集团有限公司</w:t>
      </w:r>
    </w:p>
    <w:p w14:paraId="029BAC8F">
      <w:pPr>
        <w:shd w:val="clear"/>
        <w:spacing w:line="420" w:lineRule="exact"/>
        <w:ind w:firstLine="420" w:firstLineChars="200"/>
        <w:jc w:val="lef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lang w:eastAsia="zh-CN"/>
          <w14:textFill>
            <w14:solidFill>
              <w14:schemeClr w14:val="tx1"/>
            </w14:solidFill>
          </w14:textFill>
        </w:rPr>
        <w:t>广西南宁市民族大道137号春晖花园A区写字楼10楼1002号</w:t>
      </w:r>
    </w:p>
    <w:p w14:paraId="089BDAC6">
      <w:pPr>
        <w:shd w:val="clear"/>
        <w:spacing w:line="42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bookmarkStart w:id="51" w:name="OLE_LINK56"/>
      <w:bookmarkStart w:id="52" w:name="OLE_LINK55"/>
      <w:r>
        <w:rPr>
          <w:rFonts w:hint="eastAsia" w:ascii="宋体" w:hAnsi="宋体"/>
          <w:color w:val="000000" w:themeColor="text1"/>
          <w:szCs w:val="21"/>
          <w:highlight w:val="none"/>
          <w:lang w:eastAsia="zh-CN"/>
          <w14:textFill>
            <w14:solidFill>
              <w14:schemeClr w14:val="tx1"/>
            </w14:solidFill>
          </w14:textFill>
        </w:rPr>
        <w:t>杨延燕</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bidi="zh-TW"/>
          <w14:textFill>
            <w14:solidFill>
              <w14:schemeClr w14:val="tx1"/>
            </w14:solidFill>
          </w14:textFill>
        </w:rPr>
        <w:t>联系方式：</w:t>
      </w:r>
      <w:bookmarkEnd w:id="51"/>
      <w:bookmarkEnd w:id="52"/>
      <w:r>
        <w:rPr>
          <w:rFonts w:hint="eastAsia" w:ascii="宋体" w:hAnsi="宋体"/>
          <w:color w:val="000000" w:themeColor="text1"/>
          <w:szCs w:val="21"/>
          <w:highlight w:val="none"/>
          <w:lang w:eastAsia="zh-CN"/>
          <w14:textFill>
            <w14:solidFill>
              <w14:schemeClr w14:val="tx1"/>
            </w14:solidFill>
          </w14:textFill>
        </w:rPr>
        <w:t>0771-5387282</w:t>
      </w:r>
    </w:p>
    <w:p w14:paraId="31A27D01">
      <w:pPr>
        <w:shd w:val="clear"/>
        <w:spacing w:line="420" w:lineRule="exact"/>
        <w:ind w:firstLine="420" w:firstLineChars="200"/>
        <w:jc w:val="left"/>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3.项目联系方式：</w:t>
      </w:r>
    </w:p>
    <w:p w14:paraId="6B19D436">
      <w:pPr>
        <w:shd w:val="clear"/>
        <w:spacing w:line="42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szCs w:val="21"/>
          <w:highlight w:val="none"/>
          <w:lang w:eastAsia="zh-CN"/>
          <w14:textFill>
            <w14:solidFill>
              <w14:schemeClr w14:val="tx1"/>
            </w14:solidFill>
          </w14:textFill>
        </w:rPr>
        <w:t>杨延燕</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bidi="zh-TW"/>
          <w14:textFill>
            <w14:solidFill>
              <w14:schemeClr w14:val="tx1"/>
            </w14:solidFill>
          </w14:textFill>
        </w:rPr>
        <w:t>联系方式：</w:t>
      </w:r>
      <w:r>
        <w:rPr>
          <w:rFonts w:hint="eastAsia" w:ascii="宋体" w:hAnsi="宋体"/>
          <w:color w:val="000000" w:themeColor="text1"/>
          <w:szCs w:val="21"/>
          <w:highlight w:val="none"/>
          <w:lang w:eastAsia="zh-CN"/>
          <w14:textFill>
            <w14:solidFill>
              <w14:schemeClr w14:val="tx1"/>
            </w14:solidFill>
          </w14:textFill>
        </w:rPr>
        <w:t>0771-5387282</w:t>
      </w:r>
    </w:p>
    <w:p w14:paraId="56EAF53B">
      <w:pPr>
        <w:pStyle w:val="48"/>
        <w:shd w:val="clear"/>
        <w:rPr>
          <w:color w:val="000000" w:themeColor="text1"/>
          <w:highlight w:val="none"/>
          <w14:textFill>
            <w14:solidFill>
              <w14:schemeClr w14:val="tx1"/>
            </w14:solidFill>
          </w14:textFill>
        </w:rPr>
      </w:pPr>
    </w:p>
    <w:p w14:paraId="487EB98E">
      <w:pPr>
        <w:shd w:val="clear"/>
        <w:spacing w:line="420" w:lineRule="exact"/>
        <w:ind w:firstLine="200"/>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p>
    <w:p w14:paraId="33B25E4E">
      <w:pPr>
        <w:shd w:val="clear"/>
        <w:spacing w:line="420" w:lineRule="exact"/>
        <w:ind w:firstLine="200"/>
        <w:jc w:val="center"/>
        <w:rPr>
          <w:rFonts w:hint="eastAsia" w:ascii="宋体" w:hAnsi="宋体"/>
          <w:color w:val="000000" w:themeColor="text1"/>
          <w:szCs w:val="21"/>
          <w:highlight w:val="none"/>
          <w:lang w:val="en-US" w:eastAsia="zh-CN"/>
          <w14:textFill>
            <w14:solidFill>
              <w14:schemeClr w14:val="tx1"/>
            </w14:solidFill>
          </w14:textFill>
        </w:rPr>
      </w:pPr>
    </w:p>
    <w:p w14:paraId="26D9024C">
      <w:pPr>
        <w:shd w:val="clear"/>
        <w:spacing w:line="420" w:lineRule="exact"/>
        <w:ind w:firstLine="200"/>
        <w:jc w:val="center"/>
        <w:rPr>
          <w:rFonts w:hint="eastAsia" w:ascii="宋体" w:hAnsi="宋体"/>
          <w:color w:val="000000" w:themeColor="text1"/>
          <w:szCs w:val="21"/>
          <w:highlight w:val="none"/>
          <w:lang w:val="en-US" w:eastAsia="zh-CN"/>
          <w14:textFill>
            <w14:solidFill>
              <w14:schemeClr w14:val="tx1"/>
            </w14:solidFill>
          </w14:textFill>
        </w:rPr>
      </w:pPr>
    </w:p>
    <w:p w14:paraId="1C9152AD">
      <w:pPr>
        <w:shd w:val="clear"/>
        <w:spacing w:line="420" w:lineRule="exact"/>
        <w:ind w:firstLine="200"/>
        <w:jc w:val="righ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w:t>
      </w:r>
      <w:r>
        <w:rPr>
          <w:rFonts w:hint="eastAsia" w:ascii="宋体" w:hAnsi="宋体"/>
          <w:color w:val="000000" w:themeColor="text1"/>
          <w:szCs w:val="21"/>
          <w:highlight w:val="none"/>
          <w:lang w:eastAsia="zh-CN"/>
          <w14:textFill>
            <w14:solidFill>
              <w14:schemeClr w14:val="tx1"/>
            </w14:solidFill>
          </w14:textFill>
        </w:rPr>
        <w:t>法正项目管理集团有限公司</w:t>
      </w:r>
    </w:p>
    <w:p w14:paraId="2474C746">
      <w:pPr>
        <w:shd w:val="clear"/>
        <w:spacing w:line="420" w:lineRule="exact"/>
        <w:ind w:firstLine="200"/>
        <w:jc w:val="righ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lang w:eastAsia="zh-CN"/>
          <w14:textFill>
            <w14:solidFill>
              <w14:schemeClr w14:val="tx1"/>
            </w14:solidFill>
          </w14:textFill>
        </w:rPr>
        <w:t>2025年</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日</w:t>
      </w:r>
    </w:p>
    <w:bookmarkEnd w:id="7"/>
    <w:bookmarkEnd w:id="8"/>
    <w:p w14:paraId="308BD0FD">
      <w:pPr>
        <w:pStyle w:val="2"/>
        <w:keepNext w:val="0"/>
        <w:keepLines w:val="0"/>
        <w:shd w:val="clear"/>
        <w:tabs>
          <w:tab w:val="left" w:pos="0"/>
          <w:tab w:val="left" w:pos="3165"/>
          <w:tab w:val="center" w:pos="4153"/>
        </w:tabs>
        <w:autoSpaceDE w:val="0"/>
        <w:autoSpaceDN w:val="0"/>
        <w:adjustRightInd w:val="0"/>
        <w:spacing w:before="0" w:after="0" w:line="440" w:lineRule="exact"/>
        <w:ind w:firstLine="200"/>
        <w:rPr>
          <w:rFonts w:ascii="宋体" w:hAnsi="宋体"/>
          <w:color w:val="000000" w:themeColor="text1"/>
          <w:sz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End w:id="9"/>
      <w:bookmarkStart w:id="53" w:name="_Toc17160"/>
      <w:r>
        <w:rPr>
          <w:rFonts w:hint="eastAsia" w:ascii="宋体" w:hAnsi="宋体"/>
          <w:color w:val="000000" w:themeColor="text1"/>
          <w:highlight w:val="none"/>
          <w14:textFill>
            <w14:solidFill>
              <w14:schemeClr w14:val="tx1"/>
            </w14:solidFill>
          </w14:textFill>
        </w:rPr>
        <w:t>第二章 采购需求</w:t>
      </w:r>
      <w:bookmarkEnd w:id="53"/>
    </w:p>
    <w:p w14:paraId="7C0FE970">
      <w:pPr>
        <w:keepNext w:val="0"/>
        <w:keepLines w:val="0"/>
        <w:pageBreakBefore w:val="0"/>
        <w:shd w:val="clear"/>
        <w:kinsoku/>
        <w:overflowPunct/>
        <w:topLinePunct w:val="0"/>
        <w:autoSpaceDE/>
        <w:autoSpaceDN/>
        <w:bidi w:val="0"/>
        <w:adjustRightInd w:val="0"/>
        <w:snapToGrid/>
        <w:spacing w:line="400" w:lineRule="exact"/>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bookmarkStart w:id="54" w:name="_Toc254970631"/>
      <w:bookmarkStart w:id="55" w:name="_Toc254970490"/>
      <w:bookmarkStart w:id="56" w:name="OLE_LINK154"/>
      <w:bookmarkStart w:id="57" w:name="OLE_LINK148"/>
      <w:bookmarkStart w:id="58" w:name="OLE_LINK21"/>
      <w:bookmarkStart w:id="59" w:name="OLE_LINK22"/>
      <w:r>
        <w:rPr>
          <w:rFonts w:hint="eastAsia" w:ascii="宋体" w:hAnsi="宋体" w:eastAsia="宋体" w:cs="宋体"/>
          <w:b/>
          <w:color w:val="000000" w:themeColor="text1"/>
          <w:sz w:val="21"/>
          <w:szCs w:val="21"/>
          <w:highlight w:val="none"/>
          <w14:textFill>
            <w14:solidFill>
              <w14:schemeClr w14:val="tx1"/>
            </w14:solidFill>
          </w14:textFill>
        </w:rPr>
        <w:t>说明：</w:t>
      </w:r>
    </w:p>
    <w:p w14:paraId="2CE6ADB3">
      <w:pPr>
        <w:keepNext w:val="0"/>
        <w:keepLines w:val="0"/>
        <w:pageBreakBefore w:val="0"/>
        <w:shd w:val="clear"/>
        <w:kinsoku/>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1.本项目征集人为</w:t>
      </w:r>
      <w:r>
        <w:rPr>
          <w:rFonts w:hint="eastAsia" w:ascii="宋体" w:hAnsi="宋体" w:cs="宋体"/>
          <w:color w:val="000000" w:themeColor="text1"/>
          <w:sz w:val="21"/>
          <w:szCs w:val="21"/>
          <w:highlight w:val="none"/>
          <w:lang w:val="en-US" w:eastAsia="zh-CN"/>
          <w14:textFill>
            <w14:solidFill>
              <w14:schemeClr w14:val="tx1"/>
            </w14:solidFill>
          </w14:textFill>
        </w:rPr>
        <w:t>上思县财政局</w:t>
      </w:r>
      <w:r>
        <w:rPr>
          <w:rFonts w:hint="eastAsia" w:ascii="宋体" w:hAnsi="宋体" w:eastAsia="宋体" w:cs="宋体"/>
          <w:color w:val="000000" w:themeColor="text1"/>
          <w:sz w:val="21"/>
          <w:szCs w:val="21"/>
          <w:highlight w:val="none"/>
          <w14:textFill>
            <w14:solidFill>
              <w14:schemeClr w14:val="tx1"/>
            </w14:solidFill>
          </w14:textFill>
        </w:rPr>
        <w:t>，负责组织征集第一阶段入围供应商，第二阶段：开展</w:t>
      </w:r>
      <w:r>
        <w:rPr>
          <w:rFonts w:hint="eastAsia" w:ascii="宋体" w:hAnsi="宋体" w:cs="宋体"/>
          <w:color w:val="000000" w:themeColor="text1"/>
          <w:sz w:val="21"/>
          <w:szCs w:val="21"/>
          <w:highlight w:val="none"/>
          <w:lang w:val="en-US" w:eastAsia="zh-CN"/>
          <w14:textFill>
            <w14:solidFill>
              <w14:schemeClr w14:val="tx1"/>
            </w14:solidFill>
          </w14:textFill>
        </w:rPr>
        <w:t>上思县财政局</w:t>
      </w:r>
      <w:r>
        <w:rPr>
          <w:rFonts w:hint="eastAsia" w:ascii="宋体" w:hAnsi="宋体" w:eastAsia="宋体" w:cs="宋体"/>
          <w:color w:val="000000" w:themeColor="text1"/>
          <w:sz w:val="21"/>
          <w:szCs w:val="21"/>
          <w:highlight w:val="none"/>
          <w:lang w:val="en-US"/>
          <w14:textFill>
            <w14:solidFill>
              <w14:schemeClr w14:val="tx1"/>
            </w14:solidFill>
          </w14:textFill>
        </w:rPr>
        <w:t>财政投资评审</w:t>
      </w:r>
      <w:r>
        <w:rPr>
          <w:rFonts w:hint="eastAsia" w:ascii="宋体" w:hAnsi="宋体" w:eastAsia="宋体" w:cs="宋体"/>
          <w:color w:val="000000" w:themeColor="text1"/>
          <w:sz w:val="21"/>
          <w:szCs w:val="21"/>
          <w:highlight w:val="none"/>
          <w14:textFill>
            <w14:solidFill>
              <w14:schemeClr w14:val="tx1"/>
            </w14:solidFill>
          </w14:textFill>
        </w:rPr>
        <w:t>服务的单位，可依据各项目实际情况、供应商服务质量、价格及服务便利性、用户评价等因素，从第一阶段入围供应商中直接选定成交供应商，并与成交供应商签订采购合同，委托其开展相关服务工作。</w:t>
      </w:r>
    </w:p>
    <w:p w14:paraId="05CFB992">
      <w:pPr>
        <w:keepNext w:val="0"/>
        <w:keepLines w:val="0"/>
        <w:pageBreakBefore w:val="0"/>
        <w:shd w:val="clear"/>
        <w:kinsoku/>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2.本项目服务质量应达到符合国家规定的服务标准和现行技术规范、规程要求。</w:t>
      </w:r>
    </w:p>
    <w:p w14:paraId="4E27110E">
      <w:pPr>
        <w:keepNext w:val="0"/>
        <w:keepLines w:val="0"/>
        <w:pageBreakBefore w:val="0"/>
        <w:shd w:val="clear"/>
        <w:kinsoku/>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为落实政府采购政策需满足的要求</w:t>
      </w:r>
    </w:p>
    <w:p w14:paraId="389F9D0B">
      <w:pPr>
        <w:keepNext w:val="0"/>
        <w:keepLines w:val="0"/>
        <w:pageBreakBefore w:val="0"/>
        <w:shd w:val="clear"/>
        <w:kinsoku/>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（1）本征集文件所称中小企业必须符合《政府采购促进中小企业发展管理办法》（财库〔2020〕46号）的规定。</w:t>
      </w:r>
    </w:p>
    <w:p w14:paraId="73AA58AB">
      <w:pPr>
        <w:keepNext w:val="0"/>
        <w:keepLines w:val="0"/>
        <w:pageBreakBefore w:val="0"/>
        <w:shd w:val="clear"/>
        <w:kinsoku/>
        <w:overflowPunct/>
        <w:topLinePunct w:val="0"/>
        <w:autoSpaceDE/>
        <w:autoSpaceDN/>
        <w:bidi w:val="0"/>
        <w:snapToGrid/>
        <w:spacing w:line="400" w:lineRule="exact"/>
        <w:ind w:firstLine="424" w:firstLineChars="202"/>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4.如供应商响应产品存在侵犯他人的知识产权或者专利成果行为的，应承担相应法律责任。</w:t>
      </w:r>
    </w:p>
    <w:p w14:paraId="70ECE339">
      <w:pPr>
        <w:keepNext w:val="0"/>
        <w:keepLines w:val="0"/>
        <w:pageBreakBefore w:val="0"/>
        <w:shd w:val="clear"/>
        <w:kinsoku/>
        <w:overflowPunct/>
        <w:topLinePunct w:val="0"/>
        <w:autoSpaceDE/>
        <w:autoSpaceDN/>
        <w:bidi w:val="0"/>
        <w:snapToGrid/>
        <w:spacing w:line="400" w:lineRule="exact"/>
        <w:ind w:firstLine="424" w:firstLineChars="202"/>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5.本项目所属行业：</w:t>
      </w:r>
      <w:r>
        <w:rPr>
          <w:rFonts w:hint="eastAsia" w:ascii="宋体" w:hAnsi="宋体" w:eastAsia="宋体" w:cs="宋体"/>
          <w:b/>
          <w:bCs/>
          <w:color w:val="000000" w:themeColor="text1"/>
          <w:sz w:val="21"/>
          <w:szCs w:val="21"/>
          <w:highlight w:val="none"/>
          <w14:textFill>
            <w14:solidFill>
              <w14:schemeClr w14:val="tx1"/>
            </w14:solidFill>
          </w14:textFill>
        </w:rPr>
        <w:t>其他未列明行业</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详见附件1</w:t>
      </w:r>
    </w:p>
    <w:p w14:paraId="4D88B26C">
      <w:pPr>
        <w:keepNext w:val="0"/>
        <w:keepLines w:val="0"/>
        <w:pageBreakBefore w:val="0"/>
        <w:shd w:val="clear"/>
        <w:kinsoku/>
        <w:overflowPunct/>
        <w:topLinePunct w:val="0"/>
        <w:autoSpaceDE/>
        <w:autoSpaceDN/>
        <w:bidi w:val="0"/>
        <w:snapToGrid/>
        <w:spacing w:line="400" w:lineRule="exact"/>
        <w:ind w:firstLine="426" w:firstLineChars="202"/>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6.采购需求必须满足，如存在负偏离，供应商的投标文件将</w:t>
      </w:r>
      <w:r>
        <w:rPr>
          <w:rFonts w:hint="eastAsia" w:ascii="宋体" w:hAnsi="宋体" w:cs="宋体"/>
          <w:b/>
          <w:bCs/>
          <w:color w:val="000000" w:themeColor="text1"/>
          <w:sz w:val="21"/>
          <w:szCs w:val="21"/>
          <w:highlight w:val="none"/>
          <w:lang w:eastAsia="zh-CN"/>
          <w14:textFill>
            <w14:solidFill>
              <w14:schemeClr w14:val="tx1"/>
            </w14:solidFill>
          </w14:textFill>
        </w:rPr>
        <w:t>作</w:t>
      </w:r>
      <w:r>
        <w:rPr>
          <w:rFonts w:hint="eastAsia" w:ascii="宋体" w:hAnsi="宋体" w:eastAsia="宋体" w:cs="宋体"/>
          <w:b/>
          <w:bCs/>
          <w:color w:val="000000" w:themeColor="text1"/>
          <w:sz w:val="21"/>
          <w:szCs w:val="21"/>
          <w:highlight w:val="none"/>
          <w14:textFill>
            <w14:solidFill>
              <w14:schemeClr w14:val="tx1"/>
            </w14:solidFill>
          </w14:textFill>
        </w:rPr>
        <w:t>无效投标处理。</w:t>
      </w:r>
    </w:p>
    <w:p w14:paraId="3DE851AF">
      <w:pPr>
        <w:keepNext w:val="0"/>
        <w:keepLines w:val="0"/>
        <w:pageBreakBefore w:val="0"/>
        <w:shd w:val="clear"/>
        <w:kinsoku/>
        <w:overflowPunct/>
        <w:topLinePunct w:val="0"/>
        <w:autoSpaceDE/>
        <w:autoSpaceDN/>
        <w:bidi w:val="0"/>
        <w:snapToGrid/>
        <w:spacing w:line="400" w:lineRule="exact"/>
        <w:jc w:val="center"/>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p>
    <w:p w14:paraId="3D67ED55">
      <w:pPr>
        <w:keepNext w:val="0"/>
        <w:keepLines w:val="0"/>
        <w:pageBreakBefore w:val="0"/>
        <w:shd w:val="clear"/>
        <w:kinsoku/>
        <w:overflowPunct/>
        <w:topLinePunct w:val="0"/>
        <w:autoSpaceDE/>
        <w:autoSpaceDN/>
        <w:bidi w:val="0"/>
        <w:snapToGrid/>
        <w:spacing w:line="400" w:lineRule="exact"/>
        <w:jc w:val="center"/>
        <w:textAlignment w:val="auto"/>
        <w:outlineLvl w:val="1"/>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技术要求</w:t>
      </w:r>
    </w:p>
    <w:p w14:paraId="3DDAC49E">
      <w:pPr>
        <w:keepNext w:val="0"/>
        <w:keepLines w:val="0"/>
        <w:pageBreakBefore w:val="0"/>
        <w:widowControl w:val="0"/>
        <w:shd w:val="clear"/>
        <w:kinsoku/>
        <w:wordWrap/>
        <w:overflowPunct/>
        <w:topLinePunct w:val="0"/>
        <w:autoSpaceDE/>
        <w:autoSpaceDN/>
        <w:bidi w:val="0"/>
        <w:adjustRightInd/>
        <w:snapToGrid/>
        <w:spacing w:line="400" w:lineRule="exact"/>
        <w:ind w:firstLine="211" w:firstLineChars="1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bCs/>
          <w:color w:val="000000" w:themeColor="text1"/>
          <w:sz w:val="21"/>
          <w:szCs w:val="21"/>
          <w:highlight w:val="none"/>
          <w:lang w:val="en-US"/>
          <w14:textFill>
            <w14:solidFill>
              <w14:schemeClr w14:val="tx1"/>
            </w14:solidFill>
          </w14:textFill>
        </w:rPr>
        <w:t>一、</w:t>
      </w:r>
      <w:r>
        <w:rPr>
          <w:rFonts w:hint="eastAsia" w:ascii="宋体" w:hAnsi="宋体" w:eastAsia="宋体" w:cs="宋体"/>
          <w:color w:val="000000" w:themeColor="text1"/>
          <w:sz w:val="21"/>
          <w:szCs w:val="21"/>
          <w:highlight w:val="none"/>
          <w:lang w:val="en-US"/>
          <w14:textFill>
            <w14:solidFill>
              <w14:schemeClr w14:val="tx1"/>
            </w14:solidFill>
          </w14:textFill>
        </w:rPr>
        <w:t>服务内容</w:t>
      </w:r>
    </w:p>
    <w:p w14:paraId="34BB8A6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（一）服务采购项目</w:t>
      </w:r>
    </w:p>
    <w:p w14:paraId="3C4CE4C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负责对上思县政府投资项目进行项目工程概（预）算、工程量清单和招标控制价等相关评审服务。</w:t>
      </w:r>
    </w:p>
    <w:p w14:paraId="56A02B0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本项目采购标的分为2个分标，供应商可选择单个或全部分标进行响应。</w:t>
      </w:r>
    </w:p>
    <w:p w14:paraId="501A608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（二）服务采购数量</w:t>
      </w:r>
    </w:p>
    <w:p w14:paraId="534C657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分标1（普通类项目评审服务）：采用质量优先法按评审综合得分排名，选择不多于</w:t>
      </w:r>
      <w:r>
        <w:rPr>
          <w:rFonts w:hint="eastAsia" w:ascii="宋体" w:hAnsi="宋体" w:cs="宋体"/>
          <w:color w:val="000000" w:themeColor="text1"/>
          <w:sz w:val="21"/>
          <w:szCs w:val="21"/>
          <w:highlight w:val="none"/>
          <w:lang w:val="en-US" w:eastAsia="zh-CN"/>
          <w14:textFill>
            <w14:solidFill>
              <w14:schemeClr w14:val="tx1"/>
            </w14:solidFill>
          </w14:textFill>
        </w:rPr>
        <w:t>10家</w:t>
      </w:r>
      <w:r>
        <w:rPr>
          <w:rFonts w:hint="eastAsia" w:ascii="宋体" w:hAnsi="宋体" w:eastAsia="宋体" w:cs="宋体"/>
          <w:color w:val="000000" w:themeColor="text1"/>
          <w:sz w:val="21"/>
          <w:szCs w:val="21"/>
          <w:highlight w:val="none"/>
          <w:lang w:val="en-US"/>
          <w14:textFill>
            <w14:solidFill>
              <w14:schemeClr w14:val="tx1"/>
            </w14:solidFill>
          </w14:textFill>
        </w:rPr>
        <w:t>的中介机构。</w:t>
      </w:r>
    </w:p>
    <w:p w14:paraId="76F3AAE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分标2（信息化项目评审服务）：采用质量优先法按评审综合得分排名，选择不多于3家的中介机构。</w:t>
      </w:r>
    </w:p>
    <w:p w14:paraId="1A4C531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（三）框架协议服务期限。本框架协议服务期限为</w:t>
      </w:r>
      <w:r>
        <w:rPr>
          <w:rFonts w:hint="eastAsia" w:ascii="宋体" w:hAnsi="宋体" w:cs="宋体"/>
          <w:color w:val="000000" w:themeColor="text1"/>
          <w:sz w:val="21"/>
          <w:szCs w:val="21"/>
          <w:highlight w:val="none"/>
          <w:lang w:val="en-US" w:eastAsia="zh-CN"/>
          <w14:textFill>
            <w14:solidFill>
              <w14:schemeClr w14:val="tx1"/>
            </w14:solidFill>
          </w14:textFill>
        </w:rPr>
        <w:t>两年</w:t>
      </w:r>
      <w:r>
        <w:rPr>
          <w:rFonts w:hint="eastAsia" w:ascii="宋体" w:hAnsi="宋体" w:eastAsia="宋体" w:cs="宋体"/>
          <w:color w:val="000000" w:themeColor="text1"/>
          <w:sz w:val="21"/>
          <w:szCs w:val="21"/>
          <w:highlight w:val="none"/>
          <w:lang w:val="en-US"/>
          <w14:textFill>
            <w14:solidFill>
              <w14:schemeClr w14:val="tx1"/>
            </w14:solidFill>
          </w14:textFill>
        </w:rPr>
        <w:t>。具体起止时间以框架协议签订时间为准。如有协助评审的项目无法在框架协议有效期内完成，服务项目的供应商可顺延服务时间，直至完成项目评审工作。</w:t>
      </w:r>
    </w:p>
    <w:p w14:paraId="6C601831">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val="en-US"/>
          <w14:textFill>
            <w14:solidFill>
              <w14:schemeClr w14:val="tx1"/>
            </w14:solidFill>
          </w14:textFill>
        </w:rPr>
        <w:t>、评审服务费计算标准</w:t>
      </w:r>
    </w:p>
    <w:p w14:paraId="009F6E0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（一）工程概（预）算、工程量清单和招标控制价评审服务费计取如下：</w:t>
      </w:r>
    </w:p>
    <w:p w14:paraId="5DC4D7E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1.评审服务费=基本费或效益费（二者选高值）</w:t>
      </w:r>
    </w:p>
    <w:p w14:paraId="4179EEB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2.基本费、效益费的计算</w:t>
      </w:r>
    </w:p>
    <w:p w14:paraId="7337282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（1）基本费按经财政部门确认的审定造价实行分段累进计算，基本费=∑（工程项目审定造价（不含暂列金额）×基本费费率×难度系数）：</w:t>
      </w:r>
    </w:p>
    <w:tbl>
      <w:tblPr>
        <w:tblStyle w:val="4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606"/>
        <w:gridCol w:w="3240"/>
        <w:gridCol w:w="1472"/>
      </w:tblGrid>
      <w:tr w14:paraId="49D0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2" w:hRule="atLeast"/>
          <w:jc w:val="center"/>
        </w:trPr>
        <w:tc>
          <w:tcPr>
            <w:tcW w:w="3606" w:type="dxa"/>
            <w:noWrap w:val="0"/>
            <w:vAlign w:val="center"/>
          </w:tcPr>
          <w:p w14:paraId="0450E164">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审定单项造价M（万元）</w:t>
            </w:r>
          </w:p>
        </w:tc>
        <w:tc>
          <w:tcPr>
            <w:tcW w:w="3240" w:type="dxa"/>
            <w:noWrap w:val="0"/>
            <w:vAlign w:val="center"/>
          </w:tcPr>
          <w:p w14:paraId="4031E143">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评审服务费计费标准（费率）‰</w:t>
            </w:r>
          </w:p>
        </w:tc>
        <w:tc>
          <w:tcPr>
            <w:tcW w:w="1472" w:type="dxa"/>
            <w:noWrap w:val="0"/>
            <w:vAlign w:val="center"/>
          </w:tcPr>
          <w:p w14:paraId="143F29D8">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备注</w:t>
            </w:r>
          </w:p>
        </w:tc>
      </w:tr>
      <w:tr w14:paraId="28DC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3CBAF29E">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w:t>
            </w:r>
          </w:p>
        </w:tc>
        <w:tc>
          <w:tcPr>
            <w:tcW w:w="3240" w:type="dxa"/>
            <w:noWrap w:val="0"/>
            <w:vAlign w:val="center"/>
          </w:tcPr>
          <w:p w14:paraId="0D1FDD5C">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1.461</w:t>
            </w:r>
          </w:p>
        </w:tc>
        <w:tc>
          <w:tcPr>
            <w:tcW w:w="1472" w:type="dxa"/>
            <w:vMerge w:val="restart"/>
            <w:noWrap w:val="0"/>
            <w:vAlign w:val="center"/>
          </w:tcPr>
          <w:p w14:paraId="46C421E1">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按照分段差额累进法计算</w:t>
            </w:r>
          </w:p>
        </w:tc>
      </w:tr>
      <w:tr w14:paraId="56E8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10E14037">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00&lt;M≤</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000</w:t>
            </w:r>
          </w:p>
        </w:tc>
        <w:tc>
          <w:tcPr>
            <w:tcW w:w="3240" w:type="dxa"/>
            <w:noWrap w:val="0"/>
            <w:vAlign w:val="center"/>
          </w:tcPr>
          <w:p w14:paraId="500FD7A8">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1.</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00</w:t>
            </w:r>
          </w:p>
        </w:tc>
        <w:tc>
          <w:tcPr>
            <w:tcW w:w="1472" w:type="dxa"/>
            <w:vMerge w:val="continue"/>
            <w:noWrap w:val="0"/>
            <w:vAlign w:val="center"/>
          </w:tcPr>
          <w:p w14:paraId="28A8D9F8">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54B5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6524D25E">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000&lt;M≤</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w:t>
            </w:r>
          </w:p>
        </w:tc>
        <w:tc>
          <w:tcPr>
            <w:tcW w:w="3240" w:type="dxa"/>
            <w:noWrap w:val="0"/>
            <w:vAlign w:val="center"/>
          </w:tcPr>
          <w:p w14:paraId="5F7F38C3">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0.89</w:t>
            </w:r>
          </w:p>
        </w:tc>
        <w:tc>
          <w:tcPr>
            <w:tcW w:w="1472" w:type="dxa"/>
            <w:vMerge w:val="continue"/>
            <w:noWrap w:val="0"/>
            <w:vAlign w:val="center"/>
          </w:tcPr>
          <w:p w14:paraId="6BF68742">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0875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29B7B9CF">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000&lt;M≤10000</w:t>
            </w:r>
          </w:p>
        </w:tc>
        <w:tc>
          <w:tcPr>
            <w:tcW w:w="3240" w:type="dxa"/>
            <w:noWrap w:val="0"/>
            <w:vAlign w:val="center"/>
          </w:tcPr>
          <w:p w14:paraId="199CFB50">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0.6</w:t>
            </w:r>
          </w:p>
        </w:tc>
        <w:tc>
          <w:tcPr>
            <w:tcW w:w="1472" w:type="dxa"/>
            <w:vMerge w:val="continue"/>
            <w:noWrap w:val="0"/>
            <w:vAlign w:val="center"/>
          </w:tcPr>
          <w:p w14:paraId="09C70926">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2F15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6BFA6D24">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10000&lt;M≤30000</w:t>
            </w:r>
          </w:p>
        </w:tc>
        <w:tc>
          <w:tcPr>
            <w:tcW w:w="3240" w:type="dxa"/>
            <w:noWrap w:val="0"/>
            <w:vAlign w:val="center"/>
          </w:tcPr>
          <w:p w14:paraId="7498EAAB">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385</w:t>
            </w:r>
          </w:p>
        </w:tc>
        <w:tc>
          <w:tcPr>
            <w:tcW w:w="1472" w:type="dxa"/>
            <w:vMerge w:val="continue"/>
            <w:noWrap w:val="0"/>
            <w:vAlign w:val="center"/>
          </w:tcPr>
          <w:p w14:paraId="08F2676E">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3869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6" w:hRule="atLeast"/>
          <w:jc w:val="center"/>
        </w:trPr>
        <w:tc>
          <w:tcPr>
            <w:tcW w:w="3606" w:type="dxa"/>
            <w:noWrap w:val="0"/>
            <w:vAlign w:val="center"/>
          </w:tcPr>
          <w:p w14:paraId="64CA9C36">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30000&lt;M</w:t>
            </w:r>
          </w:p>
        </w:tc>
        <w:tc>
          <w:tcPr>
            <w:tcW w:w="3240" w:type="dxa"/>
            <w:noWrap w:val="0"/>
            <w:vAlign w:val="center"/>
          </w:tcPr>
          <w:p w14:paraId="479EB567">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171</w:t>
            </w:r>
          </w:p>
        </w:tc>
        <w:tc>
          <w:tcPr>
            <w:tcW w:w="1472" w:type="dxa"/>
            <w:vMerge w:val="continue"/>
            <w:noWrap w:val="0"/>
            <w:vAlign w:val="center"/>
          </w:tcPr>
          <w:p w14:paraId="7416CCF1">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bl>
    <w:p w14:paraId="3D79EF6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（2）效益费按经财政部门确认的净核减值实行分段累进计算，效益费=∑（净核减值×效益费费率×难度系数），净核减值（不含暂列金额、暂估价部分的核减），具体如下：</w:t>
      </w:r>
    </w:p>
    <w:tbl>
      <w:tblPr>
        <w:tblStyle w:val="49"/>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204"/>
        <w:gridCol w:w="2792"/>
        <w:gridCol w:w="1479"/>
      </w:tblGrid>
      <w:tr w14:paraId="1B80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24" w:type="dxa"/>
            <w:noWrap w:val="0"/>
            <w:vAlign w:val="center"/>
          </w:tcPr>
          <w:p w14:paraId="429B953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序号</w:t>
            </w:r>
          </w:p>
        </w:tc>
        <w:tc>
          <w:tcPr>
            <w:tcW w:w="3204" w:type="dxa"/>
            <w:noWrap w:val="0"/>
            <w:vAlign w:val="center"/>
          </w:tcPr>
          <w:p w14:paraId="35412AD1">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净核减值</w:t>
            </w:r>
          </w:p>
        </w:tc>
        <w:tc>
          <w:tcPr>
            <w:tcW w:w="2792" w:type="dxa"/>
            <w:noWrap w:val="0"/>
            <w:vAlign w:val="center"/>
          </w:tcPr>
          <w:p w14:paraId="1ECCFFBB">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效益费率</w:t>
            </w:r>
          </w:p>
        </w:tc>
        <w:tc>
          <w:tcPr>
            <w:tcW w:w="1479" w:type="dxa"/>
            <w:noWrap w:val="0"/>
            <w:vAlign w:val="center"/>
          </w:tcPr>
          <w:p w14:paraId="365183B8">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备注</w:t>
            </w:r>
          </w:p>
        </w:tc>
      </w:tr>
      <w:tr w14:paraId="1C24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16EAE5E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w:t>
            </w:r>
          </w:p>
        </w:tc>
        <w:tc>
          <w:tcPr>
            <w:tcW w:w="3204" w:type="dxa"/>
            <w:noWrap w:val="0"/>
            <w:vAlign w:val="center"/>
          </w:tcPr>
          <w:p w14:paraId="0165294D">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净核减值≤100万元</w:t>
            </w:r>
          </w:p>
        </w:tc>
        <w:tc>
          <w:tcPr>
            <w:tcW w:w="2792" w:type="dxa"/>
            <w:noWrap w:val="0"/>
            <w:vAlign w:val="center"/>
          </w:tcPr>
          <w:p w14:paraId="2554FA8F">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3%</w:t>
            </w:r>
          </w:p>
        </w:tc>
        <w:tc>
          <w:tcPr>
            <w:tcW w:w="1479" w:type="dxa"/>
            <w:vMerge w:val="restart"/>
            <w:noWrap w:val="0"/>
            <w:vAlign w:val="center"/>
          </w:tcPr>
          <w:p w14:paraId="1841ECFF">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按照分段差额累进法计算</w:t>
            </w:r>
          </w:p>
        </w:tc>
      </w:tr>
      <w:tr w14:paraId="3F17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25FAC281">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w:t>
            </w:r>
          </w:p>
        </w:tc>
        <w:tc>
          <w:tcPr>
            <w:tcW w:w="3204" w:type="dxa"/>
            <w:noWrap w:val="0"/>
            <w:vAlign w:val="center"/>
          </w:tcPr>
          <w:p w14:paraId="253E1AA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100万元&lt;净核减值≤300万元</w:t>
            </w:r>
          </w:p>
        </w:tc>
        <w:tc>
          <w:tcPr>
            <w:tcW w:w="2792" w:type="dxa"/>
            <w:noWrap w:val="0"/>
            <w:vAlign w:val="center"/>
          </w:tcPr>
          <w:p w14:paraId="553ED29C">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p>
        </w:tc>
        <w:tc>
          <w:tcPr>
            <w:tcW w:w="1479" w:type="dxa"/>
            <w:vMerge w:val="continue"/>
            <w:noWrap w:val="0"/>
            <w:vAlign w:val="center"/>
          </w:tcPr>
          <w:p w14:paraId="1EC182FB">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7D36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65F6D020">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3</w:t>
            </w:r>
          </w:p>
        </w:tc>
        <w:tc>
          <w:tcPr>
            <w:tcW w:w="3204" w:type="dxa"/>
            <w:noWrap w:val="0"/>
            <w:vAlign w:val="center"/>
          </w:tcPr>
          <w:p w14:paraId="7658AB2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300万元&lt;净核减值≤500万元</w:t>
            </w:r>
          </w:p>
        </w:tc>
        <w:tc>
          <w:tcPr>
            <w:tcW w:w="2792" w:type="dxa"/>
            <w:noWrap w:val="0"/>
            <w:vAlign w:val="center"/>
          </w:tcPr>
          <w:p w14:paraId="130B2D76">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2.64%</w:t>
            </w:r>
          </w:p>
        </w:tc>
        <w:tc>
          <w:tcPr>
            <w:tcW w:w="1479" w:type="dxa"/>
            <w:vMerge w:val="continue"/>
            <w:noWrap w:val="0"/>
            <w:vAlign w:val="center"/>
          </w:tcPr>
          <w:p w14:paraId="5EDC3175">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031B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1048DCDB">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4</w:t>
            </w:r>
          </w:p>
        </w:tc>
        <w:tc>
          <w:tcPr>
            <w:tcW w:w="3204" w:type="dxa"/>
            <w:noWrap w:val="0"/>
            <w:vAlign w:val="center"/>
          </w:tcPr>
          <w:p w14:paraId="715A233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500万元&lt;净核减值≤1000万元</w:t>
            </w:r>
          </w:p>
        </w:tc>
        <w:tc>
          <w:tcPr>
            <w:tcW w:w="2792" w:type="dxa"/>
            <w:noWrap w:val="0"/>
            <w:vAlign w:val="center"/>
          </w:tcPr>
          <w:p w14:paraId="61C54C42">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2.18%</w:t>
            </w:r>
          </w:p>
        </w:tc>
        <w:tc>
          <w:tcPr>
            <w:tcW w:w="1479" w:type="dxa"/>
            <w:vMerge w:val="continue"/>
            <w:noWrap w:val="0"/>
            <w:vAlign w:val="center"/>
          </w:tcPr>
          <w:p w14:paraId="35A94383">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6B4D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24" w:type="dxa"/>
            <w:noWrap w:val="0"/>
            <w:vAlign w:val="center"/>
          </w:tcPr>
          <w:p w14:paraId="2FA66C1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5</w:t>
            </w:r>
          </w:p>
        </w:tc>
        <w:tc>
          <w:tcPr>
            <w:tcW w:w="3204" w:type="dxa"/>
            <w:noWrap w:val="0"/>
            <w:vAlign w:val="center"/>
          </w:tcPr>
          <w:p w14:paraId="5BC12762">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1000万元&lt;净核减值≤1500万元</w:t>
            </w:r>
          </w:p>
        </w:tc>
        <w:tc>
          <w:tcPr>
            <w:tcW w:w="2792" w:type="dxa"/>
            <w:noWrap w:val="0"/>
            <w:vAlign w:val="center"/>
          </w:tcPr>
          <w:p w14:paraId="0E99A58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1.66%</w:t>
            </w:r>
          </w:p>
        </w:tc>
        <w:tc>
          <w:tcPr>
            <w:tcW w:w="1479" w:type="dxa"/>
            <w:vMerge w:val="continue"/>
            <w:noWrap w:val="0"/>
            <w:vAlign w:val="center"/>
          </w:tcPr>
          <w:p w14:paraId="7DA9E840">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73C1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4" w:type="dxa"/>
            <w:noWrap w:val="0"/>
            <w:vAlign w:val="center"/>
          </w:tcPr>
          <w:p w14:paraId="2B46F86E">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6</w:t>
            </w:r>
          </w:p>
        </w:tc>
        <w:tc>
          <w:tcPr>
            <w:tcW w:w="3204" w:type="dxa"/>
            <w:noWrap w:val="0"/>
            <w:vAlign w:val="center"/>
          </w:tcPr>
          <w:p w14:paraId="58E7A69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1500万元&lt;净核减值</w:t>
            </w:r>
          </w:p>
        </w:tc>
        <w:tc>
          <w:tcPr>
            <w:tcW w:w="2792" w:type="dxa"/>
            <w:noWrap w:val="0"/>
            <w:vAlign w:val="center"/>
          </w:tcPr>
          <w:p w14:paraId="160C915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0.</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415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p>
        </w:tc>
        <w:tc>
          <w:tcPr>
            <w:tcW w:w="1479" w:type="dxa"/>
            <w:vMerge w:val="continue"/>
            <w:noWrap w:val="0"/>
            <w:vAlign w:val="center"/>
          </w:tcPr>
          <w:p w14:paraId="3F29081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bl>
    <w:p w14:paraId="2C281DC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p>
    <w:p w14:paraId="07E32B9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（二）评审服务费上限额：单个项目评审服务费不得超过50万元。评审服务费少于2000元的，按2000元计。</w:t>
      </w:r>
    </w:p>
    <w:p w14:paraId="2D3E149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（三）难度系数</w:t>
      </w:r>
    </w:p>
    <w:p w14:paraId="5C5D2A2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1.水利、市政道路、给排水、公路及土地整理项目、园林绿化工程，难度系数0.8；桥梁和房建项目，难度系数为1.2；土石方工程项目，难度系数为0.6；信息化项目的难度系数为0.9；其余类型项目的难度系数为1.0；</w:t>
      </w:r>
    </w:p>
    <w:p w14:paraId="7037468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2.需要到项目地调查的，难度系数为1.1（此项付费最高不超过3000元）。</w:t>
      </w:r>
    </w:p>
    <w:p w14:paraId="034953C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3.难度系数在安排评审任务时由双方确定。</w:t>
      </w:r>
    </w:p>
    <w:p w14:paraId="7B14739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（四）土石方开挖、运输、回填、弃置等因套用定额与市场价调整的均不属于付费内容。</w:t>
      </w:r>
    </w:p>
    <w:p w14:paraId="5E6AB65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（五）送审的工程因漏项、错项或未按规范性文件准确计价计量等因素导致每一单位工程造价核增20万元以上的，在计算评审结论的核减金额时，上述因素造成的核增金额不冲减核减金额。</w:t>
      </w:r>
    </w:p>
    <w:p w14:paraId="3C5999C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六）送审与审定所采用的材料价格信息不一致，导致审定造价与送审造价偏差大，差额超过50万元或超过审定造价的±5%以上的，计算评审服务费时，项目的净核减额应扣除该部分核增（减）额后计算评审服务费。</w:t>
      </w:r>
    </w:p>
    <w:p w14:paraId="6039747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（七）征集人明确不属于供应商审核范围（内容）的事项，不计入工程净核减额。</w:t>
      </w:r>
    </w:p>
    <w:p w14:paraId="31AF09A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（八）因非入围供应商原因需中止项目审核工作的，采购人视入围供应商完成工作量情况来计算评审服务费：</w:t>
      </w:r>
    </w:p>
    <w:p w14:paraId="28DEF46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1.已完成征集人委托项目初审工作的，按评审基本费30%计算；</w:t>
      </w:r>
    </w:p>
    <w:p w14:paraId="55FB3F0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2.已完成征集人委托项目初审及对数工作的，按评审基本费50%计算。</w:t>
      </w:r>
    </w:p>
    <w:p w14:paraId="266127B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3.在合同期内该项目由原供应商再次审核的，支付的评审服务费应扣除原已支付部分。</w:t>
      </w:r>
    </w:p>
    <w:p w14:paraId="4EB4EAB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（九）因供应商自身原因中途将委托项目退回给征集人的，征集人不支付任何评审费用,且征集人有权不再委托项目或单方面终止该项目合同。</w:t>
      </w:r>
    </w:p>
    <w:p w14:paraId="36710F8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十）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单方面终止合同。</w:t>
      </w:r>
    </w:p>
    <w:p w14:paraId="590174A7">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lang w:val="en-US"/>
          <w14:textFill>
            <w14:solidFill>
              <w14:schemeClr w14:val="tx1"/>
            </w14:solidFill>
          </w14:textFill>
        </w:rPr>
        <w:t>、服务人员组成及要求</w:t>
      </w:r>
    </w:p>
    <w:p w14:paraId="74CA68B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（一）分标1（普通类项目评审服务）人员最低配备及要求</w:t>
      </w:r>
    </w:p>
    <w:p w14:paraId="0808F35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1.供应商拟派的评审人员需熟悉广西造价信息及造价依据规则、防城港市工程造价市场情况。</w:t>
      </w:r>
    </w:p>
    <w:p w14:paraId="05EE44E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2.入围供应商在接受采购人安排的评审项目后应积极主动地与采购人联系，落实具体事宜，并安排充足的评审人员在规定的时间内完成项目审核任务。</w:t>
      </w:r>
    </w:p>
    <w:p w14:paraId="118B895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3.技术人员基本要求：</w:t>
      </w:r>
    </w:p>
    <w:p w14:paraId="286B73A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管理及技术负责人1人，必须单独设置、不能兼任专职审核员，且必须具备一级造价工程师证和高级工程师及以上职称。能够就项目审核中的重大技术问题、重大争议与纠纷提出处理建议，按规定提交征集人要求的各项意见和文件；</w:t>
      </w:r>
    </w:p>
    <w:p w14:paraId="297BE4E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供应商拟投入技术人员至少满足以下要求：房建专业技术人员1名、安装专业技术人员1名、市政专业技术人员1名、公路专业技术人员1名、水利专业技术人员1名（以上人员需中级工程师及以上职称或造价员证书满3年及以上，一个技术人员最多可兼2个专业）。</w:t>
      </w:r>
    </w:p>
    <w:p w14:paraId="3F71EED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4.根据评审工作需要，供应商需投入坐班人员至少1名，按征集人指定地点坐班，年龄60周岁以下，能胜任审核工作，需满足二级及以上注册造价师证书满5年及以上条件。</w:t>
      </w:r>
    </w:p>
    <w:p w14:paraId="2BE33A9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以上人员必须为本单位人员，响应文件中须提供以上人员为本单位人员的证明材料【包括但不限于近3个月（响应文件递交截止时间前）供应商为该人员购买社保的证明材料，或者供应商与以上人员签署的劳动协议（或合同）扫描件（或复印件）和为以上人员发放的近3个月（响应文件递交截止时间前）的工资发放银行流水扫描件（或复印件或截图）等能证明以上人员为本单位人员的材料。如有退休返聘人员的，必须提供该人员与供应商签订的返聘合同（或协议）、退休证明。</w:t>
      </w:r>
    </w:p>
    <w:p w14:paraId="181B286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5.供应商对采购人委派的每个评审项目应组成评审小组，并至少投入主审人员1人、复核人员1人，除专职复核人员进行一级复核外，供应商还必须安排具备相应专业造价工程师资格的技术负责人进行二级复核。</w:t>
      </w:r>
    </w:p>
    <w:p w14:paraId="60B6990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主审人员：具有一级造价工程师资格，业务能力和沟通能力强，计划执行能力强，工作效率高，具备团队领导能力，熟悉工程评审工作流程，能独立完成项目主审职责（审核对接、组织、综合复核、进度控制、质量控制及项目评审报告的拟写）。</w:t>
      </w:r>
    </w:p>
    <w:p w14:paraId="197FBC4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复核人员：具有良好的沟通能力和团队精神，具备岗位匹配专业技术，可配合项目主审做好项目评审工作。</w:t>
      </w:r>
    </w:p>
    <w:p w14:paraId="01BD6AC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（二）分标2（信息化项目评审服务）人员最低配备及要求</w:t>
      </w:r>
    </w:p>
    <w:p w14:paraId="17E4639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管理及技术负责人至少1人：必须单独设置、不能兼任专职审核员，且必须具有全国计算机技术与软件专业技术资格（水平）高级及以上职称证书（含信息系统项目管理师、网络规划设计师、系统分析师、系统架构设计师、系统规划与管理师专业其中之一），或具有中国工程咨询协会颁发的咨询工程师（投资）证书【登记专业为电子、信息工程（含通信、广电、信息化）】。</w:t>
      </w:r>
    </w:p>
    <w:p w14:paraId="7EB7AC0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2.电子或信息工程类技术人员至少2人且必须具备以下条件之一：</w:t>
      </w:r>
    </w:p>
    <w:p w14:paraId="1A5A4B5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①具有工信部考试中心颁发的《软件工程造价师》证书或省级及以上信息化行业组织颁发的软件及信息化工程《造价评估师》证书。</w:t>
      </w:r>
    </w:p>
    <w:p w14:paraId="516A287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②具有全国计算机技术与软件专业技术资格（水平）中级及以上职称证书（含信息系统项目管理师、网络规划设计师、系统分析师、系统架构设计师、系统规划与管理师专业其中之一）。</w:t>
      </w:r>
    </w:p>
    <w:p w14:paraId="53D5826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③具有中国工程咨询协会颁发的咨询工程师（投资）证书【注册专业为：电子、信息工程（含通信、广电、信息化）】</w:t>
      </w:r>
    </w:p>
    <w:p w14:paraId="286E611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④具有工业和信息化部电子工业标准化研究院颁发的IT审计师证书。</w:t>
      </w:r>
    </w:p>
    <w:p w14:paraId="34D38D4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3.根据评审工作需要，供应商需投入坐班人员至少1名，按征集人指定地点坐班，年龄60周岁以下，能胜任审核工作，需满足电子或信息工程类技术人员及以上的条件。</w:t>
      </w:r>
    </w:p>
    <w:p w14:paraId="78B8E14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以上人员必须为本单位人员，响应文件中须提供以上人员为本单位人员的证明材料【包括但不限于近3个月（响应文件递交截止时间前）供应商为该人员购买社保的证明材料，或者供应商与以上人员签署的劳动协议（或合同）扫描件（或复印件）和为以上人员发放的近3个月（响应文件递交截止时间前）的工资发放银行流水扫描件（或复印件或截图）等能证明以上人员为本单位人员的材料。如有退休返聘人员的，必须提供该人员与供应商签订的返聘合同（或协议）、退休证明。</w:t>
      </w:r>
    </w:p>
    <w:p w14:paraId="672B733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4.入围供应商对采购人委派的每个评审项目应组成评审小组，并至少投入主审人员1人、复核人员1人，除专职复核人员进行一级复核外，供应商还必须安排具备相应专业技术负责人进行二级复核。</w:t>
      </w:r>
    </w:p>
    <w:p w14:paraId="4FECD00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主审人员：具有全国计算机技术与软件专业技术资格（水平）高级及以上职称证书（含信息系统项目管理师、网络规划设计师、系统分析师、系统架构设计师、系统规划与管理师专业其中之一），或具有中国工程咨询协会颁发的咨询工程师（投资）证书【登记专业为电子、信息工程（含通信、广电、信息化）】，业务能力和沟通能力强，能胜任项目主审职责（项目评审对接、组织、综合复核、进度控制、质量控制及评审报告的拟写）。</w:t>
      </w:r>
    </w:p>
    <w:p w14:paraId="5A2CBBD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复核人员：具备以上电子或信息工程类技术人员条件，具有良好的沟通能力和团队精神，具备岗位匹配专业技术能力，可配合项目主审做好项目评审工作。</w:t>
      </w:r>
    </w:p>
    <w:p w14:paraId="7E13655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（三）其他要求</w:t>
      </w:r>
    </w:p>
    <w:p w14:paraId="2BE857A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1.评审人员应严格遵守廉洁自律的有关规定，坚决抵制各种可能影响客观公正评审的商业贿赂。如因评审人员原因出现违规违纪行为，供应商应及时处理并承担相应法律责任，征集人有权追究其相关责任。</w:t>
      </w:r>
    </w:p>
    <w:p w14:paraId="5D6CAA6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入围供应商实际投入评审工作的人员，必须与响应文件中提交的拟投入评审人员一致，特殊情况更换人员时，必须书面申请经采购人同意。采购人认为入围供应商实际投入的评审人员不足以满足项目审核任务需要或认为评审人员不称职时，可向入围供应商发出要求增加或更换评审人员的通知，入围供应商在收到通知后的2天内应增加或更换相应的评审人员，由此产生的费用由入围供应商自行承担。</w:t>
      </w:r>
    </w:p>
    <w:p w14:paraId="67FE41B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3.如遇紧急评审项目，入围供应商应积极配合采购人工作，安排专业技术人员至指定地点开展评审工作，直至完成初审任务，由此产生的相关费用由入围供应商自理。</w:t>
      </w:r>
    </w:p>
    <w:p w14:paraId="2F86062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4.入围供应商所委派的评审人员在开展评审任务期间所发生的与评审任务相关的任何费用开支，由入围供应商负责支付。</w:t>
      </w:r>
    </w:p>
    <w:p w14:paraId="50AA66E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四、服务工作量的计量方式</w:t>
      </w:r>
    </w:p>
    <w:p w14:paraId="5C5A511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（一）协助项目评审的工作方式</w:t>
      </w:r>
    </w:p>
    <w:p w14:paraId="1473509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1、入围供应商派出符合项目评审要求的协审人员与采购人的人员一同组成评审小组，在采购人安排的评审组负责人领导下实施项目评审，按采购人要求出具项目评审报告。</w:t>
      </w:r>
    </w:p>
    <w:p w14:paraId="1751A99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2、采购人将对入围供应商递交的项目评审结果进行复核：</w:t>
      </w:r>
    </w:p>
    <w:p w14:paraId="4A7C216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①复核项目工程造价误差率超过5%（含5%）时，入围供应商必须承担由此造成的全部经济和法律责任，采购人不支付该项目的评审费用；</w:t>
      </w:r>
    </w:p>
    <w:p w14:paraId="601C82D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②如上述误差累计出现两次以上（含两次），采购人取消其为期一年的评审资格；</w:t>
      </w:r>
    </w:p>
    <w:p w14:paraId="1A7B939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③如上述误差在3%至4%以内时，扣减项目评审费用的25%；</w:t>
      </w:r>
    </w:p>
    <w:p w14:paraId="313E8B3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④如上述误差在4%至5%以内时，扣减项目评审费用的50%；</w:t>
      </w:r>
    </w:p>
    <w:p w14:paraId="1138D92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误差率计算公式：</w:t>
      </w:r>
    </w:p>
    <w:p w14:paraId="048580C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采购人审定后核增金额+采购人审定后核减金额）/入围供应商审定金额*100%</w:t>
      </w:r>
    </w:p>
    <w:p w14:paraId="3C2BE80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3.项目评审报告编制标准</w:t>
      </w:r>
    </w:p>
    <w:p w14:paraId="75AC436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项目审核内容完整、数据准确、依据充分，结论定性客观、定量准确、依据充分，核增核减原因定性准确、条理清晰，披露审核问题有理有据、分析透彻，提出项目审核建议措施具体、针对性强。</w:t>
      </w:r>
    </w:p>
    <w:p w14:paraId="093315D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五、服务交付</w:t>
      </w:r>
    </w:p>
    <w:p w14:paraId="057A75A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 第二阶段中供应商被征集人直接选定后，无正当理由不得拒绝征集人各类审核项目的委托。入围供应商接到项目通知后应按时响应并安排人员做好接收资料等相关工作，应严格按国家有关标准和财政部门相关规定提供相关评审服务，并在接收资料后按规定时限递交成果文件。</w:t>
      </w:r>
    </w:p>
    <w:p w14:paraId="3256E4A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 入围供应商严格按照采购人提出的审核时限及审核工作流程细则要求，确保在采购人要求的时限内完成项目审核任务，按时按质将项目审核资料归档。</w:t>
      </w:r>
    </w:p>
    <w:p w14:paraId="5D92643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 入围供应商应提交的成果和要求</w:t>
      </w:r>
    </w:p>
    <w:p w14:paraId="20AA817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入围供应商接受协审任务后，应在规定时限内提交成果文件，</w:t>
      </w:r>
      <w:r>
        <w:rPr>
          <w:rFonts w:hint="eastAsia" w:ascii="宋体" w:hAnsi="宋体" w:cs="宋体"/>
          <w:color w:val="000000" w:themeColor="text1"/>
          <w:szCs w:val="21"/>
          <w:highlight w:val="none"/>
          <w14:textFill>
            <w14:solidFill>
              <w14:schemeClr w14:val="tx1"/>
            </w14:solidFill>
          </w14:textFill>
        </w:rPr>
        <w:t>概算、招标控制价、预算成果提交的时间和要求以采购人与成交供应商签订的采购合同约定为准。原则上，供应商提交时，可先送一份资料，确认后再打印足额份数签认。如采购人提供的相关资料不齐全的，供应商向采购人提交资料的时间相应顺延。供应商应向采购人提供经采购人审核通过的协审成果一式四份及电子文档（招标控制价协审成果按一式六份提供）</w:t>
      </w:r>
      <w:r>
        <w:rPr>
          <w:rFonts w:hint="eastAsia" w:ascii="宋体" w:hAnsi="宋体" w:cs="宋体"/>
          <w:color w:val="000000" w:themeColor="text1"/>
          <w:sz w:val="21"/>
          <w:szCs w:val="21"/>
          <w:highlight w:val="none"/>
          <w:lang w:val="en-US" w:eastAsia="zh-CN"/>
          <w14:textFill>
            <w14:solidFill>
              <w14:schemeClr w14:val="tx1"/>
            </w14:solidFill>
          </w14:textFill>
        </w:rPr>
        <w:t>（纸质版需盖供应商公章、负责人、经办人签章）：</w:t>
      </w:r>
    </w:p>
    <w:p w14:paraId="37FEADD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（1）招标（预算）控制价协审</w:t>
      </w:r>
      <w:r>
        <w:rPr>
          <w:rFonts w:hint="eastAsia" w:ascii="宋体" w:hAnsi="宋体" w:eastAsia="宋体" w:cs="宋体"/>
          <w:color w:val="000000" w:themeColor="text1"/>
          <w:sz w:val="21"/>
          <w:szCs w:val="21"/>
          <w:highlight w:val="none"/>
          <w:lang w:val="en-US"/>
          <w14:textFill>
            <w14:solidFill>
              <w14:schemeClr w14:val="tx1"/>
            </w14:solidFill>
          </w14:textFill>
        </w:rPr>
        <w:t>工作成果（含项目评审报告，招标控制价协审成果应包含工程量清单）及工程量计算底稿、询价记录等相关评审资料。供应商应确保协审质量，按《建设工程造价咨询成果文件质量标准》（CECA/GC7-2012）质量要求开展工作，向采购人提交协审成果及工程量计算底稿时必须已完成内部三级审核程序，并提供各级审核人的书面审核意见，经采购人确认后作为支付服务费用的依据</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25D4DDF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（2）妥善保管采购人提供的审核资料，并在审核工作完成后，完整交还采购人，因入围供应商原因导致资料损坏或遗失的，需承担由此造成的相应后果。</w:t>
      </w:r>
    </w:p>
    <w:p w14:paraId="2B5A058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六、技术保障</w:t>
      </w:r>
    </w:p>
    <w:p w14:paraId="0343143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入围供应商在接受项目委托时，如已经为该项目概算、预算控制价编制或评审、招标控制价编制或评审、投标报价编制、招标代理、施工监理或审核等开展相关咨询工作的，或与审核项目有重大利害关系的，应主动向采购人提出回避。如未提出，采购人发现后将不予支付该项目评审服务费。</w:t>
      </w:r>
    </w:p>
    <w:p w14:paraId="2798C4D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2.考核机制</w:t>
      </w:r>
    </w:p>
    <w:p w14:paraId="3F563D8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采购人根据工作开展情况，定期对入围供应商评审工作进行综合考核。</w:t>
      </w:r>
    </w:p>
    <w:p w14:paraId="4056373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 服务的能力</w:t>
      </w:r>
    </w:p>
    <w:p w14:paraId="18810F9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（1）项目审核过程中，入围供应商拟投入协审人员需配合采购人完成承接核验资料、项目对数、现场踏勘、复核争议、项目归档等相关工作。</w:t>
      </w:r>
    </w:p>
    <w:p w14:paraId="04EF23F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（2）供应商承诺在采购人下达委托任务后，2小时内响应并在1个工作日内到达指定地点提供相应服务。</w:t>
      </w:r>
    </w:p>
    <w:p w14:paraId="059F1CB3">
      <w:pPr>
        <w:keepNext w:val="0"/>
        <w:keepLines w:val="0"/>
        <w:pageBreakBefore w:val="0"/>
        <w:shd w:val="clear"/>
        <w:kinsoku/>
        <w:overflowPunct/>
        <w:topLinePunct w:val="0"/>
        <w:autoSpaceDE/>
        <w:autoSpaceDN/>
        <w:bidi w:val="0"/>
        <w:snapToGrid/>
        <w:spacing w:line="400" w:lineRule="exact"/>
        <w:jc w:val="center"/>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p>
    <w:p w14:paraId="4FE4EFBB">
      <w:pPr>
        <w:keepNext w:val="0"/>
        <w:keepLines w:val="0"/>
        <w:pageBreakBefore w:val="0"/>
        <w:shd w:val="clear"/>
        <w:kinsoku/>
        <w:overflowPunct/>
        <w:topLinePunct w:val="0"/>
        <w:autoSpaceDE/>
        <w:autoSpaceDN/>
        <w:bidi w:val="0"/>
        <w:snapToGrid/>
        <w:spacing w:line="400" w:lineRule="exact"/>
        <w:jc w:val="center"/>
        <w:textAlignment w:val="auto"/>
        <w:outlineLvl w:val="1"/>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商务要求</w:t>
      </w:r>
    </w:p>
    <w:p w14:paraId="2713D30D">
      <w:pPr>
        <w:pStyle w:val="153"/>
        <w:keepNext w:val="0"/>
        <w:keepLines w:val="0"/>
        <w:pageBreakBefore w:val="0"/>
        <w:shd w:val="clear"/>
        <w:kinsoku/>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b/>
          <w:bCs/>
          <w:color w:val="000000" w:themeColor="text1"/>
          <w:sz w:val="21"/>
          <w:szCs w:val="21"/>
          <w:highlight w:val="none"/>
          <w:lang w:val="en-US"/>
          <w14:textFill>
            <w14:solidFill>
              <w14:schemeClr w14:val="tx1"/>
            </w14:solidFill>
          </w14:textFill>
        </w:rPr>
      </w:pPr>
    </w:p>
    <w:p w14:paraId="11D74750">
      <w:pPr>
        <w:pStyle w:val="153"/>
        <w:keepNext w:val="0"/>
        <w:keepLines w:val="0"/>
        <w:pageBreakBefore w:val="0"/>
        <w:shd w:val="clear"/>
        <w:kinsoku/>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bCs/>
          <w:color w:val="000000" w:themeColor="text1"/>
          <w:sz w:val="21"/>
          <w:szCs w:val="21"/>
          <w:highlight w:val="none"/>
          <w:lang w:val="en-US"/>
          <w14:textFill>
            <w14:solidFill>
              <w14:schemeClr w14:val="tx1"/>
            </w14:solidFill>
          </w14:textFill>
        </w:rPr>
        <w:t>一、</w:t>
      </w:r>
      <w:r>
        <w:rPr>
          <w:rFonts w:hint="eastAsia" w:ascii="宋体" w:hAnsi="宋体" w:eastAsia="宋体" w:cs="宋体"/>
          <w:color w:val="000000" w:themeColor="text1"/>
          <w:sz w:val="21"/>
          <w:szCs w:val="21"/>
          <w:highlight w:val="none"/>
          <w:lang w:val="en-US"/>
          <w14:textFill>
            <w14:solidFill>
              <w14:schemeClr w14:val="tx1"/>
            </w14:solidFill>
          </w14:textFill>
        </w:rPr>
        <w:t>报价要求</w:t>
      </w:r>
    </w:p>
    <w:p w14:paraId="6085AD31">
      <w:pPr>
        <w:pStyle w:val="153"/>
        <w:keepNext w:val="0"/>
        <w:keepLines w:val="0"/>
        <w:pageBreakBefore w:val="0"/>
        <w:shd w:val="clear"/>
        <w:kinsoku/>
        <w:overflowPunct/>
        <w:topLinePunct w:val="0"/>
        <w:autoSpaceDE/>
        <w:autoSpaceDN/>
        <w:bidi w:val="0"/>
        <w:snapToGrid/>
        <w:spacing w:line="400" w:lineRule="exact"/>
        <w:ind w:left="0" w:leftChars="0" w:firstLine="46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供应商的报价已包括了实施和完成评审工作所需的劳务费、技术服务费、交通、通讯、办公场地、管理费、税费和利润等费用和政策性文件规定及合同包含的所有风险、责任等各项应有的费用。合同期内，费率不再调整。采购人不再向入围供应商支付其响应报价之外的任何费用。</w:t>
      </w:r>
    </w:p>
    <w:p w14:paraId="121A337B">
      <w:pPr>
        <w:pStyle w:val="153"/>
        <w:keepNext w:val="0"/>
        <w:keepLines w:val="0"/>
        <w:pageBreakBefore w:val="0"/>
        <w:shd w:val="clear"/>
        <w:kinsoku/>
        <w:overflowPunct/>
        <w:topLinePunct w:val="0"/>
        <w:autoSpaceDE/>
        <w:autoSpaceDN/>
        <w:bidi w:val="0"/>
        <w:snapToGrid/>
        <w:spacing w:line="400" w:lineRule="exact"/>
        <w:ind w:left="0" w:leftChars="0" w:firstLine="46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2.框架协议签订期限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入围通知书发出后 25日内。</w:t>
      </w:r>
    </w:p>
    <w:p w14:paraId="687A221A">
      <w:pPr>
        <w:pStyle w:val="153"/>
        <w:keepNext w:val="0"/>
        <w:keepLines w:val="0"/>
        <w:pageBreakBefore w:val="0"/>
        <w:shd w:val="clear"/>
        <w:kinsoku/>
        <w:overflowPunct/>
        <w:topLinePunct w:val="0"/>
        <w:autoSpaceDE/>
        <w:autoSpaceDN/>
        <w:bidi w:val="0"/>
        <w:snapToGrid/>
        <w:spacing w:line="400" w:lineRule="exact"/>
        <w:ind w:left="0" w:leftChars="0" w:firstLine="46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3.服务交付或者实施的地域范围</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采购人指定地点。</w:t>
      </w:r>
    </w:p>
    <w:p w14:paraId="1E1281F9">
      <w:pPr>
        <w:pStyle w:val="153"/>
        <w:keepNext w:val="0"/>
        <w:keepLines w:val="0"/>
        <w:pageBreakBefore w:val="0"/>
        <w:shd w:val="clear"/>
        <w:kinsoku/>
        <w:overflowPunct/>
        <w:topLinePunct w:val="0"/>
        <w:autoSpaceDE/>
        <w:autoSpaceDN/>
        <w:bidi w:val="0"/>
        <w:snapToGrid/>
        <w:spacing w:line="400" w:lineRule="exact"/>
        <w:ind w:left="0" w:leftChars="0" w:firstLine="46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4.协审服务费支付方式</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协审服务费无预付款，入围供应商在完成协审工作后，根据完成评审项目申请支付（按采购人要求提供相关材料）。采购人根据入围供应商完成项目评审工作，出具评审报告后计费，原则上每半年支付一次，采购人审核相关材料确认无误后通过转账方式支付。</w:t>
      </w:r>
    </w:p>
    <w:bookmarkEnd w:id="54"/>
    <w:bookmarkEnd w:id="55"/>
    <w:p w14:paraId="263FAD13">
      <w:pPr>
        <w:shd w:val="clear"/>
        <w:spacing w:line="240" w:lineRule="auto"/>
        <w:rPr>
          <w:rFonts w:hint="eastAsia" w:ascii="宋体" w:hAnsi="宋体"/>
          <w:b/>
          <w:color w:val="000000" w:themeColor="text1"/>
          <w:sz w:val="24"/>
          <w:szCs w:val="21"/>
          <w:highlight w:val="none"/>
          <w14:textFill>
            <w14:solidFill>
              <w14:schemeClr w14:val="tx1"/>
            </w14:solidFill>
          </w14:textFill>
        </w:rPr>
      </w:pPr>
      <w:bookmarkStart w:id="60" w:name="OLE_LINK200"/>
      <w:r>
        <w:rPr>
          <w:rFonts w:hint="eastAsia" w:ascii="宋体" w:hAnsi="宋体"/>
          <w:b/>
          <w:color w:val="000000" w:themeColor="text1"/>
          <w:sz w:val="24"/>
          <w:szCs w:val="21"/>
          <w:highlight w:val="none"/>
          <w14:textFill>
            <w14:solidFill>
              <w14:schemeClr w14:val="tx1"/>
            </w14:solidFill>
          </w14:textFill>
        </w:rPr>
        <w:br w:type="page"/>
      </w:r>
    </w:p>
    <w:p w14:paraId="73B68B98">
      <w:pPr>
        <w:shd w:val="clear"/>
        <w:spacing w:line="40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b/>
          <w:color w:val="000000" w:themeColor="text1"/>
          <w:sz w:val="24"/>
          <w:szCs w:val="21"/>
          <w:highlight w:val="none"/>
          <w14:textFill>
            <w14:solidFill>
              <w14:schemeClr w14:val="tx1"/>
            </w14:solidFill>
          </w14:textFill>
        </w:rPr>
        <w:t>附件1：</w:t>
      </w:r>
    </w:p>
    <w:p w14:paraId="43DE10D5">
      <w:pPr>
        <w:shd w:val="clear"/>
        <w:spacing w:line="528" w:lineRule="exact"/>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中小微企业划型标准</w:t>
      </w:r>
    </w:p>
    <w:tbl>
      <w:tblPr>
        <w:tblStyle w:val="49"/>
        <w:tblW w:w="9140" w:type="dxa"/>
        <w:jc w:val="center"/>
        <w:tblLayout w:type="fixed"/>
        <w:tblCellMar>
          <w:top w:w="0" w:type="dxa"/>
          <w:left w:w="108" w:type="dxa"/>
          <w:bottom w:w="0" w:type="dxa"/>
          <w:right w:w="108" w:type="dxa"/>
        </w:tblCellMar>
      </w:tblPr>
      <w:tblGrid>
        <w:gridCol w:w="1646"/>
        <w:gridCol w:w="1615"/>
        <w:gridCol w:w="1179"/>
        <w:gridCol w:w="1798"/>
        <w:gridCol w:w="1701"/>
        <w:gridCol w:w="1201"/>
      </w:tblGrid>
      <w:tr w14:paraId="273FCF37">
        <w:tblPrEx>
          <w:tblCellMar>
            <w:top w:w="0" w:type="dxa"/>
            <w:left w:w="108" w:type="dxa"/>
            <w:bottom w:w="0" w:type="dxa"/>
            <w:right w:w="108" w:type="dxa"/>
          </w:tblCellMar>
        </w:tblPrEx>
        <w:trPr>
          <w:trHeight w:val="285" w:hRule="atLeast"/>
          <w:jc w:val="center"/>
        </w:trPr>
        <w:tc>
          <w:tcPr>
            <w:tcW w:w="1646" w:type="dxa"/>
            <w:tcBorders>
              <w:top w:val="single" w:color="auto" w:sz="4" w:space="0"/>
              <w:left w:val="single" w:color="auto" w:sz="4" w:space="0"/>
              <w:bottom w:val="single" w:color="auto" w:sz="4" w:space="0"/>
              <w:right w:val="single" w:color="auto" w:sz="4" w:space="0"/>
            </w:tcBorders>
            <w:vAlign w:val="center"/>
          </w:tcPr>
          <w:p w14:paraId="31BD8E90">
            <w:pPr>
              <w:widowControl/>
              <w:shd w:val="clear"/>
              <w:spacing w:line="3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行业名称</w:t>
            </w:r>
          </w:p>
        </w:tc>
        <w:tc>
          <w:tcPr>
            <w:tcW w:w="1615" w:type="dxa"/>
            <w:tcBorders>
              <w:top w:val="single" w:color="auto" w:sz="4" w:space="0"/>
              <w:left w:val="nil"/>
              <w:bottom w:val="single" w:color="auto" w:sz="4" w:space="0"/>
              <w:right w:val="single" w:color="auto" w:sz="4" w:space="0"/>
            </w:tcBorders>
            <w:vAlign w:val="center"/>
          </w:tcPr>
          <w:p w14:paraId="1962E9F7">
            <w:pPr>
              <w:widowControl/>
              <w:shd w:val="clear"/>
              <w:spacing w:line="3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指标名称</w:t>
            </w:r>
          </w:p>
        </w:tc>
        <w:tc>
          <w:tcPr>
            <w:tcW w:w="1179" w:type="dxa"/>
            <w:tcBorders>
              <w:top w:val="single" w:color="auto" w:sz="4" w:space="0"/>
              <w:left w:val="nil"/>
              <w:bottom w:val="single" w:color="auto" w:sz="4" w:space="0"/>
              <w:right w:val="single" w:color="auto" w:sz="4" w:space="0"/>
            </w:tcBorders>
            <w:vAlign w:val="center"/>
          </w:tcPr>
          <w:p w14:paraId="02F339AC">
            <w:pPr>
              <w:widowControl/>
              <w:shd w:val="clear"/>
              <w:spacing w:line="3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计量单位</w:t>
            </w:r>
          </w:p>
        </w:tc>
        <w:tc>
          <w:tcPr>
            <w:tcW w:w="1798" w:type="dxa"/>
            <w:tcBorders>
              <w:top w:val="single" w:color="auto" w:sz="4" w:space="0"/>
              <w:left w:val="nil"/>
              <w:bottom w:val="single" w:color="auto" w:sz="4" w:space="0"/>
              <w:right w:val="single" w:color="auto" w:sz="4" w:space="0"/>
            </w:tcBorders>
            <w:vAlign w:val="center"/>
          </w:tcPr>
          <w:p w14:paraId="7DD75BAE">
            <w:pPr>
              <w:widowControl/>
              <w:shd w:val="clear"/>
              <w:spacing w:line="3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中型</w:t>
            </w:r>
          </w:p>
        </w:tc>
        <w:tc>
          <w:tcPr>
            <w:tcW w:w="1701" w:type="dxa"/>
            <w:tcBorders>
              <w:top w:val="single" w:color="auto" w:sz="4" w:space="0"/>
              <w:left w:val="nil"/>
              <w:bottom w:val="single" w:color="auto" w:sz="4" w:space="0"/>
              <w:right w:val="single" w:color="auto" w:sz="4" w:space="0"/>
            </w:tcBorders>
            <w:vAlign w:val="center"/>
          </w:tcPr>
          <w:p w14:paraId="198CC2C0">
            <w:pPr>
              <w:widowControl/>
              <w:shd w:val="clear"/>
              <w:spacing w:line="3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小型</w:t>
            </w:r>
          </w:p>
        </w:tc>
        <w:tc>
          <w:tcPr>
            <w:tcW w:w="1201" w:type="dxa"/>
            <w:tcBorders>
              <w:top w:val="single" w:color="auto" w:sz="4" w:space="0"/>
              <w:left w:val="nil"/>
              <w:bottom w:val="single" w:color="auto" w:sz="4" w:space="0"/>
              <w:right w:val="single" w:color="auto" w:sz="4" w:space="0"/>
            </w:tcBorders>
            <w:vAlign w:val="center"/>
          </w:tcPr>
          <w:p w14:paraId="4CE25642">
            <w:pPr>
              <w:widowControl/>
              <w:shd w:val="clear"/>
              <w:spacing w:line="3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微型</w:t>
            </w:r>
          </w:p>
        </w:tc>
      </w:tr>
      <w:tr w14:paraId="7235F563">
        <w:tblPrEx>
          <w:tblCellMar>
            <w:top w:w="0" w:type="dxa"/>
            <w:left w:w="108" w:type="dxa"/>
            <w:bottom w:w="0" w:type="dxa"/>
            <w:right w:w="108" w:type="dxa"/>
          </w:tblCellMar>
        </w:tblPrEx>
        <w:trPr>
          <w:trHeight w:val="225" w:hRule="atLeast"/>
          <w:jc w:val="center"/>
        </w:trPr>
        <w:tc>
          <w:tcPr>
            <w:tcW w:w="1646" w:type="dxa"/>
            <w:tcBorders>
              <w:top w:val="nil"/>
              <w:left w:val="single" w:color="auto" w:sz="4" w:space="0"/>
              <w:bottom w:val="single" w:color="auto" w:sz="4" w:space="0"/>
              <w:right w:val="single" w:color="auto" w:sz="4" w:space="0"/>
            </w:tcBorders>
            <w:vAlign w:val="center"/>
          </w:tcPr>
          <w:p w14:paraId="64E6C68E">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农、林、牧、渔</w:t>
            </w:r>
          </w:p>
        </w:tc>
        <w:tc>
          <w:tcPr>
            <w:tcW w:w="1615" w:type="dxa"/>
            <w:tcBorders>
              <w:top w:val="nil"/>
              <w:left w:val="nil"/>
              <w:bottom w:val="single" w:color="auto" w:sz="4" w:space="0"/>
              <w:right w:val="single" w:color="auto" w:sz="4" w:space="0"/>
            </w:tcBorders>
            <w:vAlign w:val="center"/>
          </w:tcPr>
          <w:p w14:paraId="5807CB76">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09284325">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341FC1C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500≤Y＜20000</w:t>
            </w:r>
          </w:p>
        </w:tc>
        <w:tc>
          <w:tcPr>
            <w:tcW w:w="1701" w:type="dxa"/>
            <w:tcBorders>
              <w:top w:val="nil"/>
              <w:left w:val="nil"/>
              <w:bottom w:val="single" w:color="auto" w:sz="4" w:space="0"/>
              <w:right w:val="single" w:color="auto" w:sz="4" w:space="0"/>
            </w:tcBorders>
            <w:vAlign w:val="center"/>
          </w:tcPr>
          <w:p w14:paraId="72C83F80">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50≤Y＜500</w:t>
            </w:r>
          </w:p>
        </w:tc>
        <w:tc>
          <w:tcPr>
            <w:tcW w:w="1201" w:type="dxa"/>
            <w:tcBorders>
              <w:top w:val="nil"/>
              <w:left w:val="nil"/>
              <w:bottom w:val="single" w:color="auto" w:sz="4" w:space="0"/>
              <w:right w:val="single" w:color="auto" w:sz="4" w:space="0"/>
            </w:tcBorders>
            <w:vAlign w:val="center"/>
          </w:tcPr>
          <w:p w14:paraId="7EDC48B0">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Y＜50</w:t>
            </w:r>
          </w:p>
        </w:tc>
      </w:tr>
      <w:tr w14:paraId="710E3246">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54018EDA">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工业</w:t>
            </w:r>
          </w:p>
        </w:tc>
        <w:tc>
          <w:tcPr>
            <w:tcW w:w="1615" w:type="dxa"/>
            <w:tcBorders>
              <w:top w:val="nil"/>
              <w:left w:val="nil"/>
              <w:bottom w:val="single" w:color="auto" w:sz="4" w:space="0"/>
              <w:right w:val="single" w:color="auto" w:sz="4" w:space="0"/>
            </w:tcBorders>
            <w:vAlign w:val="center"/>
          </w:tcPr>
          <w:p w14:paraId="0FED2027">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0DB08824">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4212C5E4">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6C5FFF0B">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20≤X＜300</w:t>
            </w:r>
          </w:p>
        </w:tc>
        <w:tc>
          <w:tcPr>
            <w:tcW w:w="1201" w:type="dxa"/>
            <w:tcBorders>
              <w:top w:val="nil"/>
              <w:left w:val="nil"/>
              <w:bottom w:val="single" w:color="auto" w:sz="4" w:space="0"/>
              <w:right w:val="single" w:color="auto" w:sz="4" w:space="0"/>
            </w:tcBorders>
            <w:vAlign w:val="center"/>
          </w:tcPr>
          <w:p w14:paraId="640DDA53">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X＜20</w:t>
            </w:r>
          </w:p>
        </w:tc>
      </w:tr>
      <w:tr w14:paraId="004856CA">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2CB87C8A">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28075D45">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139FC7C1">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6D0AD86A">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2000≤Y＜40000</w:t>
            </w:r>
          </w:p>
        </w:tc>
        <w:tc>
          <w:tcPr>
            <w:tcW w:w="1701" w:type="dxa"/>
            <w:tcBorders>
              <w:top w:val="nil"/>
              <w:left w:val="nil"/>
              <w:bottom w:val="single" w:color="auto" w:sz="4" w:space="0"/>
              <w:right w:val="single" w:color="auto" w:sz="4" w:space="0"/>
            </w:tcBorders>
            <w:vAlign w:val="center"/>
          </w:tcPr>
          <w:p w14:paraId="3B4D07EA">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300≤Y＜2000</w:t>
            </w:r>
          </w:p>
        </w:tc>
        <w:tc>
          <w:tcPr>
            <w:tcW w:w="1201" w:type="dxa"/>
            <w:tcBorders>
              <w:top w:val="nil"/>
              <w:left w:val="nil"/>
              <w:bottom w:val="single" w:color="auto" w:sz="4" w:space="0"/>
              <w:right w:val="single" w:color="auto" w:sz="4" w:space="0"/>
            </w:tcBorders>
            <w:vAlign w:val="center"/>
          </w:tcPr>
          <w:p w14:paraId="3301BB19">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Y＜300</w:t>
            </w:r>
          </w:p>
        </w:tc>
      </w:tr>
      <w:tr w14:paraId="7DE20487">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4FEC4BD6">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建筑业</w:t>
            </w:r>
          </w:p>
        </w:tc>
        <w:tc>
          <w:tcPr>
            <w:tcW w:w="1615" w:type="dxa"/>
            <w:tcBorders>
              <w:top w:val="nil"/>
              <w:left w:val="nil"/>
              <w:bottom w:val="single" w:color="auto" w:sz="4" w:space="0"/>
              <w:right w:val="single" w:color="auto" w:sz="4" w:space="0"/>
            </w:tcBorders>
            <w:vAlign w:val="center"/>
          </w:tcPr>
          <w:p w14:paraId="48BD4485">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52D4B8A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1DB3F05A">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6000≤Y＜80000</w:t>
            </w:r>
          </w:p>
        </w:tc>
        <w:tc>
          <w:tcPr>
            <w:tcW w:w="1701" w:type="dxa"/>
            <w:tcBorders>
              <w:top w:val="nil"/>
              <w:left w:val="nil"/>
              <w:bottom w:val="single" w:color="auto" w:sz="4" w:space="0"/>
              <w:right w:val="single" w:color="auto" w:sz="4" w:space="0"/>
            </w:tcBorders>
            <w:vAlign w:val="center"/>
          </w:tcPr>
          <w:p w14:paraId="227EBB6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300≤Y＜6000</w:t>
            </w:r>
          </w:p>
        </w:tc>
        <w:tc>
          <w:tcPr>
            <w:tcW w:w="1201" w:type="dxa"/>
            <w:tcBorders>
              <w:top w:val="nil"/>
              <w:left w:val="nil"/>
              <w:bottom w:val="single" w:color="auto" w:sz="4" w:space="0"/>
              <w:right w:val="single" w:color="auto" w:sz="4" w:space="0"/>
            </w:tcBorders>
            <w:vAlign w:val="center"/>
          </w:tcPr>
          <w:p w14:paraId="73C5C94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Y＜300</w:t>
            </w:r>
          </w:p>
        </w:tc>
      </w:tr>
      <w:tr w14:paraId="093C3790">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2EB7875D">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5667B6F1">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资产总额（Z）</w:t>
            </w:r>
          </w:p>
        </w:tc>
        <w:tc>
          <w:tcPr>
            <w:tcW w:w="1179" w:type="dxa"/>
            <w:tcBorders>
              <w:top w:val="nil"/>
              <w:left w:val="nil"/>
              <w:bottom w:val="single" w:color="auto" w:sz="4" w:space="0"/>
              <w:right w:val="single" w:color="auto" w:sz="4" w:space="0"/>
            </w:tcBorders>
            <w:vAlign w:val="center"/>
          </w:tcPr>
          <w:p w14:paraId="17219BC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73D0F6DF">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5000≤Z＜80000</w:t>
            </w:r>
          </w:p>
        </w:tc>
        <w:tc>
          <w:tcPr>
            <w:tcW w:w="1701" w:type="dxa"/>
            <w:tcBorders>
              <w:top w:val="nil"/>
              <w:left w:val="nil"/>
              <w:bottom w:val="single" w:color="auto" w:sz="4" w:space="0"/>
              <w:right w:val="single" w:color="auto" w:sz="4" w:space="0"/>
            </w:tcBorders>
            <w:vAlign w:val="center"/>
          </w:tcPr>
          <w:p w14:paraId="5A6327DB">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300≤Z＜5000</w:t>
            </w:r>
          </w:p>
        </w:tc>
        <w:tc>
          <w:tcPr>
            <w:tcW w:w="1201" w:type="dxa"/>
            <w:tcBorders>
              <w:top w:val="nil"/>
              <w:left w:val="nil"/>
              <w:bottom w:val="single" w:color="auto" w:sz="4" w:space="0"/>
              <w:right w:val="single" w:color="auto" w:sz="4" w:space="0"/>
            </w:tcBorders>
            <w:vAlign w:val="center"/>
          </w:tcPr>
          <w:p w14:paraId="4F97CCAB">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Z＜300</w:t>
            </w:r>
          </w:p>
        </w:tc>
      </w:tr>
      <w:tr w14:paraId="3FA7542F">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10B64E29">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批发业</w:t>
            </w:r>
          </w:p>
        </w:tc>
        <w:tc>
          <w:tcPr>
            <w:tcW w:w="1615" w:type="dxa"/>
            <w:tcBorders>
              <w:top w:val="nil"/>
              <w:left w:val="nil"/>
              <w:bottom w:val="single" w:color="auto" w:sz="4" w:space="0"/>
              <w:right w:val="single" w:color="auto" w:sz="4" w:space="0"/>
            </w:tcBorders>
            <w:vAlign w:val="center"/>
          </w:tcPr>
          <w:p w14:paraId="2A1C6477">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70429651">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4079ABB1">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20≤X＜200</w:t>
            </w:r>
          </w:p>
        </w:tc>
        <w:tc>
          <w:tcPr>
            <w:tcW w:w="1701" w:type="dxa"/>
            <w:tcBorders>
              <w:top w:val="nil"/>
              <w:left w:val="nil"/>
              <w:bottom w:val="single" w:color="auto" w:sz="4" w:space="0"/>
              <w:right w:val="single" w:color="auto" w:sz="4" w:space="0"/>
            </w:tcBorders>
            <w:vAlign w:val="center"/>
          </w:tcPr>
          <w:p w14:paraId="51280091">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5≤X＜20</w:t>
            </w:r>
          </w:p>
        </w:tc>
        <w:tc>
          <w:tcPr>
            <w:tcW w:w="1201" w:type="dxa"/>
            <w:tcBorders>
              <w:top w:val="nil"/>
              <w:left w:val="nil"/>
              <w:bottom w:val="single" w:color="auto" w:sz="4" w:space="0"/>
              <w:right w:val="single" w:color="auto" w:sz="4" w:space="0"/>
            </w:tcBorders>
            <w:vAlign w:val="center"/>
          </w:tcPr>
          <w:p w14:paraId="0730D41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X＜5</w:t>
            </w:r>
          </w:p>
        </w:tc>
      </w:tr>
      <w:tr w14:paraId="5FC33BF6">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66BBF04E">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611700F9">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1AB5DB2E">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1588A43A">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5000≤Y＜40000</w:t>
            </w:r>
          </w:p>
        </w:tc>
        <w:tc>
          <w:tcPr>
            <w:tcW w:w="1701" w:type="dxa"/>
            <w:tcBorders>
              <w:top w:val="nil"/>
              <w:left w:val="nil"/>
              <w:bottom w:val="single" w:color="auto" w:sz="4" w:space="0"/>
              <w:right w:val="single" w:color="auto" w:sz="4" w:space="0"/>
            </w:tcBorders>
            <w:vAlign w:val="center"/>
          </w:tcPr>
          <w:p w14:paraId="438ECFCF">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1000≤Y＜5000</w:t>
            </w:r>
          </w:p>
        </w:tc>
        <w:tc>
          <w:tcPr>
            <w:tcW w:w="1201" w:type="dxa"/>
            <w:tcBorders>
              <w:top w:val="nil"/>
              <w:left w:val="nil"/>
              <w:bottom w:val="single" w:color="auto" w:sz="4" w:space="0"/>
              <w:right w:val="single" w:color="auto" w:sz="4" w:space="0"/>
            </w:tcBorders>
            <w:vAlign w:val="center"/>
          </w:tcPr>
          <w:p w14:paraId="32473DDA">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Y＜1000</w:t>
            </w:r>
          </w:p>
        </w:tc>
      </w:tr>
      <w:tr w14:paraId="04424E81">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1E447408">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零售业</w:t>
            </w:r>
          </w:p>
        </w:tc>
        <w:tc>
          <w:tcPr>
            <w:tcW w:w="1615" w:type="dxa"/>
            <w:tcBorders>
              <w:top w:val="nil"/>
              <w:left w:val="nil"/>
              <w:bottom w:val="single" w:color="auto" w:sz="4" w:space="0"/>
              <w:right w:val="single" w:color="auto" w:sz="4" w:space="0"/>
            </w:tcBorders>
            <w:vAlign w:val="center"/>
          </w:tcPr>
          <w:p w14:paraId="0F4D245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0F8CE283">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3E4C7748">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50≤X＜300</w:t>
            </w:r>
          </w:p>
        </w:tc>
        <w:tc>
          <w:tcPr>
            <w:tcW w:w="1701" w:type="dxa"/>
            <w:tcBorders>
              <w:top w:val="nil"/>
              <w:left w:val="nil"/>
              <w:bottom w:val="single" w:color="auto" w:sz="4" w:space="0"/>
              <w:right w:val="single" w:color="auto" w:sz="4" w:space="0"/>
            </w:tcBorders>
            <w:vAlign w:val="center"/>
          </w:tcPr>
          <w:p w14:paraId="00BCDEC6">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10≤X＜50</w:t>
            </w:r>
          </w:p>
        </w:tc>
        <w:tc>
          <w:tcPr>
            <w:tcW w:w="1201" w:type="dxa"/>
            <w:tcBorders>
              <w:top w:val="nil"/>
              <w:left w:val="nil"/>
              <w:bottom w:val="single" w:color="auto" w:sz="4" w:space="0"/>
              <w:right w:val="single" w:color="auto" w:sz="4" w:space="0"/>
            </w:tcBorders>
            <w:vAlign w:val="center"/>
          </w:tcPr>
          <w:p w14:paraId="71FD8148">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63F7DC9C">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0CD73E02">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59053E94">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16F9B47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6025DBA4">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500≤Y＜20000</w:t>
            </w:r>
          </w:p>
        </w:tc>
        <w:tc>
          <w:tcPr>
            <w:tcW w:w="1701" w:type="dxa"/>
            <w:tcBorders>
              <w:top w:val="nil"/>
              <w:left w:val="nil"/>
              <w:bottom w:val="single" w:color="auto" w:sz="4" w:space="0"/>
              <w:right w:val="single" w:color="auto" w:sz="4" w:space="0"/>
            </w:tcBorders>
            <w:vAlign w:val="center"/>
          </w:tcPr>
          <w:p w14:paraId="09400570">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100≤Y＜500</w:t>
            </w:r>
          </w:p>
        </w:tc>
        <w:tc>
          <w:tcPr>
            <w:tcW w:w="1201" w:type="dxa"/>
            <w:tcBorders>
              <w:top w:val="nil"/>
              <w:left w:val="nil"/>
              <w:bottom w:val="single" w:color="auto" w:sz="4" w:space="0"/>
              <w:right w:val="single" w:color="auto" w:sz="4" w:space="0"/>
            </w:tcBorders>
            <w:vAlign w:val="center"/>
          </w:tcPr>
          <w:p w14:paraId="1C6DD76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50D2B396">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4603A750">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交通运输业</w:t>
            </w:r>
          </w:p>
        </w:tc>
        <w:tc>
          <w:tcPr>
            <w:tcW w:w="1615" w:type="dxa"/>
            <w:tcBorders>
              <w:top w:val="nil"/>
              <w:left w:val="nil"/>
              <w:bottom w:val="single" w:color="auto" w:sz="4" w:space="0"/>
              <w:right w:val="single" w:color="auto" w:sz="4" w:space="0"/>
            </w:tcBorders>
            <w:vAlign w:val="center"/>
          </w:tcPr>
          <w:p w14:paraId="28D4F657">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579CA237">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4FDA207E">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7A3896F5">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20≤X＜300</w:t>
            </w:r>
          </w:p>
        </w:tc>
        <w:tc>
          <w:tcPr>
            <w:tcW w:w="1201" w:type="dxa"/>
            <w:tcBorders>
              <w:top w:val="nil"/>
              <w:left w:val="nil"/>
              <w:bottom w:val="single" w:color="auto" w:sz="4" w:space="0"/>
              <w:right w:val="single" w:color="auto" w:sz="4" w:space="0"/>
            </w:tcBorders>
            <w:vAlign w:val="center"/>
          </w:tcPr>
          <w:p w14:paraId="5E21773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X＜20</w:t>
            </w:r>
          </w:p>
        </w:tc>
      </w:tr>
      <w:tr w14:paraId="5FBA32E1">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07FD9370">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30FF69F9">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01BA4589">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600B4E76">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3000≤Y＜30000</w:t>
            </w:r>
          </w:p>
        </w:tc>
        <w:tc>
          <w:tcPr>
            <w:tcW w:w="1701" w:type="dxa"/>
            <w:tcBorders>
              <w:top w:val="nil"/>
              <w:left w:val="nil"/>
              <w:bottom w:val="single" w:color="auto" w:sz="4" w:space="0"/>
              <w:right w:val="single" w:color="auto" w:sz="4" w:space="0"/>
            </w:tcBorders>
            <w:vAlign w:val="center"/>
          </w:tcPr>
          <w:p w14:paraId="68390454">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200≤Y＜3000</w:t>
            </w:r>
          </w:p>
        </w:tc>
        <w:tc>
          <w:tcPr>
            <w:tcW w:w="1201" w:type="dxa"/>
            <w:tcBorders>
              <w:top w:val="nil"/>
              <w:left w:val="nil"/>
              <w:bottom w:val="single" w:color="auto" w:sz="4" w:space="0"/>
              <w:right w:val="single" w:color="auto" w:sz="4" w:space="0"/>
            </w:tcBorders>
            <w:vAlign w:val="center"/>
          </w:tcPr>
          <w:p w14:paraId="04AE1D8F">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Y＜200</w:t>
            </w:r>
          </w:p>
        </w:tc>
      </w:tr>
      <w:tr w14:paraId="2F7DB714">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33C9484E">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仓储业</w:t>
            </w:r>
          </w:p>
        </w:tc>
        <w:tc>
          <w:tcPr>
            <w:tcW w:w="1615" w:type="dxa"/>
            <w:tcBorders>
              <w:top w:val="nil"/>
              <w:left w:val="nil"/>
              <w:bottom w:val="single" w:color="auto" w:sz="4" w:space="0"/>
              <w:right w:val="single" w:color="auto" w:sz="4" w:space="0"/>
            </w:tcBorders>
            <w:vAlign w:val="center"/>
          </w:tcPr>
          <w:p w14:paraId="586F17B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7E9514AE">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0BED9241">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100≤X＜200</w:t>
            </w:r>
          </w:p>
        </w:tc>
        <w:tc>
          <w:tcPr>
            <w:tcW w:w="1701" w:type="dxa"/>
            <w:tcBorders>
              <w:top w:val="nil"/>
              <w:left w:val="nil"/>
              <w:bottom w:val="single" w:color="auto" w:sz="4" w:space="0"/>
              <w:right w:val="single" w:color="auto" w:sz="4" w:space="0"/>
            </w:tcBorders>
            <w:vAlign w:val="center"/>
          </w:tcPr>
          <w:p w14:paraId="03674F0B">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20≤X＜100</w:t>
            </w:r>
          </w:p>
        </w:tc>
        <w:tc>
          <w:tcPr>
            <w:tcW w:w="1201" w:type="dxa"/>
            <w:tcBorders>
              <w:top w:val="nil"/>
              <w:left w:val="nil"/>
              <w:bottom w:val="single" w:color="auto" w:sz="4" w:space="0"/>
              <w:right w:val="single" w:color="auto" w:sz="4" w:space="0"/>
            </w:tcBorders>
            <w:vAlign w:val="center"/>
          </w:tcPr>
          <w:p w14:paraId="72BE18F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X＜20</w:t>
            </w:r>
          </w:p>
        </w:tc>
      </w:tr>
      <w:tr w14:paraId="196CCC53">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609DA8EE">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468AB1E3">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6BB0E09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2DF550A9">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1000≤Y＜30000</w:t>
            </w:r>
          </w:p>
        </w:tc>
        <w:tc>
          <w:tcPr>
            <w:tcW w:w="1701" w:type="dxa"/>
            <w:tcBorders>
              <w:top w:val="nil"/>
              <w:left w:val="nil"/>
              <w:bottom w:val="single" w:color="auto" w:sz="4" w:space="0"/>
              <w:right w:val="single" w:color="auto" w:sz="4" w:space="0"/>
            </w:tcBorders>
            <w:vAlign w:val="center"/>
          </w:tcPr>
          <w:p w14:paraId="46D06AE3">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100≤Y＜1000</w:t>
            </w:r>
          </w:p>
        </w:tc>
        <w:tc>
          <w:tcPr>
            <w:tcW w:w="1201" w:type="dxa"/>
            <w:tcBorders>
              <w:top w:val="nil"/>
              <w:left w:val="nil"/>
              <w:bottom w:val="single" w:color="auto" w:sz="4" w:space="0"/>
              <w:right w:val="single" w:color="auto" w:sz="4" w:space="0"/>
            </w:tcBorders>
            <w:vAlign w:val="center"/>
          </w:tcPr>
          <w:p w14:paraId="2DB05AB8">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2BD5096F">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1537FC94">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邮政业</w:t>
            </w:r>
          </w:p>
        </w:tc>
        <w:tc>
          <w:tcPr>
            <w:tcW w:w="1615" w:type="dxa"/>
            <w:tcBorders>
              <w:top w:val="nil"/>
              <w:left w:val="nil"/>
              <w:bottom w:val="single" w:color="auto" w:sz="4" w:space="0"/>
              <w:right w:val="single" w:color="auto" w:sz="4" w:space="0"/>
            </w:tcBorders>
            <w:vAlign w:val="center"/>
          </w:tcPr>
          <w:p w14:paraId="7ED2EAD9">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7010EEDA">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582AE13A">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0D551B6A">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20≤X＜300</w:t>
            </w:r>
          </w:p>
        </w:tc>
        <w:tc>
          <w:tcPr>
            <w:tcW w:w="1201" w:type="dxa"/>
            <w:tcBorders>
              <w:top w:val="nil"/>
              <w:left w:val="nil"/>
              <w:bottom w:val="single" w:color="auto" w:sz="4" w:space="0"/>
              <w:right w:val="single" w:color="auto" w:sz="4" w:space="0"/>
            </w:tcBorders>
            <w:vAlign w:val="center"/>
          </w:tcPr>
          <w:p w14:paraId="5278F734">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X＜20</w:t>
            </w:r>
          </w:p>
        </w:tc>
      </w:tr>
      <w:tr w14:paraId="704265B7">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5883E800">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211D8504">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25ADD415">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6E1499D5">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2000≤Y＜30000</w:t>
            </w:r>
          </w:p>
        </w:tc>
        <w:tc>
          <w:tcPr>
            <w:tcW w:w="1701" w:type="dxa"/>
            <w:tcBorders>
              <w:top w:val="nil"/>
              <w:left w:val="nil"/>
              <w:bottom w:val="single" w:color="auto" w:sz="4" w:space="0"/>
              <w:right w:val="single" w:color="auto" w:sz="4" w:space="0"/>
            </w:tcBorders>
            <w:vAlign w:val="center"/>
          </w:tcPr>
          <w:p w14:paraId="4C1C9C9E">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100≤Y＜2000</w:t>
            </w:r>
          </w:p>
        </w:tc>
        <w:tc>
          <w:tcPr>
            <w:tcW w:w="1201" w:type="dxa"/>
            <w:tcBorders>
              <w:top w:val="nil"/>
              <w:left w:val="nil"/>
              <w:bottom w:val="single" w:color="auto" w:sz="4" w:space="0"/>
              <w:right w:val="single" w:color="auto" w:sz="4" w:space="0"/>
            </w:tcBorders>
            <w:vAlign w:val="center"/>
          </w:tcPr>
          <w:p w14:paraId="7EEE96B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35E771FA">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3281773D">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住宿业</w:t>
            </w:r>
          </w:p>
        </w:tc>
        <w:tc>
          <w:tcPr>
            <w:tcW w:w="1615" w:type="dxa"/>
            <w:tcBorders>
              <w:top w:val="nil"/>
              <w:left w:val="nil"/>
              <w:bottom w:val="single" w:color="auto" w:sz="4" w:space="0"/>
              <w:right w:val="single" w:color="auto" w:sz="4" w:space="0"/>
            </w:tcBorders>
            <w:vAlign w:val="center"/>
          </w:tcPr>
          <w:p w14:paraId="5A3A36C7">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31FA2BB3">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5DB8432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3CB917D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201" w:type="dxa"/>
            <w:tcBorders>
              <w:top w:val="nil"/>
              <w:left w:val="nil"/>
              <w:bottom w:val="single" w:color="auto" w:sz="4" w:space="0"/>
              <w:right w:val="single" w:color="auto" w:sz="4" w:space="0"/>
            </w:tcBorders>
            <w:vAlign w:val="center"/>
          </w:tcPr>
          <w:p w14:paraId="52826EE6">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6CDB2412">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39665B3C">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1D4F8AA0">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67C5A034">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4282C1AE">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2000≤Y＜10000</w:t>
            </w:r>
          </w:p>
        </w:tc>
        <w:tc>
          <w:tcPr>
            <w:tcW w:w="1701" w:type="dxa"/>
            <w:tcBorders>
              <w:top w:val="nil"/>
              <w:left w:val="nil"/>
              <w:bottom w:val="single" w:color="auto" w:sz="4" w:space="0"/>
              <w:right w:val="single" w:color="auto" w:sz="4" w:space="0"/>
            </w:tcBorders>
            <w:vAlign w:val="center"/>
          </w:tcPr>
          <w:p w14:paraId="1E924731">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100≤Y＜2000</w:t>
            </w:r>
          </w:p>
        </w:tc>
        <w:tc>
          <w:tcPr>
            <w:tcW w:w="1201" w:type="dxa"/>
            <w:tcBorders>
              <w:top w:val="nil"/>
              <w:left w:val="nil"/>
              <w:bottom w:val="single" w:color="auto" w:sz="4" w:space="0"/>
              <w:right w:val="single" w:color="auto" w:sz="4" w:space="0"/>
            </w:tcBorders>
            <w:vAlign w:val="center"/>
          </w:tcPr>
          <w:p w14:paraId="33F2AC50">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03E650A2">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18F3C372">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餐饮业</w:t>
            </w:r>
          </w:p>
        </w:tc>
        <w:tc>
          <w:tcPr>
            <w:tcW w:w="1615" w:type="dxa"/>
            <w:tcBorders>
              <w:top w:val="nil"/>
              <w:left w:val="nil"/>
              <w:bottom w:val="single" w:color="auto" w:sz="4" w:space="0"/>
              <w:right w:val="single" w:color="auto" w:sz="4" w:space="0"/>
            </w:tcBorders>
            <w:vAlign w:val="center"/>
          </w:tcPr>
          <w:p w14:paraId="003A34CB">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561A4D48">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51AAA748">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2801E90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201" w:type="dxa"/>
            <w:tcBorders>
              <w:top w:val="nil"/>
              <w:left w:val="nil"/>
              <w:bottom w:val="single" w:color="auto" w:sz="4" w:space="0"/>
              <w:right w:val="single" w:color="auto" w:sz="4" w:space="0"/>
            </w:tcBorders>
            <w:vAlign w:val="center"/>
          </w:tcPr>
          <w:p w14:paraId="4A9AF637">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6735ACAD">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3DBAFE55">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4B4F28EE">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16FA7C35">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629125B6">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2000≤Y＜10000</w:t>
            </w:r>
          </w:p>
        </w:tc>
        <w:tc>
          <w:tcPr>
            <w:tcW w:w="1701" w:type="dxa"/>
            <w:tcBorders>
              <w:top w:val="nil"/>
              <w:left w:val="nil"/>
              <w:bottom w:val="single" w:color="auto" w:sz="4" w:space="0"/>
              <w:right w:val="single" w:color="auto" w:sz="4" w:space="0"/>
            </w:tcBorders>
            <w:vAlign w:val="center"/>
          </w:tcPr>
          <w:p w14:paraId="1B07347C">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100≤Y＜2000</w:t>
            </w:r>
          </w:p>
        </w:tc>
        <w:tc>
          <w:tcPr>
            <w:tcW w:w="1201" w:type="dxa"/>
            <w:tcBorders>
              <w:top w:val="nil"/>
              <w:left w:val="nil"/>
              <w:bottom w:val="single" w:color="auto" w:sz="4" w:space="0"/>
              <w:right w:val="single" w:color="auto" w:sz="4" w:space="0"/>
            </w:tcBorders>
            <w:vAlign w:val="center"/>
          </w:tcPr>
          <w:p w14:paraId="48B29FE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2AB9AEB7">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70355E71">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信息传输业</w:t>
            </w:r>
          </w:p>
        </w:tc>
        <w:tc>
          <w:tcPr>
            <w:tcW w:w="1615" w:type="dxa"/>
            <w:tcBorders>
              <w:top w:val="nil"/>
              <w:left w:val="nil"/>
              <w:bottom w:val="single" w:color="auto" w:sz="4" w:space="0"/>
              <w:right w:val="single" w:color="auto" w:sz="4" w:space="0"/>
            </w:tcBorders>
            <w:vAlign w:val="center"/>
          </w:tcPr>
          <w:p w14:paraId="780C925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0C1B0AD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7B9C631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100≤X＜2000</w:t>
            </w:r>
          </w:p>
        </w:tc>
        <w:tc>
          <w:tcPr>
            <w:tcW w:w="1701" w:type="dxa"/>
            <w:tcBorders>
              <w:top w:val="nil"/>
              <w:left w:val="nil"/>
              <w:bottom w:val="single" w:color="auto" w:sz="4" w:space="0"/>
              <w:right w:val="single" w:color="auto" w:sz="4" w:space="0"/>
            </w:tcBorders>
            <w:vAlign w:val="center"/>
          </w:tcPr>
          <w:p w14:paraId="5D0014DE">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201" w:type="dxa"/>
            <w:tcBorders>
              <w:top w:val="nil"/>
              <w:left w:val="nil"/>
              <w:bottom w:val="single" w:color="auto" w:sz="4" w:space="0"/>
              <w:right w:val="single" w:color="auto" w:sz="4" w:space="0"/>
            </w:tcBorders>
            <w:vAlign w:val="center"/>
          </w:tcPr>
          <w:p w14:paraId="3C0B1F33">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6C40DF06">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65CA0E17">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4EA712D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3A54DF65">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6577A4CB">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1000≤Y＜100000</w:t>
            </w:r>
          </w:p>
        </w:tc>
        <w:tc>
          <w:tcPr>
            <w:tcW w:w="1701" w:type="dxa"/>
            <w:tcBorders>
              <w:top w:val="nil"/>
              <w:left w:val="nil"/>
              <w:bottom w:val="single" w:color="auto" w:sz="4" w:space="0"/>
              <w:right w:val="single" w:color="auto" w:sz="4" w:space="0"/>
            </w:tcBorders>
            <w:vAlign w:val="center"/>
          </w:tcPr>
          <w:p w14:paraId="091B2891">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100≤Y＜1000</w:t>
            </w:r>
          </w:p>
        </w:tc>
        <w:tc>
          <w:tcPr>
            <w:tcW w:w="1201" w:type="dxa"/>
            <w:tcBorders>
              <w:top w:val="nil"/>
              <w:left w:val="nil"/>
              <w:bottom w:val="single" w:color="auto" w:sz="4" w:space="0"/>
              <w:right w:val="single" w:color="auto" w:sz="4" w:space="0"/>
            </w:tcBorders>
            <w:vAlign w:val="center"/>
          </w:tcPr>
          <w:p w14:paraId="523D0F3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66BAEAE5">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17377853">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软件和信息技术服务业</w:t>
            </w:r>
          </w:p>
        </w:tc>
        <w:tc>
          <w:tcPr>
            <w:tcW w:w="1615" w:type="dxa"/>
            <w:tcBorders>
              <w:top w:val="nil"/>
              <w:left w:val="nil"/>
              <w:bottom w:val="single" w:color="auto" w:sz="4" w:space="0"/>
              <w:right w:val="single" w:color="auto" w:sz="4" w:space="0"/>
            </w:tcBorders>
            <w:vAlign w:val="center"/>
          </w:tcPr>
          <w:p w14:paraId="1170AF9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0828E54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62A1BF86">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62A69AC4">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201" w:type="dxa"/>
            <w:tcBorders>
              <w:top w:val="nil"/>
              <w:left w:val="nil"/>
              <w:bottom w:val="single" w:color="auto" w:sz="4" w:space="0"/>
              <w:right w:val="single" w:color="auto" w:sz="4" w:space="0"/>
            </w:tcBorders>
            <w:vAlign w:val="center"/>
          </w:tcPr>
          <w:p w14:paraId="4E3ECB4E">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71212E41">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684036F5">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20D01A9F">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6C0CA11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1F5CCA58">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1000≤Y＜10000</w:t>
            </w:r>
          </w:p>
        </w:tc>
        <w:tc>
          <w:tcPr>
            <w:tcW w:w="1701" w:type="dxa"/>
            <w:tcBorders>
              <w:top w:val="nil"/>
              <w:left w:val="nil"/>
              <w:bottom w:val="single" w:color="auto" w:sz="4" w:space="0"/>
              <w:right w:val="single" w:color="auto" w:sz="4" w:space="0"/>
            </w:tcBorders>
            <w:vAlign w:val="center"/>
          </w:tcPr>
          <w:p w14:paraId="1E485F3B">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50≤Y＜1000</w:t>
            </w:r>
          </w:p>
        </w:tc>
        <w:tc>
          <w:tcPr>
            <w:tcW w:w="1201" w:type="dxa"/>
            <w:tcBorders>
              <w:top w:val="nil"/>
              <w:left w:val="nil"/>
              <w:bottom w:val="single" w:color="auto" w:sz="4" w:space="0"/>
              <w:right w:val="single" w:color="auto" w:sz="4" w:space="0"/>
            </w:tcBorders>
            <w:vAlign w:val="center"/>
          </w:tcPr>
          <w:p w14:paraId="5908EDD6">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Y＜50</w:t>
            </w:r>
          </w:p>
        </w:tc>
      </w:tr>
      <w:tr w14:paraId="2FB420F4">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25FBEDD8">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房地产开发经营</w:t>
            </w:r>
          </w:p>
        </w:tc>
        <w:tc>
          <w:tcPr>
            <w:tcW w:w="1615" w:type="dxa"/>
            <w:tcBorders>
              <w:top w:val="nil"/>
              <w:left w:val="nil"/>
              <w:bottom w:val="single" w:color="auto" w:sz="4" w:space="0"/>
              <w:right w:val="single" w:color="auto" w:sz="4" w:space="0"/>
            </w:tcBorders>
            <w:vAlign w:val="center"/>
          </w:tcPr>
          <w:p w14:paraId="18B98D29">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207B04DC">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046A72A5">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1000≤Y＜200000</w:t>
            </w:r>
          </w:p>
        </w:tc>
        <w:tc>
          <w:tcPr>
            <w:tcW w:w="1701" w:type="dxa"/>
            <w:tcBorders>
              <w:top w:val="nil"/>
              <w:left w:val="nil"/>
              <w:bottom w:val="single" w:color="auto" w:sz="4" w:space="0"/>
              <w:right w:val="single" w:color="auto" w:sz="4" w:space="0"/>
            </w:tcBorders>
            <w:vAlign w:val="center"/>
          </w:tcPr>
          <w:p w14:paraId="28D01B19">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100≤X＜1000</w:t>
            </w:r>
          </w:p>
        </w:tc>
        <w:tc>
          <w:tcPr>
            <w:tcW w:w="1201" w:type="dxa"/>
            <w:tcBorders>
              <w:top w:val="nil"/>
              <w:left w:val="nil"/>
              <w:bottom w:val="single" w:color="auto" w:sz="4" w:space="0"/>
              <w:right w:val="single" w:color="auto" w:sz="4" w:space="0"/>
            </w:tcBorders>
            <w:vAlign w:val="center"/>
          </w:tcPr>
          <w:p w14:paraId="4B965A64">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X＜100</w:t>
            </w:r>
          </w:p>
        </w:tc>
      </w:tr>
      <w:tr w14:paraId="1DCD53B1">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5CE16169">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7C85E9E6">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资产总额（Z）</w:t>
            </w:r>
          </w:p>
        </w:tc>
        <w:tc>
          <w:tcPr>
            <w:tcW w:w="1179" w:type="dxa"/>
            <w:tcBorders>
              <w:top w:val="nil"/>
              <w:left w:val="nil"/>
              <w:bottom w:val="single" w:color="auto" w:sz="4" w:space="0"/>
              <w:right w:val="single" w:color="auto" w:sz="4" w:space="0"/>
            </w:tcBorders>
            <w:vAlign w:val="center"/>
          </w:tcPr>
          <w:p w14:paraId="41CC6125">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2580C037">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5000≤Z＜10000</w:t>
            </w:r>
          </w:p>
        </w:tc>
        <w:tc>
          <w:tcPr>
            <w:tcW w:w="1701" w:type="dxa"/>
            <w:tcBorders>
              <w:top w:val="nil"/>
              <w:left w:val="nil"/>
              <w:bottom w:val="single" w:color="auto" w:sz="4" w:space="0"/>
              <w:right w:val="single" w:color="auto" w:sz="4" w:space="0"/>
            </w:tcBorders>
            <w:vAlign w:val="center"/>
          </w:tcPr>
          <w:p w14:paraId="72FF651C">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2000≤Y＜5000</w:t>
            </w:r>
          </w:p>
        </w:tc>
        <w:tc>
          <w:tcPr>
            <w:tcW w:w="1201" w:type="dxa"/>
            <w:tcBorders>
              <w:top w:val="nil"/>
              <w:left w:val="nil"/>
              <w:bottom w:val="single" w:color="auto" w:sz="4" w:space="0"/>
              <w:right w:val="single" w:color="auto" w:sz="4" w:space="0"/>
            </w:tcBorders>
            <w:vAlign w:val="center"/>
          </w:tcPr>
          <w:p w14:paraId="03CA5A9F">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Y＜2000</w:t>
            </w:r>
          </w:p>
        </w:tc>
      </w:tr>
      <w:tr w14:paraId="74460C1E">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21674EB3">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物业管理</w:t>
            </w:r>
          </w:p>
        </w:tc>
        <w:tc>
          <w:tcPr>
            <w:tcW w:w="1615" w:type="dxa"/>
            <w:tcBorders>
              <w:top w:val="nil"/>
              <w:left w:val="nil"/>
              <w:bottom w:val="single" w:color="auto" w:sz="4" w:space="0"/>
              <w:right w:val="single" w:color="auto" w:sz="4" w:space="0"/>
            </w:tcBorders>
            <w:vAlign w:val="center"/>
          </w:tcPr>
          <w:p w14:paraId="77603018">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12D50C77">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456A3618">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77CDF7E5">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201" w:type="dxa"/>
            <w:tcBorders>
              <w:top w:val="nil"/>
              <w:left w:val="nil"/>
              <w:bottom w:val="single" w:color="auto" w:sz="4" w:space="0"/>
              <w:right w:val="single" w:color="auto" w:sz="4" w:space="0"/>
            </w:tcBorders>
            <w:vAlign w:val="center"/>
          </w:tcPr>
          <w:p w14:paraId="2C25703D">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X＜100</w:t>
            </w:r>
          </w:p>
        </w:tc>
      </w:tr>
      <w:tr w14:paraId="1734F8E8">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051DB2E0">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5388A3E1">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营业收入（Y）</w:t>
            </w:r>
          </w:p>
        </w:tc>
        <w:tc>
          <w:tcPr>
            <w:tcW w:w="1179" w:type="dxa"/>
            <w:tcBorders>
              <w:top w:val="nil"/>
              <w:left w:val="nil"/>
              <w:bottom w:val="single" w:color="auto" w:sz="4" w:space="0"/>
              <w:right w:val="single" w:color="auto" w:sz="4" w:space="0"/>
            </w:tcBorders>
            <w:vAlign w:val="center"/>
          </w:tcPr>
          <w:p w14:paraId="660ED99F">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4396F027">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1000≤Y＜5000</w:t>
            </w:r>
          </w:p>
        </w:tc>
        <w:tc>
          <w:tcPr>
            <w:tcW w:w="1701" w:type="dxa"/>
            <w:tcBorders>
              <w:top w:val="nil"/>
              <w:left w:val="nil"/>
              <w:bottom w:val="single" w:color="auto" w:sz="4" w:space="0"/>
              <w:right w:val="single" w:color="auto" w:sz="4" w:space="0"/>
            </w:tcBorders>
            <w:vAlign w:val="center"/>
          </w:tcPr>
          <w:p w14:paraId="19898748">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500≤Y＜1000</w:t>
            </w:r>
          </w:p>
        </w:tc>
        <w:tc>
          <w:tcPr>
            <w:tcW w:w="1201" w:type="dxa"/>
            <w:tcBorders>
              <w:top w:val="nil"/>
              <w:left w:val="nil"/>
              <w:bottom w:val="single" w:color="auto" w:sz="4" w:space="0"/>
              <w:right w:val="single" w:color="auto" w:sz="4" w:space="0"/>
            </w:tcBorders>
            <w:vAlign w:val="center"/>
          </w:tcPr>
          <w:p w14:paraId="36893448">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Y＜500</w:t>
            </w:r>
          </w:p>
        </w:tc>
      </w:tr>
      <w:tr w14:paraId="11A7E85D">
        <w:tblPrEx>
          <w:tblCellMar>
            <w:top w:w="0" w:type="dxa"/>
            <w:left w:w="108" w:type="dxa"/>
            <w:bottom w:w="0" w:type="dxa"/>
            <w:right w:w="108" w:type="dxa"/>
          </w:tblCellMar>
        </w:tblPrEx>
        <w:trPr>
          <w:trHeight w:val="225" w:hRule="atLeast"/>
          <w:jc w:val="center"/>
        </w:trPr>
        <w:tc>
          <w:tcPr>
            <w:tcW w:w="1646" w:type="dxa"/>
            <w:vMerge w:val="restart"/>
            <w:tcBorders>
              <w:top w:val="nil"/>
              <w:left w:val="single" w:color="auto" w:sz="4" w:space="0"/>
              <w:bottom w:val="single" w:color="auto" w:sz="4" w:space="0"/>
              <w:right w:val="single" w:color="auto" w:sz="4" w:space="0"/>
            </w:tcBorders>
            <w:vAlign w:val="center"/>
          </w:tcPr>
          <w:p w14:paraId="0B65506F">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租赁和商务服务业</w:t>
            </w:r>
          </w:p>
        </w:tc>
        <w:tc>
          <w:tcPr>
            <w:tcW w:w="1615" w:type="dxa"/>
            <w:tcBorders>
              <w:top w:val="nil"/>
              <w:left w:val="nil"/>
              <w:bottom w:val="single" w:color="auto" w:sz="4" w:space="0"/>
              <w:right w:val="single" w:color="auto" w:sz="4" w:space="0"/>
            </w:tcBorders>
            <w:vAlign w:val="center"/>
          </w:tcPr>
          <w:p w14:paraId="297010A6">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4132737C">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47850FF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3A0DA8EC">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201" w:type="dxa"/>
            <w:tcBorders>
              <w:top w:val="nil"/>
              <w:left w:val="nil"/>
              <w:bottom w:val="single" w:color="auto" w:sz="4" w:space="0"/>
              <w:right w:val="single" w:color="auto" w:sz="4" w:space="0"/>
            </w:tcBorders>
            <w:vAlign w:val="center"/>
          </w:tcPr>
          <w:p w14:paraId="3CAB4FEE">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r w14:paraId="4AAEF164">
        <w:tblPrEx>
          <w:tblCellMar>
            <w:top w:w="0" w:type="dxa"/>
            <w:left w:w="108" w:type="dxa"/>
            <w:bottom w:w="0" w:type="dxa"/>
            <w:right w:w="108" w:type="dxa"/>
          </w:tblCellMar>
        </w:tblPrEx>
        <w:trPr>
          <w:trHeight w:val="225" w:hRule="atLeast"/>
          <w:jc w:val="center"/>
        </w:trPr>
        <w:tc>
          <w:tcPr>
            <w:tcW w:w="1646" w:type="dxa"/>
            <w:vMerge w:val="continue"/>
            <w:tcBorders>
              <w:top w:val="nil"/>
              <w:left w:val="single" w:color="auto" w:sz="4" w:space="0"/>
              <w:bottom w:val="single" w:color="auto" w:sz="4" w:space="0"/>
              <w:right w:val="single" w:color="auto" w:sz="4" w:space="0"/>
            </w:tcBorders>
            <w:vAlign w:val="center"/>
          </w:tcPr>
          <w:p w14:paraId="69C5ADD9">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p>
        </w:tc>
        <w:tc>
          <w:tcPr>
            <w:tcW w:w="1615" w:type="dxa"/>
            <w:tcBorders>
              <w:top w:val="nil"/>
              <w:left w:val="nil"/>
              <w:bottom w:val="single" w:color="auto" w:sz="4" w:space="0"/>
              <w:right w:val="single" w:color="auto" w:sz="4" w:space="0"/>
            </w:tcBorders>
            <w:vAlign w:val="center"/>
          </w:tcPr>
          <w:p w14:paraId="7CEB17CF">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资产总额（Z）</w:t>
            </w:r>
          </w:p>
        </w:tc>
        <w:tc>
          <w:tcPr>
            <w:tcW w:w="1179" w:type="dxa"/>
            <w:tcBorders>
              <w:top w:val="nil"/>
              <w:left w:val="nil"/>
              <w:bottom w:val="single" w:color="auto" w:sz="4" w:space="0"/>
              <w:right w:val="single" w:color="auto" w:sz="4" w:space="0"/>
            </w:tcBorders>
            <w:vAlign w:val="center"/>
          </w:tcPr>
          <w:p w14:paraId="589E54E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万元</w:t>
            </w:r>
          </w:p>
        </w:tc>
        <w:tc>
          <w:tcPr>
            <w:tcW w:w="1798" w:type="dxa"/>
            <w:tcBorders>
              <w:top w:val="nil"/>
              <w:left w:val="nil"/>
              <w:bottom w:val="single" w:color="auto" w:sz="4" w:space="0"/>
              <w:right w:val="single" w:color="auto" w:sz="4" w:space="0"/>
            </w:tcBorders>
            <w:vAlign w:val="center"/>
          </w:tcPr>
          <w:p w14:paraId="571BE194">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8000≤Z＜120000</w:t>
            </w:r>
          </w:p>
        </w:tc>
        <w:tc>
          <w:tcPr>
            <w:tcW w:w="1701" w:type="dxa"/>
            <w:tcBorders>
              <w:top w:val="nil"/>
              <w:left w:val="nil"/>
              <w:bottom w:val="single" w:color="auto" w:sz="4" w:space="0"/>
              <w:right w:val="single" w:color="auto" w:sz="4" w:space="0"/>
            </w:tcBorders>
            <w:vAlign w:val="center"/>
          </w:tcPr>
          <w:p w14:paraId="3EB64612">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100≤Z＜8000</w:t>
            </w:r>
          </w:p>
        </w:tc>
        <w:tc>
          <w:tcPr>
            <w:tcW w:w="1201" w:type="dxa"/>
            <w:tcBorders>
              <w:top w:val="nil"/>
              <w:left w:val="nil"/>
              <w:bottom w:val="single" w:color="auto" w:sz="4" w:space="0"/>
              <w:right w:val="single" w:color="auto" w:sz="4" w:space="0"/>
            </w:tcBorders>
            <w:vAlign w:val="center"/>
          </w:tcPr>
          <w:p w14:paraId="7716C459">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Y＜100</w:t>
            </w:r>
          </w:p>
        </w:tc>
      </w:tr>
      <w:tr w14:paraId="73A3216A">
        <w:tblPrEx>
          <w:tblCellMar>
            <w:top w:w="0" w:type="dxa"/>
            <w:left w:w="108" w:type="dxa"/>
            <w:bottom w:w="0" w:type="dxa"/>
            <w:right w:w="108" w:type="dxa"/>
          </w:tblCellMar>
        </w:tblPrEx>
        <w:trPr>
          <w:trHeight w:val="225" w:hRule="atLeast"/>
          <w:jc w:val="center"/>
        </w:trPr>
        <w:tc>
          <w:tcPr>
            <w:tcW w:w="1646" w:type="dxa"/>
            <w:tcBorders>
              <w:top w:val="nil"/>
              <w:left w:val="single" w:color="auto" w:sz="4" w:space="0"/>
              <w:bottom w:val="single" w:color="auto" w:sz="4" w:space="0"/>
              <w:right w:val="single" w:color="auto" w:sz="4" w:space="0"/>
            </w:tcBorders>
            <w:vAlign w:val="center"/>
          </w:tcPr>
          <w:p w14:paraId="0BA57698">
            <w:pPr>
              <w:widowControl/>
              <w:shd w:val="clear"/>
              <w:spacing w:line="34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其他未列明行业</w:t>
            </w:r>
          </w:p>
        </w:tc>
        <w:tc>
          <w:tcPr>
            <w:tcW w:w="1615" w:type="dxa"/>
            <w:tcBorders>
              <w:top w:val="nil"/>
              <w:left w:val="nil"/>
              <w:bottom w:val="single" w:color="auto" w:sz="4" w:space="0"/>
              <w:right w:val="single" w:color="auto" w:sz="4" w:space="0"/>
            </w:tcBorders>
            <w:vAlign w:val="center"/>
          </w:tcPr>
          <w:p w14:paraId="2A899D70">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从业人员（X）</w:t>
            </w:r>
          </w:p>
        </w:tc>
        <w:tc>
          <w:tcPr>
            <w:tcW w:w="1179" w:type="dxa"/>
            <w:tcBorders>
              <w:top w:val="nil"/>
              <w:left w:val="nil"/>
              <w:bottom w:val="single" w:color="auto" w:sz="4" w:space="0"/>
              <w:right w:val="single" w:color="auto" w:sz="4" w:space="0"/>
            </w:tcBorders>
            <w:vAlign w:val="center"/>
          </w:tcPr>
          <w:p w14:paraId="6F4F5EBA">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w:t>
            </w:r>
          </w:p>
        </w:tc>
        <w:tc>
          <w:tcPr>
            <w:tcW w:w="1798" w:type="dxa"/>
            <w:tcBorders>
              <w:top w:val="nil"/>
              <w:left w:val="nil"/>
              <w:bottom w:val="single" w:color="auto" w:sz="4" w:space="0"/>
              <w:right w:val="single" w:color="auto" w:sz="4" w:space="0"/>
            </w:tcBorders>
            <w:vAlign w:val="center"/>
          </w:tcPr>
          <w:p w14:paraId="1A086BA8">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255F6C33">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10≤X＜100</w:t>
            </w:r>
          </w:p>
        </w:tc>
        <w:tc>
          <w:tcPr>
            <w:tcW w:w="1201" w:type="dxa"/>
            <w:tcBorders>
              <w:top w:val="nil"/>
              <w:left w:val="nil"/>
              <w:bottom w:val="single" w:color="auto" w:sz="4" w:space="0"/>
              <w:right w:val="single" w:color="auto" w:sz="4" w:space="0"/>
            </w:tcBorders>
            <w:vAlign w:val="center"/>
          </w:tcPr>
          <w:p w14:paraId="0B1AF46B">
            <w:pPr>
              <w:widowControl/>
              <w:shd w:val="clear"/>
              <w:spacing w:line="3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X＜10</w:t>
            </w:r>
          </w:p>
        </w:tc>
      </w:tr>
    </w:tbl>
    <w:p w14:paraId="20615102">
      <w:pPr>
        <w:widowControl/>
        <w:shd w:val="clear"/>
        <w:spacing w:line="400" w:lineRule="exact"/>
        <w:ind w:firstLine="420" w:firstLineChars="200"/>
        <w:jc w:val="left"/>
        <w:rPr>
          <w:rFonts w:ascii="宋体" w:hAnsi="宋体" w:cs="宋体"/>
          <w:iCs/>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1226E1CF">
      <w:pPr>
        <w:pStyle w:val="19"/>
        <w:shd w:val="clear"/>
        <w:rPr>
          <w:color w:val="000000" w:themeColor="text1"/>
          <w:highlight w:val="none"/>
          <w14:textFill>
            <w14:solidFill>
              <w14:schemeClr w14:val="tx1"/>
            </w14:solidFill>
          </w14:textFill>
        </w:rPr>
      </w:pPr>
    </w:p>
    <w:p w14:paraId="5514F75A">
      <w:pPr>
        <w:shd w:val="clear"/>
        <w:rPr>
          <w:color w:val="000000" w:themeColor="text1"/>
          <w:highlight w:val="none"/>
          <w14:textFill>
            <w14:solidFill>
              <w14:schemeClr w14:val="tx1"/>
            </w14:solidFill>
          </w14:textFill>
        </w:rPr>
        <w:sectPr>
          <w:footerReference r:id="rId11" w:type="first"/>
          <w:footerReference r:id="rId10" w:type="default"/>
          <w:pgSz w:w="11906" w:h="16838"/>
          <w:pgMar w:top="1134" w:right="1247" w:bottom="1134" w:left="1247" w:header="737" w:footer="680" w:gutter="113"/>
          <w:pgNumType w:fmt="decimal" w:start="1"/>
          <w:cols w:space="720" w:num="1"/>
          <w:titlePg/>
          <w:docGrid w:linePitch="312" w:charSpace="0"/>
        </w:sectPr>
      </w:pPr>
    </w:p>
    <w:bookmarkEnd w:id="56"/>
    <w:bookmarkEnd w:id="57"/>
    <w:bookmarkEnd w:id="60"/>
    <w:p w14:paraId="3C0DCB33">
      <w:pPr>
        <w:pStyle w:val="2"/>
        <w:keepNext w:val="0"/>
        <w:keepLines w:val="0"/>
        <w:shd w:val="clear"/>
        <w:tabs>
          <w:tab w:val="left" w:pos="0"/>
          <w:tab w:val="left" w:pos="3165"/>
          <w:tab w:val="center" w:pos="4153"/>
        </w:tabs>
        <w:autoSpaceDE w:val="0"/>
        <w:autoSpaceDN w:val="0"/>
        <w:adjustRightInd w:val="0"/>
        <w:spacing w:before="0" w:after="0" w:line="360" w:lineRule="auto"/>
        <w:rPr>
          <w:rFonts w:ascii="宋体" w:hAnsi="宋体"/>
          <w:color w:val="000000" w:themeColor="text1"/>
          <w:highlight w:val="none"/>
          <w14:textFill>
            <w14:solidFill>
              <w14:schemeClr w14:val="tx1"/>
            </w14:solidFill>
          </w14:textFill>
        </w:rPr>
      </w:pPr>
      <w:bookmarkStart w:id="61" w:name="_Toc12389"/>
      <w:r>
        <w:rPr>
          <w:rFonts w:hint="eastAsia" w:ascii="宋体" w:hAnsi="宋体"/>
          <w:color w:val="000000" w:themeColor="text1"/>
          <w:highlight w:val="none"/>
          <w14:textFill>
            <w14:solidFill>
              <w14:schemeClr w14:val="tx1"/>
            </w14:solidFill>
          </w14:textFill>
        </w:rPr>
        <w:t xml:space="preserve">第三章 </w:t>
      </w:r>
      <w:r>
        <w:rPr>
          <w:rFonts w:hint="eastAsia" w:ascii="宋体" w:hAnsi="宋体"/>
          <w:color w:val="000000" w:themeColor="text1"/>
          <w:highlight w:val="none"/>
          <w:lang w:eastAsia="zh-CN"/>
          <w14:textFill>
            <w14:solidFill>
              <w14:schemeClr w14:val="tx1"/>
            </w14:solidFill>
          </w14:textFill>
        </w:rPr>
        <w:t>供应商</w:t>
      </w:r>
      <w:r>
        <w:rPr>
          <w:rFonts w:hint="eastAsia" w:ascii="宋体" w:hAnsi="宋体"/>
          <w:color w:val="000000" w:themeColor="text1"/>
          <w:highlight w:val="none"/>
          <w14:textFill>
            <w14:solidFill>
              <w14:schemeClr w14:val="tx1"/>
            </w14:solidFill>
          </w14:textFill>
        </w:rPr>
        <w:t>须知</w:t>
      </w:r>
      <w:bookmarkEnd w:id="61"/>
    </w:p>
    <w:p w14:paraId="0FD27C12">
      <w:pPr>
        <w:shd w:val="clear"/>
        <w:spacing w:line="360" w:lineRule="auto"/>
        <w:jc w:val="center"/>
        <w:outlineLvl w:val="1"/>
        <w:rPr>
          <w:rFonts w:hint="eastAsia" w:ascii="宋体" w:hAnsi="宋体"/>
          <w:b/>
          <w:color w:val="000000" w:themeColor="text1"/>
          <w:kern w:val="0"/>
          <w:sz w:val="30"/>
          <w:szCs w:val="30"/>
          <w:highlight w:val="none"/>
          <w14:textFill>
            <w14:solidFill>
              <w14:schemeClr w14:val="tx1"/>
            </w14:solidFill>
          </w14:textFill>
        </w:rPr>
      </w:pPr>
      <w:bookmarkStart w:id="62" w:name="_Toc254970526"/>
      <w:bookmarkStart w:id="63" w:name="_Toc254970667"/>
      <w:r>
        <w:rPr>
          <w:rFonts w:hint="eastAsia" w:ascii="宋体" w:hAnsi="宋体"/>
          <w:b/>
          <w:color w:val="000000" w:themeColor="text1"/>
          <w:kern w:val="0"/>
          <w:sz w:val="30"/>
          <w:szCs w:val="30"/>
          <w:highlight w:val="none"/>
          <w:lang w:eastAsia="zh-CN"/>
          <w14:textFill>
            <w14:solidFill>
              <w14:schemeClr w14:val="tx1"/>
            </w14:solidFill>
          </w14:textFill>
        </w:rPr>
        <w:t>供应商</w:t>
      </w:r>
      <w:r>
        <w:rPr>
          <w:rFonts w:hint="eastAsia" w:ascii="宋体" w:hAnsi="宋体"/>
          <w:b/>
          <w:color w:val="000000" w:themeColor="text1"/>
          <w:kern w:val="0"/>
          <w:sz w:val="30"/>
          <w:szCs w:val="30"/>
          <w:highlight w:val="none"/>
          <w14:textFill>
            <w14:solidFill>
              <w14:schemeClr w14:val="tx1"/>
            </w14:solidFill>
          </w14:textFill>
        </w:rPr>
        <w:t>须知前附表</w:t>
      </w:r>
      <w:bookmarkEnd w:id="62"/>
      <w:bookmarkEnd w:id="63"/>
    </w:p>
    <w:tbl>
      <w:tblPr>
        <w:tblStyle w:val="49"/>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513"/>
        <w:gridCol w:w="6548"/>
      </w:tblGrid>
      <w:tr w14:paraId="240F0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center"/>
          </w:tcPr>
          <w:p w14:paraId="306D8234">
            <w:pPr>
              <w:shd w:val="clear"/>
              <w:snapToGrid w:val="0"/>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2513" w:type="dxa"/>
            <w:tcBorders>
              <w:top w:val="single" w:color="auto" w:sz="4" w:space="0"/>
              <w:left w:val="single" w:color="auto" w:sz="4" w:space="0"/>
              <w:bottom w:val="single" w:color="auto" w:sz="4" w:space="0"/>
              <w:right w:val="single" w:color="auto" w:sz="4" w:space="0"/>
            </w:tcBorders>
            <w:vAlign w:val="center"/>
          </w:tcPr>
          <w:p w14:paraId="6CFAD383">
            <w:pPr>
              <w:shd w:val="clear"/>
              <w:snapToGrid w:val="0"/>
              <w:spacing w:line="44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要点</w:t>
            </w:r>
          </w:p>
        </w:tc>
        <w:tc>
          <w:tcPr>
            <w:tcW w:w="6548" w:type="dxa"/>
            <w:tcBorders>
              <w:top w:val="single" w:color="auto" w:sz="4" w:space="0"/>
              <w:left w:val="single" w:color="auto" w:sz="4" w:space="0"/>
              <w:bottom w:val="single" w:color="auto" w:sz="4" w:space="0"/>
              <w:right w:val="single" w:color="auto" w:sz="4" w:space="0"/>
            </w:tcBorders>
            <w:vAlign w:val="center"/>
          </w:tcPr>
          <w:p w14:paraId="0FB857E3">
            <w:pPr>
              <w:shd w:val="clear"/>
              <w:snapToGrid w:val="0"/>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编列内容</w:t>
            </w:r>
          </w:p>
        </w:tc>
      </w:tr>
      <w:tr w14:paraId="7DC78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center"/>
          </w:tcPr>
          <w:p w14:paraId="6BBDC777">
            <w:pPr>
              <w:shd w:val="clea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1.3.1</w:t>
            </w:r>
          </w:p>
        </w:tc>
        <w:tc>
          <w:tcPr>
            <w:tcW w:w="2513" w:type="dxa"/>
            <w:tcBorders>
              <w:top w:val="single" w:color="auto" w:sz="4" w:space="0"/>
              <w:left w:val="single" w:color="auto" w:sz="4" w:space="0"/>
              <w:bottom w:val="single" w:color="auto" w:sz="4" w:space="0"/>
              <w:right w:val="single" w:color="auto" w:sz="4" w:space="0"/>
            </w:tcBorders>
            <w:vAlign w:val="center"/>
          </w:tcPr>
          <w:p w14:paraId="4377C765">
            <w:pPr>
              <w:shd w:val="clea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项目基本信息</w:t>
            </w:r>
          </w:p>
        </w:tc>
        <w:tc>
          <w:tcPr>
            <w:tcW w:w="6548" w:type="dxa"/>
            <w:tcBorders>
              <w:top w:val="single" w:color="auto" w:sz="4" w:space="0"/>
              <w:left w:val="single" w:color="auto" w:sz="4" w:space="0"/>
              <w:bottom w:val="single" w:color="auto" w:sz="4" w:space="0"/>
              <w:right w:val="single" w:color="auto" w:sz="4" w:space="0"/>
            </w:tcBorders>
            <w:vAlign w:val="top"/>
          </w:tcPr>
          <w:p w14:paraId="78BAE9C8">
            <w:pPr>
              <w:shd w:val="clear"/>
              <w:spacing w:line="440" w:lineRule="exact"/>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2025-2027年度上思县财政投资评审服务框架协议采购</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2A6918D2">
            <w:pPr>
              <w:shd w:val="clear"/>
              <w:spacing w:line="440" w:lineRule="exact"/>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lang w:val="en-US" w:eastAsia="zh-CN"/>
                <w14:textFill>
                  <w14:solidFill>
                    <w14:schemeClr w14:val="tx1"/>
                  </w14:solidFill>
                </w14:textFill>
              </w:rPr>
              <w:t>FCZC2025-K3-210001-FZXM</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2A259E40">
            <w:pPr>
              <w:shd w:val="clear"/>
              <w:spacing w:line="44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征集人：</w:t>
            </w:r>
            <w:r>
              <w:rPr>
                <w:rFonts w:hint="eastAsia" w:ascii="宋体" w:hAnsi="宋体" w:cs="宋体"/>
                <w:color w:val="000000" w:themeColor="text1"/>
                <w:sz w:val="21"/>
                <w:szCs w:val="21"/>
                <w:highlight w:val="none"/>
                <w:lang w:eastAsia="zh-CN"/>
                <w14:textFill>
                  <w14:solidFill>
                    <w14:schemeClr w14:val="tx1"/>
                  </w14:solidFill>
                </w14:textFill>
              </w:rPr>
              <w:t>上思县财政局</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111ACE68">
            <w:pPr>
              <w:shd w:val="clear"/>
              <w:spacing w:line="44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采购代理机构：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法正项目管理集团有限公司</w:t>
            </w:r>
          </w:p>
        </w:tc>
      </w:tr>
      <w:tr w14:paraId="414A7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center"/>
          </w:tcPr>
          <w:p w14:paraId="04379CFA">
            <w:pPr>
              <w:shd w:val="clear"/>
              <w:spacing w:line="44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64" w:name="_5"/>
            <w:bookmarkEnd w:id="64"/>
            <w:bookmarkStart w:id="65" w:name="_8.1"/>
            <w:bookmarkEnd w:id="65"/>
            <w:bookmarkStart w:id="66" w:name="_9.2"/>
            <w:bookmarkEnd w:id="66"/>
            <w:r>
              <w:rPr>
                <w:rFonts w:hint="eastAsia" w:ascii="宋体" w:hAnsi="宋体" w:eastAsia="宋体" w:cs="宋体"/>
                <w:color w:val="000000" w:themeColor="text1"/>
                <w:sz w:val="21"/>
                <w:szCs w:val="21"/>
                <w:highlight w:val="none"/>
                <w:lang w:eastAsia="zh-CN"/>
                <w14:textFill>
                  <w14:solidFill>
                    <w14:schemeClr w14:val="tx1"/>
                  </w14:solidFill>
                </w14:textFill>
              </w:rPr>
              <w:t>1.3.2</w:t>
            </w:r>
          </w:p>
        </w:tc>
        <w:tc>
          <w:tcPr>
            <w:tcW w:w="2513" w:type="dxa"/>
            <w:tcBorders>
              <w:top w:val="single" w:color="auto" w:sz="4" w:space="0"/>
              <w:left w:val="single" w:color="auto" w:sz="4" w:space="0"/>
              <w:bottom w:val="single" w:color="auto" w:sz="4" w:space="0"/>
              <w:right w:val="single" w:color="auto" w:sz="4" w:space="0"/>
            </w:tcBorders>
            <w:vAlign w:val="center"/>
          </w:tcPr>
          <w:p w14:paraId="3787A4DD">
            <w:pPr>
              <w:shd w:val="clear"/>
              <w:spacing w:line="44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采购方式</w:t>
            </w:r>
          </w:p>
        </w:tc>
        <w:tc>
          <w:tcPr>
            <w:tcW w:w="6548" w:type="dxa"/>
            <w:tcBorders>
              <w:top w:val="single" w:color="auto" w:sz="4" w:space="0"/>
              <w:left w:val="single" w:color="auto" w:sz="4" w:space="0"/>
              <w:bottom w:val="single" w:color="auto" w:sz="4" w:space="0"/>
              <w:right w:val="single" w:color="auto" w:sz="4" w:space="0"/>
            </w:tcBorders>
            <w:vAlign w:val="top"/>
          </w:tcPr>
          <w:p w14:paraId="79EC828C">
            <w:pPr>
              <w:shd w:val="clear"/>
              <w:spacing w:line="440" w:lineRule="exact"/>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封闭式框架协议采购</w:t>
            </w:r>
          </w:p>
        </w:tc>
      </w:tr>
      <w:tr w14:paraId="1593F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center"/>
          </w:tcPr>
          <w:p w14:paraId="71D25DCE">
            <w:pPr>
              <w:shd w:val="clear"/>
              <w:spacing w:line="44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1.4.1</w:t>
            </w:r>
          </w:p>
        </w:tc>
        <w:tc>
          <w:tcPr>
            <w:tcW w:w="2513" w:type="dxa"/>
            <w:tcBorders>
              <w:top w:val="single" w:color="auto" w:sz="4" w:space="0"/>
              <w:left w:val="single" w:color="auto" w:sz="4" w:space="0"/>
              <w:bottom w:val="single" w:color="auto" w:sz="4" w:space="0"/>
              <w:right w:val="single" w:color="auto" w:sz="4" w:space="0"/>
            </w:tcBorders>
            <w:vAlign w:val="center"/>
          </w:tcPr>
          <w:p w14:paraId="2E527605">
            <w:pPr>
              <w:shd w:val="clear"/>
              <w:spacing w:line="44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67" w:name="_Hlk54105293"/>
            <w:r>
              <w:rPr>
                <w:rFonts w:hint="eastAsia" w:ascii="宋体" w:hAnsi="宋体" w:eastAsia="宋体" w:cs="宋体"/>
                <w:color w:val="000000" w:themeColor="text1"/>
                <w:sz w:val="21"/>
                <w:szCs w:val="21"/>
                <w:highlight w:val="none"/>
                <w:lang w:eastAsia="zh-CN"/>
                <w14:textFill>
                  <w14:solidFill>
                    <w14:schemeClr w14:val="tx1"/>
                  </w14:solidFill>
                </w14:textFill>
              </w:rPr>
              <w:t>供应商资格条件</w:t>
            </w:r>
          </w:p>
          <w:bookmarkEnd w:id="67"/>
        </w:tc>
        <w:tc>
          <w:tcPr>
            <w:tcW w:w="6548" w:type="dxa"/>
            <w:tcBorders>
              <w:top w:val="single" w:color="auto" w:sz="4" w:space="0"/>
              <w:left w:val="single" w:color="auto" w:sz="4" w:space="0"/>
              <w:bottom w:val="single" w:color="auto" w:sz="4" w:space="0"/>
              <w:right w:val="single" w:color="auto" w:sz="4" w:space="0"/>
            </w:tcBorders>
            <w:vAlign w:val="top"/>
          </w:tcPr>
          <w:p w14:paraId="0D591160">
            <w:pPr>
              <w:shd w:val="clear"/>
              <w:spacing w:line="44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详见征集公告</w:t>
            </w:r>
          </w:p>
        </w:tc>
      </w:tr>
      <w:tr w14:paraId="27039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center"/>
          </w:tcPr>
          <w:p w14:paraId="7562F0A3">
            <w:pPr>
              <w:shd w:val="clear"/>
              <w:spacing w:line="44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1.4.3</w:t>
            </w:r>
          </w:p>
        </w:tc>
        <w:tc>
          <w:tcPr>
            <w:tcW w:w="2513" w:type="dxa"/>
            <w:tcBorders>
              <w:top w:val="single" w:color="auto" w:sz="4" w:space="0"/>
              <w:left w:val="single" w:color="auto" w:sz="4" w:space="0"/>
              <w:bottom w:val="single" w:color="auto" w:sz="4" w:space="0"/>
              <w:right w:val="single" w:color="auto" w:sz="4" w:space="0"/>
            </w:tcBorders>
            <w:vAlign w:val="center"/>
          </w:tcPr>
          <w:p w14:paraId="6B5FBD03">
            <w:pPr>
              <w:shd w:val="clear"/>
              <w:spacing w:line="44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联合体</w:t>
            </w:r>
          </w:p>
        </w:tc>
        <w:tc>
          <w:tcPr>
            <w:tcW w:w="6548" w:type="dxa"/>
            <w:tcBorders>
              <w:top w:val="single" w:color="auto" w:sz="4" w:space="0"/>
              <w:left w:val="single" w:color="auto" w:sz="4" w:space="0"/>
              <w:bottom w:val="single" w:color="auto" w:sz="4" w:space="0"/>
              <w:right w:val="single" w:color="auto" w:sz="4" w:space="0"/>
            </w:tcBorders>
            <w:vAlign w:val="top"/>
          </w:tcPr>
          <w:p w14:paraId="3E47AE1A">
            <w:pPr>
              <w:shd w:val="clear"/>
              <w:spacing w:line="44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不允许</w:t>
            </w:r>
          </w:p>
        </w:tc>
      </w:tr>
      <w:tr w14:paraId="51762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ACD2DAA">
            <w:pPr>
              <w:keepNext w:val="0"/>
              <w:keepLines w:val="0"/>
              <w:pageBreakBefore w:val="0"/>
              <w:widowControl w:val="0"/>
              <w:shd w:val="clear"/>
              <w:kinsoku/>
              <w:wordWrap/>
              <w:overflowPunct/>
              <w:topLinePunct w:val="0"/>
              <w:bidi w:val="0"/>
              <w:adjustRightInd/>
              <w:spacing w:line="4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1.5</w:t>
            </w:r>
          </w:p>
        </w:tc>
        <w:tc>
          <w:tcPr>
            <w:tcW w:w="2513" w:type="dxa"/>
            <w:tcBorders>
              <w:top w:val="single" w:color="auto" w:sz="4" w:space="0"/>
              <w:left w:val="single" w:color="auto" w:sz="4" w:space="0"/>
              <w:bottom w:val="single" w:color="auto" w:sz="4" w:space="0"/>
              <w:right w:val="single" w:color="auto" w:sz="4" w:space="0"/>
            </w:tcBorders>
            <w:vAlign w:val="center"/>
          </w:tcPr>
          <w:p w14:paraId="73C4FCAA">
            <w:pPr>
              <w:keepNext w:val="0"/>
              <w:keepLines w:val="0"/>
              <w:pageBreakBefore w:val="0"/>
              <w:widowControl w:val="0"/>
              <w:shd w:val="clear"/>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踏勘</w:t>
            </w:r>
          </w:p>
        </w:tc>
        <w:tc>
          <w:tcPr>
            <w:tcW w:w="6548" w:type="dxa"/>
            <w:tcBorders>
              <w:top w:val="single" w:color="auto" w:sz="4" w:space="0"/>
              <w:left w:val="single" w:color="auto" w:sz="4" w:space="0"/>
              <w:bottom w:val="single" w:color="auto" w:sz="4" w:space="0"/>
              <w:right w:val="single" w:color="auto" w:sz="4" w:space="0"/>
            </w:tcBorders>
            <w:vAlign w:val="top"/>
          </w:tcPr>
          <w:p w14:paraId="4B1AE8D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无</w:t>
            </w:r>
          </w:p>
        </w:tc>
      </w:tr>
      <w:tr w14:paraId="4CB37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B62EC86">
            <w:pPr>
              <w:keepNext w:val="0"/>
              <w:keepLines w:val="0"/>
              <w:pageBreakBefore w:val="0"/>
              <w:widowControl w:val="0"/>
              <w:shd w:val="clear"/>
              <w:kinsoku/>
              <w:wordWrap/>
              <w:overflowPunct/>
              <w:topLinePunct w:val="0"/>
              <w:bidi w:val="0"/>
              <w:adjustRightInd/>
              <w:spacing w:line="4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1.6.1</w:t>
            </w:r>
          </w:p>
        </w:tc>
        <w:tc>
          <w:tcPr>
            <w:tcW w:w="2513" w:type="dxa"/>
            <w:tcBorders>
              <w:top w:val="single" w:color="auto" w:sz="4" w:space="0"/>
              <w:left w:val="single" w:color="auto" w:sz="4" w:space="0"/>
              <w:bottom w:val="single" w:color="auto" w:sz="4" w:space="0"/>
              <w:right w:val="single" w:color="auto" w:sz="4" w:space="0"/>
            </w:tcBorders>
            <w:vAlign w:val="center"/>
          </w:tcPr>
          <w:p w14:paraId="4BE7656D">
            <w:pPr>
              <w:keepNext w:val="0"/>
              <w:keepLines w:val="0"/>
              <w:pageBreakBefore w:val="0"/>
              <w:widowControl w:val="0"/>
              <w:shd w:val="clear"/>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转包</w:t>
            </w:r>
          </w:p>
        </w:tc>
        <w:tc>
          <w:tcPr>
            <w:tcW w:w="6548" w:type="dxa"/>
            <w:tcBorders>
              <w:top w:val="single" w:color="auto" w:sz="4" w:space="0"/>
              <w:left w:val="single" w:color="auto" w:sz="4" w:space="0"/>
              <w:bottom w:val="single" w:color="auto" w:sz="4" w:space="0"/>
              <w:right w:val="single" w:color="auto" w:sz="4" w:space="0"/>
            </w:tcBorders>
            <w:vAlign w:val="top"/>
          </w:tcPr>
          <w:p w14:paraId="7CF339F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不允许转包</w:t>
            </w:r>
          </w:p>
        </w:tc>
      </w:tr>
      <w:tr w14:paraId="56D52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9C2A7E2">
            <w:pPr>
              <w:keepNext w:val="0"/>
              <w:keepLines w:val="0"/>
              <w:pageBreakBefore w:val="0"/>
              <w:widowControl w:val="0"/>
              <w:shd w:val="clear"/>
              <w:kinsoku/>
              <w:wordWrap/>
              <w:overflowPunct/>
              <w:topLinePunct w:val="0"/>
              <w:bidi w:val="0"/>
              <w:adjustRightInd/>
              <w:spacing w:line="4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1.6.2</w:t>
            </w:r>
          </w:p>
        </w:tc>
        <w:tc>
          <w:tcPr>
            <w:tcW w:w="2513" w:type="dxa"/>
            <w:tcBorders>
              <w:top w:val="single" w:color="auto" w:sz="4" w:space="0"/>
              <w:left w:val="single" w:color="auto" w:sz="4" w:space="0"/>
              <w:bottom w:val="single" w:color="auto" w:sz="4" w:space="0"/>
              <w:right w:val="single" w:color="auto" w:sz="4" w:space="0"/>
            </w:tcBorders>
            <w:vAlign w:val="center"/>
          </w:tcPr>
          <w:p w14:paraId="01177FDC">
            <w:pPr>
              <w:keepNext w:val="0"/>
              <w:keepLines w:val="0"/>
              <w:pageBreakBefore w:val="0"/>
              <w:widowControl w:val="0"/>
              <w:shd w:val="clear"/>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分包</w:t>
            </w:r>
          </w:p>
        </w:tc>
        <w:tc>
          <w:tcPr>
            <w:tcW w:w="6548" w:type="dxa"/>
            <w:tcBorders>
              <w:top w:val="single" w:color="auto" w:sz="4" w:space="0"/>
              <w:left w:val="single" w:color="auto" w:sz="4" w:space="0"/>
              <w:bottom w:val="single" w:color="auto" w:sz="4" w:space="0"/>
              <w:right w:val="single" w:color="auto" w:sz="4" w:space="0"/>
            </w:tcBorders>
            <w:vAlign w:val="top"/>
          </w:tcPr>
          <w:p w14:paraId="0FB6614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不允许分包</w:t>
            </w:r>
          </w:p>
        </w:tc>
      </w:tr>
      <w:tr w14:paraId="1F681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center"/>
          </w:tcPr>
          <w:p w14:paraId="13AF95EB">
            <w:pPr>
              <w:keepNext w:val="0"/>
              <w:keepLines w:val="0"/>
              <w:pageBreakBefore w:val="0"/>
              <w:widowControl w:val="0"/>
              <w:shd w:val="clear"/>
              <w:kinsoku/>
              <w:wordWrap/>
              <w:overflowPunct/>
              <w:topLinePunct w:val="0"/>
              <w:bidi w:val="0"/>
              <w:adjustRightInd/>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bookmarkStart w:id="68" w:name="_13.1"/>
            <w:bookmarkEnd w:id="68"/>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2.1.3</w:t>
            </w:r>
          </w:p>
        </w:tc>
        <w:tc>
          <w:tcPr>
            <w:tcW w:w="2513" w:type="dxa"/>
            <w:tcBorders>
              <w:top w:val="single" w:color="auto" w:sz="4" w:space="0"/>
              <w:left w:val="single" w:color="auto" w:sz="4" w:space="0"/>
              <w:bottom w:val="single" w:color="auto" w:sz="4" w:space="0"/>
              <w:right w:val="single" w:color="auto" w:sz="4" w:space="0"/>
            </w:tcBorders>
            <w:vAlign w:val="center"/>
          </w:tcPr>
          <w:p w14:paraId="70F09F56">
            <w:pPr>
              <w:keepNext w:val="0"/>
              <w:keepLines w:val="0"/>
              <w:pageBreakBefore w:val="0"/>
              <w:widowControl w:val="0"/>
              <w:shd w:val="clear"/>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确认收到澄清、修改发布的方式</w:t>
            </w:r>
          </w:p>
        </w:tc>
        <w:tc>
          <w:tcPr>
            <w:tcW w:w="6548" w:type="dxa"/>
            <w:tcBorders>
              <w:top w:val="single" w:color="auto" w:sz="4" w:space="0"/>
              <w:left w:val="single" w:color="auto" w:sz="4" w:space="0"/>
              <w:bottom w:val="single" w:color="auto" w:sz="4" w:space="0"/>
              <w:right w:val="single" w:color="auto" w:sz="4" w:space="0"/>
            </w:tcBorders>
            <w:vAlign w:val="center"/>
          </w:tcPr>
          <w:p w14:paraId="762E76BE">
            <w:pPr>
              <w:keepNext w:val="0"/>
              <w:keepLines w:val="0"/>
              <w:pageBreakBefore w:val="0"/>
              <w:widowControl w:val="0"/>
              <w:shd w:val="clear"/>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与本项目相关的政府采购业务澄清、更正及与之相关的事项将在采购公告中 “六、其他补充事宜 ”中网上查询地址上发布。澄清、修改文件自征集公告 发布媒体发布之日起，视为供应商已收到该澄清、修改。供应商未及时关注征集公告发布媒体造成的损失，由供应商自行负责。</w:t>
            </w:r>
          </w:p>
        </w:tc>
      </w:tr>
      <w:tr w14:paraId="32B87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restart"/>
            <w:tcBorders>
              <w:top w:val="single" w:color="auto" w:sz="4" w:space="0"/>
              <w:left w:val="single" w:color="auto" w:sz="4" w:space="0"/>
              <w:right w:val="single" w:color="auto" w:sz="4" w:space="0"/>
            </w:tcBorders>
            <w:vAlign w:val="top"/>
          </w:tcPr>
          <w:p w14:paraId="0D97F33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69" w:name="_13.2"/>
            <w:bookmarkEnd w:id="69"/>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2.2.1</w:t>
            </w:r>
          </w:p>
        </w:tc>
        <w:tc>
          <w:tcPr>
            <w:tcW w:w="2513" w:type="dxa"/>
            <w:tcBorders>
              <w:top w:val="single" w:color="auto" w:sz="4" w:space="0"/>
              <w:left w:val="single" w:color="auto" w:sz="4" w:space="0"/>
              <w:bottom w:val="single" w:color="auto" w:sz="4" w:space="0"/>
              <w:right w:val="single" w:color="auto" w:sz="4" w:space="0"/>
            </w:tcBorders>
            <w:vAlign w:val="top"/>
          </w:tcPr>
          <w:p w14:paraId="6824EC1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资格证明文件组成</w:t>
            </w:r>
          </w:p>
        </w:tc>
        <w:tc>
          <w:tcPr>
            <w:tcW w:w="6548" w:type="dxa"/>
            <w:tcBorders>
              <w:top w:val="single" w:color="auto" w:sz="4" w:space="0"/>
              <w:left w:val="single" w:color="auto" w:sz="4" w:space="0"/>
              <w:bottom w:val="single" w:color="auto" w:sz="4" w:space="0"/>
              <w:right w:val="single" w:color="auto" w:sz="4" w:space="0"/>
            </w:tcBorders>
            <w:vAlign w:val="top"/>
          </w:tcPr>
          <w:p w14:paraId="097F6AB2">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1、响应声明书；</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（必须提供，否则作无效投标处理）</w:t>
            </w:r>
          </w:p>
          <w:p w14:paraId="3703E8D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2、法人或者其他组织的营业执照等证明文件、 自然人的身份证明。即供应商是企业则提供营业执照（副本）复印件；供应商是事业单位，则提供事业单位 法人证书（副本）复印件；供应商是非企业专业服务机构的，则提供执业许可 证等证明文件复印件；供应商是个体工商户，则提供个体工商户营业执照复印件；供应商是自然人，则提供有效的自然人身份证明复印件；如供应商不是以上所列的法人、组织、 自然人的，则提供国家规定的相关证明材料；</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（必须提供，否则作无效投标处理）</w:t>
            </w:r>
          </w:p>
          <w:p w14:paraId="092E7BD0">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3、2022年</w:t>
            </w:r>
            <w:r>
              <w:rPr>
                <w:rFonts w:hint="eastAsia" w:ascii="宋体" w:hAnsi="宋体" w:eastAsia="宋体" w:cs="宋体"/>
                <w:b w:val="0"/>
                <w:bCs/>
                <w:snapToGrid/>
                <w:color w:val="000000" w:themeColor="text1"/>
                <w:kern w:val="2"/>
                <w:sz w:val="21"/>
                <w:szCs w:val="21"/>
                <w:highlight w:val="none"/>
                <w:lang w:val="en-US" w:eastAsia="zh-CN"/>
                <w14:textFill>
                  <w14:solidFill>
                    <w14:schemeClr w14:val="tx1"/>
                  </w14:solidFill>
                </w14:textFill>
              </w:rPr>
              <w:t>或2023年</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度财务状况报告（表）复印件或银行出具的资信证明复印件。对于从取得营业执照时间起到截标时间为止不足1年的供应商，只需提交截标时间前一个月的财务状况报告（表）复印件；</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（必须提供，否则作无效投标处理）</w:t>
            </w:r>
          </w:p>
          <w:p w14:paraId="7F4AF876">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4、供应商依法缴纳税收的相关材料（投标截止之日止半年内</w:t>
            </w: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任意</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连续三个月的依法缴纳税收的凭据复印件；依法免税的供应商，必须提供相应文件证明其依法免税。从成立之日起到响应文件提交截止时间止不足要求月数的，只需提供从成立之日起的依法缴纳税收相应证明文件）；</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（必须提供，否则作无效投标处理）</w:t>
            </w:r>
          </w:p>
          <w:p w14:paraId="0A6E0E4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5、供应商依法缴纳社会保障资金的相关材料</w:t>
            </w: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投标截止之日止半年内</w:t>
            </w: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任意</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连续三个月的依法缴纳社会保障资金的缴费凭证（专用收据或者社会保险缴纳清单）复印件；依法不需要缴纳社会保障资金的供应商，必须提供相应文件证明不需要缴纳社会保 障资金。从成立之日起到响应文件提交截止时间止不足要求月数的只需提供从 成立之日起的依法缴纳社会保障资金的相应证明文件]；</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（必须提供，否则作无效投标处理）</w:t>
            </w:r>
          </w:p>
          <w:p w14:paraId="53F18E6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6、具备法律、行政法规规定的其他要求的证明材料；</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（必须提供，否则作无效响应处理）</w:t>
            </w:r>
          </w:p>
          <w:p w14:paraId="59035900">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（1）供应商“信用中国 ”网站（www.creditchina.gov.cn)、“ 中国政府采购 网 ”网站（www.ccgp.gov.cn）的失信被执行人名单、重大税收违法失信主体、政府采购严重违法失信行为记录名单的查询截图。</w:t>
            </w:r>
          </w:p>
          <w:p w14:paraId="064CAB1A">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2</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符合《中华人民共和国政府采购法》第二十二条规定条件的承诺函。</w:t>
            </w:r>
          </w:p>
          <w:p w14:paraId="35958372">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3</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ascii="宋体" w:hAnsi="宋体" w:eastAsia="宋体" w:cs="宋体"/>
                <w:color w:val="000000" w:themeColor="text1"/>
                <w:spacing w:val="-1"/>
                <w:sz w:val="22"/>
                <w:szCs w:val="22"/>
                <w:highlight w:val="none"/>
                <w14:textFill>
                  <w14:solidFill>
                    <w14:schemeClr w14:val="tx1"/>
                  </w14:solidFill>
                </w14:textFill>
              </w:rPr>
              <w:t>供应商</w:t>
            </w:r>
            <w:r>
              <w:rPr>
                <w:rFonts w:hint="eastAsia" w:ascii="宋体" w:hAnsi="宋体" w:eastAsia="宋体" w:cs="宋体"/>
                <w:color w:val="000000" w:themeColor="text1"/>
                <w:spacing w:val="-1"/>
                <w:sz w:val="22"/>
                <w:szCs w:val="22"/>
                <w:highlight w:val="none"/>
                <w:lang w:val="en-US" w:eastAsia="zh-CN"/>
                <w14:textFill>
                  <w14:solidFill>
                    <w14:schemeClr w14:val="tx1"/>
                  </w14:solidFill>
                </w14:textFill>
              </w:rPr>
              <w:t>直接控股、管理关系表</w:t>
            </w:r>
            <w:r>
              <w:rPr>
                <w:rFonts w:hint="eastAsia" w:ascii="宋体" w:hAnsi="宋体" w:cs="宋体"/>
                <w:color w:val="000000" w:themeColor="text1"/>
                <w:szCs w:val="21"/>
                <w:highlight w:val="none"/>
                <w14:textFill>
                  <w14:solidFill>
                    <w14:schemeClr w14:val="tx1"/>
                  </w14:solidFill>
                </w14:textFill>
              </w:rPr>
              <w:t>。</w:t>
            </w:r>
          </w:p>
          <w:p w14:paraId="07B0E0D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5866D10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7、满足供应商特定资格条件的</w:t>
            </w: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有关</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证明材料；</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（必须提供，否则作无效响应处理）</w:t>
            </w:r>
          </w:p>
          <w:p w14:paraId="0F02847E">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(1)01分标，供应商具有可参与协审部门项目工程概（预）算、工程量清单和招标控制价等工作的工程造价专业技术能力。</w:t>
            </w:r>
          </w:p>
          <w:p w14:paraId="6C4371A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(2)02分标，具有以下资质要求之一的单位：</w:t>
            </w:r>
          </w:p>
          <w:p w14:paraId="0EFD4FF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①具有国家住房和城乡建设部颁发的《工程设计资格证书》[电子通信广电行业的电子系统工程类或通信工程类（必须具备有线通信或无线通信或邮政工程或通信铁塔四种任意一种专业）]乙级或以上资质的单位；</w:t>
            </w:r>
          </w:p>
          <w:p w14:paraId="63B0D425">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②取得信息化主管部门授权实施电子系统工程造价审核资格单位</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w:t>
            </w:r>
          </w:p>
          <w:p w14:paraId="664940A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8、供应商认为应当要提交的其他资格证明材料。</w:t>
            </w:r>
          </w:p>
          <w:p w14:paraId="0688052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注：1. 以上标明“必须提供 ”的材料属于复印件的扫描件的，必须加盖供应商电子公章，否则作无效投标处理。2.以上材料未附格式的，由供应商自行拟定。</w:t>
            </w:r>
          </w:p>
        </w:tc>
      </w:tr>
      <w:tr w14:paraId="1F393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continue"/>
            <w:tcBorders>
              <w:left w:val="single" w:color="auto" w:sz="4" w:space="0"/>
              <w:right w:val="single" w:color="auto" w:sz="4" w:space="0"/>
            </w:tcBorders>
            <w:vAlign w:val="center"/>
          </w:tcPr>
          <w:p w14:paraId="25E52759">
            <w:pPr>
              <w:keepNext w:val="0"/>
              <w:keepLines w:val="0"/>
              <w:pageBreakBefore w:val="0"/>
              <w:widowControl w:val="0"/>
              <w:shd w:val="clear"/>
              <w:kinsoku/>
              <w:wordWrap/>
              <w:overflowPunct/>
              <w:topLinePunct w:val="0"/>
              <w:bidi w:val="0"/>
              <w:adjustRightInd/>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bookmarkStart w:id="70" w:name="_13.3"/>
            <w:bookmarkEnd w:id="70"/>
          </w:p>
        </w:tc>
        <w:tc>
          <w:tcPr>
            <w:tcW w:w="2513" w:type="dxa"/>
            <w:tcBorders>
              <w:top w:val="single" w:color="auto" w:sz="4" w:space="0"/>
              <w:left w:val="single" w:color="auto" w:sz="4" w:space="0"/>
              <w:bottom w:val="single" w:color="auto" w:sz="4" w:space="0"/>
              <w:right w:val="single" w:color="auto" w:sz="4" w:space="0"/>
            </w:tcBorders>
            <w:vAlign w:val="top"/>
          </w:tcPr>
          <w:p w14:paraId="6195EEB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商务技术文件组成</w:t>
            </w:r>
          </w:p>
        </w:tc>
        <w:tc>
          <w:tcPr>
            <w:tcW w:w="6548" w:type="dxa"/>
            <w:tcBorders>
              <w:top w:val="single" w:color="auto" w:sz="4" w:space="0"/>
              <w:left w:val="single" w:color="auto" w:sz="4" w:space="0"/>
              <w:bottom w:val="single" w:color="auto" w:sz="4" w:space="0"/>
              <w:right w:val="single" w:color="auto" w:sz="4" w:space="0"/>
            </w:tcBorders>
            <w:vAlign w:val="top"/>
          </w:tcPr>
          <w:p w14:paraId="01DD9485">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1、法定代表人身份证明（无授权代表时提供）；</w:t>
            </w:r>
          </w:p>
          <w:p w14:paraId="1BFA6BB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2、授权委托书（有授权代表时提供）；</w:t>
            </w:r>
          </w:p>
          <w:p w14:paraId="71C74CC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商务文件：</w:t>
            </w:r>
          </w:p>
          <w:p w14:paraId="6DBF8FCB">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1、对本项目第二章《采购需求》“商务要求 ”的响应表；</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（必须提供，否则作无效投标处理）</w:t>
            </w:r>
          </w:p>
          <w:p w14:paraId="54B79A52">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2、服务便利性；</w:t>
            </w:r>
          </w:p>
          <w:p w14:paraId="3628CE2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3、近年供应商类似成功案例的业绩证明；</w:t>
            </w:r>
          </w:p>
          <w:p w14:paraId="2FBB3C8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default" w:ascii="宋体" w:hAnsi="宋体" w:eastAsia="宋体" w:cs="宋体"/>
                <w:b w:val="0"/>
                <w:bCs/>
                <w:snapToGrid/>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服务承诺；</w:t>
            </w:r>
          </w:p>
          <w:p w14:paraId="2320B060">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 xml:space="preserve">、供应商认为需提供的其他材料； </w:t>
            </w:r>
          </w:p>
          <w:p w14:paraId="4792AC1B">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供应商参加本项目无围标串标行为的承诺函</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（必须提供，否则作无效响应处理）</w:t>
            </w:r>
          </w:p>
          <w:p w14:paraId="2608711A">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技术文件：</w:t>
            </w:r>
          </w:p>
          <w:p w14:paraId="3F7E9FD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1、对本项目第二章《采购需求》技术要求的响应表；</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（必须提供，否则作无效响应处理）</w:t>
            </w:r>
          </w:p>
          <w:p w14:paraId="5FD5E28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技术工作方案</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w:t>
            </w:r>
          </w:p>
          <w:p w14:paraId="763AE85F">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3、响应真实性承诺函；</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（必须提供，否则作无效响应处理）</w:t>
            </w:r>
          </w:p>
          <w:p w14:paraId="76635C1B">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4、项目拟投入服务团队人员结构表；</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（必须提供，否则作无效响应处理）</w:t>
            </w:r>
          </w:p>
          <w:p w14:paraId="0603711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5、评审报告；</w:t>
            </w:r>
          </w:p>
          <w:p w14:paraId="409AB71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、供应商需要说明的其他文件和说明。</w:t>
            </w:r>
          </w:p>
          <w:p w14:paraId="152DDE1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注：1. 以上标明“必须提供 ”的材料属于复印件的扫描件的，必须加盖供应  商电子公章，否则作无效投标处理。2.以上材料未附格式的，由供应商自行拟定。</w:t>
            </w:r>
          </w:p>
        </w:tc>
      </w:tr>
      <w:tr w14:paraId="426EF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continue"/>
            <w:tcBorders>
              <w:left w:val="single" w:color="auto" w:sz="4" w:space="0"/>
              <w:bottom w:val="single" w:color="auto" w:sz="4" w:space="0"/>
              <w:right w:val="single" w:color="auto" w:sz="4" w:space="0"/>
            </w:tcBorders>
            <w:vAlign w:val="center"/>
          </w:tcPr>
          <w:p w14:paraId="0FEBE61B">
            <w:pPr>
              <w:keepNext w:val="0"/>
              <w:keepLines w:val="0"/>
              <w:pageBreakBefore w:val="0"/>
              <w:widowControl w:val="0"/>
              <w:shd w:val="clear"/>
              <w:kinsoku/>
              <w:wordWrap/>
              <w:overflowPunct/>
              <w:topLinePunct w:val="0"/>
              <w:bidi w:val="0"/>
              <w:adjustRightInd/>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bookmarkStart w:id="71" w:name="_13.4"/>
            <w:bookmarkEnd w:id="71"/>
          </w:p>
        </w:tc>
        <w:tc>
          <w:tcPr>
            <w:tcW w:w="2513" w:type="dxa"/>
            <w:tcBorders>
              <w:top w:val="single" w:color="auto" w:sz="4" w:space="0"/>
              <w:left w:val="single" w:color="auto" w:sz="4" w:space="0"/>
              <w:bottom w:val="single" w:color="auto" w:sz="4" w:space="0"/>
              <w:right w:val="single" w:color="auto" w:sz="4" w:space="0"/>
            </w:tcBorders>
            <w:vAlign w:val="top"/>
          </w:tcPr>
          <w:p w14:paraId="0C3AC60A">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报价文件组成</w:t>
            </w:r>
          </w:p>
        </w:tc>
        <w:tc>
          <w:tcPr>
            <w:tcW w:w="6548" w:type="dxa"/>
            <w:tcBorders>
              <w:top w:val="single" w:color="auto" w:sz="4" w:space="0"/>
              <w:left w:val="single" w:color="auto" w:sz="4" w:space="0"/>
              <w:bottom w:val="single" w:color="auto" w:sz="4" w:space="0"/>
              <w:right w:val="single" w:color="auto" w:sz="4" w:space="0"/>
            </w:tcBorders>
            <w:vAlign w:val="top"/>
          </w:tcPr>
          <w:p w14:paraId="05D822C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1、响应函；</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（必须提供，否则作无效响应处理）</w:t>
            </w:r>
          </w:p>
          <w:p w14:paraId="55B4E14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2、响应报价明细表；</w:t>
            </w: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（必须提供，否则作无效响应处理）</w:t>
            </w:r>
          </w:p>
          <w:p w14:paraId="38C9DC8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3、符合政府采购政策证明材料。（如有）</w:t>
            </w:r>
          </w:p>
          <w:p w14:paraId="6079C7B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注：1.以上标明“必须提供 ”的材料属于复印件的扫描件的，必须加盖供应商电子公章，否则作无效投标处理。2.以上材料未附格式的，由供应商自行拟定。</w:t>
            </w:r>
          </w:p>
        </w:tc>
      </w:tr>
      <w:tr w14:paraId="6FDE1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461524DA">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72" w:name="_16.2"/>
            <w:bookmarkEnd w:id="72"/>
            <w:bookmarkStart w:id="73" w:name="_13.5"/>
            <w:bookmarkEnd w:id="73"/>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2.2.4</w:t>
            </w:r>
          </w:p>
        </w:tc>
        <w:tc>
          <w:tcPr>
            <w:tcW w:w="2513" w:type="dxa"/>
            <w:tcBorders>
              <w:top w:val="single" w:color="auto" w:sz="4" w:space="0"/>
              <w:left w:val="single" w:color="auto" w:sz="4" w:space="0"/>
              <w:bottom w:val="single" w:color="auto" w:sz="4" w:space="0"/>
              <w:right w:val="single" w:color="auto" w:sz="4" w:space="0"/>
            </w:tcBorders>
            <w:vAlign w:val="top"/>
          </w:tcPr>
          <w:p w14:paraId="08124C32">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响应有效期</w:t>
            </w:r>
          </w:p>
        </w:tc>
        <w:tc>
          <w:tcPr>
            <w:tcW w:w="6548" w:type="dxa"/>
            <w:tcBorders>
              <w:top w:val="single" w:color="auto" w:sz="4" w:space="0"/>
              <w:left w:val="single" w:color="auto" w:sz="4" w:space="0"/>
              <w:bottom w:val="single" w:color="auto" w:sz="4" w:space="0"/>
              <w:right w:val="single" w:color="auto" w:sz="4" w:space="0"/>
            </w:tcBorders>
            <w:vAlign w:val="top"/>
          </w:tcPr>
          <w:p w14:paraId="3958117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响应截止之日起 60 天</w:t>
            </w:r>
          </w:p>
        </w:tc>
      </w:tr>
      <w:tr w14:paraId="60120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6B2B83B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74" w:name="_17.1"/>
            <w:bookmarkEnd w:id="74"/>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2.2.5</w:t>
            </w:r>
          </w:p>
        </w:tc>
        <w:tc>
          <w:tcPr>
            <w:tcW w:w="2513" w:type="dxa"/>
            <w:tcBorders>
              <w:top w:val="single" w:color="auto" w:sz="4" w:space="0"/>
              <w:left w:val="single" w:color="auto" w:sz="4" w:space="0"/>
              <w:bottom w:val="single" w:color="auto" w:sz="4" w:space="0"/>
              <w:right w:val="single" w:color="auto" w:sz="4" w:space="0"/>
            </w:tcBorders>
            <w:vAlign w:val="top"/>
          </w:tcPr>
          <w:p w14:paraId="78F8E62E">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响应保证金</w:t>
            </w:r>
          </w:p>
        </w:tc>
        <w:tc>
          <w:tcPr>
            <w:tcW w:w="6548" w:type="dxa"/>
            <w:tcBorders>
              <w:top w:val="single" w:color="auto" w:sz="4" w:space="0"/>
              <w:left w:val="single" w:color="auto" w:sz="4" w:space="0"/>
              <w:bottom w:val="single" w:color="auto" w:sz="4" w:space="0"/>
              <w:right w:val="single" w:color="auto" w:sz="4" w:space="0"/>
            </w:tcBorders>
            <w:vAlign w:val="top"/>
          </w:tcPr>
          <w:p w14:paraId="48D9005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本项目不收取响应保证金</w:t>
            </w:r>
          </w:p>
        </w:tc>
      </w:tr>
      <w:tr w14:paraId="7BC10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56D1FFFA">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75" w:name="_18"/>
            <w:bookmarkEnd w:id="75"/>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2.2.7</w:t>
            </w:r>
          </w:p>
        </w:tc>
        <w:tc>
          <w:tcPr>
            <w:tcW w:w="2513" w:type="dxa"/>
            <w:tcBorders>
              <w:top w:val="single" w:color="auto" w:sz="4" w:space="0"/>
              <w:left w:val="single" w:color="auto" w:sz="4" w:space="0"/>
              <w:bottom w:val="single" w:color="auto" w:sz="4" w:space="0"/>
              <w:right w:val="single" w:color="auto" w:sz="4" w:space="0"/>
            </w:tcBorders>
            <w:vAlign w:val="top"/>
          </w:tcPr>
          <w:p w14:paraId="5E7EFD7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响应文件递交截止时间及截标时间</w:t>
            </w:r>
          </w:p>
        </w:tc>
        <w:tc>
          <w:tcPr>
            <w:tcW w:w="6548" w:type="dxa"/>
            <w:tcBorders>
              <w:top w:val="single" w:color="auto" w:sz="4" w:space="0"/>
              <w:left w:val="single" w:color="auto" w:sz="4" w:space="0"/>
              <w:bottom w:val="single" w:color="auto" w:sz="4" w:space="0"/>
              <w:right w:val="single" w:color="auto" w:sz="4" w:space="0"/>
            </w:tcBorders>
            <w:vAlign w:val="top"/>
          </w:tcPr>
          <w:p w14:paraId="6C4453E6">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见征集公告要求</w:t>
            </w:r>
          </w:p>
        </w:tc>
      </w:tr>
      <w:tr w14:paraId="0AC64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7FD8D6B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76" w:name="_19.2"/>
            <w:bookmarkEnd w:id="76"/>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begin"/>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instrText xml:space="preserve"> HYPERLINK "2.3.2.2" </w:instrTex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separate"/>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2.3.2.2</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end"/>
            </w:r>
          </w:p>
        </w:tc>
        <w:tc>
          <w:tcPr>
            <w:tcW w:w="2513" w:type="dxa"/>
            <w:tcBorders>
              <w:top w:val="single" w:color="auto" w:sz="4" w:space="0"/>
              <w:left w:val="single" w:color="auto" w:sz="4" w:space="0"/>
              <w:bottom w:val="single" w:color="auto" w:sz="4" w:space="0"/>
              <w:right w:val="single" w:color="auto" w:sz="4" w:space="0"/>
            </w:tcBorders>
            <w:vAlign w:val="top"/>
          </w:tcPr>
          <w:p w14:paraId="6EBD42CA">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解密电子响应文件</w:t>
            </w:r>
          </w:p>
        </w:tc>
        <w:tc>
          <w:tcPr>
            <w:tcW w:w="6548" w:type="dxa"/>
            <w:tcBorders>
              <w:top w:val="single" w:color="auto" w:sz="4" w:space="0"/>
              <w:left w:val="single" w:color="auto" w:sz="4" w:space="0"/>
              <w:bottom w:val="single" w:color="auto" w:sz="4" w:space="0"/>
              <w:right w:val="single" w:color="auto" w:sz="4" w:space="0"/>
            </w:tcBorders>
            <w:vAlign w:val="top"/>
          </w:tcPr>
          <w:p w14:paraId="443CA3FE">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电子响应文件解密时间：30分钟</w:t>
            </w:r>
          </w:p>
        </w:tc>
      </w:tr>
      <w:tr w14:paraId="603ED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49C65C0B">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05347AB2">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begin"/>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instrText xml:space="preserve"> HYPERLINK "2.3.2.3" </w:instrTex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separate"/>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2.3.2.3</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end"/>
            </w:r>
          </w:p>
        </w:tc>
        <w:tc>
          <w:tcPr>
            <w:tcW w:w="2513" w:type="dxa"/>
            <w:tcBorders>
              <w:top w:val="single" w:color="auto" w:sz="4" w:space="0"/>
              <w:left w:val="single" w:color="auto" w:sz="4" w:space="0"/>
              <w:bottom w:val="single" w:color="auto" w:sz="4" w:space="0"/>
              <w:right w:val="single" w:color="auto" w:sz="4" w:space="0"/>
            </w:tcBorders>
            <w:vAlign w:val="top"/>
          </w:tcPr>
          <w:p w14:paraId="56F7EE0B">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1FC4335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备份响应文件</w:t>
            </w:r>
          </w:p>
        </w:tc>
        <w:tc>
          <w:tcPr>
            <w:tcW w:w="6548" w:type="dxa"/>
            <w:tcBorders>
              <w:top w:val="single" w:color="auto" w:sz="4" w:space="0"/>
              <w:left w:val="single" w:color="auto" w:sz="4" w:space="0"/>
              <w:bottom w:val="single" w:color="auto" w:sz="4" w:space="0"/>
              <w:right w:val="single" w:color="auto" w:sz="4" w:space="0"/>
            </w:tcBorders>
            <w:vAlign w:val="top"/>
          </w:tcPr>
          <w:p w14:paraId="23C2F99B">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本项目□接受   ☑不接受备份响应文件</w:t>
            </w:r>
          </w:p>
          <w:p w14:paraId="4F242F4A">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以</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桂采云</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系统自动生成的备份文件为依据，当项目允许接受备份响应文件</w:t>
            </w:r>
            <w:r>
              <w:rPr>
                <w:rFonts w:hint="eastAsia" w:ascii="宋体" w:hAnsi="宋体" w:eastAsia="宋体" w:cs="宋体"/>
                <w:b w:val="0"/>
                <w:bCs/>
                <w:snapToGrid/>
                <w:color w:val="000000" w:themeColor="text1"/>
                <w:kern w:val="2"/>
                <w:sz w:val="21"/>
                <w:szCs w:val="21"/>
                <w:highlight w:val="none"/>
                <w:lang w:val="en-US" w:eastAsia="zh-CN"/>
                <w14:textFill>
                  <w14:solidFill>
                    <w14:schemeClr w14:val="tx1"/>
                  </w14:solidFill>
                </w14:textFill>
              </w:rPr>
              <w:t>时，</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供应商才可以按规定上传备份响应文件。</w:t>
            </w:r>
          </w:p>
        </w:tc>
      </w:tr>
      <w:tr w14:paraId="44F94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050" w:type="dxa"/>
            <w:tcBorders>
              <w:top w:val="single" w:color="auto" w:sz="4" w:space="0"/>
              <w:left w:val="single" w:color="auto" w:sz="4" w:space="0"/>
              <w:bottom w:val="single" w:color="auto" w:sz="4" w:space="0"/>
              <w:right w:val="single" w:color="auto" w:sz="4" w:space="0"/>
            </w:tcBorders>
            <w:vAlign w:val="top"/>
          </w:tcPr>
          <w:p w14:paraId="222306CF">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77" w:name="_21.1"/>
            <w:bookmarkEnd w:id="77"/>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2.3.3</w:t>
            </w:r>
          </w:p>
        </w:tc>
        <w:tc>
          <w:tcPr>
            <w:tcW w:w="2513" w:type="dxa"/>
            <w:tcBorders>
              <w:top w:val="single" w:color="auto" w:sz="4" w:space="0"/>
              <w:left w:val="single" w:color="auto" w:sz="4" w:space="0"/>
              <w:bottom w:val="single" w:color="auto" w:sz="4" w:space="0"/>
              <w:right w:val="single" w:color="auto" w:sz="4" w:space="0"/>
            </w:tcBorders>
            <w:vAlign w:val="top"/>
          </w:tcPr>
          <w:p w14:paraId="59D1F0AE">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演示</w:t>
            </w:r>
          </w:p>
        </w:tc>
        <w:tc>
          <w:tcPr>
            <w:tcW w:w="6548" w:type="dxa"/>
            <w:tcBorders>
              <w:top w:val="single" w:color="auto" w:sz="4" w:space="0"/>
              <w:left w:val="single" w:color="auto" w:sz="4" w:space="0"/>
              <w:bottom w:val="single" w:color="auto" w:sz="4" w:space="0"/>
              <w:right w:val="single" w:color="auto" w:sz="4" w:space="0"/>
            </w:tcBorders>
            <w:vAlign w:val="top"/>
          </w:tcPr>
          <w:p w14:paraId="2CB8CE5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无</w:t>
            </w:r>
          </w:p>
        </w:tc>
      </w:tr>
      <w:tr w14:paraId="340CF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restart"/>
            <w:tcBorders>
              <w:top w:val="single" w:color="auto" w:sz="4" w:space="0"/>
              <w:left w:val="single" w:color="auto" w:sz="4" w:space="0"/>
              <w:right w:val="single" w:color="auto" w:sz="4" w:space="0"/>
            </w:tcBorders>
            <w:vAlign w:val="center"/>
          </w:tcPr>
          <w:p w14:paraId="561D8819">
            <w:pPr>
              <w:keepNext w:val="0"/>
              <w:keepLines w:val="0"/>
              <w:pageBreakBefore w:val="0"/>
              <w:widowControl w:val="0"/>
              <w:shd w:val="clear"/>
              <w:kinsoku/>
              <w:wordWrap/>
              <w:overflowPunct/>
              <w:topLinePunct w:val="0"/>
              <w:bidi w:val="0"/>
              <w:adjustRightIn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bookmarkStart w:id="78" w:name="_23"/>
            <w:bookmarkEnd w:id="78"/>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2.4.3</w:t>
            </w:r>
          </w:p>
        </w:tc>
        <w:tc>
          <w:tcPr>
            <w:tcW w:w="2513" w:type="dxa"/>
            <w:tcBorders>
              <w:top w:val="single" w:color="auto" w:sz="4" w:space="0"/>
              <w:left w:val="single" w:color="auto" w:sz="4" w:space="0"/>
              <w:bottom w:val="single" w:color="auto" w:sz="4" w:space="0"/>
              <w:right w:val="single" w:color="auto" w:sz="4" w:space="0"/>
            </w:tcBorders>
            <w:vAlign w:val="top"/>
          </w:tcPr>
          <w:p w14:paraId="1ADBC6A6">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供应商信用查询渠</w:t>
            </w:r>
            <w:r>
              <w:rPr>
                <w:rFonts w:hint="eastAsia" w:ascii="宋体" w:hAnsi="宋体" w:eastAsia="宋体" w:cs="宋体"/>
                <w:b w:val="0"/>
                <w:bCs/>
                <w:snapToGrid/>
                <w:color w:val="000000" w:themeColor="text1"/>
                <w:kern w:val="2"/>
                <w:sz w:val="21"/>
                <w:szCs w:val="21"/>
                <w:highlight w:val="none"/>
                <w:lang w:val="en-US" w:eastAsia="zh-CN"/>
                <w14:textFill>
                  <w14:solidFill>
                    <w14:schemeClr w14:val="tx1"/>
                  </w14:solidFill>
                </w14:textFill>
              </w:rPr>
              <w:t>道</w:t>
            </w:r>
          </w:p>
        </w:tc>
        <w:tc>
          <w:tcPr>
            <w:tcW w:w="6548" w:type="dxa"/>
            <w:tcBorders>
              <w:top w:val="single" w:color="auto" w:sz="4" w:space="0"/>
              <w:left w:val="single" w:color="auto" w:sz="4" w:space="0"/>
              <w:bottom w:val="single" w:color="auto" w:sz="4" w:space="0"/>
              <w:right w:val="single" w:color="auto" w:sz="4" w:space="0"/>
            </w:tcBorders>
            <w:vAlign w:val="top"/>
          </w:tcPr>
          <w:p w14:paraId="338497F5">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征集人或者采购代理机构在资格审查结束前，对供应商进行信用查询。</w:t>
            </w:r>
          </w:p>
          <w:p w14:paraId="56EB2AC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查询渠道：“信用中国 ”网站</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www.creditchina.gov.cn)、中国政府采购网</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www.ccgp.gov.cn)。</w:t>
            </w:r>
          </w:p>
        </w:tc>
      </w:tr>
      <w:tr w14:paraId="2C74D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continue"/>
            <w:tcBorders>
              <w:left w:val="single" w:color="auto" w:sz="4" w:space="0"/>
              <w:right w:val="single" w:color="auto" w:sz="4" w:space="0"/>
            </w:tcBorders>
            <w:vAlign w:val="center"/>
          </w:tcPr>
          <w:p w14:paraId="645A1B77">
            <w:pPr>
              <w:keepNext w:val="0"/>
              <w:keepLines w:val="0"/>
              <w:pageBreakBefore w:val="0"/>
              <w:widowControl w:val="0"/>
              <w:shd w:val="clear"/>
              <w:kinsoku/>
              <w:wordWrap/>
              <w:overflowPunct/>
              <w:topLinePunct w:val="0"/>
              <w:bidi w:val="0"/>
              <w:adjustRightInd/>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bookmarkStart w:id="79" w:name="_25.3"/>
            <w:bookmarkEnd w:id="79"/>
          </w:p>
        </w:tc>
        <w:tc>
          <w:tcPr>
            <w:tcW w:w="2513" w:type="dxa"/>
            <w:tcBorders>
              <w:top w:val="single" w:color="auto" w:sz="4" w:space="0"/>
              <w:left w:val="single" w:color="auto" w:sz="4" w:space="0"/>
              <w:bottom w:val="single" w:color="auto" w:sz="4" w:space="0"/>
              <w:right w:val="single" w:color="auto" w:sz="4" w:space="0"/>
            </w:tcBorders>
            <w:vAlign w:val="top"/>
          </w:tcPr>
          <w:p w14:paraId="79171AF0">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信用查询截止时点</w:t>
            </w:r>
          </w:p>
        </w:tc>
        <w:tc>
          <w:tcPr>
            <w:tcW w:w="6548" w:type="dxa"/>
            <w:tcBorders>
              <w:top w:val="single" w:color="auto" w:sz="4" w:space="0"/>
              <w:left w:val="single" w:color="auto" w:sz="4" w:space="0"/>
              <w:bottom w:val="single" w:color="auto" w:sz="4" w:space="0"/>
              <w:right w:val="single" w:color="auto" w:sz="4" w:space="0"/>
            </w:tcBorders>
            <w:vAlign w:val="top"/>
          </w:tcPr>
          <w:p w14:paraId="22005C5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资格审查结束前</w:t>
            </w:r>
          </w:p>
        </w:tc>
      </w:tr>
      <w:tr w14:paraId="27E87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continue"/>
            <w:tcBorders>
              <w:left w:val="single" w:color="auto" w:sz="4" w:space="0"/>
              <w:right w:val="single" w:color="auto" w:sz="4" w:space="0"/>
            </w:tcBorders>
            <w:vAlign w:val="center"/>
          </w:tcPr>
          <w:p w14:paraId="59B5D08F">
            <w:pPr>
              <w:keepNext w:val="0"/>
              <w:keepLines w:val="0"/>
              <w:pageBreakBefore w:val="0"/>
              <w:widowControl w:val="0"/>
              <w:shd w:val="clear"/>
              <w:kinsoku/>
              <w:wordWrap/>
              <w:overflowPunct/>
              <w:topLinePunct w:val="0"/>
              <w:bidi w:val="0"/>
              <w:adjustRightInd/>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bookmarkStart w:id="80" w:name="_26"/>
            <w:bookmarkEnd w:id="80"/>
          </w:p>
        </w:tc>
        <w:tc>
          <w:tcPr>
            <w:tcW w:w="2513" w:type="dxa"/>
            <w:tcBorders>
              <w:top w:val="single" w:color="auto" w:sz="4" w:space="0"/>
              <w:left w:val="single" w:color="auto" w:sz="4" w:space="0"/>
              <w:bottom w:val="single" w:color="auto" w:sz="4" w:space="0"/>
              <w:right w:val="single" w:color="auto" w:sz="4" w:space="0"/>
            </w:tcBorders>
            <w:vAlign w:val="top"/>
          </w:tcPr>
          <w:p w14:paraId="66D3498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查询记录和证据留存方式</w:t>
            </w:r>
          </w:p>
        </w:tc>
        <w:tc>
          <w:tcPr>
            <w:tcW w:w="6548" w:type="dxa"/>
            <w:tcBorders>
              <w:top w:val="single" w:color="auto" w:sz="4" w:space="0"/>
              <w:left w:val="single" w:color="auto" w:sz="4" w:space="0"/>
              <w:bottom w:val="single" w:color="auto" w:sz="4" w:space="0"/>
              <w:right w:val="single" w:color="auto" w:sz="4" w:space="0"/>
            </w:tcBorders>
            <w:vAlign w:val="top"/>
          </w:tcPr>
          <w:p w14:paraId="2C52736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在查询网站中直接截图查询记录，截图作为在“</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桂采云</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 xml:space="preserve"> ”平台作为附件上传保存。</w:t>
            </w:r>
          </w:p>
        </w:tc>
      </w:tr>
      <w:tr w14:paraId="3C088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continue"/>
            <w:tcBorders>
              <w:left w:val="single" w:color="auto" w:sz="4" w:space="0"/>
              <w:bottom w:val="single" w:color="auto" w:sz="4" w:space="0"/>
              <w:right w:val="single" w:color="auto" w:sz="4" w:space="0"/>
            </w:tcBorders>
            <w:vAlign w:val="center"/>
          </w:tcPr>
          <w:p w14:paraId="0E14F248">
            <w:pPr>
              <w:keepNext w:val="0"/>
              <w:keepLines w:val="0"/>
              <w:pageBreakBefore w:val="0"/>
              <w:widowControl w:val="0"/>
              <w:shd w:val="clear"/>
              <w:kinsoku/>
              <w:wordWrap/>
              <w:overflowPunct/>
              <w:topLinePunct w:val="0"/>
              <w:bidi w:val="0"/>
              <w:adjustRightInd/>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bookmarkStart w:id="81" w:name="_28.3"/>
            <w:bookmarkEnd w:id="81"/>
          </w:p>
        </w:tc>
        <w:tc>
          <w:tcPr>
            <w:tcW w:w="2513" w:type="dxa"/>
            <w:tcBorders>
              <w:top w:val="single" w:color="auto" w:sz="4" w:space="0"/>
              <w:left w:val="single" w:color="auto" w:sz="4" w:space="0"/>
              <w:bottom w:val="single" w:color="auto" w:sz="4" w:space="0"/>
              <w:right w:val="single" w:color="auto" w:sz="4" w:space="0"/>
            </w:tcBorders>
            <w:vAlign w:val="top"/>
          </w:tcPr>
          <w:p w14:paraId="53E1790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7BBCB81E">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信用信息使用规则</w:t>
            </w:r>
          </w:p>
        </w:tc>
        <w:tc>
          <w:tcPr>
            <w:tcW w:w="6548" w:type="dxa"/>
            <w:tcBorders>
              <w:top w:val="single" w:color="auto" w:sz="4" w:space="0"/>
              <w:left w:val="single" w:color="auto" w:sz="4" w:space="0"/>
              <w:bottom w:val="single" w:color="auto" w:sz="4" w:space="0"/>
              <w:right w:val="single" w:color="auto" w:sz="4" w:space="0"/>
            </w:tcBorders>
            <w:vAlign w:val="top"/>
          </w:tcPr>
          <w:p w14:paraId="5B5B9FE6">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对在“信用中国”网站</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www.creditchina.gov.cn)、中国政府采购网(www.ccgp.gov.cn</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被列入失信被执行人、重大税收违法案件当事人名单、政府采购严重违法失信行为记录名单及其他不符合《中华人民共和国政府采购法》第二十二条规定条件的供应商，征集人或者采购代理机构应当拒绝其参与 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0680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50" w:type="dxa"/>
            <w:tcBorders>
              <w:top w:val="single" w:color="auto" w:sz="4" w:space="0"/>
              <w:left w:val="single" w:color="auto" w:sz="4" w:space="0"/>
              <w:bottom w:val="single" w:color="auto" w:sz="4" w:space="0"/>
              <w:right w:val="single" w:color="auto" w:sz="4" w:space="0"/>
            </w:tcBorders>
            <w:vAlign w:val="top"/>
          </w:tcPr>
          <w:p w14:paraId="5878353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82" w:name="_29.2.2（2）"/>
            <w:bookmarkEnd w:id="82"/>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2.5</w:t>
            </w:r>
          </w:p>
        </w:tc>
        <w:tc>
          <w:tcPr>
            <w:tcW w:w="2513" w:type="dxa"/>
            <w:tcBorders>
              <w:top w:val="single" w:color="auto" w:sz="4" w:space="0"/>
              <w:left w:val="single" w:color="auto" w:sz="4" w:space="0"/>
              <w:bottom w:val="single" w:color="auto" w:sz="4" w:space="0"/>
              <w:right w:val="single" w:color="auto" w:sz="4" w:space="0"/>
            </w:tcBorders>
            <w:vAlign w:val="top"/>
          </w:tcPr>
          <w:p w14:paraId="7C92B6C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评审方法</w:t>
            </w:r>
          </w:p>
        </w:tc>
        <w:tc>
          <w:tcPr>
            <w:tcW w:w="6548" w:type="dxa"/>
            <w:tcBorders>
              <w:top w:val="single" w:color="auto" w:sz="4" w:space="0"/>
              <w:left w:val="single" w:color="auto" w:sz="4" w:space="0"/>
              <w:bottom w:val="single" w:color="auto" w:sz="4" w:space="0"/>
              <w:right w:val="single" w:color="auto" w:sz="4" w:space="0"/>
            </w:tcBorders>
            <w:vAlign w:val="top"/>
          </w:tcPr>
          <w:p w14:paraId="1B72926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质量优先法</w:t>
            </w:r>
          </w:p>
        </w:tc>
      </w:tr>
      <w:tr w14:paraId="207F2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50" w:type="dxa"/>
            <w:tcBorders>
              <w:top w:val="single" w:color="auto" w:sz="4" w:space="0"/>
              <w:left w:val="single" w:color="auto" w:sz="4" w:space="0"/>
              <w:bottom w:val="single" w:color="auto" w:sz="4" w:space="0"/>
              <w:right w:val="single" w:color="auto" w:sz="4" w:space="0"/>
            </w:tcBorders>
            <w:vAlign w:val="top"/>
          </w:tcPr>
          <w:p w14:paraId="685B6C00">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2.5.1</w:t>
            </w:r>
          </w:p>
        </w:tc>
        <w:tc>
          <w:tcPr>
            <w:tcW w:w="2513" w:type="dxa"/>
            <w:tcBorders>
              <w:top w:val="single" w:color="auto" w:sz="4" w:space="0"/>
              <w:left w:val="single" w:color="auto" w:sz="4" w:space="0"/>
              <w:bottom w:val="single" w:color="auto" w:sz="4" w:space="0"/>
              <w:right w:val="single" w:color="auto" w:sz="4" w:space="0"/>
            </w:tcBorders>
            <w:vAlign w:val="top"/>
          </w:tcPr>
          <w:p w14:paraId="6A1F75C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组建评审委员会</w:t>
            </w:r>
          </w:p>
        </w:tc>
        <w:tc>
          <w:tcPr>
            <w:tcW w:w="6548" w:type="dxa"/>
            <w:tcBorders>
              <w:top w:val="single" w:color="auto" w:sz="4" w:space="0"/>
              <w:left w:val="single" w:color="auto" w:sz="4" w:space="0"/>
              <w:bottom w:val="single" w:color="auto" w:sz="4" w:space="0"/>
              <w:right w:val="single" w:color="auto" w:sz="4" w:space="0"/>
            </w:tcBorders>
            <w:vAlign w:val="top"/>
          </w:tcPr>
          <w:p w14:paraId="3E3D2BEA">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评审小组的人数：</w:t>
            </w:r>
            <w:r>
              <w:rPr>
                <w:rFonts w:hint="eastAsia" w:ascii="宋体" w:hAnsi="宋体" w:eastAsia="宋体" w:cs="宋体"/>
                <w:b w:val="0"/>
                <w:bCs/>
                <w:snapToGrid/>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人，其中征集人代表</w:t>
            </w:r>
            <w:r>
              <w:rPr>
                <w:rFonts w:hint="eastAsia" w:ascii="宋体" w:hAnsi="宋体" w:eastAsia="宋体" w:cs="宋体"/>
                <w:b w:val="0"/>
                <w:bCs/>
                <w:snapToGrid/>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名、技术专家</w:t>
            </w:r>
            <w:r>
              <w:rPr>
                <w:rFonts w:hint="eastAsia" w:ascii="宋体" w:hAnsi="宋体" w:eastAsia="宋体" w:cs="宋体"/>
                <w:b w:val="0"/>
                <w:bCs/>
                <w:snapToGrid/>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名。</w:t>
            </w:r>
          </w:p>
        </w:tc>
      </w:tr>
      <w:tr w14:paraId="4120B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5AB7D642">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begin"/>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instrText xml:space="preserve"> HYPERLINK "2.5.2.1" </w:instrTex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separate"/>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2.5.2.1</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end"/>
            </w:r>
          </w:p>
        </w:tc>
        <w:tc>
          <w:tcPr>
            <w:tcW w:w="2513" w:type="dxa"/>
            <w:tcBorders>
              <w:top w:val="single" w:color="auto" w:sz="4" w:space="0"/>
              <w:left w:val="single" w:color="auto" w:sz="4" w:space="0"/>
              <w:bottom w:val="single" w:color="auto" w:sz="4" w:space="0"/>
              <w:right w:val="single" w:color="auto" w:sz="4" w:space="0"/>
            </w:tcBorders>
            <w:vAlign w:val="top"/>
          </w:tcPr>
          <w:p w14:paraId="0D64A30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允许负偏离项</w:t>
            </w:r>
          </w:p>
        </w:tc>
        <w:tc>
          <w:tcPr>
            <w:tcW w:w="6548" w:type="dxa"/>
            <w:tcBorders>
              <w:top w:val="single" w:color="auto" w:sz="4" w:space="0"/>
              <w:left w:val="single" w:color="auto" w:sz="4" w:space="0"/>
              <w:bottom w:val="single" w:color="auto" w:sz="4" w:space="0"/>
              <w:right w:val="single" w:color="auto" w:sz="4" w:space="0"/>
            </w:tcBorders>
            <w:vAlign w:val="top"/>
          </w:tcPr>
          <w:p w14:paraId="25EB6C3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商务条款评审中允许负偏离的条款数为 0 项。</w:t>
            </w:r>
          </w:p>
          <w:p w14:paraId="026BC70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val="0"/>
                <w:snapToGrid/>
                <w:color w:val="000000" w:themeColor="text1"/>
                <w:kern w:val="2"/>
                <w:sz w:val="21"/>
                <w:szCs w:val="21"/>
                <w:highlight w:val="none"/>
                <w:lang w:eastAsia="zh-CN"/>
                <w14:textFill>
                  <w14:solidFill>
                    <w14:schemeClr w14:val="tx1"/>
                  </w14:solidFill>
                </w14:textFill>
              </w:rPr>
              <w:t>技术需求评审中允许负偏离的条款数为 0 项。</w:t>
            </w:r>
          </w:p>
        </w:tc>
      </w:tr>
      <w:tr w14:paraId="350A3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50" w:type="dxa"/>
            <w:tcBorders>
              <w:top w:val="single" w:color="auto" w:sz="4" w:space="0"/>
              <w:left w:val="single" w:color="auto" w:sz="4" w:space="0"/>
              <w:bottom w:val="single" w:color="auto" w:sz="4" w:space="0"/>
              <w:right w:val="single" w:color="auto" w:sz="4" w:space="0"/>
            </w:tcBorders>
            <w:vAlign w:val="top"/>
          </w:tcPr>
          <w:p w14:paraId="5C319C55">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bookmarkStart w:id="83" w:name="_39.1"/>
            <w:bookmarkEnd w:id="83"/>
          </w:p>
          <w:p w14:paraId="0248CEDB">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5B13518F">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2.5.4</w:t>
            </w:r>
          </w:p>
        </w:tc>
        <w:tc>
          <w:tcPr>
            <w:tcW w:w="2513" w:type="dxa"/>
            <w:tcBorders>
              <w:top w:val="single" w:color="auto" w:sz="4" w:space="0"/>
              <w:left w:val="single" w:color="auto" w:sz="4" w:space="0"/>
              <w:bottom w:val="single" w:color="auto" w:sz="4" w:space="0"/>
              <w:right w:val="single" w:color="auto" w:sz="4" w:space="0"/>
            </w:tcBorders>
            <w:vAlign w:val="top"/>
          </w:tcPr>
          <w:p w14:paraId="7E37EFB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确定供应商时，出现入围候选人分数并列的情形，确定供应商方式</w:t>
            </w:r>
          </w:p>
        </w:tc>
        <w:tc>
          <w:tcPr>
            <w:tcW w:w="6548" w:type="dxa"/>
            <w:tcBorders>
              <w:top w:val="single" w:color="auto" w:sz="4" w:space="0"/>
              <w:left w:val="single" w:color="auto" w:sz="4" w:space="0"/>
              <w:bottom w:val="single" w:color="auto" w:sz="4" w:space="0"/>
              <w:right w:val="single" w:color="auto" w:sz="4" w:space="0"/>
            </w:tcBorders>
            <w:vAlign w:val="top"/>
          </w:tcPr>
          <w:p w14:paraId="4FD938B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质量优先法，按总得分从高分到低分进行排名，按排名先后顺序确定入围供应商，如出现总得分相等时，按商务分高优先，如商务分得分亦相等时，则技术评分高的优先。</w:t>
            </w:r>
          </w:p>
        </w:tc>
      </w:tr>
      <w:tr w14:paraId="116DC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05828926">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84" w:name="_40.1"/>
            <w:bookmarkEnd w:id="84"/>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2.5.5</w:t>
            </w:r>
          </w:p>
        </w:tc>
        <w:tc>
          <w:tcPr>
            <w:tcW w:w="2513" w:type="dxa"/>
            <w:tcBorders>
              <w:top w:val="single" w:color="auto" w:sz="4" w:space="0"/>
              <w:left w:val="single" w:color="auto" w:sz="4" w:space="0"/>
              <w:bottom w:val="single" w:color="auto" w:sz="4" w:space="0"/>
              <w:right w:val="single" w:color="auto" w:sz="4" w:space="0"/>
            </w:tcBorders>
            <w:vAlign w:val="top"/>
          </w:tcPr>
          <w:p w14:paraId="5F2D49DF">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入围结果公告</w:t>
            </w:r>
          </w:p>
        </w:tc>
        <w:tc>
          <w:tcPr>
            <w:tcW w:w="6548" w:type="dxa"/>
            <w:tcBorders>
              <w:top w:val="single" w:color="auto" w:sz="4" w:space="0"/>
              <w:left w:val="single" w:color="auto" w:sz="4" w:space="0"/>
              <w:bottom w:val="single" w:color="auto" w:sz="4" w:space="0"/>
              <w:right w:val="single" w:color="auto" w:sz="4" w:space="0"/>
            </w:tcBorders>
            <w:vAlign w:val="top"/>
          </w:tcPr>
          <w:p w14:paraId="10DB1B9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采购代理机构在征集人依法确认入围供应商后2个工作日内在征集公告发布的媒体上发布入围结果公告。</w:t>
            </w:r>
          </w:p>
        </w:tc>
      </w:tr>
      <w:tr w14:paraId="7260E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2927EA3F">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1F5613C6">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begin"/>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instrText xml:space="preserve"> HYPERLINK "2.5.5.2" </w:instrTex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separate"/>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2.5.5.2</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fldChar w:fldCharType="end"/>
            </w:r>
          </w:p>
        </w:tc>
        <w:tc>
          <w:tcPr>
            <w:tcW w:w="2513" w:type="dxa"/>
            <w:tcBorders>
              <w:top w:val="single" w:color="auto" w:sz="4" w:space="0"/>
              <w:left w:val="single" w:color="auto" w:sz="4" w:space="0"/>
              <w:bottom w:val="single" w:color="auto" w:sz="4" w:space="0"/>
              <w:right w:val="single" w:color="auto" w:sz="4" w:space="0"/>
            </w:tcBorders>
            <w:vAlign w:val="top"/>
          </w:tcPr>
          <w:p w14:paraId="7F88AECF">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1F9D608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入围通知书</w:t>
            </w:r>
          </w:p>
        </w:tc>
        <w:tc>
          <w:tcPr>
            <w:tcW w:w="6548" w:type="dxa"/>
            <w:tcBorders>
              <w:top w:val="single" w:color="auto" w:sz="4" w:space="0"/>
              <w:left w:val="single" w:color="auto" w:sz="4" w:space="0"/>
              <w:bottom w:val="single" w:color="auto" w:sz="4" w:space="0"/>
              <w:right w:val="single" w:color="auto" w:sz="4" w:space="0"/>
            </w:tcBorders>
            <w:vAlign w:val="top"/>
          </w:tcPr>
          <w:p w14:paraId="7531290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采购代理机构通过</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桂采云</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平台发出入围通知书。</w:t>
            </w:r>
          </w:p>
          <w:p w14:paraId="660A43A6">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入围通知书在</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桂采云</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平台推送之日起，视为入围供应商已收到，入围供应商自行承担未及时查收的后果。</w:t>
            </w:r>
          </w:p>
        </w:tc>
      </w:tr>
      <w:tr w14:paraId="63F7D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restart"/>
            <w:tcBorders>
              <w:top w:val="single" w:color="auto" w:sz="4" w:space="0"/>
              <w:left w:val="single" w:color="auto" w:sz="4" w:space="0"/>
              <w:right w:val="single" w:color="auto" w:sz="4" w:space="0"/>
            </w:tcBorders>
            <w:vAlign w:val="top"/>
          </w:tcPr>
          <w:p w14:paraId="1F8B1E0E">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85" w:name="_42"/>
            <w:bookmarkEnd w:id="85"/>
            <w:bookmarkStart w:id="86" w:name="_41"/>
            <w:bookmarkEnd w:id="86"/>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2.9</w:t>
            </w:r>
          </w:p>
        </w:tc>
        <w:tc>
          <w:tcPr>
            <w:tcW w:w="2513" w:type="dxa"/>
            <w:vMerge w:val="restart"/>
            <w:tcBorders>
              <w:top w:val="single" w:color="auto" w:sz="4" w:space="0"/>
              <w:left w:val="single" w:color="auto" w:sz="4" w:space="0"/>
              <w:right w:val="single" w:color="auto" w:sz="4" w:space="0"/>
            </w:tcBorders>
            <w:vAlign w:val="top"/>
          </w:tcPr>
          <w:p w14:paraId="65E52BEF">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质疑和投诉</w:t>
            </w:r>
          </w:p>
        </w:tc>
        <w:tc>
          <w:tcPr>
            <w:tcW w:w="6548" w:type="dxa"/>
            <w:tcBorders>
              <w:top w:val="single" w:color="auto" w:sz="4" w:space="0"/>
              <w:left w:val="single" w:color="auto" w:sz="4" w:space="0"/>
              <w:bottom w:val="single" w:color="auto" w:sz="4" w:space="0"/>
              <w:right w:val="single" w:color="auto" w:sz="4" w:space="0"/>
            </w:tcBorders>
            <w:vAlign w:val="top"/>
          </w:tcPr>
          <w:p w14:paraId="4008483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接收质疑函方式：以书面形式</w:t>
            </w:r>
          </w:p>
        </w:tc>
      </w:tr>
      <w:tr w14:paraId="29E7E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continue"/>
            <w:tcBorders>
              <w:left w:val="single" w:color="auto" w:sz="4" w:space="0"/>
              <w:right w:val="single" w:color="auto" w:sz="4" w:space="0"/>
            </w:tcBorders>
            <w:vAlign w:val="center"/>
          </w:tcPr>
          <w:p w14:paraId="1BBB0815">
            <w:pPr>
              <w:keepNext w:val="0"/>
              <w:keepLines w:val="0"/>
              <w:pageBreakBefore w:val="0"/>
              <w:widowControl w:val="0"/>
              <w:shd w:val="clear"/>
              <w:kinsoku/>
              <w:wordWrap/>
              <w:overflowPunct/>
              <w:topLinePunct w:val="0"/>
              <w:bidi w:val="0"/>
              <w:adjustRightInd/>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513" w:type="dxa"/>
            <w:vMerge w:val="continue"/>
            <w:tcBorders>
              <w:left w:val="single" w:color="auto" w:sz="4" w:space="0"/>
              <w:right w:val="single" w:color="auto" w:sz="4" w:space="0"/>
            </w:tcBorders>
            <w:vAlign w:val="center"/>
          </w:tcPr>
          <w:p w14:paraId="6E9BEAB6">
            <w:pPr>
              <w:keepNext w:val="0"/>
              <w:keepLines w:val="0"/>
              <w:pageBreakBefore w:val="0"/>
              <w:widowControl w:val="0"/>
              <w:shd w:val="clear"/>
              <w:kinsoku/>
              <w:wordWrap/>
              <w:overflowPunct/>
              <w:topLinePunct w:val="0"/>
              <w:bidi w:val="0"/>
              <w:adjustRightInd/>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548" w:type="dxa"/>
            <w:tcBorders>
              <w:top w:val="single" w:color="auto" w:sz="4" w:space="0"/>
              <w:left w:val="single" w:color="auto" w:sz="4" w:space="0"/>
              <w:bottom w:val="single" w:color="auto" w:sz="4" w:space="0"/>
              <w:right w:val="single" w:color="auto" w:sz="4" w:space="0"/>
            </w:tcBorders>
            <w:vAlign w:val="top"/>
          </w:tcPr>
          <w:p w14:paraId="0013D67A">
            <w:pPr>
              <w:keepNext w:val="0"/>
              <w:keepLines w:val="0"/>
              <w:pageBreakBefore w:val="0"/>
              <w:widowControl w:val="0"/>
              <w:shd w:val="clear"/>
              <w:kinsoku/>
              <w:wordWrap/>
              <w:overflowPunct/>
              <w:topLinePunct w:val="0"/>
              <w:bidi w:val="0"/>
              <w:adjustRightInd/>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质疑联系部门及联系方式：</w:t>
            </w:r>
            <w:r>
              <w:rPr>
                <w:rFonts w:hint="eastAsia" w:ascii="宋体" w:hAnsi="宋体" w:cs="宋体"/>
                <w:color w:val="000000" w:themeColor="text1"/>
                <w:sz w:val="21"/>
                <w:szCs w:val="21"/>
                <w:highlight w:val="none"/>
                <w:u w:val="single"/>
                <w:lang w:eastAsia="zh-CN"/>
                <w14:textFill>
                  <w14:solidFill>
                    <w14:schemeClr w14:val="tx1"/>
                  </w14:solidFill>
                </w14:textFill>
              </w:rPr>
              <w:t>法正项目管理集团有限公司</w:t>
            </w: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u w:val="single"/>
                <w:lang w:eastAsia="zh-CN"/>
                <w14:textFill>
                  <w14:solidFill>
                    <w14:schemeClr w14:val="tx1"/>
                  </w14:solidFill>
                </w14:textFill>
              </w:rPr>
              <w:t>0771-5387282</w:t>
            </w:r>
            <w:r>
              <w:rPr>
                <w:rFonts w:hint="eastAsia" w:ascii="宋体" w:hAnsi="宋体" w:eastAsia="宋体" w:cs="宋体"/>
                <w:color w:val="000000" w:themeColor="text1"/>
                <w:sz w:val="21"/>
                <w:szCs w:val="21"/>
                <w:highlight w:val="none"/>
                <w14:textFill>
                  <w14:solidFill>
                    <w14:schemeClr w14:val="tx1"/>
                  </w14:solidFill>
                </w14:textFill>
              </w:rPr>
              <w:t>，通讯地址：</w:t>
            </w:r>
            <w:r>
              <w:rPr>
                <w:rFonts w:hint="eastAsia" w:ascii="宋体" w:hAnsi="宋体" w:cs="宋体"/>
                <w:color w:val="000000" w:themeColor="text1"/>
                <w:sz w:val="21"/>
                <w:szCs w:val="21"/>
                <w:highlight w:val="none"/>
                <w:u w:val="single"/>
                <w:lang w:eastAsia="zh-CN"/>
                <w14:textFill>
                  <w14:solidFill>
                    <w14:schemeClr w14:val="tx1"/>
                  </w14:solidFill>
                </w14:textFill>
              </w:rPr>
              <w:t>广西南宁市民族大道137号春晖花园A区写字楼10楼1002号</w:t>
            </w:r>
            <w:r>
              <w:rPr>
                <w:rFonts w:hint="eastAsia" w:ascii="宋体" w:hAnsi="宋体" w:eastAsia="宋体" w:cs="宋体"/>
                <w:color w:val="000000" w:themeColor="text1"/>
                <w:sz w:val="21"/>
                <w:szCs w:val="21"/>
                <w:highlight w:val="none"/>
                <w14:textFill>
                  <w14:solidFill>
                    <w14:schemeClr w14:val="tx1"/>
                  </w14:solidFill>
                </w14:textFill>
              </w:rPr>
              <w:t>。</w:t>
            </w:r>
          </w:p>
        </w:tc>
      </w:tr>
      <w:tr w14:paraId="12CF0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continue"/>
            <w:tcBorders>
              <w:left w:val="single" w:color="auto" w:sz="4" w:space="0"/>
              <w:right w:val="single" w:color="auto" w:sz="4" w:space="0"/>
            </w:tcBorders>
            <w:vAlign w:val="center"/>
          </w:tcPr>
          <w:p w14:paraId="35DE4FAA">
            <w:pPr>
              <w:keepNext w:val="0"/>
              <w:keepLines w:val="0"/>
              <w:pageBreakBefore w:val="0"/>
              <w:widowControl w:val="0"/>
              <w:shd w:val="clear"/>
              <w:kinsoku/>
              <w:wordWrap/>
              <w:overflowPunct/>
              <w:topLinePunct w:val="0"/>
              <w:bidi w:val="0"/>
              <w:adjustRightInd/>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513" w:type="dxa"/>
            <w:vMerge w:val="continue"/>
            <w:tcBorders>
              <w:left w:val="single" w:color="auto" w:sz="4" w:space="0"/>
              <w:right w:val="single" w:color="auto" w:sz="4" w:space="0"/>
            </w:tcBorders>
            <w:vAlign w:val="center"/>
          </w:tcPr>
          <w:p w14:paraId="7A81CA98">
            <w:pPr>
              <w:keepNext w:val="0"/>
              <w:keepLines w:val="0"/>
              <w:pageBreakBefore w:val="0"/>
              <w:widowControl w:val="0"/>
              <w:shd w:val="clear"/>
              <w:kinsoku/>
              <w:wordWrap/>
              <w:overflowPunct/>
              <w:topLinePunct w:val="0"/>
              <w:bidi w:val="0"/>
              <w:adjustRightInd/>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548" w:type="dxa"/>
            <w:tcBorders>
              <w:top w:val="single" w:color="auto" w:sz="4" w:space="0"/>
              <w:left w:val="single" w:color="auto" w:sz="4" w:space="0"/>
              <w:bottom w:val="single" w:color="auto" w:sz="4" w:space="0"/>
              <w:right w:val="single" w:color="auto" w:sz="4" w:space="0"/>
            </w:tcBorders>
            <w:vAlign w:val="top"/>
          </w:tcPr>
          <w:p w14:paraId="14C1E9F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现场提交质疑办理业务时间：质疑期内每个工作日9时00分到12时00分，15时00分到17时30分，业务时间以外、双休日和法定节假日不办理业务。</w:t>
            </w:r>
          </w:p>
        </w:tc>
      </w:tr>
      <w:tr w14:paraId="7A91C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continue"/>
            <w:tcBorders>
              <w:left w:val="single" w:color="auto" w:sz="4" w:space="0"/>
              <w:bottom w:val="single" w:color="auto" w:sz="4" w:space="0"/>
              <w:right w:val="single" w:color="auto" w:sz="4" w:space="0"/>
            </w:tcBorders>
            <w:vAlign w:val="center"/>
          </w:tcPr>
          <w:p w14:paraId="60982127">
            <w:pPr>
              <w:keepNext w:val="0"/>
              <w:keepLines w:val="0"/>
              <w:pageBreakBefore w:val="0"/>
              <w:widowControl w:val="0"/>
              <w:shd w:val="clear"/>
              <w:kinsoku/>
              <w:wordWrap/>
              <w:overflowPunct/>
              <w:topLinePunct w:val="0"/>
              <w:bidi w:val="0"/>
              <w:adjustRightInd/>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513" w:type="dxa"/>
            <w:vMerge w:val="continue"/>
            <w:tcBorders>
              <w:left w:val="single" w:color="auto" w:sz="4" w:space="0"/>
              <w:bottom w:val="single" w:color="auto" w:sz="4" w:space="0"/>
              <w:right w:val="single" w:color="auto" w:sz="4" w:space="0"/>
            </w:tcBorders>
            <w:vAlign w:val="center"/>
          </w:tcPr>
          <w:p w14:paraId="61B62ECC">
            <w:pPr>
              <w:keepNext w:val="0"/>
              <w:keepLines w:val="0"/>
              <w:pageBreakBefore w:val="0"/>
              <w:widowControl w:val="0"/>
              <w:shd w:val="clear"/>
              <w:kinsoku/>
              <w:wordWrap/>
              <w:overflowPunct/>
              <w:topLinePunct w:val="0"/>
              <w:bidi w:val="0"/>
              <w:adjustRightInd/>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548" w:type="dxa"/>
            <w:tcBorders>
              <w:top w:val="single" w:color="auto" w:sz="4" w:space="0"/>
              <w:left w:val="single" w:color="auto" w:sz="4" w:space="0"/>
              <w:bottom w:val="single" w:color="auto" w:sz="4" w:space="0"/>
              <w:right w:val="single" w:color="auto" w:sz="4" w:space="0"/>
            </w:tcBorders>
            <w:vAlign w:val="top"/>
          </w:tcPr>
          <w:p w14:paraId="7592450A">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投诉受理方式：</w:t>
            </w:r>
          </w:p>
          <w:p w14:paraId="1AA91EEA">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1、受理方式：纸质方式受理，投诉书正、副本（经过质疑的事项才可投诉）。</w:t>
            </w:r>
          </w:p>
          <w:p w14:paraId="22633B7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2、地址：</w:t>
            </w:r>
          </w:p>
          <w:p w14:paraId="60D888B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Style w:val="155"/>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名称：</w:t>
            </w:r>
            <w:r>
              <w:rPr>
                <w:rStyle w:val="155"/>
                <w:rFonts w:hint="eastAsia" w:ascii="宋体" w:hAnsi="宋体" w:cs="宋体"/>
                <w:color w:val="000000" w:themeColor="text1"/>
                <w:szCs w:val="21"/>
                <w:highlight w:val="none"/>
                <w:lang w:val="en-US" w:eastAsia="zh-CN"/>
                <w14:textFill>
                  <w14:solidFill>
                    <w14:schemeClr w14:val="tx1"/>
                  </w14:solidFill>
                </w14:textFill>
              </w:rPr>
              <w:t xml:space="preserve">上思县政府采购中心   </w:t>
            </w:r>
          </w:p>
          <w:p w14:paraId="68C98BF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地址：</w:t>
            </w:r>
            <w:r>
              <w:rPr>
                <w:rFonts w:hint="eastAsia" w:ascii="宋体" w:hAnsi="宋体" w:cs="宋体"/>
                <w:color w:val="000000" w:themeColor="text1"/>
                <w:kern w:val="0"/>
                <w:szCs w:val="21"/>
                <w:highlight w:val="none"/>
                <w:lang w:eastAsia="zh-CN"/>
                <w14:textFill>
                  <w14:solidFill>
                    <w14:schemeClr w14:val="tx1"/>
                  </w14:solidFill>
                </w14:textFill>
              </w:rPr>
              <w:t>上思县思阳镇更生路35号财政大厦</w:t>
            </w:r>
          </w:p>
          <w:p w14:paraId="6631FCC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kern w:val="0"/>
                <w:szCs w:val="21"/>
                <w:highlight w:val="none"/>
                <w:lang w:bidi="zh-TW"/>
                <w14:textFill>
                  <w14:solidFill>
                    <w14:schemeClr w14:val="tx1"/>
                  </w14:solidFill>
                </w14:textFill>
              </w:rPr>
              <w:t>联系方式：</w:t>
            </w:r>
            <w:r>
              <w:rPr>
                <w:rStyle w:val="155"/>
                <w:rFonts w:hint="eastAsia" w:ascii="宋体" w:hAnsi="宋体" w:cs="宋体"/>
                <w:color w:val="000000" w:themeColor="text1"/>
                <w:szCs w:val="21"/>
                <w:highlight w:val="none"/>
                <w:lang w:val="en-US" w:eastAsia="zh-CN"/>
                <w14:textFill>
                  <w14:solidFill>
                    <w14:schemeClr w14:val="tx1"/>
                  </w14:solidFill>
                </w14:textFill>
              </w:rPr>
              <w:t>0770-8521708</w:t>
            </w:r>
          </w:p>
        </w:tc>
      </w:tr>
      <w:tr w14:paraId="0E594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05960F9A">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2.10</w:t>
            </w:r>
          </w:p>
        </w:tc>
        <w:tc>
          <w:tcPr>
            <w:tcW w:w="2513" w:type="dxa"/>
            <w:tcBorders>
              <w:top w:val="single" w:color="auto" w:sz="4" w:space="0"/>
              <w:left w:val="single" w:color="auto" w:sz="4" w:space="0"/>
              <w:bottom w:val="single" w:color="auto" w:sz="4" w:space="0"/>
              <w:right w:val="single" w:color="auto" w:sz="4" w:space="0"/>
            </w:tcBorders>
            <w:vAlign w:val="top"/>
          </w:tcPr>
          <w:p w14:paraId="2A0C80A5">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中小企业政策措施</w:t>
            </w:r>
          </w:p>
        </w:tc>
        <w:tc>
          <w:tcPr>
            <w:tcW w:w="6548" w:type="dxa"/>
            <w:tcBorders>
              <w:top w:val="single" w:color="auto" w:sz="4" w:space="0"/>
              <w:left w:val="single" w:color="auto" w:sz="4" w:space="0"/>
              <w:bottom w:val="single" w:color="auto" w:sz="4" w:space="0"/>
              <w:right w:val="single" w:color="auto" w:sz="4" w:space="0"/>
            </w:tcBorders>
            <w:vAlign w:val="top"/>
          </w:tcPr>
          <w:p w14:paraId="35B18319">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本项目为非专门面向中小企业预留采购份额采购项目。</w:t>
            </w:r>
          </w:p>
        </w:tc>
      </w:tr>
      <w:tr w14:paraId="55203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4D58412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11EF1C5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4012F605">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4.1</w:t>
            </w:r>
          </w:p>
        </w:tc>
        <w:tc>
          <w:tcPr>
            <w:tcW w:w="2513" w:type="dxa"/>
            <w:tcBorders>
              <w:top w:val="single" w:color="auto" w:sz="4" w:space="0"/>
              <w:left w:val="single" w:color="auto" w:sz="4" w:space="0"/>
              <w:bottom w:val="single" w:color="auto" w:sz="4" w:space="0"/>
              <w:right w:val="single" w:color="auto" w:sz="4" w:space="0"/>
            </w:tcBorders>
            <w:vAlign w:val="top"/>
          </w:tcPr>
          <w:p w14:paraId="112B378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4E9174F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75B6C3B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代理服务费</w:t>
            </w:r>
          </w:p>
        </w:tc>
        <w:tc>
          <w:tcPr>
            <w:tcW w:w="6548" w:type="dxa"/>
            <w:tcBorders>
              <w:top w:val="single" w:color="auto" w:sz="4" w:space="0"/>
              <w:left w:val="single" w:color="auto" w:sz="4" w:space="0"/>
              <w:bottom w:val="single" w:color="auto" w:sz="4" w:space="0"/>
              <w:right w:val="single" w:color="auto" w:sz="4" w:space="0"/>
            </w:tcBorders>
            <w:vAlign w:val="top"/>
          </w:tcPr>
          <w:p w14:paraId="7DD68585">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（1）代理服务费</w:t>
            </w:r>
          </w:p>
          <w:p w14:paraId="5F3ACFA0">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采购代理机构向入围供应商收取代理服务费，仅为收取本项目框架协议采购活动采购咨询服务费用，不确保入围供应商会被选定为成交供应商并获得承接一定规模数量项目。代理服务费具体金额为按标项每个入围供应商分别缴纳</w:t>
            </w: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5000.00</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元。</w:t>
            </w:r>
          </w:p>
          <w:p w14:paraId="6B4144A1">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（2）入围供应商在入围结果公告发布后 5 个工作日内以银行转账或现金形式支付代理服务费。</w:t>
            </w:r>
          </w:p>
          <w:p w14:paraId="6F3D7E37">
            <w:pPr>
              <w:keepNext w:val="0"/>
              <w:keepLines w:val="0"/>
              <w:pageBreakBefore w:val="0"/>
              <w:widowControl w:val="0"/>
              <w:shd w:val="clear"/>
              <w:kinsoku/>
              <w:wordWrap/>
              <w:overflowPunct/>
              <w:topLinePunct w:val="0"/>
              <w:bidi w:val="0"/>
              <w:adjustRightInd/>
              <w:snapToGrid w:val="0"/>
              <w:spacing w:line="400" w:lineRule="exact"/>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开户名称：</w:t>
            </w:r>
            <w:r>
              <w:rPr>
                <w:rFonts w:hint="eastAsia" w:ascii="宋体" w:hAnsi="宋体" w:cs="宋体"/>
                <w:color w:val="000000" w:themeColor="text1"/>
                <w:kern w:val="0"/>
                <w:sz w:val="21"/>
                <w:szCs w:val="21"/>
                <w:highlight w:val="none"/>
                <w:lang w:eastAsia="zh-CN"/>
                <w14:textFill>
                  <w14:solidFill>
                    <w14:schemeClr w14:val="tx1"/>
                  </w14:solidFill>
                </w14:textFill>
              </w:rPr>
              <w:t>法正项目管理集团有限公司广西分公司</w:t>
            </w:r>
          </w:p>
          <w:p w14:paraId="11301802">
            <w:pPr>
              <w:keepNext w:val="0"/>
              <w:keepLines w:val="0"/>
              <w:pageBreakBefore w:val="0"/>
              <w:widowControl w:val="0"/>
              <w:shd w:val="clear"/>
              <w:kinsoku/>
              <w:wordWrap/>
              <w:overflowPunct/>
              <w:topLinePunct w:val="0"/>
              <w:bidi w:val="0"/>
              <w:adjustRightInd/>
              <w:snapToGrid w:val="0"/>
              <w:spacing w:line="400" w:lineRule="exact"/>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开户银行：</w:t>
            </w:r>
            <w:r>
              <w:rPr>
                <w:rFonts w:hint="eastAsia" w:ascii="宋体" w:hAnsi="宋体" w:cs="宋体"/>
                <w:color w:val="000000" w:themeColor="text1"/>
                <w:kern w:val="0"/>
                <w:sz w:val="21"/>
                <w:szCs w:val="21"/>
                <w:highlight w:val="none"/>
                <w:lang w:eastAsia="zh-CN"/>
                <w14:textFill>
                  <w14:solidFill>
                    <w14:schemeClr w14:val="tx1"/>
                  </w14:solidFill>
                </w14:textFill>
              </w:rPr>
              <w:t>中国工商银行股份有限公司南宁市永凯支行</w:t>
            </w:r>
          </w:p>
          <w:p w14:paraId="4534E95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w:t>
            </w:r>
            <w:r>
              <w:rPr>
                <w:rFonts w:hint="eastAsia" w:ascii="宋体" w:hAnsi="宋体" w:cs="宋体"/>
                <w:color w:val="000000" w:themeColor="text1"/>
                <w:sz w:val="21"/>
                <w:szCs w:val="21"/>
                <w:highlight w:val="none"/>
                <w:lang w:eastAsia="zh-CN"/>
                <w14:textFill>
                  <w14:solidFill>
                    <w14:schemeClr w14:val="tx1"/>
                  </w14:solidFill>
                </w14:textFill>
              </w:rPr>
              <w:t>2102  1128  0930  0025  602</w:t>
            </w:r>
          </w:p>
        </w:tc>
      </w:tr>
      <w:tr w14:paraId="336F5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2CCC5620">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4.3</w:t>
            </w:r>
          </w:p>
        </w:tc>
        <w:tc>
          <w:tcPr>
            <w:tcW w:w="2513" w:type="dxa"/>
            <w:tcBorders>
              <w:top w:val="single" w:color="auto" w:sz="4" w:space="0"/>
              <w:left w:val="single" w:color="auto" w:sz="4" w:space="0"/>
              <w:bottom w:val="single" w:color="auto" w:sz="4" w:space="0"/>
              <w:right w:val="single" w:color="auto" w:sz="4" w:space="0"/>
            </w:tcBorders>
            <w:vAlign w:val="top"/>
          </w:tcPr>
          <w:p w14:paraId="79E2F2A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附件</w:t>
            </w:r>
          </w:p>
        </w:tc>
        <w:tc>
          <w:tcPr>
            <w:tcW w:w="6548" w:type="dxa"/>
            <w:tcBorders>
              <w:top w:val="single" w:color="auto" w:sz="4" w:space="0"/>
              <w:left w:val="single" w:color="auto" w:sz="4" w:space="0"/>
              <w:bottom w:val="single" w:color="auto" w:sz="4" w:space="0"/>
              <w:right w:val="single" w:color="auto" w:sz="4" w:space="0"/>
            </w:tcBorders>
            <w:vAlign w:val="top"/>
          </w:tcPr>
          <w:p w14:paraId="2BAC884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无</w:t>
            </w:r>
          </w:p>
        </w:tc>
      </w:tr>
      <w:tr w14:paraId="3D9B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0CDF0F0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4.3</w:t>
            </w:r>
          </w:p>
        </w:tc>
        <w:tc>
          <w:tcPr>
            <w:tcW w:w="2513" w:type="dxa"/>
            <w:tcBorders>
              <w:top w:val="single" w:color="auto" w:sz="4" w:space="0"/>
              <w:left w:val="single" w:color="auto" w:sz="4" w:space="0"/>
              <w:bottom w:val="single" w:color="auto" w:sz="4" w:space="0"/>
              <w:right w:val="single" w:color="auto" w:sz="4" w:space="0"/>
            </w:tcBorders>
            <w:vAlign w:val="top"/>
          </w:tcPr>
          <w:p w14:paraId="20DB86C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图纸</w:t>
            </w:r>
          </w:p>
        </w:tc>
        <w:tc>
          <w:tcPr>
            <w:tcW w:w="6548" w:type="dxa"/>
            <w:tcBorders>
              <w:top w:val="single" w:color="auto" w:sz="4" w:space="0"/>
              <w:left w:val="single" w:color="auto" w:sz="4" w:space="0"/>
              <w:bottom w:val="single" w:color="auto" w:sz="4" w:space="0"/>
              <w:right w:val="single" w:color="auto" w:sz="4" w:space="0"/>
            </w:tcBorders>
            <w:vAlign w:val="top"/>
          </w:tcPr>
          <w:p w14:paraId="29C236D5">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无</w:t>
            </w:r>
          </w:p>
        </w:tc>
      </w:tr>
      <w:tr w14:paraId="39787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45808BE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4.4</w:t>
            </w:r>
          </w:p>
        </w:tc>
        <w:tc>
          <w:tcPr>
            <w:tcW w:w="2513" w:type="dxa"/>
            <w:tcBorders>
              <w:top w:val="single" w:color="auto" w:sz="4" w:space="0"/>
              <w:left w:val="single" w:color="auto" w:sz="4" w:space="0"/>
              <w:bottom w:val="single" w:color="auto" w:sz="4" w:space="0"/>
              <w:right w:val="single" w:color="auto" w:sz="4" w:space="0"/>
            </w:tcBorders>
            <w:vAlign w:val="top"/>
          </w:tcPr>
          <w:p w14:paraId="6028776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其他事项</w:t>
            </w:r>
          </w:p>
        </w:tc>
        <w:tc>
          <w:tcPr>
            <w:tcW w:w="6548" w:type="dxa"/>
            <w:tcBorders>
              <w:top w:val="single" w:color="auto" w:sz="4" w:space="0"/>
              <w:left w:val="single" w:color="auto" w:sz="4" w:space="0"/>
              <w:bottom w:val="single" w:color="auto" w:sz="4" w:space="0"/>
              <w:right w:val="single" w:color="auto" w:sz="4" w:space="0"/>
            </w:tcBorders>
            <w:vAlign w:val="top"/>
          </w:tcPr>
          <w:p w14:paraId="14569BF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本文件中内容如有前后不一致，以在征集文件先出现的为准。</w:t>
            </w:r>
          </w:p>
        </w:tc>
      </w:tr>
      <w:tr w14:paraId="622B6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cBorders>
            <w:vAlign w:val="top"/>
          </w:tcPr>
          <w:p w14:paraId="781E234B">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4.5</w:t>
            </w:r>
          </w:p>
        </w:tc>
        <w:tc>
          <w:tcPr>
            <w:tcW w:w="2513" w:type="dxa"/>
            <w:tcBorders>
              <w:top w:val="single" w:color="auto" w:sz="4" w:space="0"/>
              <w:left w:val="single" w:color="auto" w:sz="4" w:space="0"/>
              <w:bottom w:val="single" w:color="auto" w:sz="4" w:space="0"/>
              <w:right w:val="single" w:color="auto" w:sz="4" w:space="0"/>
            </w:tcBorders>
            <w:vAlign w:val="top"/>
          </w:tcPr>
          <w:p w14:paraId="33DE89C0">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履约保证金</w:t>
            </w:r>
          </w:p>
        </w:tc>
        <w:tc>
          <w:tcPr>
            <w:tcW w:w="6548" w:type="dxa"/>
            <w:tcBorders>
              <w:top w:val="single" w:color="auto" w:sz="4" w:space="0"/>
              <w:left w:val="single" w:color="auto" w:sz="4" w:space="0"/>
              <w:bottom w:val="single" w:color="auto" w:sz="4" w:space="0"/>
              <w:right w:val="single" w:color="auto" w:sz="4" w:space="0"/>
            </w:tcBorders>
            <w:vAlign w:val="top"/>
          </w:tcPr>
          <w:p w14:paraId="14E6B72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本项目不收取履约保证金。</w:t>
            </w:r>
          </w:p>
        </w:tc>
      </w:tr>
      <w:tr w14:paraId="52F76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restart"/>
            <w:tcBorders>
              <w:top w:val="single" w:color="auto" w:sz="4" w:space="0"/>
              <w:left w:val="single" w:color="auto" w:sz="4" w:space="0"/>
              <w:right w:val="single" w:color="auto" w:sz="4" w:space="0"/>
            </w:tcBorders>
            <w:vAlign w:val="top"/>
          </w:tcPr>
          <w:p w14:paraId="5F3344A0">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22BE9CA6">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464846AE">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27E8044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3F34FC6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2C358BB9">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4C25AA4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39ADBD2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58CBB30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439FE3E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07190A89">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4.6</w:t>
            </w:r>
          </w:p>
        </w:tc>
        <w:tc>
          <w:tcPr>
            <w:tcW w:w="2513" w:type="dxa"/>
            <w:vMerge w:val="restart"/>
            <w:tcBorders>
              <w:top w:val="single" w:color="auto" w:sz="4" w:space="0"/>
              <w:left w:val="single" w:color="auto" w:sz="4" w:space="0"/>
              <w:right w:val="single" w:color="auto" w:sz="4" w:space="0"/>
            </w:tcBorders>
            <w:vAlign w:val="top"/>
          </w:tcPr>
          <w:p w14:paraId="1C8AE07E">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47AE9A9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3227CAC3">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0D9275D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3445293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2EBA6CB9">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1BBCCCA7">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58D41230">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7E7299EF">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640F70E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p>
          <w:p w14:paraId="1122B2BB">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解释及其他释义</w:t>
            </w:r>
          </w:p>
        </w:tc>
        <w:tc>
          <w:tcPr>
            <w:tcW w:w="6548" w:type="dxa"/>
            <w:tcBorders>
              <w:top w:val="single" w:color="auto" w:sz="4" w:space="0"/>
              <w:left w:val="single" w:color="auto" w:sz="4" w:space="0"/>
              <w:bottom w:val="single" w:color="auto" w:sz="4" w:space="0"/>
              <w:right w:val="single" w:color="auto" w:sz="4" w:space="0"/>
            </w:tcBorders>
            <w:vAlign w:val="top"/>
          </w:tcPr>
          <w:p w14:paraId="4552C60C">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解释权：构成本征集文件的各个组成文件应互为解释，互为说明；除征集文件中有特别规定外，仅适用于征集响应阶段的规定，按更正公告（澄清公告）、征集公告、采购需求、供应商须知、评审方法及评审标准、拟签订的合同文本、 响应文件格式的先后顺序解释；同一组成文件中就同一事项的规定或者约定不 一致的，以编排顺序在后者为准；同一组成文件不同版本之间有不一致的，以 形成时间在后者为准；更正公告（澄清公告）与同步更新的征集文件不一致时 以更正公告（澄清公告）为准。按本款前述规定仍不能形成结论的，由征集人或者采购代理机构负责解释。</w:t>
            </w:r>
          </w:p>
          <w:p w14:paraId="26E0731E">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法律责任：本征集文件根据《中华人民共和国政府采购法</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中华人民共和国民法典》</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《中华人民共和国政府采购法实施条例</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政府采购非征集采 购方式管理办法》等有关法律、法规编制，参与本项目的各政府采购当事人依法享有上述法律法规所赋予的权利与义务。</w:t>
            </w:r>
          </w:p>
        </w:tc>
      </w:tr>
      <w:tr w14:paraId="78556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vMerge w:val="continue"/>
            <w:tcBorders>
              <w:left w:val="single" w:color="auto" w:sz="4" w:space="0"/>
              <w:bottom w:val="single" w:color="auto" w:sz="4" w:space="0"/>
              <w:right w:val="single" w:color="auto" w:sz="4" w:space="0"/>
            </w:tcBorders>
            <w:vAlign w:val="center"/>
          </w:tcPr>
          <w:p w14:paraId="1E240C78">
            <w:pPr>
              <w:keepNext w:val="0"/>
              <w:keepLines w:val="0"/>
              <w:pageBreakBefore w:val="0"/>
              <w:widowControl w:val="0"/>
              <w:shd w:val="clear"/>
              <w:kinsoku/>
              <w:wordWrap/>
              <w:overflowPunct/>
              <w:topLinePunct w:val="0"/>
              <w:bidi w:val="0"/>
              <w:adjustRightInd/>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513" w:type="dxa"/>
            <w:vMerge w:val="continue"/>
            <w:tcBorders>
              <w:left w:val="single" w:color="auto" w:sz="4" w:space="0"/>
              <w:bottom w:val="single" w:color="auto" w:sz="4" w:space="0"/>
              <w:right w:val="single" w:color="auto" w:sz="4" w:space="0"/>
            </w:tcBorders>
            <w:vAlign w:val="center"/>
          </w:tcPr>
          <w:p w14:paraId="4753D439">
            <w:pPr>
              <w:keepNext w:val="0"/>
              <w:keepLines w:val="0"/>
              <w:pageBreakBefore w:val="0"/>
              <w:widowControl w:val="0"/>
              <w:shd w:val="clear"/>
              <w:kinsoku/>
              <w:wordWrap/>
              <w:overflowPunct/>
              <w:topLinePunct w:val="0"/>
              <w:bidi w:val="0"/>
              <w:adjustRightInd/>
              <w:snapToGrid w:val="0"/>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548" w:type="dxa"/>
            <w:tcBorders>
              <w:top w:val="single" w:color="auto" w:sz="4" w:space="0"/>
              <w:left w:val="single" w:color="auto" w:sz="4" w:space="0"/>
              <w:bottom w:val="single" w:color="auto" w:sz="4" w:space="0"/>
              <w:right w:val="single" w:color="auto" w:sz="4" w:space="0"/>
            </w:tcBorders>
            <w:vAlign w:val="top"/>
          </w:tcPr>
          <w:p w14:paraId="20B01E5F">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其他释义：</w:t>
            </w:r>
          </w:p>
          <w:p w14:paraId="59861EB2">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1.本征集文件中描述供应商的“公章 ”是指根据我国对公章的管理规定，用供应商法定主体行为名称制作的印章，除本征集文件有特殊规定外，供应商的财 务章、部门章、分公司章、工会章、合同章、响应专用章、业务专用章及银行的转账章、现金收讫章、现金付讫章等其他形式印章均不能代替公章。</w:t>
            </w:r>
          </w:p>
          <w:p w14:paraId="62E6DA00">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2.供应商为其他组织或者自然人时，本征集文件规定的法定代表人指负责人或 者自然人。本征集文件所称负责人是指参加响应的其他组织营业执照上的负责人，本征集文件所称自然人指参与响应的自然人本人。</w:t>
            </w:r>
          </w:p>
          <w:p w14:paraId="2665CB6D">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3.本征集文件中描述供应商的“签字 ”是指供应商的法定代表人或者委托代理人亲自在文件规定签署处亲笔写上个人的名字的行为，私章、签字章、印鉴、影印等其他形式均不能代替亲笔签字。</w:t>
            </w:r>
          </w:p>
          <w:p w14:paraId="3F91E7E4">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4. 自然人响应的，征集文件规定盖公章处由自然人摁手指指印。</w:t>
            </w:r>
          </w:p>
          <w:p w14:paraId="7D0545C8">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5.本征集文件所称的“ 以上 ”“ 以下 ”“ 以内 ”“届满 ”，包括本数；所称的“不满 ”“超过 ”“ 以外 ”，不包括本数。</w:t>
            </w:r>
          </w:p>
        </w:tc>
      </w:tr>
    </w:tbl>
    <w:p w14:paraId="55E959F7">
      <w:pPr>
        <w:shd w:val="clea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
          <w:color w:val="000000" w:themeColor="text1"/>
          <w:sz w:val="32"/>
          <w:szCs w:val="32"/>
          <w:highlight w:val="none"/>
          <w:lang w:eastAsia="zh-CN"/>
          <w14:textFill>
            <w14:solidFill>
              <w14:schemeClr w14:val="tx1"/>
            </w14:solidFill>
          </w14:textFill>
        </w:rPr>
        <w:t>供应商</w:t>
      </w:r>
      <w:r>
        <w:rPr>
          <w:rFonts w:hint="eastAsia" w:ascii="宋体" w:hAnsi="宋体"/>
          <w:b/>
          <w:color w:val="000000" w:themeColor="text1"/>
          <w:sz w:val="32"/>
          <w:szCs w:val="32"/>
          <w:highlight w:val="none"/>
          <w14:textFill>
            <w14:solidFill>
              <w14:schemeClr w14:val="tx1"/>
            </w14:solidFill>
          </w14:textFill>
        </w:rPr>
        <w:t>须知正文</w:t>
      </w:r>
    </w:p>
    <w:p w14:paraId="67C5782A">
      <w:pPr>
        <w:shd w:val="clear"/>
        <w:spacing w:before="172" w:line="219" w:lineRule="auto"/>
        <w:ind w:left="2598"/>
        <w:rPr>
          <w:rFonts w:ascii="宋体" w:hAnsi="宋体" w:eastAsia="宋体" w:cs="宋体"/>
          <w:color w:val="000000" w:themeColor="text1"/>
          <w:sz w:val="30"/>
          <w:szCs w:val="30"/>
          <w:highlight w:val="none"/>
          <w14:textFill>
            <w14:solidFill>
              <w14:schemeClr w14:val="tx1"/>
            </w14:solidFill>
          </w14:textFill>
        </w:rPr>
      </w:pPr>
      <w:r>
        <w:rPr>
          <w:rFonts w:ascii="宋体" w:hAnsi="宋体" w:eastAsia="宋体" w:cs="宋体"/>
          <w:b/>
          <w:bCs/>
          <w:color w:val="000000" w:themeColor="text1"/>
          <w:spacing w:val="-3"/>
          <w:sz w:val="30"/>
          <w:szCs w:val="30"/>
          <w:highlight w:val="none"/>
          <w14:textFill>
            <w14:solidFill>
              <w14:schemeClr w14:val="tx1"/>
            </w14:solidFill>
          </w14:textFill>
        </w:rPr>
        <w:t>第二节</w:t>
      </w:r>
      <w:r>
        <w:rPr>
          <w:rFonts w:ascii="宋体" w:hAnsi="宋体" w:eastAsia="宋体" w:cs="宋体"/>
          <w:color w:val="000000" w:themeColor="text1"/>
          <w:spacing w:val="-3"/>
          <w:sz w:val="30"/>
          <w:szCs w:val="30"/>
          <w:highlight w:val="none"/>
          <w14:textFill>
            <w14:solidFill>
              <w14:schemeClr w14:val="tx1"/>
            </w14:solidFill>
          </w14:textFill>
        </w:rPr>
        <w:t xml:space="preserve"> </w:t>
      </w:r>
      <w:r>
        <w:rPr>
          <w:rFonts w:ascii="宋体" w:hAnsi="宋体" w:eastAsia="宋体" w:cs="宋体"/>
          <w:b/>
          <w:bCs/>
          <w:color w:val="000000" w:themeColor="text1"/>
          <w:spacing w:val="-3"/>
          <w:sz w:val="30"/>
          <w:szCs w:val="30"/>
          <w:highlight w:val="none"/>
          <w14:textFill>
            <w14:solidFill>
              <w14:schemeClr w14:val="tx1"/>
            </w14:solidFill>
          </w14:textFill>
        </w:rPr>
        <w:t>供应商须知正文</w:t>
      </w:r>
    </w:p>
    <w:p w14:paraId="1AC869D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1．总则</w:t>
      </w:r>
    </w:p>
    <w:p w14:paraId="77389FF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适用范围</w:t>
      </w:r>
    </w:p>
    <w:p w14:paraId="74F64E91">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本项目为框架协议采购，是指征集人通过公开征集程序，确定第一阶段入围供应商并订立框架协议，采购人按照框架协议约定规则，在入围供应商范围内确定第二阶段成交供应商并订立采购合同的采购方式。</w:t>
      </w:r>
    </w:p>
    <w:p w14:paraId="5E1CE7AF">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本文如无特别说明，文件中第一阶段即指征集阶段，第二阶段即指确定成交阶段。</w:t>
      </w:r>
    </w:p>
    <w:p w14:paraId="3409E0F5">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本征集文件适用于第一阶段的征集活动。</w:t>
      </w:r>
    </w:p>
    <w:p w14:paraId="4FB01D5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 定义</w:t>
      </w:r>
    </w:p>
    <w:p w14:paraId="71D01B2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1.2.1“征集人 ”系指第一阶段主管预算单位及其委托的采购代理机构、集中采购机构的统称。</w:t>
      </w:r>
    </w:p>
    <w:p w14:paraId="3E85DF1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1.2.2“采购人 ”系指第二阶段实际需要采购服务或货物的单位。</w:t>
      </w:r>
    </w:p>
    <w:p w14:paraId="634A389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1.2.3“入围供应商 ”系指参与第一阶段征集活动并入围的法人、其他组织或者自然人。“成交供应商 ”系指在第一阶段入围并在第二阶段选定与采购人签订合同的入围供应商。</w:t>
      </w:r>
    </w:p>
    <w:p w14:paraId="20EC8E9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 本文件中的“法定代表人 ”若无特别说明，当供应商是企业的，是指企业法 人营业执照上的法定代表人；当供应商是事业单位的，是指事业单位法人证书上的法定 代表人；当供应商是社会团体、民办非企业的，是指法人登记证书中的法定代表人；当供应商是个体工商户的，是指个体工商户营业执照上的经营者；当供应商是自然人的，是指参与本项目响应的自然人本人。</w:t>
      </w:r>
    </w:p>
    <w:p w14:paraId="63A5AC1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 本文件中的“公章 ”是指根据我国对公章的管理规定，用供应商法定主体 行为名称制作的印章，除本文件有特殊规定外，供应商的财务章、部门章、分公司章、 工会章、合同章、响应专用章、业务专用章及银行的转账章、现金收讫章、现金付讫章 等其他形式印章均不能代替公章。本文件中的“签章 ”是指电子签名的一种表现形式，利用图像处理技术将电子签名操作转化为与纸质文件盖章操作相同的可视效果，同时利用电子签名技术保障电子信息的真实性和完整性以及签名人的不可否认性。</w:t>
      </w:r>
    </w:p>
    <w:p w14:paraId="18417E9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1.2.6“书面形式 ”如无特殊规定，书面形式是合同书、信件、电报、电传等可以 有形地表现所载内容的形式。以电子数据交换、电子邮件等方式能够有形地表现所载内容，并可以随时调取查用的数据电文，视为书面形式。征集文件如有特殊规定，以征集文件规定为准。</w:t>
      </w:r>
    </w:p>
    <w:p w14:paraId="1226C773">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1.2.7 本征集文件出现多种选项的条款，以“☑ ”表示本条款所选择的方式。</w:t>
      </w:r>
    </w:p>
    <w:p w14:paraId="3BB9A8E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1.2.8 “ 电子交易平台 ”是指以数据电文形式在线完成采购活动的信息平台，本征集文件中也称“</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”平台。</w:t>
      </w:r>
    </w:p>
    <w:p w14:paraId="5C6F028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 项目信息</w:t>
      </w:r>
    </w:p>
    <w:p w14:paraId="6CEF2FC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 项目名称及编号：详见供应商须知前附表</w:t>
      </w:r>
    </w:p>
    <w:p w14:paraId="311FF16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 采购方式：详见供应商须知前附表，</w:t>
      </w:r>
    </w:p>
    <w:p w14:paraId="3A16729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 供应商资格要求</w:t>
      </w:r>
    </w:p>
    <w:p w14:paraId="2C3D094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 供应商资格要求：详见供应商须知前附表</w:t>
      </w:r>
    </w:p>
    <w:p w14:paraId="5C434D7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 按照征集公告的规定获得征集文件。</w:t>
      </w:r>
    </w:p>
    <w:p w14:paraId="1F100E4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 本项目是否接受联合体响应，见供应商须知前附表规定。</w:t>
      </w:r>
    </w:p>
    <w:p w14:paraId="7C1E597B">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 现场踏勘及响应费用</w:t>
      </w:r>
    </w:p>
    <w:p w14:paraId="0236F86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 前附表如规定现场踏勘的，供应商应按规定时间地点参加踏勘。</w:t>
      </w:r>
    </w:p>
    <w:p w14:paraId="1B36A73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 供应商均应自行承担所有与响应有关的全部费用（征集文件有相关的规定除外）。</w:t>
      </w:r>
    </w:p>
    <w:p w14:paraId="6F1286D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 转包与分包</w:t>
      </w:r>
    </w:p>
    <w:p w14:paraId="5822A22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 如征集文件其他地方无特别规定，本项目不允许转包。</w:t>
      </w:r>
    </w:p>
    <w:p w14:paraId="5AFFAD9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1.6.2 本项目是否允许分包详见供应商须知前附表，本项目不允许违法分包。供应商根据征集文件的规定和采购项目的实际情况，拟在入围后将入围项目的非主体、非关 键性工作分包的，应当在响应文件中载明分包承担主体，分包承担主体应当具备相应资质条件且不得再次分包。</w:t>
      </w:r>
    </w:p>
    <w:p w14:paraId="6116543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 特别说明</w:t>
      </w:r>
    </w:p>
    <w:p w14:paraId="5E0B87B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 供应商应保证其提供的联系方式（电话、传真、电子邮件）有效，以保证往 来函件（澄清、修改等）能及时通知供应商，并能及时反馈，否则征集人不承担由此引起的一切后果。</w:t>
      </w:r>
    </w:p>
    <w:p w14:paraId="73179C3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 供应商应仔细阅读征集文件的所有内容，按照征集文件的要求提交响应文件，并对所提供的全部资料的真实性承担法律责任。</w:t>
      </w:r>
    </w:p>
    <w:p w14:paraId="780C809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1.7.3 供应商在响应活动中提供任何虚假材料，将报监管部门查处； 2．第一阶段（征集阶段）</w:t>
      </w:r>
    </w:p>
    <w:p w14:paraId="4B71F06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征集文件</w:t>
      </w:r>
    </w:p>
    <w:p w14:paraId="66A705A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 征集文件的构成</w:t>
      </w:r>
    </w:p>
    <w:p w14:paraId="4C905762">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第一章 征集公告；</w:t>
      </w:r>
    </w:p>
    <w:p w14:paraId="6135308B">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第二章 采购需求；</w:t>
      </w:r>
    </w:p>
    <w:p w14:paraId="6050708B">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第三章 供应商须知；</w:t>
      </w:r>
    </w:p>
    <w:p w14:paraId="2AC5D28B">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第四章 评审方法及评审标准；</w:t>
      </w:r>
    </w:p>
    <w:p w14:paraId="0D17B0FF">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第五章 拟签订的框架协议文本和采购合同文本；</w:t>
      </w:r>
    </w:p>
    <w:p w14:paraId="27E239F2">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第六章 响应文件格式；</w:t>
      </w:r>
    </w:p>
    <w:p w14:paraId="753DC831">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第七章 质疑、投诉材料格式</w:t>
      </w:r>
    </w:p>
    <w:p w14:paraId="60FA671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2.1.2 供应商的风险</w:t>
      </w:r>
    </w:p>
    <w:p w14:paraId="378D52CE">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供应商没有按照征集文件要求提供全部资料，或者供应商没有对征集文件在各方面作出实质性响应是供应商的风险，并可能导致其响应被否决。</w:t>
      </w:r>
    </w:p>
    <w:p w14:paraId="53CD1E5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2.1.3 征集文件的澄清与修改</w:t>
      </w:r>
    </w:p>
    <w:p w14:paraId="499E33E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"2.1.3.1"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2.1.3.1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任何已获得征集文件的潜在供应商，均可以书面形式要求征集人作出书面解释、澄清。</w:t>
      </w:r>
    </w:p>
    <w:p w14:paraId="7654D46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"2.1.3.2"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征集人对已发出的征集文件进行必要澄清或者修改的，按供应商须知前附表规定发布。</w:t>
      </w:r>
    </w:p>
    <w:p w14:paraId="13353C8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"2.1.3.3"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征集文件澄清、答复、修改、补充的内容为征集文件的组成部分。当征集 文件与征集文件的答复、澄清、修改、补充通知就同一内容的表述不一致时，以最后发出的公告或书面文件为准。</w:t>
      </w:r>
    </w:p>
    <w:p w14:paraId="27097E1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响应文件</w:t>
      </w:r>
    </w:p>
    <w:p w14:paraId="463D9AA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 响应文件的组成</w:t>
      </w:r>
    </w:p>
    <w:p w14:paraId="58D4C02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响应文件由报价文件、资格证明文件、商务技术文件三部分组成。</w:t>
      </w:r>
    </w:p>
    <w:p w14:paraId="2FCBF503">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（1）资格证明文件：具体材料见“供应商须知前附表”。</w:t>
      </w:r>
    </w:p>
    <w:p w14:paraId="5FE7ECC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（2）商务技术文件：具体材料见“供应商须知前附表”。</w:t>
      </w:r>
    </w:p>
    <w:p w14:paraId="67FFB58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（3）报价文件： 具体材料见“供应商须知前附表”。</w:t>
      </w:r>
    </w:p>
    <w:p w14:paraId="5748746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 响应文件的语言及计量</w:t>
      </w:r>
    </w:p>
    <w:p w14:paraId="2F1878E3">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"2.2.2.1"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2.2.2.1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响应文件以及供应商与征集人就有关响应事宜的所有来往函电，均应以中文书写（除专用术语外，与招标响应有关的语言均使用中文。必要时专用术语应附有中 文注释）。供应商提交的支持文件和印刷的文献可以使用别的语言，但其相应内容应同时附中文翻译文本，在解释响应文件时以中文翻译文本为主。对不同文字文本响应文件的解释发生异议的，以中文文本为准。</w:t>
      </w:r>
    </w:p>
    <w:p w14:paraId="27673E3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"2.2.2.2"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计量单位征集文件已有明确规定的，响应使用征集文件规定的计量单位；</w:t>
      </w:r>
    </w:p>
    <w:p w14:paraId="3530F57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征集文件没有规定的，应采用中华人民共和国法定计量单位。</w:t>
      </w:r>
    </w:p>
    <w:p w14:paraId="583DF35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 响应报价</w:t>
      </w:r>
    </w:p>
    <w:p w14:paraId="4F1125C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"2.2.3.1"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2.2.3.1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响应报价应按征集文件中相关附表格式填写。</w:t>
      </w:r>
    </w:p>
    <w:p w14:paraId="18DBD11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"2.2.3.2"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响应文件只允许有一个报价，有选择的或有条件的报价将不予接受。</w:t>
      </w:r>
    </w:p>
    <w:p w14:paraId="1EFF8FE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"2.2.3.3"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对于本文件中未列明，而供应商认为必需的费用也需列入响应报价。在合同实施时，采购人将不予支付供应商没有列入的项目费用，并认为此项目的费用已包括在响应报价中。</w:t>
      </w:r>
    </w:p>
    <w:p w14:paraId="3AF8FE2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"2.2.3.4"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2.2.3.4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采购人不接受供应商给予的赠品、回扣或者与采购无关的其他商品、服务。</w:t>
      </w:r>
    </w:p>
    <w:p w14:paraId="11C9513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2.2.4 响应有效期</w:t>
      </w:r>
    </w:p>
    <w:p w14:paraId="5E4E0CE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"2.2.4.1"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2.2.4.1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如征集文件其他地方无特别规定，响应有效期则为响应截止之日起60天。</w:t>
      </w:r>
    </w:p>
    <w:p w14:paraId="6C3C2F0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在响应有效期内响应文件应保持有效。有效期不足的响应文件将被否决。</w:t>
      </w:r>
    </w:p>
    <w:p w14:paraId="72F723B3">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"2.2.4.2"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2.2.4.2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在特殊情况下，征集人可与供应商协商延长响应文件的有效期，这种要求和答复均以书面形式进行。</w:t>
      </w:r>
    </w:p>
    <w:p w14:paraId="0AB9A5A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2.2.5 响应保证金</w:t>
      </w:r>
    </w:p>
    <w:p w14:paraId="1E44B0F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"2.2.5.1"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2.2.5.1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供应商按“供应商须知前附表”的规定不用提交响应保证金。</w:t>
      </w:r>
    </w:p>
    <w:p w14:paraId="6A84005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2.2.6 响应文件的编制要求</w:t>
      </w:r>
    </w:p>
    <w:p w14:paraId="25D9692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"2.2.6.1"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2.2.6.1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供应商应先安装“广西政府采购云平台电子投标客户端”（请自行前往“</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”平台进行下载），通过账号密码或CA登录客户端制作响应文件。</w:t>
      </w:r>
    </w:p>
    <w:p w14:paraId="68EDD93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"2.2.6.2"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2.2.6.2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供应商应按本征集文件规定的格式和顺序编制响应文件并编制完整的页码、目录，响应文件内容不完整、编排混乱导致响应文件被误读、漏读或者查找不到相关内容的，由供应商自行负责。</w:t>
      </w:r>
    </w:p>
    <w:p w14:paraId="26BC31A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"2.2.6.3"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2.2.6.3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响应文件按照征集文件第六章格式要求在规定位置进行签署、盖章。供应 商的响应文件未按照征集文件要求签署、盖章的，其响应无效。骑缝盖公章不视为在规定位置盖章。</w:t>
      </w:r>
    </w:p>
    <w:p w14:paraId="777F6E3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"2.2.6.4"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2.2.6.4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为确保网上操作合法、有效和安全，供应商应当在响应文件递交截止时间 前完成在“</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”平台的身份认证，确保在电子响应过程中能够对相关数据电文进行加密和使用电子签名。</w:t>
      </w:r>
    </w:p>
    <w:p w14:paraId="392B0B6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"2.2.6.5"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2.2.6.5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响应文件中标注的供应商名称应与主体资格证明（如营业执照、事业单位法人证书、执业许可证、个体工商户营业执照、 自然人身份证等）和公章/电子签章一致，否则作无效响应处理。</w:t>
      </w:r>
    </w:p>
    <w:p w14:paraId="4FFCF81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2.2.7 响应文件的递交、修改和撤回</w:t>
      </w:r>
    </w:p>
    <w:p w14:paraId="1E54979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"2.2.7.1"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2.2.7.1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供应商必须在供应商须知前附表规定的响应文件截标时间和截标地点提交电子版响应文件。电子响应文件应在制作完成后，在响应文件提交截止时间前通过有 效数字证书（CA认证锁）进行电子签章、加密，然后通过网络将加密的电子响应文件递交至“</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”平台。</w:t>
      </w:r>
    </w:p>
    <w:p w14:paraId="0BF1B42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"2.2.7.2"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2.2.7.2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未在规定时间内提交或者未按照征集文件要求签章、加密的电子响应文件，“</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”平台将拒收。</w:t>
      </w:r>
    </w:p>
    <w:p w14:paraId="7B4040C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"2.2.7.3"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2.2.7.3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供应商应当在响应文件提交截止时间前完成响应文件的传输递交，并可以 补充、修改或者撤回响应文件。补充或者修改响应文件的，应当先行撤回原文件，补充、修改后重新传输递交。响应文件提交截止时间前未完成传输的，视为撤回响应文件。响应文件提交截止时间后递交的响应文件，“</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”平台将拒收。</w:t>
      </w:r>
    </w:p>
    <w:p w14:paraId="55518AA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"2.2.7.4"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2.2.7.4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在响应文件提交截止时间前，除供应商补充、修改或者撤回响应文件外，任何单位和个人不得解密或提取响应文件。</w:t>
      </w:r>
    </w:p>
    <w:p w14:paraId="646B575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"2.2.7.5"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2.2.7.5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在响应文件提交截止时间止提交电子版响应文件的供应商不足3家时，电子版响应文件由征集人在“</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”平台操作退回，除此之外征集人对已提交的响应文件概不退回。</w:t>
      </w:r>
    </w:p>
    <w:p w14:paraId="6424554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"2.2.7.6"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2.2.7.6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征集文件未允许提供备选文件，但存在同一供应商提交两个或以上不同的 响应文件，其响应无效。供应商在同一响应文件中对某项技术、商务要求提供有选择性的响应参数或方案等同于提交两个或以上不同的响应文件。</w:t>
      </w:r>
    </w:p>
    <w:p w14:paraId="6F62640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 截标</w:t>
      </w:r>
    </w:p>
    <w:p w14:paraId="1297B0E3">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2.3.1 截标准备</w:t>
      </w:r>
    </w:p>
    <w:p w14:paraId="0369E363">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本项目响应文件提交截止时间及地点见供应商须知前附表规定。</w:t>
      </w:r>
    </w:p>
    <w:p w14:paraId="7EF13403">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全流程电子化项目没有现场递交响应文件及现场截标环节。征集人将按照征集文件规定的时间通过“</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如供应商成功解密响应文件，但未在“</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”电子截标大厅参加截标的，视同认可截标过程和结果，由此产生的后果由供应商自行负责。</w:t>
      </w:r>
    </w:p>
    <w:p w14:paraId="242AC3C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2.3.2 截标程序</w:t>
      </w:r>
    </w:p>
    <w:p w14:paraId="5CCCF01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"2.3.2.1"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2.3.2.1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供应商登录</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平台进入截标大厅签到。</w:t>
      </w:r>
    </w:p>
    <w:p w14:paraId="6B8EA80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"2.3.2.2"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解密电子响应文件。“</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”平台按截标时间自动提取所有响应文件。 征集人在“</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”平台向各供应商发出电子加密响应文件开始解密通知，由供应商平 台设置时间内自行进行响应文件解密。供应商须使用加密时所用的CA锁准时登录到“</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”平台电子截标大厅签到并对电子响应文件解密。截标后供应商未及时进行解密的， 征集人可通知供应商。通知后，响应文件仍未在上述规定时间内解密，或者供应商没预 留联系方式或预留联系方式无效导致征集人无法联系到供应商进行解密的，均视为无效响应。</w:t>
      </w:r>
    </w:p>
    <w:p w14:paraId="26357F5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"2.3.2.3"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2.3.2.3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是否接受备份响应文件详见供应商须知前附表，如接受备份文件，出现供 应商自身原因引起的解密异常时，供应商须在规定时间内将备份响应文件通过邮箱发送 至征集人（代理机构），由代理机构上传备份响应文件后将自动解密。（解密异常情况处理：详见本章 9.2 电子交易活动的中止。）</w:t>
      </w:r>
    </w:p>
    <w:p w14:paraId="45B7FED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"2.3.2.4"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2.3.2.4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供应商对报价进行确认（如有）。</w:t>
      </w:r>
    </w:p>
    <w:p w14:paraId="0564670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"2.3.2.5"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2.3.2.5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截标结束。</w:t>
      </w:r>
    </w:p>
    <w:p w14:paraId="161F36B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特别说明：如遇“</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”平台相关程序调整的，按调整后的程序执行。</w:t>
      </w:r>
    </w:p>
    <w:p w14:paraId="334BB0F3">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2.3.3 演示</w:t>
      </w:r>
    </w:p>
    <w:p w14:paraId="010EA6D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"2.3.3.1"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2.3.3.1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供应商须知前附表规定在截标会议结束后进行演示的，供应商应按规定进行演示。</w:t>
      </w:r>
    </w:p>
    <w:p w14:paraId="00B15D9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"2.3.3.2"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未按规定时间进行演示可能引起的演示分数被计为0分或响应无效等后果由供应商自行承担。</w:t>
      </w:r>
    </w:p>
    <w:p w14:paraId="7A371ED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 资格审查</w:t>
      </w:r>
    </w:p>
    <w:p w14:paraId="70F9A17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.1开标结束后，采购人或采购机构依法进行线上审查。</w:t>
      </w:r>
    </w:p>
    <w:p w14:paraId="5259698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.2征集人或采购机构依据法律法规和征集文件的规定，对供应商的基本资格条件、特定资格条件进行审查。</w:t>
      </w:r>
    </w:p>
    <w:p w14:paraId="60862B53">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.3资格审查标准为本“征集文件”中“供应商须知前附表”</w:t>
      </w:r>
      <w:r>
        <w:rPr>
          <w:rFonts w:hint="eastAsia" w:ascii="宋体" w:hAnsi="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.1点载明对供应商资格要求的条件。本项目资格审查采用合格制，凡符合征集文件规定的供应商资格要求的供应商均通过资格审查。</w:t>
      </w:r>
    </w:p>
    <w:p w14:paraId="30D5388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.4供应商有下列情形之一的，资格审查不通过，作无效响应处理：</w:t>
      </w:r>
    </w:p>
    <w:p w14:paraId="5B1CF58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（1）不具备征集文件中规定的资格要求的；（注：其中信用查询规则见“供应商须知前附表”，“政采云”平台已与“信用中国”平台做接口，审查专家可直接在线查询）</w:t>
      </w:r>
    </w:p>
    <w:p w14:paraId="16E1E37B">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（2）响应文件未提供任一项“供应商须知前附表”资格证明文件规定的“必须提供”的文件资料的；</w:t>
      </w:r>
    </w:p>
    <w:p w14:paraId="10D6034B">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（3）响应文件提供的资格证明文件出现任一项不符合“供应商须知前附表”资格证明文件规定的“必须提供”的文件资料要求或者无效的。</w:t>
      </w:r>
    </w:p>
    <w:p w14:paraId="1ABC8EF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.5资格审查的合格供应商不足3家的，不得评审。</w:t>
      </w:r>
    </w:p>
    <w:p w14:paraId="5D5642A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 评审</w:t>
      </w:r>
    </w:p>
    <w:p w14:paraId="0AD8EF4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2.5.1 评审委员会及评审原则</w:t>
      </w:r>
    </w:p>
    <w:p w14:paraId="6DADFAB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"2.5.1.1"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2.5.1.1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本项目评审工作由评审委员会负责，评审委员会由评审专家和征集人代表（如有）5人以上单数组成，其中评审专家不得少于成员总数的三分之二。评审委员会评审时必须公平、公正、客观，不带任何倾向性和启发性；不得向外界透露任何与评审有关的内容；任何单位和个人不得干扰、影响评审的正常进行；评审委员会及有关工作 人员不得私下与供应商接触，不得收受利害关系人的财物或者其他好处；评审专家发现本人与参加采购活动的供应商有利害关系的，应当主动提出回避。</w:t>
      </w:r>
    </w:p>
    <w:p w14:paraId="79FE2FD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"2.5.1.2"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2.5.1.2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评审委员会成员应当通过电子交易平台进行独立评审，评审委员会成员对 需要共同认定的事项存在争议的，应当按照少数服从多数的原则作出结论。持不同意见 的评审委员会成员应当在评审报告上签署不同意见及理由，否则视为同意评审报告。如果在评审过程中出现法律法规和征集文件均没有明确规定的情形时，由评审委员会现场 协商确定，协商不一致的，由全体评审委员会成员投票表决，应当按照少数服从多数的原则作出结论并由征集人记录在评审报告中。</w:t>
      </w:r>
    </w:p>
    <w:p w14:paraId="2A27AE3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"2.5.1.3"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2.5.1.3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征集人应当采取必要措施，保证评审在严格保密（封闭式评审）的情况下 进行。除征集人代表、评审现场组织人员外，征集人的其他工作人员以及与评审工作无 关的人员不得进入评审现场。有关人员对评审情况以及在评审过程中获悉的国家秘密、商业秘密负有保密责任。</w:t>
      </w:r>
    </w:p>
    <w:p w14:paraId="5C2DECA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"2.5.1.4"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2.5.1.4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本项目评审过程实行全程网上留痕及录音、录像监控，供应商在评审过程中所进行的试图影响评审结果的不公正活动，可能导致其响应按无效处理。</w:t>
      </w:r>
    </w:p>
    <w:p w14:paraId="1825310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2.5.2 评审方法及依据</w:t>
      </w:r>
    </w:p>
    <w:p w14:paraId="734A15B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"2.5.2.1"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2.5.2.1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本项目采用第四章评审方法及标准规定的方法进行评审。</w:t>
      </w:r>
    </w:p>
    <w:p w14:paraId="7AD23C5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"2.5.2.2"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评审委员会以征集文件、补充文件、响应文件、澄清及答复为评审依据，第四章评审方法及标准没有规定的评审方法、标准及因素，不得作为评审依据。</w:t>
      </w:r>
    </w:p>
    <w:p w14:paraId="7B11153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 评审程序</w:t>
      </w:r>
    </w:p>
    <w:p w14:paraId="62EC426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"2.5.3.1"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2.5.3.1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符合性审查</w:t>
      </w:r>
    </w:p>
    <w:p w14:paraId="6E1D1D8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资格审查结束后，评审委员会对通过资格审查的供应商的响应文件进行报价、</w:t>
      </w:r>
      <w:r>
        <w:rPr>
          <w:rFonts w:hint="eastAsia" w:ascii="宋体" w:hAnsi="宋体" w:cs="宋体"/>
          <w:color w:val="000000" w:themeColor="text1"/>
          <w:sz w:val="21"/>
          <w:szCs w:val="21"/>
          <w:highlight w:val="none"/>
          <w:lang w:eastAsia="zh-CN"/>
          <w14:textFill>
            <w14:solidFill>
              <w14:schemeClr w14:val="tx1"/>
            </w14:solidFill>
          </w14:textFill>
        </w:rPr>
        <w:t>商务</w:t>
      </w:r>
      <w:r>
        <w:rPr>
          <w:rFonts w:hint="eastAsia" w:ascii="宋体" w:hAnsi="宋体" w:eastAsia="宋体" w:cs="宋体"/>
          <w:color w:val="000000" w:themeColor="text1"/>
          <w:sz w:val="21"/>
          <w:szCs w:val="21"/>
          <w:highlight w:val="none"/>
          <w14:textFill>
            <w14:solidFill>
              <w14:schemeClr w14:val="tx1"/>
            </w14:solidFill>
          </w14:textFill>
        </w:rPr>
        <w:t>、技术等方面实质性内容进行符合性审查，符合性审查标准详见第四章评审方法及标准。</w:t>
      </w:r>
    </w:p>
    <w:p w14:paraId="665024F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"2.5.3.2"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澄清、说明或补正</w:t>
      </w:r>
    </w:p>
    <w:p w14:paraId="4B35814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（1）对响应文件中含义不明确、同类问题表述不一致或者有明显文字和计算错误的内容，评审委员会应在“</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”平台发布电子澄清函，要求供应商在平台设置的时 间内作出必要的澄清、说明或者补正。供应商在“</w:t>
      </w:r>
      <w:r>
        <w:rPr>
          <w:rFonts w:hint="eastAsia" w:ascii="宋体" w:hAnsi="宋体" w:cs="宋体"/>
          <w:color w:val="000000" w:themeColor="text1"/>
          <w:sz w:val="21"/>
          <w:szCs w:val="21"/>
          <w:highlight w:val="none"/>
          <w:lang w:eastAsia="zh-CN"/>
          <w14:textFill>
            <w14:solidFill>
              <w14:schemeClr w14:val="tx1"/>
            </w14:solidFill>
          </w14:textFill>
        </w:rPr>
        <w:t>桂采云</w:t>
      </w:r>
      <w:r>
        <w:rPr>
          <w:rFonts w:hint="eastAsia" w:ascii="宋体" w:hAnsi="宋体" w:eastAsia="宋体" w:cs="宋体"/>
          <w:color w:val="000000" w:themeColor="text1"/>
          <w:sz w:val="21"/>
          <w:szCs w:val="21"/>
          <w:highlight w:val="none"/>
          <w14:textFill>
            <w14:solidFill>
              <w14:schemeClr w14:val="tx1"/>
            </w14:solidFill>
          </w14:textFill>
        </w:rPr>
        <w:t xml:space="preserve"> ”平台接收到电子澄清函后根 据澄清函内容直接在线编辑或上传PDF格式回函，电子澄清答复函使用CA证书加盖单位电子签章后提交至评审委员会。供应商的澄清、说明或者补正不得超出响应文件的范围或者改变响应文件的实质性内容。供应商未在规定时间内进行澄清、说明或者补正的，按无效响应处理。</w:t>
      </w:r>
    </w:p>
    <w:p w14:paraId="1FB1C29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（2）异常情况处理：如遇无法正常使用线上发送澄清函的情况，将以书面形式执行。以书面形式执行的情况下，评审委员会以书面形式要求供应商在规定时间内</w:t>
      </w:r>
      <w:r>
        <w:rPr>
          <w:rFonts w:hint="eastAsia" w:ascii="宋体" w:hAnsi="宋体" w:cs="宋体"/>
          <w:color w:val="000000" w:themeColor="text1"/>
          <w:sz w:val="21"/>
          <w:szCs w:val="21"/>
          <w:highlight w:val="none"/>
          <w:lang w:eastAsia="zh-CN"/>
          <w14:textFill>
            <w14:solidFill>
              <w14:schemeClr w14:val="tx1"/>
            </w14:solidFill>
          </w14:textFill>
        </w:rPr>
        <w:t>做出</w:t>
      </w:r>
      <w:r>
        <w:rPr>
          <w:rFonts w:hint="eastAsia" w:ascii="宋体" w:hAnsi="宋体" w:eastAsia="宋体" w:cs="宋体"/>
          <w:color w:val="000000" w:themeColor="text1"/>
          <w:sz w:val="21"/>
          <w:szCs w:val="21"/>
          <w:highlight w:val="none"/>
          <w14:textFill>
            <w14:solidFill>
              <w14:schemeClr w14:val="tx1"/>
            </w14:solidFill>
          </w14:textFill>
        </w:rPr>
        <w:t>必要的澄清、说明或者补正。供应商的澄清、说明或者补正必须采用书面形式，并加盖公章或者由法定代表人或者其授权的代表签字。</w:t>
      </w:r>
    </w:p>
    <w:p w14:paraId="37331E9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"2.5.3.3"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报价修正</w:t>
      </w:r>
    </w:p>
    <w:p w14:paraId="196F64D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（1）报价出现前后不一致的，按照下列规定修正：</w:t>
      </w:r>
    </w:p>
    <w:p w14:paraId="48067EA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①响应文件中截标一览表（报价表）内容与响应文件中相应内容不一致的，以截标一览表（报价表）为准；</w:t>
      </w:r>
    </w:p>
    <w:p w14:paraId="7257B0B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②大写金额和小写金额不一致的，以大写金额为准；</w:t>
      </w:r>
    </w:p>
    <w:p w14:paraId="116068F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③单价金额小数点或者百分比有明显错位的，以截标一览表的总价为准，并修改单价；</w:t>
      </w:r>
    </w:p>
    <w:p w14:paraId="4AE8973B">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④总价金额与按单价汇总金额不一致的，以单价金额计算结果为准。</w:t>
      </w:r>
    </w:p>
    <w:p w14:paraId="24B1F1A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同时出现两种以上不一致的，按照上述①-④顺序修正。修正后的报价按照上述“</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"2.5.3.3"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澄清、说明或补正 ”的规定经供应商确认后产生约束力，供应商不确认的，其响应无效。</w:t>
      </w:r>
    </w:p>
    <w:p w14:paraId="07AFF1A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（2）评审委员会认为供应商的报价明显低于其他通过符合性审查供应商的报价，有可能影响产品质量或者不能诚信履约的，应当要求其在合理的时间内提交相关书面证明材料；书面证明应当按照上述“2.5.3.3 澄清、说明或补正 ”的规定提交。供应商未按规定提交或不能证明其报价合理性的，评审委员会应当将其作为无效响应处理。</w:t>
      </w:r>
    </w:p>
    <w:p w14:paraId="762C527B">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（3）经供应商确认修正后的报价若超过采购预算金额或者最高限价，其响应文件作无效响应处理。</w:t>
      </w:r>
    </w:p>
    <w:p w14:paraId="4517B9B5">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（4）经供应</w:t>
      </w:r>
      <w:r>
        <w:rPr>
          <w:rFonts w:hint="eastAsia" w:ascii="宋体" w:hAnsi="宋体" w:cs="宋体"/>
          <w:color w:val="000000" w:themeColor="text1"/>
          <w:sz w:val="21"/>
          <w:szCs w:val="21"/>
          <w:highlight w:val="none"/>
          <w:lang w:val="en-US" w:eastAsia="zh-CN"/>
          <w14:textFill>
            <w14:solidFill>
              <w14:schemeClr w14:val="tx1"/>
            </w14:solidFill>
          </w14:textFill>
        </w:rPr>
        <w:t>商</w:t>
      </w:r>
      <w:r>
        <w:rPr>
          <w:rFonts w:hint="eastAsia" w:ascii="宋体" w:hAnsi="宋体" w:eastAsia="宋体" w:cs="宋体"/>
          <w:color w:val="000000" w:themeColor="text1"/>
          <w:sz w:val="21"/>
          <w:szCs w:val="21"/>
          <w:highlight w:val="none"/>
          <w14:textFill>
            <w14:solidFill>
              <w14:schemeClr w14:val="tx1"/>
            </w14:solidFill>
          </w14:textFill>
        </w:rPr>
        <w:t>确认修正后的报价作为签订合同的依据，并以此报价计算价格分。</w:t>
      </w:r>
    </w:p>
    <w:p w14:paraId="1080A75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"2.5.3.4"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2.5.3.4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串通响应认定评审委员会须根据以下规定认定供应商是否有串通投标的行为。</w:t>
      </w:r>
    </w:p>
    <w:p w14:paraId="75FC93A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（1）根据《关于防治政府采购招标中串通投标行为的通知》（桂财采[2016]42号）规定，出现下述情况的，相关供应商的投标作无效投标处理。</w:t>
      </w:r>
    </w:p>
    <w:p w14:paraId="0DCFDC8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①单位负责人为同一人或者存在直接控股、管理关系，参加同一合同项下政府采购活动的不同供应商。</w:t>
      </w:r>
    </w:p>
    <w:p w14:paraId="61F5150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②授权给供应商后参加同一合同项（分标、分包）投标的生产厂商。</w:t>
      </w:r>
    </w:p>
    <w:p w14:paraId="63E6E0A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③视为或被认定为串通投标的相关供应商。</w:t>
      </w:r>
    </w:p>
    <w:p w14:paraId="7AB685C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（2）根据《关于防治政府采购招标中串通投标行为的通知》（桂财采[2016]42号）规定，有下列情形之一的视为供应商相互串通投标，响应文件将被视为无效。</w:t>
      </w:r>
    </w:p>
    <w:p w14:paraId="16D53BA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①不同供应商的响应文件由同一单位或者个人编制；或不同供应商报名的IP地址一致的；</w:t>
      </w:r>
    </w:p>
    <w:p w14:paraId="1F33A4F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②不同供应商委托同一单位或者个人办理投标事宜；</w:t>
      </w:r>
    </w:p>
    <w:p w14:paraId="7F2BA29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③不同的供应商的响应文件载明的项目管理员为同一个人；</w:t>
      </w:r>
    </w:p>
    <w:p w14:paraId="00BDF91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④不同供应商的响应文件异常一致或投标报价呈规律性差异；</w:t>
      </w:r>
    </w:p>
    <w:p w14:paraId="49AF340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⑤不同供应商的响应文件相互混装。</w:t>
      </w:r>
    </w:p>
    <w:p w14:paraId="5601718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（3）根据《关于防治政府采购招标中串通投标行为的通知》（桂财采[2016]42 号）规定，供应商有下列情形之一的，属于恶意串通行为，响应文件将被视为无效。</w:t>
      </w:r>
    </w:p>
    <w:p w14:paraId="57709FC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①供应商直接或者间接从采购人或者采购代理机构处获得其他供应商的相关信息并修改其响应文件或者响应文件；</w:t>
      </w:r>
    </w:p>
    <w:p w14:paraId="10554AF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②供应商按照采购人或者采购代理机构的授意撤换、修改响应文件或者响应文件；</w:t>
      </w:r>
    </w:p>
    <w:p w14:paraId="7F49DBB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③供应商之间协商报价、技术方案等响应文件或者响应文件的实质性内容；</w:t>
      </w:r>
    </w:p>
    <w:p w14:paraId="6A0FD6F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④属于同一集团、协会、商会等组织成员的供应商按照该组织要求协同参加政府采购活动；</w:t>
      </w:r>
    </w:p>
    <w:p w14:paraId="5E20866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⑤供应商之间事先约定一致抬高或者压低投标报价，或者在招标项目中事先约定轮流以高价位或者低价位中标，或者事先约定由某一特定供应商中标，然后再参加投标；</w:t>
      </w:r>
    </w:p>
    <w:p w14:paraId="580E03C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⑥供应商之间商定部分供应商放弃参加政府采购活动或者放弃中标；</w:t>
      </w:r>
    </w:p>
    <w:p w14:paraId="1461BCD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⑦供应商与采购人或者采购代理机构之间注：本款所述“投标”即为“响应”</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“中标”即为“入围”。</w:t>
      </w:r>
    </w:p>
    <w:p w14:paraId="27B48D83">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"2.5.3.5"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2.5.3.5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响应无效认定</w:t>
      </w:r>
    </w:p>
    <w:p w14:paraId="6E37B9D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（1）在评审过程中如发现下列情形之一的，响应文件将被视为无效：</w:t>
      </w:r>
    </w:p>
    <w:p w14:paraId="210BAE4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①响应文件存在法律、法规及监督部门有关文件规定的无效情形。</w:t>
      </w:r>
    </w:p>
    <w:p w14:paraId="7837EE33">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②响应文件存在征集文件规定的无效情形。</w:t>
      </w:r>
    </w:p>
    <w:p w14:paraId="1952630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响应无效或否决响应，从而限制和影响供应商投标（响应）。</w:t>
      </w:r>
    </w:p>
    <w:p w14:paraId="51E304D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"2.5.3.6"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2.5.3.6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比较与评价</w:t>
      </w:r>
    </w:p>
    <w:p w14:paraId="2714D38B">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（1）评审委员会按征集文件中规定的评审方法和标准，对符合性审查合格的响应文件进行综合比较与评价。</w:t>
      </w:r>
    </w:p>
    <w:p w14:paraId="74325ED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（2）评审委员会各成员独立对每个有效供应商的响应文件进行评价。评价有误的 应及时进行修正。评分标准如有客观分定义，评审委员会所有成员的客观分评分分值应当一致。</w:t>
      </w:r>
    </w:p>
    <w:p w14:paraId="0E9556C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（3）评审委员会按质量综合评分由高到低的排列顺序以及评审方法及标准规定的入围供应商数量上限或淘汰率推荐入围供应商。</w:t>
      </w:r>
    </w:p>
    <w:p w14:paraId="5D460AF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（4）评审委员会根据评审记录及评审结果编写评审报告，评审委员会成员均应当 在评审报告上签字，对自己的评审意见承担法律责任。评审报告签署前，经复核发现存 在以下情形之一的，评审委员会应当当场修改评审结果，并在评审报告中记载；评审报 告签署后，征集人发现存在以下情形之一的，应当组织原评审委员会进行重新评审。分 值汇总计算错误的；分项评分超出评分标准范围的；评审委员会成员对客观评审因素评分不一致的；经评审委员会认定评分畸高、畸低的。</w:t>
      </w:r>
    </w:p>
    <w:p w14:paraId="2CB6CA6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2.5.4 确定入围供应商</w:t>
      </w:r>
    </w:p>
    <w:p w14:paraId="6CF3231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"2.5.4.1"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2.5.4.1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采购代理机构将在评审结束后2个工作日内将评审报告送征集人，征集人在5个工作日内按照评审报告中推荐的入围候选供应商顺序确定入围供应商。</w:t>
      </w:r>
    </w:p>
    <w:p w14:paraId="6FA6589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"2.5.4.2"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2.5.4.2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已确定入围供应商但尚未签订框架协议前，如发现入围供应商存在本章  2.8.2 的六种情形之一，认定其入围资格无效的，造成入围供应商不足入围供应商最大</w:t>
      </w:r>
    </w:p>
    <w:p w14:paraId="3785E3A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数量时，征集人可以从合格的入围候选供应商中依次另行确定入围供应商。</w:t>
      </w:r>
    </w:p>
    <w:p w14:paraId="0E57C3D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"2.5.4.3"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2.5.4.3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征集人认为供应商对征集过程、成交结果提出的质疑成立且影响或者可能 影响成交结果的，合格供应商符合法定数量时，可以从合格的入围候选供应商中另行确定入围供应商的，应当依法另行确定入围供应商；否则应当重新开展征集活动。</w:t>
      </w:r>
    </w:p>
    <w:p w14:paraId="14A6C79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2.5.5 入围结果公告</w:t>
      </w:r>
    </w:p>
    <w:p w14:paraId="7B0B873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"2.5.5.1"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2.5.5.1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自入围供应商确定后2个工作日内，采购代理机构按照供应商须知前附表的规定公告入围结果。</w:t>
      </w:r>
    </w:p>
    <w:p w14:paraId="28FE9DD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"2.5.5.2"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2.5.5.2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在发布入围结果公告的同时，采购代理机构以供应商须知前附表规定的形式向入围供应商发出入围通知书。入围通知书发出后，征集人改变入围结果，或者入围供应商放弃入围资格，应当承担相应的法律责任。供应商相互之间，为谋求特定供应商中标或者排斥其他供应商的其他串通行为。</w:t>
      </w:r>
    </w:p>
    <w:p w14:paraId="75C7CFF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2.5.6 废标</w:t>
      </w:r>
    </w:p>
    <w:p w14:paraId="2CC3CB6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"2.5.6.1"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2.5.6.1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出现下列情形之一，将导致项目废标：</w:t>
      </w:r>
    </w:p>
    <w:p w14:paraId="05AB190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（1）符合专业条件的供应商或者对征集文件做实质性响应的供应商不足三家；</w:t>
      </w:r>
    </w:p>
    <w:p w14:paraId="764D766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（2）出现影响采购公正的违法、违规行为的；</w:t>
      </w:r>
    </w:p>
    <w:p w14:paraId="790529C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（3）供应商的报价均超过了最高限制单价，采购人不能支付的；</w:t>
      </w:r>
    </w:p>
    <w:p w14:paraId="5582E16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（4）因发生重大变故或采购任务取消的。</w:t>
      </w:r>
    </w:p>
    <w:p w14:paraId="3949A60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"2.5.6.2"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2.5.6.2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废标后征集人将发布废标公告通知供应商。</w:t>
      </w:r>
    </w:p>
    <w:p w14:paraId="7E707A5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 签订框架协议</w:t>
      </w:r>
    </w:p>
    <w:p w14:paraId="45F0D09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 征集人在征集文件规定的时间内与入围供应商签订框架协议，如无特别规定，签订时间应不晚于入围通知书发出之日起25日内。</w:t>
      </w:r>
    </w:p>
    <w:p w14:paraId="0F69CC5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2.6.2 征集人在框架协议签订后7个工作日内，将框架协议副本报本级财政部门备案。</w:t>
      </w:r>
    </w:p>
    <w:p w14:paraId="11C9DE3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2.6.3 框架协议不得对征集文件确定的事项以及入围供应商的响应文件作实质性修改。</w:t>
      </w:r>
    </w:p>
    <w:p w14:paraId="782D7F6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 告知入围信息</w:t>
      </w:r>
    </w:p>
    <w:p w14:paraId="4686C01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 征集人在框架协议签订后3个工作日内将入围信息告知适用框架协议的所有采购人。</w:t>
      </w:r>
    </w:p>
    <w:p w14:paraId="49BC823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2.8.入围供应商的清退和补充</w:t>
      </w:r>
    </w:p>
    <w:p w14:paraId="475BB76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2.8.1 封闭式框架协议入围供应商无正当理由，不得主动放弃入围资格或者退出框架协议。</w:t>
      </w:r>
    </w:p>
    <w:p w14:paraId="7088892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2.8.2 入围供应商有下列情形之一，尚未签订框架协议的，取消其入围资格；已经签订框架协议的，解除与其签订的框架协议：</w:t>
      </w:r>
    </w:p>
    <w:p w14:paraId="77584D6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（1）恶意串通谋取入围或者合同成交的；</w:t>
      </w:r>
    </w:p>
    <w:p w14:paraId="5D66661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（2）提供虚假材料谋取入围或者合同成交的；</w:t>
      </w:r>
    </w:p>
    <w:p w14:paraId="0602CAF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（3）无正当理由拒不接受合同授予的；</w:t>
      </w:r>
    </w:p>
    <w:p w14:paraId="1FBB167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（4）不履行合同义务或者履行合同义务不符合约定，经采购人请求履行后仍不履行或者仍未按约定履行的；</w:t>
      </w:r>
    </w:p>
    <w:p w14:paraId="160CDB8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（5）框架协议有效期内，因违法行为被禁止或限制参加政府采购活动的；</w:t>
      </w:r>
    </w:p>
    <w:p w14:paraId="7DFCB04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（6）框架协议约定的其他情形。</w:t>
      </w:r>
    </w:p>
    <w:p w14:paraId="6F5951D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被取消入围资格或者被解除框架协议的供应商不得参加同一封闭式框架协议补充征集。</w:t>
      </w:r>
    </w:p>
    <w:p w14:paraId="646179C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2.8.3 出现剩余入围供应商不足入围供应商总数70%且影响框架协议执行的情形时， 征集人可以启动补充征集程序，补充征集规则在框架协议中约定，补充征集应遵守原框</w:t>
      </w:r>
    </w:p>
    <w:p w14:paraId="6CB4658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架协议的有效期。补充征集期间，原框架协议继续履行。</w:t>
      </w:r>
    </w:p>
    <w:p w14:paraId="2E16FD2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 质疑和投诉</w:t>
      </w:r>
    </w:p>
    <w:p w14:paraId="3533354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2.9.1 质疑</w:t>
      </w:r>
    </w:p>
    <w:p w14:paraId="06D3B73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"2.9.1.1"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2.9.1.1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质疑内容、时限</w:t>
      </w:r>
    </w:p>
    <w:p w14:paraId="64B3097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（1）供应商对征集活动有疑问的，可以向采购代理机构提出询问。采购代理机构应当在3个工作日内对供应商依法提出的询问作出答复。</w:t>
      </w:r>
    </w:p>
    <w:p w14:paraId="3BE59FE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（2）供应商为认为征集文件、征集过程、入围结果使自己的权益受到损害的，可 以在知道或者应知其权益受到损害之日起7个工作日内向采购代理机构提出质疑。采购代理机构在收到供应商书面质疑后7个工作日内，对质疑内容作出答复。</w:t>
      </w:r>
    </w:p>
    <w:p w14:paraId="38D3E04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"2.9.1.2"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2.9.1.2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质疑形式</w:t>
      </w:r>
    </w:p>
    <w:p w14:paraId="78EE3DD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质疑应当采用供应商须知前附表所规定的形式，质疑书应明确阐述征集文件、征集 过程或成交结果中使自己合法权益受到损害的实质性内容，提供相关事实、依据和证据及其来源或线索，便于有关单位调查、答复和处理。</w:t>
      </w:r>
    </w:p>
    <w:p w14:paraId="4AE5610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"2.9.1.3"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2.9.1.3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供应商提出质疑应当提交质疑函和必要的证明材料。质疑函应当包括下列内容：</w:t>
      </w:r>
    </w:p>
    <w:p w14:paraId="61EC576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（1）供应商的姓名或者名称、地址、邮编、联系人及联系电话；</w:t>
      </w:r>
    </w:p>
    <w:p w14:paraId="24D5099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（2）质疑项目的名称、编号；</w:t>
      </w:r>
    </w:p>
    <w:p w14:paraId="145F613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（3）具体、明确的质疑事项和与质疑事项相关的请求；</w:t>
      </w:r>
    </w:p>
    <w:p w14:paraId="1F6531B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（4）事实依据；</w:t>
      </w:r>
    </w:p>
    <w:p w14:paraId="32CCC20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（5）必要的法律依据；</w:t>
      </w:r>
    </w:p>
    <w:p w14:paraId="78A654E3">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（6）提出质疑的日期。</w:t>
      </w:r>
    </w:p>
    <w:p w14:paraId="4270AFB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5C69F55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2.9.2 投诉</w:t>
      </w:r>
    </w:p>
    <w:p w14:paraId="3420AA2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"2.9.2.1"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2.9.2.1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供应商对采购代理机构的答复不满意，或者采购代理机构未在规定时间内答复的，可在答复期满后15个工作日内按有关规定，向同级财政部门投诉。</w:t>
      </w:r>
    </w:p>
    <w:p w14:paraId="11C47C2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"2.9.2.2"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2.9.2.2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投诉书应使用财政部发布的政府采购供应投诉书范本，并应按照“投诉书制作说明 ”进行编写。</w:t>
      </w:r>
    </w:p>
    <w:p w14:paraId="5788FA3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2.10 促进中小企业发展政策</w:t>
      </w:r>
    </w:p>
    <w:p w14:paraId="18B794B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2.10.1 本项目落实促进中小企业发展政策措施在前附表规定。依据促进中小企业 发展政策获得政府采购合同的，小微企业不得将合同分包给大中型企业，中型企业不得将合同分包给大型企业。</w:t>
      </w:r>
    </w:p>
    <w:p w14:paraId="36DBE56B">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2.10.2 本项目如为专门面向中小企业预留采购份额采购项目，供应商必须满足征 集文件资格要求中的落实政府采购政策需满足的资格要求。征集文件中如接受联合体， 供应商以联合体形式参加采购活动，联合体协议中约定中小企业承担的部分达到30%以 上，其中预留给小微企业的比例不低于60%。征集文件中如接受分包，供应商将采购项 目分包给一家或者多家中小企业的比例达到30%以上，其中预留给小微企业的比例不低</w:t>
      </w:r>
    </w:p>
    <w:p w14:paraId="5B51993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于60%。注：专门面向中小企业预留采购份额采购项目不享受价格扣除政策。</w:t>
      </w:r>
    </w:p>
    <w:p w14:paraId="414D261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2.10.3 本项目如为非专门面向中小企业预留采购份额采购项目，评审委员会应当对小微企业报价给予价格扣除，用扣除后的价格参加评审。征集文件接受大中型企业与小微企业组成联合体或者允许大中型企业向一家或者  多家小微企业分包时，对于联合协议或者分包意向协议约定小微企业的合同份额占合同 总金额比例达到30%以上的，评审委员会员应当对联合体或者大中型企业的报价给予价 格扣除，用扣除后的价格参加评审。组成联合体或者接受分包的小微企业与联合体内其 他企业、分包企业之间存在直接控股、管理关系的，不享受价格扣除优惠政策。价格扣除比例在第四章评审方法及标准中规定</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对小型企业和微型企业同等对待，不作区分。</w:t>
      </w:r>
    </w:p>
    <w:p w14:paraId="3942E95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2.10.4 中小企业定义</w:t>
      </w:r>
    </w:p>
    <w:p w14:paraId="54CBDA1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"2.10.4.1"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2.10.4.1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中小企业是指在中华人民共和国境内依法设立，依据国务院批准的中小 企业划标项准确定的中型企业、小型企业和微型企业，但与大企业的负责人为同一人，</w:t>
      </w:r>
    </w:p>
    <w:p w14:paraId="132632C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或者与大企业存在直接控股、管理关系的除外。</w:t>
      </w:r>
    </w:p>
    <w:p w14:paraId="257385A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"2.10.4.2"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2.10.4.2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供应商提供的货物、工程或者服务符合下列情形的，享受本款规定的促 进中小企业发展政策：在货物采购项目中，货物由中小企业制造，即货物由中小企业生 产且使用该中小企业商号或者注册商标；在工程采购项目中，工程由中小企业承建，即 工程施工单位为中小企业；在服务采购项目中，服务由中小企业承接，即提供服务的人 员为中小企业依照《中华人民共和国劳动合同法》订立劳动合同的从业人员。在货物采购项目中，供应商提供的货物既有中小企业制造货物，也有大型企业制造货物的，不享受本款规定的促进中小企业发展政策。以联合体形式参加政府采购活动，联合体各方均 为中小企业的，联合体视同中小企业。其中，联合体各方均为小微企业的，联合体视同小微企业。</w:t>
      </w:r>
    </w:p>
    <w:p w14:paraId="3B030FA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"2.10.4.3"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2.10.4.3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本项目标的所属行业在第二章采购需求中规定。供应商根据中小企业划  标项准《关于印发中小企业划型标准规定的通知》 </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工信部联企业〔2011〕300号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判断  是否为中小企业。符合条件的货物制造商、工程施工单位、服务承接单位为中小企业的，应按征集文件规定在响应文件中提供声明函。</w:t>
      </w:r>
    </w:p>
    <w:p w14:paraId="21E36F1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"2.10.4.4"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2.10.4.4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视同中小企业情形</w:t>
      </w:r>
    </w:p>
    <w:p w14:paraId="6EEEEC6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符合中小企业划标项准的个体工商户，视同中小企业。</w:t>
      </w:r>
    </w:p>
    <w:p w14:paraId="3414539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EFBA24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符合《财政部、司法部关于政府采购支持监狱企业发展有关问题的通知》</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财库 〔2014〕68号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规定的监狱企业，或符合《关于促进残疾人就业政府采购政策的通知》</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财库〔2017〕141号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规定的残疾人福利性单位，视同小型、微型企业。符合条件的货物制造商、工程施工单位、服务承接单位为监狱企业或残疾人福利性单位的，应按征集文件规定在响应文件中提供相关证明文件。</w:t>
      </w:r>
    </w:p>
    <w:p w14:paraId="77E2D3D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3.第二阶段</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确定成交阶段</w:t>
      </w:r>
      <w:r>
        <w:rPr>
          <w:rFonts w:hint="eastAsia" w:ascii="宋体" w:hAnsi="宋体" w:cs="宋体"/>
          <w:color w:val="000000" w:themeColor="text1"/>
          <w:sz w:val="21"/>
          <w:szCs w:val="21"/>
          <w:highlight w:val="none"/>
          <w:lang w:eastAsia="zh-CN"/>
          <w14:textFill>
            <w14:solidFill>
              <w14:schemeClr w14:val="tx1"/>
            </w14:solidFill>
          </w14:textFill>
        </w:rPr>
        <w:t>）</w:t>
      </w:r>
    </w:p>
    <w:p w14:paraId="33B9CB3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 确定成交供应商</w:t>
      </w:r>
    </w:p>
    <w:p w14:paraId="715C6F2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 采购人按照征集文件或框架协议中规定的方式从入围供应商中选定成交供应商签订合同。</w:t>
      </w:r>
    </w:p>
    <w:p w14:paraId="1B52C7A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 成交结果公告</w:t>
      </w:r>
    </w:p>
    <w:p w14:paraId="1CC4363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 如征集文件或框架协议中规定确定成交供应商的方式为二次竞价或顺序轮候方式，或者采购人在满足规定的前提下将合同授予非入围供应商，征集人在确定成交 供应商后2个工作日内发布单笔成交结果公告，单笔成交公告在征集公告发布媒体上发布。</w:t>
      </w:r>
    </w:p>
    <w:p w14:paraId="1077546B">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 合同</w:t>
      </w:r>
    </w:p>
    <w:p w14:paraId="7C1C81F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 合同授予标准</w:t>
      </w:r>
    </w:p>
    <w:p w14:paraId="7B31D7FC">
      <w:pPr>
        <w:pStyle w:val="19"/>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采购人或者服务对象采购框架协议约定的货物、服务，应当将第二阶段的采购合同 授予入围供应商，但是《政府采购框架协议采购方式管理暂行办法》第三十七条另有规定的除外。合同在签订合同前，如果入围供应商的组织机构、经营、财务状况发生较大变化，可能造成不能履行框架协议或合同等情形，不符合入围条件或不满足供应商资格 条件要求，应在签订合同前及时书面告知采购人，未主动告知，给采购人造成损失的，采购人有权要求其赔偿损失。</w:t>
      </w:r>
    </w:p>
    <w:p w14:paraId="44E0B41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3.3.2 签订合同</w:t>
      </w:r>
    </w:p>
    <w:p w14:paraId="0479CEE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"3.3.2.1"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3.3.2.1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如征集文件无特别规定，成交供应商按征集文件及框架协议确定的事项签订政府采购合同。</w:t>
      </w:r>
    </w:p>
    <w:p w14:paraId="2988E052">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"3.3.2.2"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政府采购合同应当包括采购人与成交供应商的名称和住所、标的、数量、 质量、价款或者报酬、履行期限及地点和方式、验收要求、违约责任、解决争议的方法 等内容。框架协议、征集文件、成交供应商的响应文件及澄清文件等，均为签订政府采购合同的依据。</w:t>
      </w:r>
    </w:p>
    <w:p w14:paraId="049CD5D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3.3.3 履行合同</w:t>
      </w:r>
    </w:p>
    <w:p w14:paraId="7F4AF2E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"3.3.3.1"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3.3.3.1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采购人与成交供应商签订合同后，政府采购合同的履行、违约责任和解决 争议的方法等适用《中华人民共和国民法典》。合同双方应严格执行合同条款，履行合 同规定的义务，保证合同的顺利完成。双方均不得擅自变更、中止或者终止政府采购合同。</w:t>
      </w:r>
    </w:p>
    <w:p w14:paraId="7E7073A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"3.3.3.2"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对于双方解除合同的情况，应当按照民法典合同编有关规定或者合同约定执行。</w:t>
      </w:r>
    </w:p>
    <w:p w14:paraId="374F68F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3.3.4 履约验收</w:t>
      </w:r>
    </w:p>
    <w:p w14:paraId="45C5DCD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"3.3.4.1"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3.3.4.1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采购人可以根据政府采购项目具体情况自行组织验收，或者委托政府采购代理机构、国家认可的质量检测机构开展采购项目履约验收工作。</w:t>
      </w:r>
    </w:p>
    <w:p w14:paraId="50639AEE">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"3.3.4.2"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3.3.4.2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验收结果不合格的，按合同约定处理，还可能会报告本项目同级财政部门并按照政府采购法律法规及有关规定给予行政处罚或者以失信行为记入诚信档案。</w:t>
      </w:r>
    </w:p>
    <w:p w14:paraId="023766D6">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"3.3.4.3"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3.3.4.3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采购合同项目完成验收后，采购人应当将验收原始记录、验收书、成交供 应商按合同数量或工作量清单履约的记录或凭证等资料作为该采购项目档案妥善保管，不得伪造、变造、隐匿或者销毁。</w:t>
      </w:r>
    </w:p>
    <w:p w14:paraId="49147E1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"3.3.4.4"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3.3.4.4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本项目将严格按照本征集文件及合同有关规定进行合同履约验收。征集文 件或合同未规定的按财政部关于进一步加强政府采购需求和履约验收管理的指导意见</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财库〔2016〕205号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以及《广西壮族自治区政府采购项目履约验收管理办法》</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桂财采〔2015〕22号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的规定执行。</w:t>
      </w:r>
    </w:p>
    <w:p w14:paraId="65FDC4B3">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3.4.用户反馈及评价机制</w:t>
      </w:r>
    </w:p>
    <w:p w14:paraId="7863D3BF">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3.4.1 采购人根据工作开展情况，定期对入围供应商评审工作进行综合考核。 </w:t>
      </w:r>
    </w:p>
    <w:p w14:paraId="3986519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4.其他事项</w:t>
      </w:r>
    </w:p>
    <w:p w14:paraId="1C03E1A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 代理服务收费由采购代理机构向入围供应商收取。入围供应商应向采购代理机</w:t>
      </w:r>
    </w:p>
    <w:p w14:paraId="15F6B665">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构一次付清代理服务费。</w:t>
      </w:r>
    </w:p>
    <w:p w14:paraId="72A50BC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 电子交易活动的中止。征集过程中出现以下情形，导致电子交易平台无法正常运行，或者无法保证电子交易的公平、公正和安全时，征集人可中止电子交易活动：</w:t>
      </w:r>
    </w:p>
    <w:p w14:paraId="18CA2D7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电子交易平台发生故障而无法登录访问的；</w:t>
      </w:r>
    </w:p>
    <w:p w14:paraId="1589D569">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电子交易平台应用或数据库出现错误，不能进行正常操作的；</w:t>
      </w:r>
    </w:p>
    <w:p w14:paraId="7EE6359B">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电子交易平台发现严重安全漏洞，有潜在泄密危险的；</w:t>
      </w:r>
    </w:p>
    <w:p w14:paraId="4CB2CF88">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病毒发作导致不能进行正常操作的；</w:t>
      </w:r>
    </w:p>
    <w:p w14:paraId="40CF7FDC">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其他无法保证电子交易的公平、公正和安全的情况。</w:t>
      </w:r>
    </w:p>
    <w:p w14:paraId="61EEB36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出现以上情形，不影响采购公平、公正性的，征集人可以待上述情形消除后继续组 织电子交易活动；影响或可能影响采购公平、公正性的，经征集人确认后，应当重新采购。征集人必须对原有的资料及信息做好妥善保密处理，并报财政部门备案。</w:t>
      </w:r>
    </w:p>
    <w:p w14:paraId="3569F8E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 本项目的附件及图纸详见供应商须知前附表。</w:t>
      </w:r>
    </w:p>
    <w:p w14:paraId="1025E560">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4.4 本项目的其他事项详见供应商须知前附表。 </w:t>
      </w:r>
    </w:p>
    <w:p w14:paraId="5E89DC0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5.其他说明</w:t>
      </w:r>
    </w:p>
    <w:p w14:paraId="11481FE7">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 其余未尽事宜按《中华人民共和国政府采购法》《中华人民共和国政府采购法</w:t>
      </w:r>
    </w:p>
    <w:p w14:paraId="3B2B2BC4">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实施条例》《政府采购框架协议采购方式管理暂行办法》的相关规定执行。</w:t>
      </w:r>
    </w:p>
    <w:p w14:paraId="0C78B60A">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sectPr>
          <w:footerReference r:id="rId12" w:type="default"/>
          <w:pgSz w:w="11906" w:h="16839"/>
          <w:pgMar w:top="1134" w:right="1247" w:bottom="1134" w:left="1247" w:header="0" w:footer="950" w:gutter="0"/>
          <w:pgNumType w:fmt="decimal"/>
          <w:cols w:space="720" w:num="1"/>
        </w:sectPr>
      </w:pPr>
      <w:r>
        <w:rPr>
          <w:rFonts w:hint="eastAsia" w:ascii="宋体" w:hAnsi="宋体" w:eastAsia="宋体" w:cs="宋体"/>
          <w:color w:val="000000" w:themeColor="text1"/>
          <w:sz w:val="21"/>
          <w:szCs w:val="21"/>
          <w:highlight w:val="none"/>
          <w14:textFill>
            <w14:solidFill>
              <w14:schemeClr w14:val="tx1"/>
            </w14:solidFill>
          </w14:textFill>
        </w:rPr>
        <w:t>5.2 本征集文件是根据国家有关法律及有关政策、法规和参照国际惯例编制，解释权属采购代理机构。</w:t>
      </w:r>
    </w:p>
    <w:p w14:paraId="365CBB42">
      <w:pPr>
        <w:pStyle w:val="2"/>
        <w:keepNext w:val="0"/>
        <w:keepLines w:val="0"/>
        <w:shd w:val="clear"/>
        <w:tabs>
          <w:tab w:val="left" w:pos="0"/>
          <w:tab w:val="left" w:pos="3165"/>
          <w:tab w:val="center" w:pos="4153"/>
        </w:tabs>
        <w:autoSpaceDE w:val="0"/>
        <w:autoSpaceDN w:val="0"/>
        <w:adjustRightInd w:val="0"/>
        <w:spacing w:before="0" w:after="0" w:line="360" w:lineRule="auto"/>
        <w:jc w:val="center"/>
        <w:rPr>
          <w:rFonts w:ascii="宋体" w:hAnsi="宋体"/>
          <w:color w:val="000000" w:themeColor="text1"/>
          <w:highlight w:val="none"/>
          <w14:textFill>
            <w14:solidFill>
              <w14:schemeClr w14:val="tx1"/>
            </w14:solidFill>
          </w14:textFill>
        </w:rPr>
      </w:pPr>
      <w:bookmarkStart w:id="87" w:name="_Toc254970548"/>
      <w:bookmarkStart w:id="88" w:name="_Toc254970689"/>
      <w:bookmarkStart w:id="89" w:name="_Toc330456896"/>
      <w:bookmarkStart w:id="90" w:name="_Toc13745"/>
      <w:r>
        <w:rPr>
          <w:rFonts w:hint="eastAsia" w:ascii="宋体" w:hAnsi="宋体"/>
          <w:color w:val="000000" w:themeColor="text1"/>
          <w:highlight w:val="none"/>
          <w14:textFill>
            <w14:solidFill>
              <w14:schemeClr w14:val="tx1"/>
            </w14:solidFill>
          </w14:textFill>
        </w:rPr>
        <w:t>第四章 评标方法及评标标准</w:t>
      </w:r>
      <w:bookmarkEnd w:id="87"/>
      <w:bookmarkEnd w:id="88"/>
      <w:bookmarkEnd w:id="89"/>
      <w:bookmarkEnd w:id="90"/>
    </w:p>
    <w:bookmarkEnd w:id="58"/>
    <w:bookmarkEnd w:id="59"/>
    <w:p w14:paraId="461D7280">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hAnsi="宋体" w:cs="宋体"/>
          <w:b/>
          <w:bCs/>
          <w:color w:val="000000" w:themeColor="text1"/>
          <w:sz w:val="32"/>
          <w:szCs w:val="32"/>
          <w:highlight w:val="none"/>
          <w14:textFill>
            <w14:solidFill>
              <w14:schemeClr w14:val="tx1"/>
            </w14:solidFill>
          </w14:textFill>
        </w:rPr>
      </w:pPr>
      <w:bookmarkStart w:id="91" w:name="_Toc25347"/>
      <w:bookmarkStart w:id="92" w:name="_Toc12279"/>
      <w:bookmarkStart w:id="93" w:name="_Toc80093004"/>
    </w:p>
    <w:p w14:paraId="73BA5965">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bCs/>
          <w:color w:val="000000" w:themeColor="text1"/>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第一节 评审方法</w:t>
      </w:r>
      <w:bookmarkEnd w:id="91"/>
      <w:bookmarkEnd w:id="92"/>
      <w:bookmarkEnd w:id="93"/>
    </w:p>
    <w:p w14:paraId="58B79A9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本项目采用质量优先法进行评审。</w:t>
      </w:r>
    </w:p>
    <w:p w14:paraId="0C80A03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质量优先法是指对满足采购需求且响应报价不超过最高限制单价的服务进行质量综合评分 ，按照质量评分从高到低排序 ，根据下方规定的淘汰率及入围供应商最大数量及最小数量，确定入围供应商的评审方法。</w:t>
      </w:r>
    </w:p>
    <w:tbl>
      <w:tblPr>
        <w:tblStyle w:val="123"/>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6"/>
        <w:gridCol w:w="3405"/>
        <w:gridCol w:w="3277"/>
      </w:tblGrid>
      <w:tr w14:paraId="7D122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5" w:hRule="atLeast"/>
        </w:trPr>
        <w:tc>
          <w:tcPr>
            <w:tcW w:w="2536" w:type="dxa"/>
            <w:vAlign w:val="center"/>
          </w:tcPr>
          <w:p w14:paraId="39E461F7">
            <w:pPr>
              <w:pStyle w:val="154"/>
              <w:keepNext w:val="0"/>
              <w:keepLines w:val="0"/>
              <w:pageBreakBefore w:val="0"/>
              <w:widowControl w:val="0"/>
              <w:shd w:val="clear"/>
              <w:kinsoku/>
              <w:wordWrap/>
              <w:overflowPunct/>
              <w:topLinePunct w:val="0"/>
              <w:autoSpaceDE/>
              <w:autoSpaceDN/>
              <w:bidi w:val="0"/>
              <w:adjustRightInd/>
              <w:snapToGrid/>
              <w:spacing w:before="55" w:line="400" w:lineRule="exact"/>
              <w:jc w:val="center"/>
              <w:textAlignment w:val="auto"/>
              <w:rPr>
                <w:color w:val="000000" w:themeColor="text1"/>
                <w:sz w:val="21"/>
                <w:szCs w:val="21"/>
                <w:highlight w:val="none"/>
                <w14:textFill>
                  <w14:solidFill>
                    <w14:schemeClr w14:val="tx1"/>
                  </w14:solidFill>
                </w14:textFill>
              </w:rPr>
            </w:pPr>
            <w:r>
              <w:rPr>
                <w:rFonts w:hint="eastAsia"/>
                <w:color w:val="000000" w:themeColor="text1"/>
                <w:spacing w:val="6"/>
                <w:sz w:val="21"/>
                <w:szCs w:val="21"/>
                <w:highlight w:val="none"/>
                <w:lang w:val="en-US" w:eastAsia="zh-CN"/>
                <w14:textFill>
                  <w14:solidFill>
                    <w14:schemeClr w14:val="tx1"/>
                  </w14:solidFill>
                </w14:textFill>
              </w:rPr>
              <w:t>分标号</w:t>
            </w:r>
          </w:p>
        </w:tc>
        <w:tc>
          <w:tcPr>
            <w:tcW w:w="3405" w:type="dxa"/>
            <w:shd w:val="clear" w:color="auto" w:fill="auto"/>
            <w:vAlign w:val="center"/>
          </w:tcPr>
          <w:p w14:paraId="323998A3">
            <w:pPr>
              <w:pStyle w:val="154"/>
              <w:keepNext w:val="0"/>
              <w:keepLines w:val="0"/>
              <w:pageBreakBefore w:val="0"/>
              <w:widowControl w:val="0"/>
              <w:shd w:val="clear"/>
              <w:kinsoku/>
              <w:wordWrap/>
              <w:overflowPunct/>
              <w:topLinePunct w:val="0"/>
              <w:autoSpaceDE/>
              <w:autoSpaceDN/>
              <w:bidi w:val="0"/>
              <w:adjustRightInd/>
              <w:snapToGrid/>
              <w:spacing w:before="55" w:line="400" w:lineRule="exact"/>
              <w:jc w:val="center"/>
              <w:textAlignment w:val="auto"/>
              <w:rPr>
                <w:rFonts w:ascii="宋体" w:hAnsi="宋体" w:eastAsia="宋体" w:cs="宋体"/>
                <w:color w:val="000000" w:themeColor="text1"/>
                <w:kern w:val="2"/>
                <w:sz w:val="21"/>
                <w:szCs w:val="21"/>
                <w:highlight w:val="none"/>
                <w:lang w:val="en-US" w:eastAsia="en-US" w:bidi="ar-SA"/>
                <w14:textFill>
                  <w14:solidFill>
                    <w14:schemeClr w14:val="tx1"/>
                  </w14:solidFill>
                </w14:textFill>
              </w:rPr>
            </w:pPr>
            <w:r>
              <w:rPr>
                <w:color w:val="000000" w:themeColor="text1"/>
                <w:spacing w:val="6"/>
                <w:sz w:val="21"/>
                <w:szCs w:val="21"/>
                <w:highlight w:val="none"/>
                <w14:textFill>
                  <w14:solidFill>
                    <w14:schemeClr w14:val="tx1"/>
                  </w14:solidFill>
                </w14:textFill>
              </w:rPr>
              <w:t>淘汰率</w:t>
            </w:r>
          </w:p>
        </w:tc>
        <w:tc>
          <w:tcPr>
            <w:tcW w:w="3277" w:type="dxa"/>
            <w:vAlign w:val="center"/>
          </w:tcPr>
          <w:p w14:paraId="2A5394CA">
            <w:pPr>
              <w:pStyle w:val="154"/>
              <w:keepNext w:val="0"/>
              <w:keepLines w:val="0"/>
              <w:pageBreakBefore w:val="0"/>
              <w:widowControl w:val="0"/>
              <w:shd w:val="clear"/>
              <w:kinsoku/>
              <w:wordWrap/>
              <w:overflowPunct/>
              <w:topLinePunct w:val="0"/>
              <w:autoSpaceDE/>
              <w:autoSpaceDN/>
              <w:bidi w:val="0"/>
              <w:adjustRightInd/>
              <w:snapToGrid/>
              <w:spacing w:before="55" w:line="400" w:lineRule="exact"/>
              <w:jc w:val="center"/>
              <w:textAlignment w:val="auto"/>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入围供应商最大数量</w:t>
            </w:r>
          </w:p>
        </w:tc>
      </w:tr>
      <w:tr w14:paraId="06252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536" w:type="dxa"/>
            <w:vAlign w:val="center"/>
          </w:tcPr>
          <w:p w14:paraId="6FF56F69">
            <w:pPr>
              <w:pStyle w:val="154"/>
              <w:keepNext w:val="0"/>
              <w:keepLines w:val="0"/>
              <w:pageBreakBefore w:val="0"/>
              <w:widowControl w:val="0"/>
              <w:shd w:val="clear"/>
              <w:kinsoku/>
              <w:wordWrap/>
              <w:overflowPunct/>
              <w:topLinePunct w:val="0"/>
              <w:autoSpaceDE/>
              <w:autoSpaceDN/>
              <w:bidi w:val="0"/>
              <w:adjustRightInd/>
              <w:snapToGrid/>
              <w:spacing w:before="55" w:line="400" w:lineRule="exact"/>
              <w:jc w:val="center"/>
              <w:textAlignment w:val="auto"/>
              <w:rPr>
                <w:color w:val="000000" w:themeColor="text1"/>
                <w:sz w:val="21"/>
                <w:szCs w:val="21"/>
                <w:highlight w:val="none"/>
                <w14:textFill>
                  <w14:solidFill>
                    <w14:schemeClr w14:val="tx1"/>
                  </w14:solidFill>
                </w14:textFill>
              </w:rPr>
            </w:pPr>
            <w:r>
              <w:rPr>
                <w:rFonts w:hint="eastAsia"/>
                <w:color w:val="000000" w:themeColor="text1"/>
                <w:spacing w:val="1"/>
                <w:position w:val="1"/>
                <w:sz w:val="21"/>
                <w:szCs w:val="21"/>
                <w:highlight w:val="none"/>
                <w:lang w:val="en-US" w:eastAsia="zh-CN"/>
                <w14:textFill>
                  <w14:solidFill>
                    <w14:schemeClr w14:val="tx1"/>
                  </w14:solidFill>
                </w14:textFill>
              </w:rPr>
              <w:t>01分标</w:t>
            </w:r>
          </w:p>
        </w:tc>
        <w:tc>
          <w:tcPr>
            <w:tcW w:w="3405" w:type="dxa"/>
            <w:shd w:val="clear" w:color="auto" w:fill="auto"/>
            <w:vAlign w:val="center"/>
          </w:tcPr>
          <w:p w14:paraId="17471F4C">
            <w:pPr>
              <w:pStyle w:val="154"/>
              <w:keepNext w:val="0"/>
              <w:keepLines w:val="0"/>
              <w:pageBreakBefore w:val="0"/>
              <w:widowControl w:val="0"/>
              <w:shd w:val="clear"/>
              <w:kinsoku/>
              <w:wordWrap/>
              <w:overflowPunct/>
              <w:topLinePunct w:val="0"/>
              <w:autoSpaceDE/>
              <w:autoSpaceDN/>
              <w:bidi w:val="0"/>
              <w:adjustRightInd/>
              <w:snapToGrid/>
              <w:spacing w:before="55" w:line="400" w:lineRule="exact"/>
              <w:jc w:val="center"/>
              <w:textAlignment w:val="auto"/>
              <w:rPr>
                <w:rFonts w:ascii="宋体" w:hAnsi="宋体" w:eastAsia="宋体" w:cs="宋体"/>
                <w:color w:val="000000" w:themeColor="text1"/>
                <w:kern w:val="2"/>
                <w:sz w:val="21"/>
                <w:szCs w:val="21"/>
                <w:highlight w:val="none"/>
                <w:lang w:val="en-US" w:eastAsia="en-US" w:bidi="ar-SA"/>
                <w14:textFill>
                  <w14:solidFill>
                    <w14:schemeClr w14:val="tx1"/>
                  </w14:solidFill>
                </w14:textFill>
              </w:rPr>
            </w:pPr>
            <w:r>
              <w:rPr>
                <w:color w:val="000000" w:themeColor="text1"/>
                <w:spacing w:val="1"/>
                <w:position w:val="1"/>
                <w:sz w:val="21"/>
                <w:szCs w:val="21"/>
                <w:highlight w:val="none"/>
                <w14:textFill>
                  <w14:solidFill>
                    <w14:schemeClr w14:val="tx1"/>
                  </w14:solidFill>
                </w14:textFill>
              </w:rPr>
              <w:t>20%</w:t>
            </w:r>
          </w:p>
        </w:tc>
        <w:tc>
          <w:tcPr>
            <w:tcW w:w="3277" w:type="dxa"/>
            <w:vAlign w:val="center"/>
          </w:tcPr>
          <w:p w14:paraId="7BC83286">
            <w:pPr>
              <w:pStyle w:val="154"/>
              <w:keepNext w:val="0"/>
              <w:keepLines w:val="0"/>
              <w:pageBreakBefore w:val="0"/>
              <w:widowControl w:val="0"/>
              <w:shd w:val="clear"/>
              <w:kinsoku/>
              <w:wordWrap/>
              <w:overflowPunct/>
              <w:topLinePunct w:val="0"/>
              <w:autoSpaceDE/>
              <w:autoSpaceDN/>
              <w:bidi w:val="0"/>
              <w:adjustRightInd/>
              <w:snapToGrid/>
              <w:spacing w:before="87" w:line="400" w:lineRule="exact"/>
              <w:jc w:val="center"/>
              <w:textAlignment w:val="auto"/>
              <w:rPr>
                <w:rFonts w:hint="eastAsia" w:eastAsia="宋体"/>
                <w:color w:val="000000" w:themeColor="text1"/>
                <w:sz w:val="21"/>
                <w:szCs w:val="21"/>
                <w:highlight w:val="none"/>
                <w:lang w:eastAsia="zh-CN"/>
                <w14:textFill>
                  <w14:solidFill>
                    <w14:schemeClr w14:val="tx1"/>
                  </w14:solidFill>
                </w14:textFill>
              </w:rPr>
            </w:pPr>
            <w:r>
              <w:rPr>
                <w:color w:val="000000" w:themeColor="text1"/>
                <w:spacing w:val="-7"/>
                <w:sz w:val="21"/>
                <w:szCs w:val="21"/>
                <w:highlight w:val="none"/>
                <w14:textFill>
                  <w14:solidFill>
                    <w14:schemeClr w14:val="tx1"/>
                  </w14:solidFill>
                </w14:textFill>
              </w:rPr>
              <w:t>1</w:t>
            </w:r>
            <w:r>
              <w:rPr>
                <w:rFonts w:hint="eastAsia"/>
                <w:color w:val="000000" w:themeColor="text1"/>
                <w:spacing w:val="-7"/>
                <w:sz w:val="21"/>
                <w:szCs w:val="21"/>
                <w:highlight w:val="none"/>
                <w:lang w:val="en-US" w:eastAsia="zh-CN"/>
                <w14:textFill>
                  <w14:solidFill>
                    <w14:schemeClr w14:val="tx1"/>
                  </w14:solidFill>
                </w14:textFill>
              </w:rPr>
              <w:t>0</w:t>
            </w:r>
          </w:p>
        </w:tc>
      </w:tr>
      <w:tr w14:paraId="5EB15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536" w:type="dxa"/>
            <w:vAlign w:val="center"/>
          </w:tcPr>
          <w:p w14:paraId="6FE2DB87">
            <w:pPr>
              <w:pStyle w:val="154"/>
              <w:keepNext w:val="0"/>
              <w:keepLines w:val="0"/>
              <w:pageBreakBefore w:val="0"/>
              <w:widowControl w:val="0"/>
              <w:shd w:val="clear"/>
              <w:kinsoku/>
              <w:wordWrap/>
              <w:overflowPunct/>
              <w:topLinePunct w:val="0"/>
              <w:autoSpaceDE/>
              <w:autoSpaceDN/>
              <w:bidi w:val="0"/>
              <w:adjustRightInd/>
              <w:snapToGrid/>
              <w:spacing w:before="55" w:line="400" w:lineRule="exact"/>
              <w:jc w:val="center"/>
              <w:textAlignment w:val="auto"/>
              <w:rPr>
                <w:color w:val="000000" w:themeColor="text1"/>
                <w:spacing w:val="1"/>
                <w:position w:val="1"/>
                <w:sz w:val="21"/>
                <w:szCs w:val="21"/>
                <w:highlight w:val="none"/>
                <w14:textFill>
                  <w14:solidFill>
                    <w14:schemeClr w14:val="tx1"/>
                  </w14:solidFill>
                </w14:textFill>
              </w:rPr>
            </w:pPr>
            <w:r>
              <w:rPr>
                <w:rFonts w:hint="eastAsia"/>
                <w:color w:val="000000" w:themeColor="text1"/>
                <w:spacing w:val="1"/>
                <w:position w:val="1"/>
                <w:sz w:val="21"/>
                <w:szCs w:val="21"/>
                <w:highlight w:val="none"/>
                <w:lang w:val="en-US" w:eastAsia="zh-CN"/>
                <w14:textFill>
                  <w14:solidFill>
                    <w14:schemeClr w14:val="tx1"/>
                  </w14:solidFill>
                </w14:textFill>
              </w:rPr>
              <w:t>02分标</w:t>
            </w:r>
          </w:p>
        </w:tc>
        <w:tc>
          <w:tcPr>
            <w:tcW w:w="3405" w:type="dxa"/>
            <w:vAlign w:val="center"/>
          </w:tcPr>
          <w:p w14:paraId="3E19122E">
            <w:pPr>
              <w:pStyle w:val="154"/>
              <w:keepNext w:val="0"/>
              <w:keepLines w:val="0"/>
              <w:pageBreakBefore w:val="0"/>
              <w:widowControl w:val="0"/>
              <w:shd w:val="clear"/>
              <w:kinsoku/>
              <w:wordWrap/>
              <w:overflowPunct/>
              <w:topLinePunct w:val="0"/>
              <w:autoSpaceDE/>
              <w:autoSpaceDN/>
              <w:bidi w:val="0"/>
              <w:adjustRightInd/>
              <w:snapToGrid/>
              <w:spacing w:before="55" w:line="400" w:lineRule="exact"/>
              <w:jc w:val="center"/>
              <w:textAlignment w:val="auto"/>
              <w:rPr>
                <w:color w:val="000000" w:themeColor="text1"/>
                <w:spacing w:val="1"/>
                <w:position w:val="1"/>
                <w:sz w:val="21"/>
                <w:szCs w:val="21"/>
                <w:highlight w:val="none"/>
                <w14:textFill>
                  <w14:solidFill>
                    <w14:schemeClr w14:val="tx1"/>
                  </w14:solidFill>
                </w14:textFill>
              </w:rPr>
            </w:pPr>
            <w:r>
              <w:rPr>
                <w:color w:val="000000" w:themeColor="text1"/>
                <w:spacing w:val="1"/>
                <w:position w:val="1"/>
                <w:sz w:val="21"/>
                <w:szCs w:val="21"/>
                <w:highlight w:val="none"/>
                <w14:textFill>
                  <w14:solidFill>
                    <w14:schemeClr w14:val="tx1"/>
                  </w14:solidFill>
                </w14:textFill>
              </w:rPr>
              <w:t>20%</w:t>
            </w:r>
          </w:p>
        </w:tc>
        <w:tc>
          <w:tcPr>
            <w:tcW w:w="3277" w:type="dxa"/>
            <w:vAlign w:val="center"/>
          </w:tcPr>
          <w:p w14:paraId="7263EC2A">
            <w:pPr>
              <w:pStyle w:val="154"/>
              <w:keepNext w:val="0"/>
              <w:keepLines w:val="0"/>
              <w:pageBreakBefore w:val="0"/>
              <w:widowControl w:val="0"/>
              <w:shd w:val="clear"/>
              <w:kinsoku/>
              <w:wordWrap/>
              <w:overflowPunct/>
              <w:topLinePunct w:val="0"/>
              <w:autoSpaceDE/>
              <w:autoSpaceDN/>
              <w:bidi w:val="0"/>
              <w:adjustRightInd/>
              <w:snapToGrid/>
              <w:spacing w:before="87" w:line="400" w:lineRule="exact"/>
              <w:jc w:val="center"/>
              <w:textAlignment w:val="auto"/>
              <w:rPr>
                <w:rFonts w:hint="eastAsia" w:eastAsia="宋体"/>
                <w:color w:val="000000" w:themeColor="text1"/>
                <w:spacing w:val="-7"/>
                <w:sz w:val="21"/>
                <w:szCs w:val="21"/>
                <w:highlight w:val="none"/>
                <w:lang w:val="en-US" w:eastAsia="zh-CN"/>
                <w14:textFill>
                  <w14:solidFill>
                    <w14:schemeClr w14:val="tx1"/>
                  </w14:solidFill>
                </w14:textFill>
              </w:rPr>
            </w:pPr>
            <w:r>
              <w:rPr>
                <w:rFonts w:hint="eastAsia"/>
                <w:color w:val="000000" w:themeColor="text1"/>
                <w:spacing w:val="-7"/>
                <w:sz w:val="21"/>
                <w:szCs w:val="21"/>
                <w:highlight w:val="none"/>
                <w:lang w:val="en-US" w:eastAsia="zh-CN"/>
                <w14:textFill>
                  <w14:solidFill>
                    <w14:schemeClr w14:val="tx1"/>
                  </w14:solidFill>
                </w14:textFill>
              </w:rPr>
              <w:t>3</w:t>
            </w:r>
          </w:p>
        </w:tc>
      </w:tr>
    </w:tbl>
    <w:p w14:paraId="1F91148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确定入围供应商步骤：</w:t>
      </w:r>
    </w:p>
    <w:p w14:paraId="23FC49E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 计算淘汰供应商数量</w:t>
      </w:r>
    </w:p>
    <w:p w14:paraId="29C83AF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（1）将供应商按质量综合评分由高到低排序，假设数量为 Y。</w:t>
      </w:r>
    </w:p>
    <w:p w14:paraId="4F5D68D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（2）将供应商按评分排序由低到高淘汰，最低淘汰供应商数量 Z=Y×淘汰率(四舍五入向上取整，如1.5 取 2，1.1 取 1)，如 Z 计算值小于 1，则取 Z=1。</w:t>
      </w:r>
    </w:p>
    <w:p w14:paraId="1A64451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（3）初步入围供应商数量 X=Y-Z</w:t>
      </w:r>
    </w:p>
    <w:p w14:paraId="4DD7B1F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 初步入围供应商数量与入围供应商最大最小数量对比（入围供应商最大数量用MAX 表示，入围供应商最小数量用 MIN 表示）</w:t>
      </w:r>
    </w:p>
    <w:p w14:paraId="0A1E994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（1）当 MIN≤X≤MAX 时，X 即为最终入围供应商数量；</w:t>
      </w:r>
    </w:p>
    <w:p w14:paraId="3296552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（2）当 X＞MAX 时，应按供应商评分排序由低到高继续淘汰，直至最终入围供应商数量等于入围供应商最大数量；</w:t>
      </w:r>
    </w:p>
    <w:p w14:paraId="2178359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（3）当 X＜MIN 时，征集人认为可以满足框架协议需求时，X 为最终入围供应商数量</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如果 X＜2 或征集人认为不能满足框架协议需求时，应重新开展征集活动。</w:t>
      </w:r>
    </w:p>
    <w:p w14:paraId="7F1077D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 并列分数处理</w:t>
      </w:r>
    </w:p>
    <w:p w14:paraId="3C9DF65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（1）在淘汰过程中如果出现供应商综合评分相同</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精确到小数点后 2 位</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的情况，相同分数的供应商应一并淘汰。</w:t>
      </w:r>
    </w:p>
    <w:p w14:paraId="75615BE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（2）在上述 1.2.2（2）继续淘汰过程中，继续淘汰时如果有某综合评分并列供应商一 并淘汰后，剩余供应商数量小于入围供应商最大数量，则应将该分数并列供应商按技术分由 低到高淘汰，直至最终入围供应商数量等于入围供应商最大数量。如果按技术分淘汰时也出现某技术分并列供应商一并淘汰后，剩余供应商数量小于入围供应商最大数量，则将技术分并列供应商按数字抽签排序，按数字从小到大淘汰直至最终入围供应商数量等于入围供应商最大数量。</w:t>
      </w:r>
    </w:p>
    <w:p w14:paraId="18F2A1F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 本项目评审的其他规定在第三章供应商须知中规定。</w:t>
      </w:r>
    </w:p>
    <w:p w14:paraId="0CC42A08">
      <w:pPr>
        <w:pStyle w:val="26"/>
        <w:shd w:val="clear"/>
        <w:tabs>
          <w:tab w:val="left" w:pos="2472"/>
        </w:tabs>
        <w:spacing w:line="460" w:lineRule="exact"/>
        <w:ind w:firstLine="161"/>
        <w:jc w:val="center"/>
        <w:outlineLvl w:val="1"/>
        <w:rPr>
          <w:rFonts w:hAnsi="宋体" w:cs="宋体"/>
          <w:b/>
          <w:bCs/>
          <w:color w:val="000000" w:themeColor="text1"/>
          <w:sz w:val="32"/>
          <w:szCs w:val="32"/>
          <w:highlight w:val="none"/>
          <w14:textFill>
            <w14:solidFill>
              <w14:schemeClr w14:val="tx1"/>
            </w14:solidFill>
          </w14:textFill>
        </w:rPr>
      </w:pPr>
      <w:bookmarkStart w:id="94" w:name="_Toc13829"/>
      <w:bookmarkStart w:id="95" w:name="_Toc80093005"/>
      <w:bookmarkStart w:id="96" w:name="_Toc6615"/>
      <w:r>
        <w:rPr>
          <w:rFonts w:hint="eastAsia" w:hAnsi="宋体" w:cs="宋体"/>
          <w:b/>
          <w:bCs/>
          <w:color w:val="000000" w:themeColor="text1"/>
          <w:sz w:val="32"/>
          <w:szCs w:val="32"/>
          <w:highlight w:val="none"/>
          <w14:textFill>
            <w14:solidFill>
              <w14:schemeClr w14:val="tx1"/>
            </w14:solidFill>
          </w14:textFill>
        </w:rPr>
        <w:t>第二节 评审程序</w:t>
      </w:r>
      <w:bookmarkEnd w:id="94"/>
      <w:bookmarkEnd w:id="95"/>
      <w:bookmarkEnd w:id="96"/>
    </w:p>
    <w:p w14:paraId="4F00C8C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highlight w:val="none"/>
          <w14:textFill>
            <w14:solidFill>
              <w14:schemeClr w14:val="tx1"/>
            </w14:solidFill>
          </w14:textFill>
        </w:rPr>
      </w:pPr>
    </w:p>
    <w:p w14:paraId="27162D7D">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1.符合性审查</w:t>
      </w:r>
    </w:p>
    <w:p w14:paraId="6D98741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评审委员会应当对符合资格的供应商的响应文件进行响应报价、商务、技术等实质性内容符合性审查，以确定其是否满足征集文件的实质性要求。</w:t>
      </w:r>
    </w:p>
    <w:p w14:paraId="794104A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2.符合性审查不通过而导致响应无效的情形</w:t>
      </w:r>
    </w:p>
    <w:p w14:paraId="5E6A169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供应商的响应文件中存在对征集文件的任何实质性要求和条件的负偏离，将被视为响应无效。</w:t>
      </w:r>
    </w:p>
    <w:p w14:paraId="531CB420">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2.1在报价评审时，如发现下列情形之一的，将被视为响应无效：</w:t>
      </w:r>
    </w:p>
    <w:p w14:paraId="03E086C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（1）响应文件未提供“供应商须知前附表”第</w:t>
      </w:r>
      <w:r>
        <w:rPr>
          <w:rFonts w:hint="eastAsia" w:ascii="宋体" w:hAnsi="宋体" w:cs="宋体"/>
          <w:color w:val="000000" w:themeColor="text1"/>
          <w:highlight w:val="none"/>
          <w:lang w:val="en-US" w:eastAsia="zh-CN"/>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t>.1条规定中“必须提供”的文件资料的;</w:t>
      </w:r>
    </w:p>
    <w:p w14:paraId="321CFEC6">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（2）未采用人民币报价或者未按照征集文件标明的币种报价的；</w:t>
      </w:r>
    </w:p>
    <w:p w14:paraId="00544EB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（3）报价超出征集文件规定最高限价，或者超出采购预算金额（包括分项预算）的；</w:t>
      </w:r>
    </w:p>
    <w:p w14:paraId="73BBBA5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2DABB43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（5）修正后的报价，供应商不确认的；</w:t>
      </w:r>
    </w:p>
    <w:p w14:paraId="091671D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2.2在商务评审时，如发现下列情形之一的，将被视为响应无效：</w:t>
      </w:r>
    </w:p>
    <w:p w14:paraId="25CEA5F0">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（1）响应文件未按征集文件要求签署、盖章的；</w:t>
      </w:r>
    </w:p>
    <w:p w14:paraId="0316909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（2）委托代理人未能出具有效身份证明或者出具的身份证明与授权委托书中的信息不符的； </w:t>
      </w:r>
    </w:p>
    <w:p w14:paraId="7DAB5BF6">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（3）响应文件未提供“供应商须知前附表”第</w:t>
      </w:r>
      <w:r>
        <w:rPr>
          <w:rFonts w:hint="eastAsia" w:ascii="宋体" w:hAnsi="宋体" w:cs="宋体"/>
          <w:color w:val="000000" w:themeColor="text1"/>
          <w:highlight w:val="none"/>
          <w:lang w:val="en-US" w:eastAsia="zh-CN"/>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t>.1条规定中“必须提供”或者“委托时必须提供”的文件资料的;</w:t>
      </w:r>
    </w:p>
    <w:p w14:paraId="4AF1ABB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（4）响应有效期、项目完成时间（交货时间、服务完成时间或者服务期等）、质保期、售后服务等征集文件入围“▲”的商务条款发生负偏离的；</w:t>
      </w:r>
    </w:p>
    <w:p w14:paraId="327CA05E">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（5）商务条款评审允许负偏离的条款数超过“供应商须知前附表”规定项数的。</w:t>
      </w:r>
    </w:p>
    <w:p w14:paraId="51A27FC0">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（6）响应文件的实质性内容未使用中文表述、使用计量单位不符合征集文件要求的；</w:t>
      </w:r>
    </w:p>
    <w:p w14:paraId="1D8E198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（7）响应文件中的文件资料因填写不齐全或者内容虚假或者出现其他情形而导致被评审委员会认定无效的；</w:t>
      </w:r>
    </w:p>
    <w:p w14:paraId="1076505D">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（8）响应文件含有征集人不能接受的附加条件的；</w:t>
      </w:r>
    </w:p>
    <w:p w14:paraId="7EEE8E2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（9）未响应征集文件实质性要求的；</w:t>
      </w:r>
    </w:p>
    <w:p w14:paraId="62EA01FD">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（10）属于供应商须知正文第</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"2.5.3.3"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2.5.3.3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条情形的；</w:t>
      </w:r>
    </w:p>
    <w:p w14:paraId="31B94EAD">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（11）法律、法规和征集文件规定的其他无效情形。</w:t>
      </w:r>
    </w:p>
    <w:p w14:paraId="140FCD3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2.3在技术评审时，如发现下列情形之一的，将被视为响应无效：</w:t>
      </w:r>
    </w:p>
    <w:p w14:paraId="3194043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（1）不满足征集文件要求的服务内容、技术要求、安全、质量标准，或者与征集文件入围“▲”的技术需求发生负偏离的；</w:t>
      </w:r>
    </w:p>
    <w:p w14:paraId="6D87F94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（2）技术需求评审允许负偏离的条款数超过“供应商须知前附表”规定项数的；</w:t>
      </w:r>
    </w:p>
    <w:p w14:paraId="42CB780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（3）响应文件未提供“供应商须知前附表”第</w:t>
      </w:r>
      <w:r>
        <w:rPr>
          <w:rFonts w:hint="eastAsia" w:ascii="宋体" w:hAnsi="宋体" w:cs="宋体"/>
          <w:color w:val="000000" w:themeColor="text1"/>
          <w:highlight w:val="none"/>
          <w:lang w:val="en-US" w:eastAsia="zh-CN"/>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t>.1条规定中“必须提供”的文件资料的;</w:t>
      </w:r>
    </w:p>
    <w:p w14:paraId="0C326D9B">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（4）虚假响应，或者出现其他情形而导致被评审委员会认定无效的；</w:t>
      </w:r>
    </w:p>
    <w:p w14:paraId="0655B3D6">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（5）响应技术方案不明确，征集文件未允许但存在一个或者一个以上备选（替代）响应方案的。</w:t>
      </w:r>
    </w:p>
    <w:p w14:paraId="51095E4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3.澄清补正、说明或者补正</w:t>
      </w:r>
    </w:p>
    <w:p w14:paraId="6D37AFF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响应文件中含义不明确、同类问题表述不一致或者有明显文字和计算错误的内容，评审委员会应在“政采云”平台发布电子澄清函，要求供应商在规定时间内作出必要的澄清、说明或者补正。供应商在“政采云”平台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5D6D7E9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732B3C1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5. 比较与评价</w:t>
      </w:r>
    </w:p>
    <w:p w14:paraId="1D42A091">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（1）评审委员会按征集文件中规定的评审方法和标准，对符合性审查合格的响应文件进行综合比较与评价。</w:t>
      </w:r>
    </w:p>
    <w:p w14:paraId="4D6EEB7E">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（2）评审委员会各成员独立对每个有效供应商的响应文件进行评价。评价有误的应及时进行修正。评分标准如有客观分定义，评审委员会所有成员的客观分评分分值应当一致。</w:t>
      </w:r>
    </w:p>
    <w:p w14:paraId="1D4904C8">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（3）评审委员会按质量综合评分由高到低的排列顺序以及评审方法及标准规定的入围供应商数量上限或淘汰率推荐入围供应商。</w:t>
      </w:r>
    </w:p>
    <w:p w14:paraId="47789BD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（4）评审委员会根据评审记录及评审结果编写评审报告，评审委员会成员均应当在评 审报告上签字，对自己的评审意见承担法律责任。评审报告签署前，经复核发现存在以下情 形之一的，评审委员会应当当场修改评审结果，并在评审报告中记载；评审报告签署后，征 集人发现存在以下情形之一的，应当组织原评审委员会进行重新评审。分值汇总计算错误的； 分项评分超出评分标准范围的；评审委员会成员对客观评审因素评分不一致的；经评审委员会认定评分畸高、畸低的。评审报告签署前，经复核发现存在以上情形之一的，评审委员会应当当场修改评审结果，并在评审报告中记载；评审报告签署后，采购人或者采购代理机构发现存在以上情形之一的，应当组织原评审委员会进行重新评审。</w:t>
      </w:r>
    </w:p>
    <w:p w14:paraId="15A03856">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6.评审争议处理</w:t>
      </w:r>
    </w:p>
    <w:p w14:paraId="2B16DFF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评审委员会成员对需要共同认定的事项存在争议的，应当按照少数服从多数的原则作出 结论。持不同意见的评审委员会成员应当在评审报告上签署不同意见及理由，否则视为同意评审报告。</w:t>
      </w:r>
    </w:p>
    <w:p w14:paraId="31CA9EC1">
      <w:pPr>
        <w:shd w:val="clear"/>
        <w:spacing w:before="222" w:line="229" w:lineRule="auto"/>
        <w:rPr>
          <w:rFonts w:hint="eastAsia" w:ascii="宋体" w:hAnsi="宋体" w:eastAsia="宋体" w:cs="宋体"/>
          <w:b/>
          <w:bCs/>
          <w:color w:val="000000" w:themeColor="text1"/>
          <w:highlight w:val="none"/>
          <w14:textFill>
            <w14:solidFill>
              <w14:schemeClr w14:val="tx1"/>
            </w14:solidFill>
          </w14:textFill>
        </w:rPr>
      </w:pPr>
    </w:p>
    <w:p w14:paraId="21145B8A">
      <w:pPr>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Cs w:val="0"/>
          <w:color w:val="000000" w:themeColor="text1"/>
          <w:sz w:val="30"/>
          <w:szCs w:val="30"/>
          <w:highlight w:val="none"/>
          <w14:textFill>
            <w14:solidFill>
              <w14:schemeClr w14:val="tx1"/>
            </w14:solidFill>
          </w14:textFill>
        </w:rPr>
      </w:pPr>
      <w:bookmarkStart w:id="97" w:name="_Toc8537"/>
      <w:bookmarkStart w:id="98" w:name="_Toc13540"/>
      <w:r>
        <w:rPr>
          <w:rFonts w:hint="eastAsia" w:ascii="宋体" w:hAnsi="宋体" w:eastAsia="宋体" w:cs="宋体"/>
          <w:bCs w:val="0"/>
          <w:color w:val="000000" w:themeColor="text1"/>
          <w:sz w:val="30"/>
          <w:szCs w:val="30"/>
          <w:highlight w:val="none"/>
          <w14:textFill>
            <w14:solidFill>
              <w14:schemeClr w14:val="tx1"/>
            </w14:solidFill>
          </w14:textFill>
        </w:rPr>
        <w:br w:type="page"/>
      </w:r>
    </w:p>
    <w:p w14:paraId="1107BCD4">
      <w:pPr>
        <w:pStyle w:val="3"/>
        <w:pageBreakBefore w:val="0"/>
        <w:widowControl w:val="0"/>
        <w:shd w:val="clear"/>
        <w:kinsoku/>
        <w:wordWrap/>
        <w:overflowPunct/>
        <w:topLinePunct w:val="0"/>
        <w:autoSpaceDE/>
        <w:autoSpaceDN/>
        <w:bidi w:val="0"/>
        <w:adjustRightInd/>
        <w:snapToGrid/>
        <w:spacing w:before="0" w:after="0" w:line="240" w:lineRule="auto"/>
        <w:jc w:val="center"/>
        <w:textAlignment w:val="auto"/>
        <w:rPr>
          <w:rFonts w:ascii="宋体" w:hAnsi="宋体" w:eastAsia="宋体" w:cs="宋体"/>
          <w:b w:val="0"/>
          <w:color w:val="000000" w:themeColor="text1"/>
          <w:sz w:val="30"/>
          <w:szCs w:val="30"/>
          <w:highlight w:val="none"/>
          <w14:textFill>
            <w14:solidFill>
              <w14:schemeClr w14:val="tx1"/>
            </w14:solidFill>
          </w14:textFill>
        </w:rPr>
      </w:pPr>
      <w:r>
        <w:rPr>
          <w:rFonts w:hint="eastAsia" w:ascii="宋体" w:hAnsi="宋体" w:eastAsia="宋体" w:cs="宋体"/>
          <w:bCs w:val="0"/>
          <w:color w:val="000000" w:themeColor="text1"/>
          <w:sz w:val="30"/>
          <w:szCs w:val="30"/>
          <w:highlight w:val="none"/>
          <w14:textFill>
            <w14:solidFill>
              <w14:schemeClr w14:val="tx1"/>
            </w14:solidFill>
          </w14:textFill>
        </w:rPr>
        <w:t>第三节 评分标准</w:t>
      </w:r>
      <w:bookmarkEnd w:id="97"/>
      <w:bookmarkEnd w:id="98"/>
    </w:p>
    <w:p w14:paraId="574BFA17">
      <w:pPr>
        <w:pStyle w:val="26"/>
        <w:pageBreakBefore w:val="0"/>
        <w:widowControl w:val="0"/>
        <w:shd w:val="clear"/>
        <w:kinsoku/>
        <w:wordWrap/>
        <w:overflowPunct/>
        <w:topLinePunct w:val="0"/>
        <w:autoSpaceDE/>
        <w:autoSpaceDN/>
        <w:bidi w:val="0"/>
        <w:adjustRightInd/>
        <w:snapToGrid/>
        <w:spacing w:line="240" w:lineRule="auto"/>
        <w:ind w:firstLine="141"/>
        <w:jc w:val="center"/>
        <w:textAlignment w:val="auto"/>
        <w:outlineLvl w:val="9"/>
        <w:rPr>
          <w:rFonts w:hint="eastAsia" w:hAnsi="宋体" w:cs="宋体"/>
          <w:b/>
          <w:color w:val="000000" w:themeColor="text1"/>
          <w:sz w:val="28"/>
          <w:szCs w:val="28"/>
          <w:highlight w:val="none"/>
          <w14:textFill>
            <w14:solidFill>
              <w14:schemeClr w14:val="tx1"/>
            </w14:solidFill>
          </w14:textFill>
        </w:rPr>
      </w:pPr>
      <w:bookmarkStart w:id="99" w:name="PO_3000001866_PM051"/>
      <w:bookmarkEnd w:id="99"/>
      <w:bookmarkStart w:id="100" w:name="PO_TDCUS_ITEM_SM_TITLE_1"/>
      <w:bookmarkStart w:id="101" w:name="_Toc18088"/>
    </w:p>
    <w:p w14:paraId="5FE76621">
      <w:pPr>
        <w:pStyle w:val="26"/>
        <w:pageBreakBefore w:val="0"/>
        <w:widowControl w:val="0"/>
        <w:shd w:val="clear"/>
        <w:kinsoku/>
        <w:wordWrap/>
        <w:overflowPunct/>
        <w:topLinePunct w:val="0"/>
        <w:autoSpaceDE/>
        <w:autoSpaceDN/>
        <w:bidi w:val="0"/>
        <w:adjustRightInd/>
        <w:snapToGrid/>
        <w:spacing w:line="240" w:lineRule="auto"/>
        <w:ind w:firstLine="141"/>
        <w:jc w:val="center"/>
        <w:textAlignment w:val="auto"/>
        <w:outlineLvl w:val="2"/>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01分标评分方法</w:t>
      </w:r>
      <w:bookmarkEnd w:id="100"/>
      <w:bookmarkEnd w:id="101"/>
      <w:bookmarkStart w:id="102" w:name="PO_TDCUS_ITEM_SM_TABLE_1"/>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18"/>
        <w:gridCol w:w="1086"/>
        <w:gridCol w:w="6266"/>
        <w:gridCol w:w="1584"/>
      </w:tblGrid>
      <w:tr w14:paraId="42A8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4499F595">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序号</w:t>
            </w:r>
          </w:p>
        </w:tc>
        <w:tc>
          <w:tcPr>
            <w:tcW w:w="1065" w:type="dxa"/>
            <w:shd w:val="clear" w:color="auto" w:fill="auto"/>
            <w:noWrap w:val="0"/>
            <w:vAlign w:val="center"/>
          </w:tcPr>
          <w:p w14:paraId="301C99A0">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评分类型</w:t>
            </w:r>
          </w:p>
        </w:tc>
        <w:tc>
          <w:tcPr>
            <w:tcW w:w="6145" w:type="dxa"/>
            <w:shd w:val="clear" w:color="auto" w:fill="auto"/>
            <w:noWrap w:val="0"/>
            <w:vAlign w:val="center"/>
          </w:tcPr>
          <w:p w14:paraId="79C1384D">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评分标准</w:t>
            </w:r>
          </w:p>
        </w:tc>
        <w:tc>
          <w:tcPr>
            <w:tcW w:w="1553" w:type="dxa"/>
            <w:shd w:val="clear" w:color="auto" w:fill="auto"/>
            <w:noWrap w:val="0"/>
            <w:vAlign w:val="center"/>
          </w:tcPr>
          <w:p w14:paraId="08400FF0">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分值</w:t>
            </w:r>
          </w:p>
        </w:tc>
      </w:tr>
      <w:tr w14:paraId="28E1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5E4AFCE3">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1</w:t>
            </w:r>
          </w:p>
        </w:tc>
        <w:tc>
          <w:tcPr>
            <w:tcW w:w="1065" w:type="dxa"/>
            <w:shd w:val="clear" w:color="auto" w:fill="auto"/>
            <w:noWrap w:val="0"/>
            <w:vAlign w:val="center"/>
          </w:tcPr>
          <w:p w14:paraId="0BC1A89A">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报价分</w:t>
            </w:r>
          </w:p>
        </w:tc>
        <w:tc>
          <w:tcPr>
            <w:tcW w:w="6145" w:type="dxa"/>
            <w:shd w:val="clear" w:color="auto" w:fill="auto"/>
            <w:noWrap w:val="0"/>
            <w:vAlign w:val="center"/>
          </w:tcPr>
          <w:p w14:paraId="383F4CB0">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p>
        </w:tc>
        <w:tc>
          <w:tcPr>
            <w:tcW w:w="1553" w:type="dxa"/>
            <w:shd w:val="clear" w:color="auto" w:fill="auto"/>
            <w:noWrap w:val="0"/>
            <w:vAlign w:val="center"/>
          </w:tcPr>
          <w:p w14:paraId="38F3926C">
            <w:pPr>
              <w:pStyle w:val="26"/>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满分0分</w:t>
            </w:r>
          </w:p>
        </w:tc>
      </w:tr>
      <w:tr w14:paraId="488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73391236">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1.1</w:t>
            </w:r>
          </w:p>
        </w:tc>
        <w:tc>
          <w:tcPr>
            <w:tcW w:w="1065" w:type="dxa"/>
            <w:shd w:val="clear" w:color="auto" w:fill="auto"/>
            <w:noWrap w:val="0"/>
            <w:vAlign w:val="center"/>
          </w:tcPr>
          <w:p w14:paraId="6206E93A">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报价</w:t>
            </w:r>
          </w:p>
        </w:tc>
        <w:tc>
          <w:tcPr>
            <w:tcW w:w="6145" w:type="dxa"/>
            <w:shd w:val="clear" w:color="auto" w:fill="auto"/>
            <w:noWrap w:val="0"/>
            <w:vAlign w:val="center"/>
          </w:tcPr>
          <w:p w14:paraId="4A0A6381">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按</w:t>
            </w:r>
            <w:r>
              <w:rPr>
                <w:rFonts w:hint="eastAsia" w:hAnsi="宋体" w:cs="宋体"/>
                <w:bCs/>
                <w:color w:val="000000" w:themeColor="text1"/>
                <w:sz w:val="21"/>
                <w:highlight w:val="none"/>
                <w:lang w:val="en-US" w:eastAsia="zh-CN"/>
                <w14:textFill>
                  <w14:solidFill>
                    <w14:schemeClr w14:val="tx1"/>
                  </w14:solidFill>
                </w14:textFill>
              </w:rPr>
              <w:t>采购</w:t>
            </w:r>
            <w:r>
              <w:rPr>
                <w:rFonts w:hint="eastAsia" w:hAnsi="宋体" w:cs="宋体"/>
                <w:bCs/>
                <w:color w:val="000000" w:themeColor="text1"/>
                <w:sz w:val="21"/>
                <w:highlight w:val="none"/>
                <w14:textFill>
                  <w14:solidFill>
                    <w14:schemeClr w14:val="tx1"/>
                  </w14:solidFill>
                </w14:textFill>
              </w:rPr>
              <w:t>需求中关于计费方式和费率计费执行</w:t>
            </w:r>
          </w:p>
        </w:tc>
        <w:tc>
          <w:tcPr>
            <w:tcW w:w="1553" w:type="dxa"/>
            <w:shd w:val="clear" w:color="auto" w:fill="auto"/>
            <w:noWrap w:val="0"/>
            <w:vAlign w:val="center"/>
          </w:tcPr>
          <w:p w14:paraId="0B49AA2C">
            <w:pPr>
              <w:pStyle w:val="26"/>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p>
        </w:tc>
      </w:tr>
      <w:tr w14:paraId="6C6F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498926A3">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w:t>
            </w:r>
          </w:p>
        </w:tc>
        <w:tc>
          <w:tcPr>
            <w:tcW w:w="1065" w:type="dxa"/>
            <w:shd w:val="clear" w:color="auto" w:fill="auto"/>
            <w:noWrap w:val="0"/>
            <w:vAlign w:val="center"/>
          </w:tcPr>
          <w:p w14:paraId="21740F7D">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技术分</w:t>
            </w:r>
          </w:p>
        </w:tc>
        <w:tc>
          <w:tcPr>
            <w:tcW w:w="6145" w:type="dxa"/>
            <w:shd w:val="clear" w:color="auto" w:fill="auto"/>
            <w:noWrap w:val="0"/>
            <w:vAlign w:val="center"/>
          </w:tcPr>
          <w:p w14:paraId="5D8B46F7">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p>
        </w:tc>
        <w:tc>
          <w:tcPr>
            <w:tcW w:w="1553" w:type="dxa"/>
            <w:shd w:val="clear" w:color="auto" w:fill="auto"/>
            <w:noWrap w:val="0"/>
            <w:vAlign w:val="center"/>
          </w:tcPr>
          <w:p w14:paraId="1C5554CB">
            <w:pPr>
              <w:pStyle w:val="26"/>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满分</w:t>
            </w:r>
            <w:r>
              <w:rPr>
                <w:rFonts w:hint="eastAsia" w:hAnsi="宋体" w:cs="宋体"/>
                <w:bCs/>
                <w:color w:val="000000" w:themeColor="text1"/>
                <w:sz w:val="21"/>
                <w:highlight w:val="none"/>
                <w:lang w:val="en-US" w:eastAsia="zh-CN"/>
                <w14:textFill>
                  <w14:solidFill>
                    <w14:schemeClr w14:val="tx1"/>
                  </w14:solidFill>
                </w14:textFill>
              </w:rPr>
              <w:t>8</w:t>
            </w:r>
            <w:r>
              <w:rPr>
                <w:rFonts w:hint="eastAsia" w:hAnsi="宋体" w:cs="宋体"/>
                <w:bCs/>
                <w:color w:val="000000" w:themeColor="text1"/>
                <w:sz w:val="21"/>
                <w:highlight w:val="none"/>
                <w14:textFill>
                  <w14:solidFill>
                    <w14:schemeClr w14:val="tx1"/>
                  </w14:solidFill>
                </w14:textFill>
              </w:rPr>
              <w:t>0分</w:t>
            </w:r>
          </w:p>
        </w:tc>
      </w:tr>
      <w:tr w14:paraId="0D5D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1007FC76">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 xml:space="preserve">2.1 </w:t>
            </w:r>
          </w:p>
        </w:tc>
        <w:tc>
          <w:tcPr>
            <w:tcW w:w="1065" w:type="dxa"/>
            <w:shd w:val="clear" w:color="auto" w:fill="auto"/>
            <w:noWrap w:val="0"/>
            <w:vAlign w:val="center"/>
          </w:tcPr>
          <w:p w14:paraId="19FAE06F">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工作的</w:t>
            </w:r>
            <w:r>
              <w:rPr>
                <w:rFonts w:hint="eastAsia" w:hAnsi="宋体" w:cs="宋体"/>
                <w:bCs/>
                <w:color w:val="000000" w:themeColor="text1"/>
                <w:sz w:val="21"/>
                <w:szCs w:val="21"/>
                <w:highlight w:val="none"/>
                <w:lang w:val="en-US" w:eastAsia="zh-CN"/>
                <w14:textFill>
                  <w14:solidFill>
                    <w14:schemeClr w14:val="tx1"/>
                  </w14:solidFill>
                </w14:textFill>
              </w:rPr>
              <w:t>流程</w:t>
            </w:r>
            <w:r>
              <w:rPr>
                <w:rFonts w:hint="eastAsia" w:hAnsi="宋体" w:cs="宋体"/>
                <w:bCs/>
                <w:color w:val="000000" w:themeColor="text1"/>
                <w:sz w:val="21"/>
                <w:szCs w:val="21"/>
                <w:highlight w:val="none"/>
                <w14:textFill>
                  <w14:solidFill>
                    <w14:schemeClr w14:val="tx1"/>
                  </w14:solidFill>
                </w14:textFill>
              </w:rPr>
              <w:t>与方法</w:t>
            </w:r>
          </w:p>
        </w:tc>
        <w:tc>
          <w:tcPr>
            <w:tcW w:w="6145" w:type="dxa"/>
            <w:shd w:val="clear" w:color="auto" w:fill="auto"/>
            <w:noWrap w:val="0"/>
            <w:vAlign w:val="center"/>
          </w:tcPr>
          <w:p w14:paraId="74239894">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cs="宋体"/>
                <w:bCs/>
                <w:color w:val="000000" w:themeColor="text1"/>
                <w:sz w:val="21"/>
                <w:szCs w:val="21"/>
                <w:highlight w:val="none"/>
                <w:lang w:val="en-US" w:eastAsia="zh-CN"/>
                <w14:textFill>
                  <w14:solidFill>
                    <w14:schemeClr w14:val="tx1"/>
                  </w14:solidFill>
                </w14:textFill>
              </w:rPr>
            </w:pPr>
            <w:r>
              <w:rPr>
                <w:rFonts w:hint="eastAsia" w:hAnsi="宋体" w:cs="宋体"/>
                <w:bCs/>
                <w:color w:val="000000" w:themeColor="text1"/>
                <w:sz w:val="21"/>
                <w:szCs w:val="21"/>
                <w:highlight w:val="none"/>
                <w:lang w:val="en-US" w:eastAsia="zh-CN"/>
                <w14:textFill>
                  <w14:solidFill>
                    <w14:schemeClr w14:val="tx1"/>
                  </w14:solidFill>
                </w14:textFill>
              </w:rPr>
              <w:t>一档（0分）：未提供工作的程序与方法；</w:t>
            </w:r>
          </w:p>
          <w:p w14:paraId="42407F47">
            <w:pPr>
              <w:pStyle w:val="26"/>
              <w:keepNext w:val="0"/>
              <w:keepLines w:val="0"/>
              <w:suppressLineNumbers w:val="0"/>
              <w:shd w:val="clear"/>
              <w:spacing w:before="0" w:beforeAutospacing="0" w:after="0" w:afterAutospacing="0" w:line="360" w:lineRule="auto"/>
              <w:ind w:left="0" w:right="0"/>
              <w:rPr>
                <w:rFonts w:hint="default" w:hAnsi="宋体" w:cs="宋体"/>
                <w:bCs/>
                <w:color w:val="000000" w:themeColor="text1"/>
                <w:sz w:val="21"/>
                <w:szCs w:val="21"/>
                <w:highlight w:val="none"/>
                <w:lang w:val="en-US"/>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二档（3分）：</w:t>
            </w:r>
            <w:r>
              <w:rPr>
                <w:rFonts w:hint="eastAsia" w:hAnsi="宋体" w:cs="宋体"/>
                <w:bCs/>
                <w:color w:val="000000" w:themeColor="text1"/>
                <w:sz w:val="21"/>
                <w:szCs w:val="21"/>
                <w:highlight w:val="none"/>
                <w:lang w:val="en-US" w:eastAsia="zh-CN"/>
                <w14:textFill>
                  <w14:solidFill>
                    <w14:schemeClr w14:val="tx1"/>
                  </w14:solidFill>
                </w14:textFill>
              </w:rPr>
              <w:t>工作流程不清晰，岗位职责不清楚，工作方案不具体，工作措施不到位；</w:t>
            </w:r>
          </w:p>
          <w:p w14:paraId="13B59FEA">
            <w:pPr>
              <w:pStyle w:val="26"/>
              <w:keepNext w:val="0"/>
              <w:keepLines w:val="0"/>
              <w:suppressLineNumbers w:val="0"/>
              <w:shd w:val="clear"/>
              <w:spacing w:before="0" w:beforeAutospacing="0" w:after="0" w:afterAutospacing="0" w:line="360" w:lineRule="auto"/>
              <w:ind w:left="0" w:right="0"/>
              <w:rPr>
                <w:rFonts w:hint="default" w:hAnsi="宋体" w:eastAsia="宋体" w:cs="宋体"/>
                <w:bCs/>
                <w:color w:val="000000" w:themeColor="text1"/>
                <w:sz w:val="21"/>
                <w:szCs w:val="21"/>
                <w:highlight w:val="none"/>
                <w:lang w:val="en-US" w:eastAsia="zh-CN"/>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三档（6分）：</w:t>
            </w:r>
            <w:r>
              <w:rPr>
                <w:rFonts w:hint="eastAsia" w:hAnsi="宋体" w:cs="宋体"/>
                <w:bCs/>
                <w:color w:val="000000" w:themeColor="text1"/>
                <w:sz w:val="21"/>
                <w:szCs w:val="21"/>
                <w:highlight w:val="none"/>
                <w:lang w:val="en-US" w:eastAsia="zh-CN"/>
                <w14:textFill>
                  <w14:solidFill>
                    <w14:schemeClr w14:val="tx1"/>
                  </w14:solidFill>
                </w14:textFill>
              </w:rPr>
              <w:t>工作流程比较清晰，岗位职责比较清楚，工作方案比较具体，工作措施比较到位</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切合协审服务工作的特点；</w:t>
            </w:r>
          </w:p>
          <w:p w14:paraId="4C9D08E1">
            <w:pPr>
              <w:pStyle w:val="26"/>
              <w:keepNext w:val="0"/>
              <w:keepLines w:val="0"/>
              <w:suppressLineNumbers w:val="0"/>
              <w:shd w:val="clear"/>
              <w:spacing w:before="0" w:beforeAutospacing="0" w:after="0" w:afterAutospacing="0" w:line="360" w:lineRule="auto"/>
              <w:ind w:left="0" w:right="0"/>
              <w:rPr>
                <w:rFonts w:hint="default" w:hAnsi="宋体" w:cs="宋体"/>
                <w:bCs/>
                <w:color w:val="000000" w:themeColor="text1"/>
                <w:sz w:val="21"/>
                <w:szCs w:val="21"/>
                <w:highlight w:val="none"/>
                <w:lang w:val="en-US"/>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四档（8分）：</w:t>
            </w:r>
            <w:r>
              <w:rPr>
                <w:rFonts w:hint="eastAsia" w:hAnsi="宋体" w:cs="宋体"/>
                <w:bCs/>
                <w:color w:val="000000" w:themeColor="text1"/>
                <w:sz w:val="21"/>
                <w:szCs w:val="21"/>
                <w:highlight w:val="none"/>
                <w:lang w:val="en-US" w:eastAsia="zh-CN"/>
                <w14:textFill>
                  <w14:solidFill>
                    <w14:schemeClr w14:val="tx1"/>
                  </w14:solidFill>
                </w14:textFill>
              </w:rPr>
              <w:t>工作流程清晰，岗位职责清楚，工作方案具体，工作措施到位，切合协审服务工作的特点，有解决重点难点问题的方法，有与项目各方沟通协调的方案；</w:t>
            </w:r>
          </w:p>
          <w:p w14:paraId="1D03EAE1">
            <w:pPr>
              <w:pStyle w:val="26"/>
              <w:keepNext w:val="0"/>
              <w:keepLines w:val="0"/>
              <w:suppressLineNumbers w:val="0"/>
              <w:shd w:val="clear"/>
              <w:spacing w:before="0" w:beforeAutospacing="0" w:after="0" w:afterAutospacing="0" w:line="360" w:lineRule="auto"/>
              <w:ind w:left="0" w:right="0"/>
              <w:rPr>
                <w:rFonts w:hint="default"/>
                <w:color w:val="000000" w:themeColor="text1"/>
                <w:sz w:val="21"/>
                <w:highlight w:val="none"/>
                <w:lang w:val="en-US"/>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五档（10分）：</w:t>
            </w:r>
            <w:r>
              <w:rPr>
                <w:rFonts w:hint="eastAsia" w:hAnsi="宋体" w:cs="宋体"/>
                <w:bCs/>
                <w:color w:val="000000" w:themeColor="text1"/>
                <w:sz w:val="21"/>
                <w:szCs w:val="21"/>
                <w:highlight w:val="none"/>
                <w:lang w:val="en-US" w:eastAsia="zh-CN"/>
                <w14:textFill>
                  <w14:solidFill>
                    <w14:schemeClr w14:val="tx1"/>
                  </w14:solidFill>
                </w14:textFill>
              </w:rPr>
              <w:t>工作流程清晰，岗位职责清楚，工作方案具体，工作措施到位，切合协审服务工作的特点，有解决重点难点问题的方法，有与项目各方沟通协调的方案，能针对控制价、概算、预算、结算分别制定工作流程和方法。</w:t>
            </w:r>
          </w:p>
        </w:tc>
        <w:tc>
          <w:tcPr>
            <w:tcW w:w="1553" w:type="dxa"/>
            <w:shd w:val="clear" w:color="auto" w:fill="auto"/>
            <w:noWrap w:val="0"/>
            <w:vAlign w:val="center"/>
          </w:tcPr>
          <w:p w14:paraId="1039B181">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10</w:t>
            </w:r>
          </w:p>
        </w:tc>
      </w:tr>
      <w:tr w14:paraId="70FC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0ACDDFE0">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2.2</w:t>
            </w:r>
          </w:p>
        </w:tc>
        <w:tc>
          <w:tcPr>
            <w:tcW w:w="1065" w:type="dxa"/>
            <w:shd w:val="clear" w:color="auto" w:fill="auto"/>
            <w:noWrap w:val="0"/>
            <w:vAlign w:val="center"/>
          </w:tcPr>
          <w:p w14:paraId="4A860058">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质量管控措施</w:t>
            </w:r>
          </w:p>
        </w:tc>
        <w:tc>
          <w:tcPr>
            <w:tcW w:w="6145" w:type="dxa"/>
            <w:shd w:val="clear" w:color="auto" w:fill="auto"/>
            <w:noWrap w:val="0"/>
            <w:vAlign w:val="center"/>
          </w:tcPr>
          <w:p w14:paraId="1CFEEA70">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一档（0分）：未提供质量管控措施；</w:t>
            </w:r>
          </w:p>
          <w:p w14:paraId="70288A6C">
            <w:pPr>
              <w:pStyle w:val="26"/>
              <w:keepNext w:val="0"/>
              <w:keepLines w:val="0"/>
              <w:suppressLineNumbers w:val="0"/>
              <w:shd w:val="clear"/>
              <w:spacing w:before="0" w:beforeAutospacing="0" w:after="0" w:afterAutospacing="0" w:line="360" w:lineRule="auto"/>
              <w:ind w:left="0" w:right="0"/>
              <w:rPr>
                <w:rFonts w:hint="eastAsia" w:hAnsi="宋体" w:cs="宋体"/>
                <w:bCs/>
                <w:color w:val="000000" w:themeColor="text1"/>
                <w:sz w:val="21"/>
                <w:szCs w:val="21"/>
                <w:highlight w:val="none"/>
                <w:lang w:val="en-US" w:eastAsia="zh-CN"/>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二档（3分）：质量管控方案表述</w:t>
            </w:r>
            <w:r>
              <w:rPr>
                <w:rFonts w:hint="eastAsia" w:hAnsi="宋体" w:cs="宋体"/>
                <w:bCs/>
                <w:color w:val="000000" w:themeColor="text1"/>
                <w:sz w:val="21"/>
                <w:szCs w:val="21"/>
                <w:highlight w:val="none"/>
                <w:lang w:val="en-US" w:eastAsia="zh-CN"/>
                <w14:textFill>
                  <w14:solidFill>
                    <w14:schemeClr w14:val="tx1"/>
                  </w14:solidFill>
                </w14:textFill>
              </w:rPr>
              <w:t>不清楚</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14:textFill>
                  <w14:solidFill>
                    <w14:schemeClr w14:val="tx1"/>
                  </w14:solidFill>
                </w14:textFill>
              </w:rPr>
              <w:t>质量保障措施</w:t>
            </w:r>
            <w:r>
              <w:rPr>
                <w:rFonts w:hint="eastAsia" w:hAnsi="宋体" w:cs="宋体"/>
                <w:bCs/>
                <w:color w:val="000000" w:themeColor="text1"/>
                <w:sz w:val="21"/>
                <w:szCs w:val="21"/>
                <w:highlight w:val="none"/>
                <w:lang w:val="en-US" w:eastAsia="zh-CN"/>
                <w14:textFill>
                  <w14:solidFill>
                    <w14:schemeClr w14:val="tx1"/>
                  </w14:solidFill>
                </w14:textFill>
              </w:rPr>
              <w:t>不具体，监管责任没有落实到人员；</w:t>
            </w:r>
          </w:p>
          <w:p w14:paraId="059671F0">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三档（6分）：质量管控方案表述</w:t>
            </w:r>
            <w:r>
              <w:rPr>
                <w:rFonts w:hint="eastAsia" w:hAnsi="宋体" w:cs="宋体"/>
                <w:bCs/>
                <w:color w:val="000000" w:themeColor="text1"/>
                <w:sz w:val="21"/>
                <w:szCs w:val="21"/>
                <w:highlight w:val="none"/>
                <w:lang w:val="en-US" w:eastAsia="zh-CN"/>
                <w14:textFill>
                  <w14:solidFill>
                    <w14:schemeClr w14:val="tx1"/>
                  </w14:solidFill>
                </w14:textFill>
              </w:rPr>
              <w:t>比较清楚</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14:textFill>
                  <w14:solidFill>
                    <w14:schemeClr w14:val="tx1"/>
                  </w14:solidFill>
                </w14:textFill>
              </w:rPr>
              <w:t>质量保障措施</w:t>
            </w:r>
            <w:r>
              <w:rPr>
                <w:rFonts w:hint="eastAsia" w:hAnsi="宋体" w:cs="宋体"/>
                <w:bCs/>
                <w:color w:val="000000" w:themeColor="text1"/>
                <w:sz w:val="21"/>
                <w:szCs w:val="21"/>
                <w:highlight w:val="none"/>
                <w:lang w:val="en-US" w:eastAsia="zh-CN"/>
                <w14:textFill>
                  <w14:solidFill>
                    <w14:schemeClr w14:val="tx1"/>
                  </w14:solidFill>
                </w14:textFill>
              </w:rPr>
              <w:t>比较具体，有较强的可操作性和针对性，基本能保证服务质量，监管责任落实到人员</w:t>
            </w:r>
            <w:r>
              <w:rPr>
                <w:rFonts w:hint="eastAsia" w:hAnsi="宋体" w:cs="宋体"/>
                <w:bCs/>
                <w:color w:val="000000" w:themeColor="text1"/>
                <w:sz w:val="21"/>
                <w:szCs w:val="21"/>
                <w:highlight w:val="none"/>
                <w14:textFill>
                  <w14:solidFill>
                    <w14:schemeClr w14:val="tx1"/>
                  </w14:solidFill>
                </w14:textFill>
              </w:rPr>
              <w:t>；</w:t>
            </w:r>
          </w:p>
          <w:p w14:paraId="31CF19EC">
            <w:pPr>
              <w:pStyle w:val="26"/>
              <w:keepNext w:val="0"/>
              <w:keepLines w:val="0"/>
              <w:suppressLineNumbers w:val="0"/>
              <w:shd w:val="clear"/>
              <w:spacing w:before="0" w:beforeAutospacing="0" w:after="0" w:afterAutospacing="0" w:line="360" w:lineRule="auto"/>
              <w:ind w:left="0" w:right="0"/>
              <w:rPr>
                <w:rFonts w:hint="default" w:hAnsi="宋体" w:cs="宋体"/>
                <w:bCs/>
                <w:color w:val="000000" w:themeColor="text1"/>
                <w:sz w:val="21"/>
                <w:szCs w:val="21"/>
                <w:highlight w:val="none"/>
                <w:lang w:val="en-US"/>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四档（8分）：质量管控方案表述</w:t>
            </w:r>
            <w:r>
              <w:rPr>
                <w:rFonts w:hint="eastAsia" w:hAnsi="宋体" w:cs="宋体"/>
                <w:bCs/>
                <w:color w:val="000000" w:themeColor="text1"/>
                <w:sz w:val="21"/>
                <w:szCs w:val="21"/>
                <w:highlight w:val="none"/>
                <w:lang w:val="en-US" w:eastAsia="zh-CN"/>
                <w14:textFill>
                  <w14:solidFill>
                    <w14:schemeClr w14:val="tx1"/>
                  </w14:solidFill>
                </w14:textFill>
              </w:rPr>
              <w:t>清楚</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14:textFill>
                  <w14:solidFill>
                    <w14:schemeClr w14:val="tx1"/>
                  </w14:solidFill>
                </w14:textFill>
              </w:rPr>
              <w:t>质量保障措施</w:t>
            </w:r>
            <w:r>
              <w:rPr>
                <w:rFonts w:hint="eastAsia" w:hAnsi="宋体" w:cs="宋体"/>
                <w:bCs/>
                <w:color w:val="000000" w:themeColor="text1"/>
                <w:sz w:val="21"/>
                <w:szCs w:val="21"/>
                <w:highlight w:val="none"/>
                <w:lang w:val="en-US" w:eastAsia="zh-CN"/>
                <w14:textFill>
                  <w14:solidFill>
                    <w14:schemeClr w14:val="tx1"/>
                  </w14:solidFill>
                </w14:textFill>
              </w:rPr>
              <w:t>具体，可操作性和针对性强，能保证服务质量，监管责任落实到人员；内控制度完善，提交各阶段的服务成果都有内部三级审核程序；对协审工作的重要流程有专门的保障措施；</w:t>
            </w:r>
          </w:p>
          <w:p w14:paraId="29E40F4B">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color w:val="000000" w:themeColor="text1"/>
                <w:sz w:val="21"/>
                <w:highlight w:val="none"/>
                <w:lang w:val="en-US"/>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五档（10分）：质量管控方案表述</w:t>
            </w:r>
            <w:r>
              <w:rPr>
                <w:rFonts w:hint="eastAsia" w:hAnsi="宋体" w:cs="宋体"/>
                <w:bCs/>
                <w:color w:val="000000" w:themeColor="text1"/>
                <w:sz w:val="21"/>
                <w:szCs w:val="21"/>
                <w:highlight w:val="none"/>
                <w:lang w:val="en-US" w:eastAsia="zh-CN"/>
                <w14:textFill>
                  <w14:solidFill>
                    <w14:schemeClr w14:val="tx1"/>
                  </w14:solidFill>
                </w14:textFill>
              </w:rPr>
              <w:t>清楚</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14:textFill>
                  <w14:solidFill>
                    <w14:schemeClr w14:val="tx1"/>
                  </w14:solidFill>
                </w14:textFill>
              </w:rPr>
              <w:t>质量保障措施</w:t>
            </w:r>
            <w:r>
              <w:rPr>
                <w:rFonts w:hint="eastAsia" w:hAnsi="宋体" w:cs="宋体"/>
                <w:bCs/>
                <w:color w:val="000000" w:themeColor="text1"/>
                <w:sz w:val="21"/>
                <w:szCs w:val="21"/>
                <w:highlight w:val="none"/>
                <w:lang w:val="en-US" w:eastAsia="zh-CN"/>
                <w14:textFill>
                  <w14:solidFill>
                    <w14:schemeClr w14:val="tx1"/>
                  </w14:solidFill>
                </w14:textFill>
              </w:rPr>
              <w:t>具体，可操作性和针对性强，能保证服务质量，监管责任落实到人员；内控制度完善，提交各阶段的服务成果都有内部三级审核程序；对协审工作的重要流程、重点重大项目协审有专门的保障措施；对工作底稿、踏勘记录、询价记录、对账记录等过程资料有严格的质量要求。</w:t>
            </w:r>
          </w:p>
        </w:tc>
        <w:tc>
          <w:tcPr>
            <w:tcW w:w="1553" w:type="dxa"/>
            <w:shd w:val="clear" w:color="auto" w:fill="auto"/>
            <w:noWrap w:val="0"/>
            <w:vAlign w:val="center"/>
          </w:tcPr>
          <w:p w14:paraId="37390A03">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10</w:t>
            </w:r>
          </w:p>
        </w:tc>
      </w:tr>
      <w:tr w14:paraId="318A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31804B2D">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2.3</w:t>
            </w:r>
          </w:p>
        </w:tc>
        <w:tc>
          <w:tcPr>
            <w:tcW w:w="1065" w:type="dxa"/>
            <w:shd w:val="clear" w:color="auto" w:fill="auto"/>
            <w:noWrap w:val="0"/>
            <w:vAlign w:val="center"/>
          </w:tcPr>
          <w:p w14:paraId="5192B860">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项目实施计划与时间管控措施</w:t>
            </w:r>
          </w:p>
        </w:tc>
        <w:tc>
          <w:tcPr>
            <w:tcW w:w="6145" w:type="dxa"/>
            <w:shd w:val="clear" w:color="auto" w:fill="auto"/>
            <w:noWrap w:val="0"/>
            <w:vAlign w:val="center"/>
          </w:tcPr>
          <w:p w14:paraId="423AA0A4">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一档（0分）：未提供项目实施计划与时间管控措施；</w:t>
            </w:r>
          </w:p>
          <w:p w14:paraId="632B026C">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二档（2分）：项目实施计划简单，时间管控措施无针对性；</w:t>
            </w:r>
          </w:p>
          <w:p w14:paraId="55329139">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三档（3分）：项目实施计划</w:t>
            </w:r>
            <w:r>
              <w:rPr>
                <w:rFonts w:hint="eastAsia" w:hAnsi="宋体" w:cs="宋体"/>
                <w:bCs/>
                <w:color w:val="000000" w:themeColor="text1"/>
                <w:sz w:val="21"/>
                <w:szCs w:val="21"/>
                <w:highlight w:val="none"/>
                <w:lang w:val="en-US" w:eastAsia="zh-CN"/>
                <w14:textFill>
                  <w14:solidFill>
                    <w14:schemeClr w14:val="tx1"/>
                  </w14:solidFill>
                </w14:textFill>
              </w:rPr>
              <w:t>比较</w:t>
            </w:r>
            <w:r>
              <w:rPr>
                <w:rFonts w:hint="eastAsia" w:hAnsi="宋体" w:cs="宋体"/>
                <w:bCs/>
                <w:color w:val="000000" w:themeColor="text1"/>
                <w:sz w:val="21"/>
                <w:szCs w:val="21"/>
                <w:highlight w:val="none"/>
                <w14:textFill>
                  <w14:solidFill>
                    <w14:schemeClr w14:val="tx1"/>
                  </w14:solidFill>
                </w14:textFill>
              </w:rPr>
              <w:t>合理、</w:t>
            </w:r>
            <w:r>
              <w:rPr>
                <w:rFonts w:hint="eastAsia" w:hAnsi="宋体" w:cs="宋体"/>
                <w:bCs/>
                <w:color w:val="000000" w:themeColor="text1"/>
                <w:sz w:val="21"/>
                <w:szCs w:val="21"/>
                <w:highlight w:val="none"/>
                <w:lang w:val="en-US" w:eastAsia="zh-CN"/>
                <w14:textFill>
                  <w14:solidFill>
                    <w14:schemeClr w14:val="tx1"/>
                  </w14:solidFill>
                </w14:textFill>
              </w:rPr>
              <w:t>完善</w:t>
            </w:r>
            <w:r>
              <w:rPr>
                <w:rFonts w:hint="eastAsia" w:hAnsi="宋体" w:cs="宋体"/>
                <w:bCs/>
                <w:color w:val="000000" w:themeColor="text1"/>
                <w:sz w:val="21"/>
                <w:szCs w:val="21"/>
                <w:highlight w:val="none"/>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时间管控措施比较具体、到位</w:t>
            </w:r>
            <w:r>
              <w:rPr>
                <w:rFonts w:hint="eastAsia" w:hAnsi="宋体" w:cs="宋体"/>
                <w:bCs/>
                <w:color w:val="000000" w:themeColor="text1"/>
                <w:sz w:val="21"/>
                <w:szCs w:val="21"/>
                <w:highlight w:val="none"/>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基本具备</w:t>
            </w:r>
            <w:r>
              <w:rPr>
                <w:rFonts w:hint="eastAsia" w:hAnsi="宋体" w:cs="宋体"/>
                <w:bCs/>
                <w:color w:val="000000" w:themeColor="text1"/>
                <w:sz w:val="21"/>
                <w:szCs w:val="21"/>
                <w:highlight w:val="none"/>
                <w14:textFill>
                  <w14:solidFill>
                    <w14:schemeClr w14:val="tx1"/>
                  </w14:solidFill>
                </w14:textFill>
              </w:rPr>
              <w:t>限时办结能力；</w:t>
            </w:r>
          </w:p>
          <w:p w14:paraId="09B8DDA8">
            <w:pPr>
              <w:pStyle w:val="26"/>
              <w:keepNext w:val="0"/>
              <w:keepLines w:val="0"/>
              <w:suppressLineNumbers w:val="0"/>
              <w:shd w:val="clear"/>
              <w:spacing w:before="0" w:beforeAutospacing="0" w:after="0" w:afterAutospacing="0" w:line="360" w:lineRule="auto"/>
              <w:ind w:left="0" w:right="0"/>
              <w:rPr>
                <w:rFonts w:hint="default" w:hAnsi="宋体" w:cs="宋体"/>
                <w:color w:val="000000" w:themeColor="text1"/>
                <w:sz w:val="21"/>
                <w:szCs w:val="21"/>
                <w:highlight w:val="none"/>
                <w:lang w:val="en-US"/>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四档（4分）：项目实施计划合理、</w:t>
            </w:r>
            <w:r>
              <w:rPr>
                <w:rFonts w:hint="eastAsia" w:hAnsi="宋体" w:cs="宋体"/>
                <w:color w:val="000000" w:themeColor="text1"/>
                <w:sz w:val="21"/>
                <w:szCs w:val="21"/>
                <w:highlight w:val="none"/>
                <w:lang w:val="en-US" w:eastAsia="zh-CN"/>
                <w14:textFill>
                  <w14:solidFill>
                    <w14:schemeClr w14:val="tx1"/>
                  </w14:solidFill>
                </w14:textFill>
              </w:rPr>
              <w:t>完善</w:t>
            </w:r>
            <w:r>
              <w:rPr>
                <w:rFonts w:hint="eastAsia" w:hAnsi="宋体" w:cs="宋体"/>
                <w:color w:val="000000" w:themeColor="text1"/>
                <w:sz w:val="21"/>
                <w:szCs w:val="21"/>
                <w:highlight w:val="none"/>
                <w14:textFill>
                  <w14:solidFill>
                    <w14:schemeClr w14:val="tx1"/>
                  </w14:solidFill>
                </w14:textFill>
              </w:rPr>
              <w:t>，时间管控</w:t>
            </w:r>
            <w:r>
              <w:rPr>
                <w:rFonts w:hint="eastAsia" w:hAnsi="宋体" w:cs="宋体"/>
                <w:color w:val="000000" w:themeColor="text1"/>
                <w:sz w:val="21"/>
                <w:szCs w:val="21"/>
                <w:highlight w:val="none"/>
                <w:lang w:val="en-US" w:eastAsia="zh-CN"/>
                <w14:textFill>
                  <w14:solidFill>
                    <w14:schemeClr w14:val="tx1"/>
                  </w14:solidFill>
                </w14:textFill>
              </w:rPr>
              <w:t>措施具体、到位，具备</w:t>
            </w:r>
            <w:r>
              <w:rPr>
                <w:rFonts w:hint="eastAsia" w:hAnsi="宋体" w:cs="宋体"/>
                <w:bCs/>
                <w:color w:val="000000" w:themeColor="text1"/>
                <w:sz w:val="21"/>
                <w:szCs w:val="21"/>
                <w:highlight w:val="none"/>
                <w14:textFill>
                  <w14:solidFill>
                    <w14:schemeClr w14:val="tx1"/>
                  </w14:solidFill>
                </w14:textFill>
              </w:rPr>
              <w:t>限时办结能力</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计划和措施能细化到协审服务各阶段，确保按采购人各阶段的时限要求完成协审任务；</w:t>
            </w:r>
          </w:p>
          <w:p w14:paraId="748884C8">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color w:val="000000" w:themeColor="text1"/>
                <w:sz w:val="21"/>
                <w:highlight w:val="none"/>
                <w:lang w:val="en-US"/>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五档（5分）：项目实施计划合理、</w:t>
            </w:r>
            <w:r>
              <w:rPr>
                <w:rFonts w:hint="eastAsia" w:hAnsi="宋体" w:cs="宋体"/>
                <w:color w:val="000000" w:themeColor="text1"/>
                <w:sz w:val="21"/>
                <w:szCs w:val="21"/>
                <w:highlight w:val="none"/>
                <w:lang w:val="en-US" w:eastAsia="zh-CN"/>
                <w14:textFill>
                  <w14:solidFill>
                    <w14:schemeClr w14:val="tx1"/>
                  </w14:solidFill>
                </w14:textFill>
              </w:rPr>
              <w:t>完善</w:t>
            </w:r>
            <w:r>
              <w:rPr>
                <w:rFonts w:hint="eastAsia" w:hAnsi="宋体" w:cs="宋体"/>
                <w:color w:val="000000" w:themeColor="text1"/>
                <w:sz w:val="21"/>
                <w:szCs w:val="21"/>
                <w:highlight w:val="none"/>
                <w14:textFill>
                  <w14:solidFill>
                    <w14:schemeClr w14:val="tx1"/>
                  </w14:solidFill>
                </w14:textFill>
              </w:rPr>
              <w:t>，时间管控</w:t>
            </w:r>
            <w:r>
              <w:rPr>
                <w:rFonts w:hint="eastAsia" w:hAnsi="宋体" w:cs="宋体"/>
                <w:color w:val="000000" w:themeColor="text1"/>
                <w:sz w:val="21"/>
                <w:szCs w:val="21"/>
                <w:highlight w:val="none"/>
                <w:lang w:val="en-US" w:eastAsia="zh-CN"/>
                <w14:textFill>
                  <w14:solidFill>
                    <w14:schemeClr w14:val="tx1"/>
                  </w14:solidFill>
                </w14:textFill>
              </w:rPr>
              <w:t>措施具体、到位，具备</w:t>
            </w:r>
            <w:r>
              <w:rPr>
                <w:rFonts w:hint="eastAsia" w:hAnsi="宋体" w:cs="宋体"/>
                <w:bCs/>
                <w:color w:val="000000" w:themeColor="text1"/>
                <w:sz w:val="21"/>
                <w:szCs w:val="21"/>
                <w:highlight w:val="none"/>
                <w14:textFill>
                  <w14:solidFill>
                    <w14:schemeClr w14:val="tx1"/>
                  </w14:solidFill>
                </w14:textFill>
              </w:rPr>
              <w:t>限时办结能力</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计划和措施能细化到协审服务各阶段，能按采购人各阶段的时限要求完成协审任务；具有协审紧急项目的措施，进度监控与调整的措施。</w:t>
            </w:r>
          </w:p>
        </w:tc>
        <w:tc>
          <w:tcPr>
            <w:tcW w:w="1553" w:type="dxa"/>
            <w:shd w:val="clear" w:color="auto" w:fill="auto"/>
            <w:noWrap w:val="0"/>
            <w:vAlign w:val="center"/>
          </w:tcPr>
          <w:p w14:paraId="1FEC3A19">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5</w:t>
            </w:r>
          </w:p>
        </w:tc>
      </w:tr>
      <w:tr w14:paraId="4F6F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171A4AF3">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2.4</w:t>
            </w:r>
          </w:p>
        </w:tc>
        <w:tc>
          <w:tcPr>
            <w:tcW w:w="1065" w:type="dxa"/>
            <w:shd w:val="clear" w:color="auto" w:fill="auto"/>
            <w:noWrap w:val="0"/>
            <w:vAlign w:val="center"/>
          </w:tcPr>
          <w:p w14:paraId="3DF14DC5">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廉洁措施</w:t>
            </w:r>
          </w:p>
        </w:tc>
        <w:tc>
          <w:tcPr>
            <w:tcW w:w="6145" w:type="dxa"/>
            <w:shd w:val="clear" w:color="auto" w:fill="auto"/>
            <w:noWrap w:val="0"/>
            <w:vAlign w:val="center"/>
          </w:tcPr>
          <w:p w14:paraId="5EA8D7EE">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一档（0分）：未提供廉洁措施；</w:t>
            </w:r>
          </w:p>
          <w:p w14:paraId="5C6B0ACE">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二档（2分）：</w:t>
            </w:r>
            <w:r>
              <w:rPr>
                <w:rFonts w:hint="eastAsia" w:hAnsi="宋体" w:cs="宋体"/>
                <w:color w:val="000000" w:themeColor="text1"/>
                <w:sz w:val="21"/>
                <w:szCs w:val="21"/>
                <w:highlight w:val="none"/>
                <w14:textFill>
                  <w14:solidFill>
                    <w14:schemeClr w14:val="tx1"/>
                  </w14:solidFill>
                </w14:textFill>
              </w:rPr>
              <w:t>廉洁措施不完整</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可行性、操作性不强</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廉洁从业制度不健全</w:t>
            </w:r>
            <w:r>
              <w:rPr>
                <w:rFonts w:hint="eastAsia" w:hAnsi="宋体" w:cs="宋体"/>
                <w:color w:val="000000" w:themeColor="text1"/>
                <w:sz w:val="21"/>
                <w:szCs w:val="21"/>
                <w:highlight w:val="none"/>
                <w14:textFill>
                  <w14:solidFill>
                    <w14:schemeClr w14:val="tx1"/>
                  </w14:solidFill>
                </w14:textFill>
              </w:rPr>
              <w:t>；</w:t>
            </w:r>
          </w:p>
          <w:p w14:paraId="6E9568BE">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三档（3分）：</w:t>
            </w:r>
            <w:r>
              <w:rPr>
                <w:rFonts w:hint="eastAsia" w:hAnsi="宋体" w:cs="宋体"/>
                <w:color w:val="000000" w:themeColor="text1"/>
                <w:sz w:val="21"/>
                <w:szCs w:val="21"/>
                <w:highlight w:val="none"/>
                <w14:textFill>
                  <w14:solidFill>
                    <w14:schemeClr w14:val="tx1"/>
                  </w14:solidFill>
                </w14:textFill>
              </w:rPr>
              <w:t>廉洁措施</w:t>
            </w:r>
            <w:r>
              <w:rPr>
                <w:rFonts w:hint="eastAsia" w:hAnsi="宋体" w:cs="宋体"/>
                <w:bCs/>
                <w:color w:val="000000" w:themeColor="text1"/>
                <w:sz w:val="21"/>
                <w:szCs w:val="21"/>
                <w:highlight w:val="none"/>
                <w:lang w:val="en-US" w:eastAsia="zh-CN"/>
                <w14:textFill>
                  <w14:solidFill>
                    <w14:schemeClr w14:val="tx1"/>
                  </w14:solidFill>
                </w14:textFill>
              </w:rPr>
              <w:t>比较</w:t>
            </w:r>
            <w:r>
              <w:rPr>
                <w:rFonts w:hint="eastAsia" w:hAnsi="宋体" w:cs="宋体"/>
                <w:color w:val="000000" w:themeColor="text1"/>
                <w:sz w:val="21"/>
                <w:szCs w:val="21"/>
                <w:highlight w:val="none"/>
                <w14:textFill>
                  <w14:solidFill>
                    <w14:schemeClr w14:val="tx1"/>
                  </w14:solidFill>
                </w14:textFill>
              </w:rPr>
              <w:t>完整、可行性、操作性</w:t>
            </w:r>
            <w:r>
              <w:rPr>
                <w:rFonts w:hint="eastAsia" w:hAnsi="宋体" w:cs="宋体"/>
                <w:color w:val="000000" w:themeColor="text1"/>
                <w:sz w:val="21"/>
                <w:szCs w:val="21"/>
                <w:highlight w:val="none"/>
                <w:lang w:val="en-US" w:eastAsia="zh-CN"/>
                <w14:textFill>
                  <w14:solidFill>
                    <w14:schemeClr w14:val="tx1"/>
                  </w14:solidFill>
                </w14:textFill>
              </w:rPr>
              <w:t>较好</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廉洁从业制度基本健全</w:t>
            </w:r>
            <w:r>
              <w:rPr>
                <w:rFonts w:hint="eastAsia" w:hAnsi="宋体" w:cs="宋体"/>
                <w:color w:val="000000" w:themeColor="text1"/>
                <w:sz w:val="21"/>
                <w:szCs w:val="21"/>
                <w:highlight w:val="none"/>
                <w14:textFill>
                  <w14:solidFill>
                    <w14:schemeClr w14:val="tx1"/>
                  </w14:solidFill>
                </w14:textFill>
              </w:rPr>
              <w:t>；</w:t>
            </w:r>
          </w:p>
          <w:p w14:paraId="39380FA6">
            <w:pPr>
              <w:pStyle w:val="26"/>
              <w:keepNext w:val="0"/>
              <w:keepLines w:val="0"/>
              <w:suppressLineNumbers w:val="0"/>
              <w:shd w:val="clear"/>
              <w:spacing w:before="0" w:beforeAutospacing="0" w:after="0" w:afterAutospacing="0" w:line="360" w:lineRule="auto"/>
              <w:ind w:left="0" w:right="0"/>
              <w:rPr>
                <w:rFonts w:hint="default" w:hAnsi="宋体" w:cs="宋体"/>
                <w:color w:val="000000" w:themeColor="text1"/>
                <w:sz w:val="21"/>
                <w:szCs w:val="21"/>
                <w:highlight w:val="none"/>
                <w:lang w:val="en-US"/>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四档（4分）：廉洁措施完整、可行性、操作性</w:t>
            </w:r>
            <w:r>
              <w:rPr>
                <w:rFonts w:hint="eastAsia" w:hAnsi="宋体" w:cs="宋体"/>
                <w:color w:val="000000" w:themeColor="text1"/>
                <w:sz w:val="21"/>
                <w:szCs w:val="21"/>
                <w:highlight w:val="none"/>
                <w:lang w:val="en-US" w:eastAsia="zh-CN"/>
                <w14:textFill>
                  <w14:solidFill>
                    <w14:schemeClr w14:val="tx1"/>
                  </w14:solidFill>
                </w14:textFill>
              </w:rPr>
              <w:t>好</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廉洁从业制度健全，监管到位，有专职的廉洁监督员，风险防控措施能具体到所有岗位；</w:t>
            </w:r>
          </w:p>
          <w:p w14:paraId="485AE011">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五档（5分）：廉洁措施完整、可行性、操作性</w:t>
            </w:r>
            <w:r>
              <w:rPr>
                <w:rFonts w:hint="eastAsia" w:hAnsi="宋体" w:cs="宋体"/>
                <w:color w:val="000000" w:themeColor="text1"/>
                <w:sz w:val="21"/>
                <w:szCs w:val="21"/>
                <w:highlight w:val="none"/>
                <w:lang w:val="en-US" w:eastAsia="zh-CN"/>
                <w14:textFill>
                  <w14:solidFill>
                    <w14:schemeClr w14:val="tx1"/>
                  </w14:solidFill>
                </w14:textFill>
              </w:rPr>
              <w:t>好</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廉洁从业制度健全，监管到位</w:t>
            </w:r>
            <w:r>
              <w:rPr>
                <w:rFonts w:hint="eastAsia" w:hAnsi="宋体" w:cs="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有专职的廉洁监督员，风险防控措施能具体到所有岗位；开展廉洁文化建设，</w:t>
            </w:r>
            <w:r>
              <w:rPr>
                <w:rFonts w:hint="eastAsia" w:hAnsi="宋体" w:cs="宋体"/>
                <w:color w:val="000000" w:themeColor="text1"/>
                <w:sz w:val="21"/>
                <w:szCs w:val="21"/>
                <w:highlight w:val="none"/>
                <w14:textFill>
                  <w14:solidFill>
                    <w14:schemeClr w14:val="tx1"/>
                  </w14:solidFill>
                </w14:textFill>
              </w:rPr>
              <w:t>有相应的</w:t>
            </w:r>
            <w:r>
              <w:rPr>
                <w:rFonts w:hint="eastAsia" w:hAnsi="宋体" w:cs="宋体"/>
                <w:color w:val="000000" w:themeColor="text1"/>
                <w:sz w:val="21"/>
                <w:szCs w:val="21"/>
                <w:highlight w:val="none"/>
                <w:lang w:val="en-US" w:eastAsia="zh-CN"/>
                <w14:textFill>
                  <w14:solidFill>
                    <w14:schemeClr w14:val="tx1"/>
                  </w14:solidFill>
                </w14:textFill>
              </w:rPr>
              <w:t>廉洁从业</w:t>
            </w:r>
            <w:r>
              <w:rPr>
                <w:rFonts w:hint="eastAsia" w:hAnsi="宋体" w:cs="宋体"/>
                <w:color w:val="000000" w:themeColor="text1"/>
                <w:sz w:val="21"/>
                <w:szCs w:val="21"/>
                <w:highlight w:val="none"/>
                <w14:textFill>
                  <w14:solidFill>
                    <w14:schemeClr w14:val="tx1"/>
                  </w14:solidFill>
                </w14:textFill>
              </w:rPr>
              <w:t>教育与宣传</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廉洁措施充分考虑</w:t>
            </w:r>
            <w:r>
              <w:rPr>
                <w:rFonts w:hint="eastAsia" w:hAnsi="宋体" w:cs="宋体"/>
                <w:color w:val="000000" w:themeColor="text1"/>
                <w:sz w:val="21"/>
                <w:szCs w:val="21"/>
                <w:highlight w:val="none"/>
                <w:lang w:val="en-US" w:eastAsia="zh-CN"/>
                <w14:textFill>
                  <w14:solidFill>
                    <w14:schemeClr w14:val="tx1"/>
                  </w14:solidFill>
                </w14:textFill>
              </w:rPr>
              <w:t>项目协审</w:t>
            </w:r>
            <w:r>
              <w:rPr>
                <w:rFonts w:hint="eastAsia" w:hAnsi="宋体" w:cs="宋体"/>
                <w:color w:val="000000" w:themeColor="text1"/>
                <w:sz w:val="21"/>
                <w:szCs w:val="21"/>
                <w:highlight w:val="none"/>
                <w14:textFill>
                  <w14:solidFill>
                    <w14:schemeClr w14:val="tx1"/>
                  </w14:solidFill>
                </w14:textFill>
              </w:rPr>
              <w:t>实际情况和业务需求</w:t>
            </w:r>
            <w:r>
              <w:rPr>
                <w:rFonts w:hint="eastAsia" w:hAnsi="宋体" w:cs="宋体"/>
                <w:color w:val="000000" w:themeColor="text1"/>
                <w:sz w:val="21"/>
                <w:szCs w:val="21"/>
                <w:highlight w:val="none"/>
                <w:lang w:eastAsia="zh-CN"/>
                <w14:textFill>
                  <w14:solidFill>
                    <w14:schemeClr w14:val="tx1"/>
                  </w14:solidFill>
                </w14:textFill>
              </w:rPr>
              <w:t>。</w:t>
            </w:r>
          </w:p>
        </w:tc>
        <w:tc>
          <w:tcPr>
            <w:tcW w:w="1553" w:type="dxa"/>
            <w:shd w:val="clear" w:color="auto" w:fill="auto"/>
            <w:noWrap w:val="0"/>
            <w:vAlign w:val="center"/>
          </w:tcPr>
          <w:p w14:paraId="2C0A2FE1">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5</w:t>
            </w:r>
          </w:p>
        </w:tc>
      </w:tr>
      <w:tr w14:paraId="7A2D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5B6BC085">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2.5</w:t>
            </w:r>
          </w:p>
        </w:tc>
        <w:tc>
          <w:tcPr>
            <w:tcW w:w="1065" w:type="dxa"/>
            <w:shd w:val="clear" w:color="auto" w:fill="auto"/>
            <w:noWrap w:val="0"/>
            <w:vAlign w:val="center"/>
          </w:tcPr>
          <w:p w14:paraId="2FB02D50">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szCs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评审报告质量</w:t>
            </w:r>
          </w:p>
        </w:tc>
        <w:tc>
          <w:tcPr>
            <w:tcW w:w="6145" w:type="dxa"/>
            <w:shd w:val="clear" w:color="auto" w:fill="auto"/>
            <w:noWrap w:val="0"/>
            <w:vAlign w:val="center"/>
          </w:tcPr>
          <w:p w14:paraId="1A05B5C5">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要求供应商提交评审报告案例（概算、预算、结算、控制价）任意一份。</w:t>
            </w:r>
          </w:p>
          <w:p w14:paraId="2B1C464F">
            <w:pPr>
              <w:pStyle w:val="26"/>
              <w:keepNext w:val="0"/>
              <w:keepLines w:val="0"/>
              <w:suppressLineNumbers w:val="0"/>
              <w:shd w:val="clear"/>
              <w:spacing w:before="0" w:beforeAutospacing="0" w:after="0" w:afterAutospacing="0" w:line="360" w:lineRule="auto"/>
              <w:ind w:left="0" w:right="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一档（0分）：未提供评审报告；</w:t>
            </w:r>
          </w:p>
          <w:p w14:paraId="18710F25">
            <w:pPr>
              <w:pStyle w:val="26"/>
              <w:keepNext w:val="0"/>
              <w:keepLines w:val="0"/>
              <w:suppressLineNumbers w:val="0"/>
              <w:shd w:val="clear"/>
              <w:spacing w:before="0" w:beforeAutospacing="0" w:after="0" w:afterAutospacing="0" w:line="360" w:lineRule="auto"/>
              <w:ind w:left="0" w:right="0"/>
              <w:rPr>
                <w:rFonts w:hint="eastAsia" w:hAnsi="宋体" w:eastAsia="宋体" w:cs="宋体"/>
                <w:color w:val="000000" w:themeColor="text1"/>
                <w:sz w:val="21"/>
                <w:highlight w:val="none"/>
                <w:lang w:eastAsia="zh-CN"/>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二档（2分）：评审报告内容不完整，依据不充分</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数据不准确，条理不清晰</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评审结论</w:t>
            </w:r>
            <w:r>
              <w:rPr>
                <w:rFonts w:hint="eastAsia" w:hAnsi="宋体" w:cs="宋体"/>
                <w:color w:val="000000" w:themeColor="text1"/>
                <w:sz w:val="21"/>
                <w:highlight w:val="none"/>
                <w:lang w:val="en-US" w:eastAsia="zh-CN"/>
                <w14:textFill>
                  <w14:solidFill>
                    <w14:schemeClr w14:val="tx1"/>
                  </w14:solidFill>
                </w14:textFill>
              </w:rPr>
              <w:t>不</w:t>
            </w:r>
            <w:r>
              <w:rPr>
                <w:rFonts w:hint="eastAsia" w:hAnsi="宋体" w:cs="宋体"/>
                <w:color w:val="000000" w:themeColor="text1"/>
                <w:sz w:val="21"/>
                <w:highlight w:val="none"/>
                <w14:textFill>
                  <w14:solidFill>
                    <w14:schemeClr w14:val="tx1"/>
                  </w14:solidFill>
                </w14:textFill>
              </w:rPr>
              <w:t>客观</w:t>
            </w:r>
            <w:r>
              <w:rPr>
                <w:rFonts w:hint="eastAsia" w:hAnsi="宋体" w:cs="宋体"/>
                <w:color w:val="000000" w:themeColor="text1"/>
                <w:sz w:val="21"/>
                <w:highlight w:val="none"/>
                <w:lang w:val="en-US" w:eastAsia="zh-CN"/>
                <w14:textFill>
                  <w14:solidFill>
                    <w14:schemeClr w14:val="tx1"/>
                  </w14:solidFill>
                </w14:textFill>
              </w:rPr>
              <w:t>、不正确；</w:t>
            </w:r>
          </w:p>
          <w:p w14:paraId="4F9C2D65">
            <w:pPr>
              <w:pStyle w:val="26"/>
              <w:keepNext w:val="0"/>
              <w:keepLines w:val="0"/>
              <w:suppressLineNumbers w:val="0"/>
              <w:shd w:val="clear"/>
              <w:spacing w:before="0" w:beforeAutospacing="0" w:after="0" w:afterAutospacing="0" w:line="360" w:lineRule="auto"/>
              <w:ind w:left="0" w:right="0"/>
              <w:rPr>
                <w:rFonts w:hint="eastAsia" w:hAnsi="宋体" w:eastAsia="宋体" w:cs="宋体"/>
                <w:color w:val="000000" w:themeColor="text1"/>
                <w:sz w:val="21"/>
                <w:highlight w:val="none"/>
                <w:lang w:eastAsia="zh-CN"/>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三档（3分）：评审报告内容</w:t>
            </w:r>
            <w:r>
              <w:rPr>
                <w:rFonts w:hint="eastAsia" w:hAnsi="宋体" w:cs="宋体"/>
                <w:bCs/>
                <w:color w:val="000000" w:themeColor="text1"/>
                <w:sz w:val="21"/>
                <w:szCs w:val="21"/>
                <w:highlight w:val="none"/>
                <w:lang w:val="en-US" w:eastAsia="zh-CN"/>
                <w14:textFill>
                  <w14:solidFill>
                    <w14:schemeClr w14:val="tx1"/>
                  </w14:solidFill>
                </w14:textFill>
              </w:rPr>
              <w:t>基本</w:t>
            </w:r>
            <w:r>
              <w:rPr>
                <w:rFonts w:hint="eastAsia" w:hAnsi="宋体" w:cs="宋体"/>
                <w:color w:val="000000" w:themeColor="text1"/>
                <w:sz w:val="21"/>
                <w:highlight w:val="none"/>
                <w14:textFill>
                  <w14:solidFill>
                    <w14:schemeClr w14:val="tx1"/>
                  </w14:solidFill>
                </w14:textFill>
              </w:rPr>
              <w:t>完整，依据</w:t>
            </w:r>
            <w:r>
              <w:rPr>
                <w:rFonts w:hint="eastAsia" w:hAnsi="宋体" w:cs="宋体"/>
                <w:bCs/>
                <w:color w:val="000000" w:themeColor="text1"/>
                <w:sz w:val="21"/>
                <w:szCs w:val="21"/>
                <w:highlight w:val="none"/>
                <w:lang w:val="en-US" w:eastAsia="zh-CN"/>
                <w14:textFill>
                  <w14:solidFill>
                    <w14:schemeClr w14:val="tx1"/>
                  </w14:solidFill>
                </w14:textFill>
              </w:rPr>
              <w:t>基本</w:t>
            </w:r>
            <w:r>
              <w:rPr>
                <w:rFonts w:hint="eastAsia" w:hAnsi="宋体" w:cs="宋体"/>
                <w:color w:val="000000" w:themeColor="text1"/>
                <w:sz w:val="21"/>
                <w:highlight w:val="none"/>
                <w14:textFill>
                  <w14:solidFill>
                    <w14:schemeClr w14:val="tx1"/>
                  </w14:solidFill>
                </w14:textFill>
              </w:rPr>
              <w:t>充分</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数据</w:t>
            </w:r>
            <w:r>
              <w:rPr>
                <w:rFonts w:hint="eastAsia" w:hAnsi="宋体" w:cs="宋体"/>
                <w:bCs/>
                <w:color w:val="000000" w:themeColor="text1"/>
                <w:sz w:val="21"/>
                <w:szCs w:val="21"/>
                <w:highlight w:val="none"/>
                <w:lang w:val="en-US" w:eastAsia="zh-CN"/>
                <w14:textFill>
                  <w14:solidFill>
                    <w14:schemeClr w14:val="tx1"/>
                  </w14:solidFill>
                </w14:textFill>
              </w:rPr>
              <w:t>基本</w:t>
            </w:r>
            <w:r>
              <w:rPr>
                <w:rFonts w:hint="eastAsia" w:hAnsi="宋体" w:cs="宋体"/>
                <w:color w:val="000000" w:themeColor="text1"/>
                <w:sz w:val="21"/>
                <w:highlight w:val="none"/>
                <w:lang w:val="en-US" w:eastAsia="zh-CN"/>
                <w14:textFill>
                  <w14:solidFill>
                    <w14:schemeClr w14:val="tx1"/>
                  </w14:solidFill>
                </w14:textFill>
              </w:rPr>
              <w:t>准确，条理</w:t>
            </w:r>
            <w:r>
              <w:rPr>
                <w:rFonts w:hint="eastAsia" w:hAnsi="宋体" w:cs="宋体"/>
                <w:bCs/>
                <w:color w:val="000000" w:themeColor="text1"/>
                <w:sz w:val="21"/>
                <w:szCs w:val="21"/>
                <w:highlight w:val="none"/>
                <w:lang w:val="en-US" w:eastAsia="zh-CN"/>
                <w14:textFill>
                  <w14:solidFill>
                    <w14:schemeClr w14:val="tx1"/>
                  </w14:solidFill>
                </w14:textFill>
              </w:rPr>
              <w:t>基本</w:t>
            </w:r>
            <w:r>
              <w:rPr>
                <w:rFonts w:hint="eastAsia" w:hAnsi="宋体" w:cs="宋体"/>
                <w:color w:val="000000" w:themeColor="text1"/>
                <w:sz w:val="21"/>
                <w:highlight w:val="none"/>
                <w:lang w:val="en-US" w:eastAsia="zh-CN"/>
                <w14:textFill>
                  <w14:solidFill>
                    <w14:schemeClr w14:val="tx1"/>
                  </w14:solidFill>
                </w14:textFill>
              </w:rPr>
              <w:t>清晰</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评审结论</w:t>
            </w:r>
            <w:r>
              <w:rPr>
                <w:rFonts w:hint="eastAsia" w:hAnsi="宋体" w:cs="宋体"/>
                <w:bCs/>
                <w:color w:val="000000" w:themeColor="text1"/>
                <w:sz w:val="21"/>
                <w:szCs w:val="21"/>
                <w:highlight w:val="none"/>
                <w:lang w:val="en-US" w:eastAsia="zh-CN"/>
                <w14:textFill>
                  <w14:solidFill>
                    <w14:schemeClr w14:val="tx1"/>
                  </w14:solidFill>
                </w14:textFill>
              </w:rPr>
              <w:t>基本</w:t>
            </w:r>
            <w:r>
              <w:rPr>
                <w:rFonts w:hint="eastAsia" w:hAnsi="宋体" w:cs="宋体"/>
                <w:color w:val="000000" w:themeColor="text1"/>
                <w:sz w:val="21"/>
                <w:highlight w:val="none"/>
                <w14:textFill>
                  <w14:solidFill>
                    <w14:schemeClr w14:val="tx1"/>
                  </w14:solidFill>
                </w14:textFill>
              </w:rPr>
              <w:t>客观</w:t>
            </w:r>
            <w:r>
              <w:rPr>
                <w:rFonts w:hint="eastAsia" w:hAnsi="宋体" w:cs="宋体"/>
                <w:color w:val="000000" w:themeColor="text1"/>
                <w:sz w:val="21"/>
                <w:highlight w:val="none"/>
                <w:lang w:val="en-US" w:eastAsia="zh-CN"/>
                <w14:textFill>
                  <w14:solidFill>
                    <w14:schemeClr w14:val="tx1"/>
                  </w14:solidFill>
                </w14:textFill>
              </w:rPr>
              <w:t>、正确；</w:t>
            </w:r>
          </w:p>
          <w:p w14:paraId="4FD88C40">
            <w:pPr>
              <w:pStyle w:val="26"/>
              <w:keepNext w:val="0"/>
              <w:keepLines w:val="0"/>
              <w:suppressLineNumbers w:val="0"/>
              <w:shd w:val="clear"/>
              <w:spacing w:before="0" w:beforeAutospacing="0" w:after="0" w:afterAutospacing="0" w:line="360" w:lineRule="auto"/>
              <w:ind w:left="0" w:right="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四档（4分）：评审报告内容完整，依据充分，</w:t>
            </w:r>
            <w:r>
              <w:rPr>
                <w:rFonts w:hint="eastAsia" w:hAnsi="宋体" w:cs="宋体"/>
                <w:color w:val="000000" w:themeColor="text1"/>
                <w:sz w:val="21"/>
                <w:highlight w:val="none"/>
                <w:lang w:val="en-US" w:eastAsia="zh-CN"/>
                <w14:textFill>
                  <w14:solidFill>
                    <w14:schemeClr w14:val="tx1"/>
                  </w14:solidFill>
                </w14:textFill>
              </w:rPr>
              <w:t>数据准确，</w:t>
            </w:r>
            <w:r>
              <w:rPr>
                <w:rFonts w:hint="eastAsia" w:hAnsi="宋体" w:cs="宋体"/>
                <w:color w:val="000000" w:themeColor="text1"/>
                <w:sz w:val="21"/>
                <w:highlight w:val="none"/>
                <w14:textFill>
                  <w14:solidFill>
                    <w14:schemeClr w14:val="tx1"/>
                  </w14:solidFill>
                </w14:textFill>
              </w:rPr>
              <w:t>条理清晰，</w:t>
            </w:r>
            <w:r>
              <w:rPr>
                <w:rFonts w:hint="eastAsia" w:hAnsi="宋体" w:cs="宋体"/>
                <w:color w:val="000000" w:themeColor="text1"/>
                <w:sz w:val="21"/>
                <w:highlight w:val="none"/>
                <w:lang w:val="en-US" w:eastAsia="zh-CN"/>
                <w14:textFill>
                  <w14:solidFill>
                    <w14:schemeClr w14:val="tx1"/>
                  </w14:solidFill>
                </w14:textFill>
              </w:rPr>
              <w:t>排版整齐，</w:t>
            </w:r>
            <w:r>
              <w:rPr>
                <w:rFonts w:hint="eastAsia" w:hAnsi="宋体" w:cs="宋体"/>
                <w:color w:val="000000" w:themeColor="text1"/>
                <w:sz w:val="21"/>
                <w:highlight w:val="none"/>
                <w14:textFill>
                  <w14:solidFill>
                    <w14:schemeClr w14:val="tx1"/>
                  </w14:solidFill>
                </w14:textFill>
              </w:rPr>
              <w:t>评审结论客观</w:t>
            </w:r>
            <w:r>
              <w:rPr>
                <w:rFonts w:hint="eastAsia" w:hAnsi="宋体" w:cs="宋体"/>
                <w:color w:val="000000" w:themeColor="text1"/>
                <w:sz w:val="21"/>
                <w:highlight w:val="none"/>
                <w:lang w:val="en-US" w:eastAsia="zh-CN"/>
                <w14:textFill>
                  <w14:solidFill>
                    <w14:schemeClr w14:val="tx1"/>
                  </w14:solidFill>
                </w14:textFill>
              </w:rPr>
              <w:t>、正确</w:t>
            </w:r>
            <w:r>
              <w:rPr>
                <w:rFonts w:hint="eastAsia" w:hAnsi="宋体" w:cs="宋体"/>
                <w:color w:val="000000" w:themeColor="text1"/>
                <w:sz w:val="21"/>
                <w:highlight w:val="none"/>
                <w14:textFill>
                  <w14:solidFill>
                    <w14:schemeClr w14:val="tx1"/>
                  </w14:solidFill>
                </w14:textFill>
              </w:rPr>
              <w:t>；</w:t>
            </w:r>
          </w:p>
          <w:p w14:paraId="33B5ADFC">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五档（5分）：评审报告内容完整</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依据充分，</w:t>
            </w:r>
            <w:r>
              <w:rPr>
                <w:rFonts w:hint="eastAsia" w:hAnsi="宋体" w:cs="宋体"/>
                <w:color w:val="000000" w:themeColor="text1"/>
                <w:sz w:val="21"/>
                <w:highlight w:val="none"/>
                <w:lang w:val="en-US" w:eastAsia="zh-CN"/>
                <w14:textFill>
                  <w14:solidFill>
                    <w14:schemeClr w14:val="tx1"/>
                  </w14:solidFill>
                </w14:textFill>
              </w:rPr>
              <w:t>数据准确，</w:t>
            </w:r>
            <w:r>
              <w:rPr>
                <w:rFonts w:hint="eastAsia" w:hAnsi="宋体" w:cs="宋体"/>
                <w:color w:val="000000" w:themeColor="text1"/>
                <w:sz w:val="21"/>
                <w:highlight w:val="none"/>
                <w14:textFill>
                  <w14:solidFill>
                    <w14:schemeClr w14:val="tx1"/>
                  </w14:solidFill>
                </w14:textFill>
              </w:rPr>
              <w:t>条理清晰，</w:t>
            </w:r>
            <w:r>
              <w:rPr>
                <w:rFonts w:hint="eastAsia" w:hAnsi="宋体" w:cs="宋体"/>
                <w:color w:val="000000" w:themeColor="text1"/>
                <w:sz w:val="21"/>
                <w:highlight w:val="none"/>
                <w:lang w:val="en-US" w:eastAsia="zh-CN"/>
                <w14:textFill>
                  <w14:solidFill>
                    <w14:schemeClr w14:val="tx1"/>
                  </w14:solidFill>
                </w14:textFill>
              </w:rPr>
              <w:t>排版整齐，</w:t>
            </w:r>
            <w:r>
              <w:rPr>
                <w:rFonts w:hint="eastAsia" w:hAnsi="宋体" w:cs="宋体"/>
                <w:color w:val="000000" w:themeColor="text1"/>
                <w:sz w:val="21"/>
                <w:highlight w:val="none"/>
                <w14:textFill>
                  <w14:solidFill>
                    <w14:schemeClr w14:val="tx1"/>
                  </w14:solidFill>
                </w14:textFill>
              </w:rPr>
              <w:t>评审结论客观</w:t>
            </w:r>
            <w:r>
              <w:rPr>
                <w:rFonts w:hint="eastAsia" w:hAnsi="宋体" w:cs="宋体"/>
                <w:color w:val="000000" w:themeColor="text1"/>
                <w:sz w:val="21"/>
                <w:highlight w:val="none"/>
                <w:lang w:val="en-US" w:eastAsia="zh-CN"/>
                <w14:textFill>
                  <w14:solidFill>
                    <w14:schemeClr w14:val="tx1"/>
                  </w14:solidFill>
                </w14:textFill>
              </w:rPr>
              <w:t>、正确</w:t>
            </w:r>
            <w:r>
              <w:rPr>
                <w:rFonts w:hint="eastAsia"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核增及核减原因分析透彻，</w:t>
            </w:r>
            <w:r>
              <w:rPr>
                <w:rFonts w:hint="eastAsia" w:hAnsi="宋体" w:cs="宋体"/>
                <w:color w:val="000000" w:themeColor="text1"/>
                <w:sz w:val="21"/>
                <w:highlight w:val="none"/>
                <w14:textFill>
                  <w14:solidFill>
                    <w14:schemeClr w14:val="tx1"/>
                  </w14:solidFill>
                </w14:textFill>
              </w:rPr>
              <w:t>披露评审问题有理有据，提出评审建议具体</w:t>
            </w:r>
            <w:r>
              <w:rPr>
                <w:rFonts w:hint="eastAsia" w:hAnsi="宋体" w:cs="宋体"/>
                <w:color w:val="000000" w:themeColor="text1"/>
                <w:sz w:val="21"/>
                <w:highlight w:val="none"/>
                <w:lang w:val="en-US" w:eastAsia="zh-CN"/>
                <w14:textFill>
                  <w14:solidFill>
                    <w14:schemeClr w14:val="tx1"/>
                  </w14:solidFill>
                </w14:textFill>
              </w:rPr>
              <w:t>可行</w:t>
            </w:r>
            <w:r>
              <w:rPr>
                <w:rFonts w:hint="eastAsia" w:hAnsi="宋体" w:cs="宋体"/>
                <w:color w:val="000000" w:themeColor="text1"/>
                <w:sz w:val="21"/>
                <w:highlight w:val="none"/>
                <w14:textFill>
                  <w14:solidFill>
                    <w14:schemeClr w14:val="tx1"/>
                  </w14:solidFill>
                </w14:textFill>
              </w:rPr>
              <w:t>，针对性强。</w:t>
            </w:r>
          </w:p>
        </w:tc>
        <w:tc>
          <w:tcPr>
            <w:tcW w:w="1553" w:type="dxa"/>
            <w:shd w:val="clear" w:color="auto" w:fill="auto"/>
            <w:noWrap w:val="0"/>
            <w:vAlign w:val="center"/>
          </w:tcPr>
          <w:p w14:paraId="367EAFEB">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5</w:t>
            </w:r>
          </w:p>
        </w:tc>
      </w:tr>
      <w:tr w14:paraId="2649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0882AB8C">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eastAsia="宋体" w:cs="宋体"/>
                <w:bCs/>
                <w:color w:val="000000" w:themeColor="text1"/>
                <w:sz w:val="21"/>
                <w:highlight w:val="none"/>
                <w:lang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2</w:t>
            </w:r>
            <w:r>
              <w:rPr>
                <w:rFonts w:hint="eastAsia" w:hAnsi="宋体" w:cs="宋体"/>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lang w:val="en-US" w:eastAsia="zh-CN"/>
                <w14:textFill>
                  <w14:solidFill>
                    <w14:schemeClr w14:val="tx1"/>
                  </w14:solidFill>
                </w14:textFill>
              </w:rPr>
              <w:t>6</w:t>
            </w:r>
          </w:p>
        </w:tc>
        <w:tc>
          <w:tcPr>
            <w:tcW w:w="1065" w:type="dxa"/>
            <w:shd w:val="clear" w:color="auto" w:fill="auto"/>
            <w:noWrap w:val="0"/>
            <w:vAlign w:val="center"/>
          </w:tcPr>
          <w:p w14:paraId="720454CE">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人员配备</w:t>
            </w:r>
          </w:p>
        </w:tc>
        <w:tc>
          <w:tcPr>
            <w:tcW w:w="6145" w:type="dxa"/>
            <w:shd w:val="clear" w:color="auto" w:fill="auto"/>
            <w:noWrap w:val="0"/>
            <w:vAlign w:val="center"/>
          </w:tcPr>
          <w:p w14:paraId="1EE19F5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1.本分标人员最低配备要求：</w:t>
            </w:r>
          </w:p>
          <w:p w14:paraId="036B498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管理及技术负责人1人，必须单独设置、不能兼任专职审核员，且必须具备一级造价工程师证和高级工程师及以上职称。能够就项目审核中的重大技术问题、重大争议与纠纷提出处理建议，按规定提交征集人要求的各项意见和文件；</w:t>
            </w:r>
          </w:p>
          <w:p w14:paraId="5A87D57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（2）供应商拟投入技术人员至少满足以下要求（均须具备二级</w:t>
            </w:r>
            <w:r>
              <w:rPr>
                <w:rFonts w:hint="eastAsia" w:ascii="宋体" w:hAnsi="宋体" w:cs="宋体"/>
                <w:color w:val="000000" w:themeColor="text1"/>
                <w:szCs w:val="21"/>
                <w:highlight w:val="none"/>
                <w:lang w:val="en-US" w:eastAsia="zh-CN"/>
                <w14:textFill>
                  <w14:solidFill>
                    <w14:schemeClr w14:val="tx1"/>
                  </w14:solidFill>
                </w14:textFill>
              </w:rPr>
              <w:t>及以上</w:t>
            </w:r>
            <w:r>
              <w:rPr>
                <w:rFonts w:hint="eastAsia" w:ascii="宋体" w:hAnsi="宋体" w:cs="宋体"/>
                <w:color w:val="000000" w:themeColor="text1"/>
                <w:szCs w:val="21"/>
                <w:highlight w:val="none"/>
                <w14:textFill>
                  <w14:solidFill>
                    <w14:schemeClr w14:val="tx1"/>
                  </w14:solidFill>
                </w14:textFill>
              </w:rPr>
              <w:t>造价工程师职业资格证书）：房建专业技术人员1名、安装专业技术人员1名、市政专业技术人员1名、公路专业技术人员1名、水利专业技术人员1名（以上人员需中级工程师及以上职称或造价证书满3年及以上，一个技术人员最多可兼2个专业）。</w:t>
            </w:r>
          </w:p>
          <w:p w14:paraId="3F93F5B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bidi="ar"/>
                <w14:textFill>
                  <w14:solidFill>
                    <w14:schemeClr w14:val="tx1"/>
                  </w14:solidFill>
                </w14:textFill>
              </w:rPr>
              <w:t>供应商响应投入的人员</w:t>
            </w:r>
            <w:r>
              <w:rPr>
                <w:rFonts w:hint="eastAsia" w:ascii="宋体" w:hAnsi="宋体" w:cs="宋体"/>
                <w:color w:val="000000" w:themeColor="text1"/>
                <w:szCs w:val="21"/>
                <w:highlight w:val="none"/>
                <w14:textFill>
                  <w14:solidFill>
                    <w14:schemeClr w14:val="tx1"/>
                  </w14:solidFill>
                </w14:textFill>
              </w:rPr>
              <w:t>满足上述要求的得30分，</w:t>
            </w:r>
            <w:r>
              <w:rPr>
                <w:rFonts w:hint="eastAsia" w:ascii="宋体" w:hAnsi="宋体" w:cs="宋体"/>
                <w:b/>
                <w:color w:val="000000" w:themeColor="text1"/>
                <w:szCs w:val="21"/>
                <w:highlight w:val="none"/>
                <w14:textFill>
                  <w14:solidFill>
                    <w14:schemeClr w14:val="tx1"/>
                  </w14:solidFill>
                </w14:textFill>
              </w:rPr>
              <w:t>不满足以上最低人员配备要求的，按无效响应处理。</w:t>
            </w:r>
          </w:p>
          <w:p w14:paraId="137D13D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2.在满足本项第1条的前提下，每多配备1名一级造价工程师得3分，每多配备1名二级造价工程师得2分，满分12分。</w:t>
            </w:r>
          </w:p>
          <w:p w14:paraId="5BF7D65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3.可配备的专业造价工程师：增加1名水利工程专业一级造价工程师，或增加1名电力工程专业中级工程师及以上职称</w:t>
            </w:r>
            <w:r>
              <w:rPr>
                <w:rFonts w:hint="eastAsia" w:ascii="宋体" w:hAnsi="宋体" w:cs="宋体"/>
                <w:color w:val="000000" w:themeColor="text1"/>
                <w:szCs w:val="21"/>
                <w:highlight w:val="none"/>
                <w:lang w:eastAsia="zh-CN"/>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得3分，满分3分。</w:t>
            </w:r>
          </w:p>
          <w:p w14:paraId="6C080F4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（水利工程造价工程师资格证书视同相应专业一级造价工程师证）</w:t>
            </w:r>
          </w:p>
          <w:p w14:paraId="57CED33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注：1.以上人员必须为本单位注册人员（提供注册证书），须提供响应文件截止之日止半年内任意连续三个月供应商为该人员购买社保的在职证明材料（退休返聘人员除外）。</w:t>
            </w:r>
          </w:p>
          <w:p w14:paraId="198026A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2.如有退休返聘的人员，必须提供该人员与供应商签订的返聘合同及退休证明，且不满70周岁。</w:t>
            </w:r>
            <w:r>
              <w:rPr>
                <w:rFonts w:hint="eastAsia" w:ascii="宋体" w:hAnsi="宋体" w:cs="宋体"/>
                <w:b/>
                <w:color w:val="000000" w:themeColor="text1"/>
                <w:szCs w:val="21"/>
                <w:highlight w:val="none"/>
                <w14:textFill>
                  <w14:solidFill>
                    <w14:schemeClr w14:val="tx1"/>
                  </w14:solidFill>
                </w14:textFill>
              </w:rPr>
              <w:t>退休返聘人员最多为</w:t>
            </w:r>
            <w:r>
              <w:rPr>
                <w:rFonts w:hint="eastAsia" w:ascii="宋体" w:hAnsi="宋体" w:cs="宋体"/>
                <w:b/>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人，超过</w:t>
            </w:r>
            <w:r>
              <w:rPr>
                <w:rFonts w:hint="eastAsia" w:ascii="宋体" w:hAnsi="宋体" w:cs="宋体"/>
                <w:b/>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人按无效响应处理。</w:t>
            </w:r>
          </w:p>
          <w:p w14:paraId="0BFC2AF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3.供应商响应投入的管理及技术负责人必须单独设置、不能兼任专业技术人员；投入的专业技术人员对应一个专业，一个技术人员最多可兼2个专业。</w:t>
            </w:r>
          </w:p>
          <w:p w14:paraId="4175DF3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4.若供应商使用同一个人的不同专业、不同等级证书作为人员配备评分依据的，只能按一个专业、一个等级（优先按照一级）计分，不能分别计分。</w:t>
            </w:r>
          </w:p>
        </w:tc>
        <w:tc>
          <w:tcPr>
            <w:tcW w:w="1553" w:type="dxa"/>
            <w:shd w:val="clear" w:color="auto" w:fill="auto"/>
            <w:noWrap w:val="0"/>
            <w:vAlign w:val="center"/>
          </w:tcPr>
          <w:p w14:paraId="60EDE6F5">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45</w:t>
            </w:r>
          </w:p>
        </w:tc>
      </w:tr>
      <w:tr w14:paraId="06D6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5F5F5E06">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3</w:t>
            </w:r>
          </w:p>
        </w:tc>
        <w:tc>
          <w:tcPr>
            <w:tcW w:w="1065" w:type="dxa"/>
            <w:shd w:val="clear" w:color="auto" w:fill="auto"/>
            <w:noWrap w:val="0"/>
            <w:vAlign w:val="center"/>
          </w:tcPr>
          <w:p w14:paraId="4BB35CB0">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商务分</w:t>
            </w:r>
          </w:p>
        </w:tc>
        <w:tc>
          <w:tcPr>
            <w:tcW w:w="6145" w:type="dxa"/>
            <w:shd w:val="clear" w:color="auto" w:fill="auto"/>
            <w:noWrap w:val="0"/>
            <w:vAlign w:val="center"/>
          </w:tcPr>
          <w:p w14:paraId="0B24BAB0">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p>
        </w:tc>
        <w:tc>
          <w:tcPr>
            <w:tcW w:w="1553" w:type="dxa"/>
            <w:shd w:val="clear" w:color="auto" w:fill="auto"/>
            <w:noWrap w:val="0"/>
            <w:vAlign w:val="center"/>
          </w:tcPr>
          <w:p w14:paraId="3FF75FD7">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满分</w:t>
            </w:r>
            <w:r>
              <w:rPr>
                <w:rFonts w:hint="eastAsia" w:hAnsi="宋体" w:cs="宋体"/>
                <w:bCs/>
                <w:color w:val="000000" w:themeColor="text1"/>
                <w:sz w:val="21"/>
                <w:highlight w:val="none"/>
                <w:lang w:val="en-US" w:eastAsia="zh-CN"/>
                <w14:textFill>
                  <w14:solidFill>
                    <w14:schemeClr w14:val="tx1"/>
                  </w14:solidFill>
                </w14:textFill>
              </w:rPr>
              <w:t>2</w:t>
            </w:r>
            <w:r>
              <w:rPr>
                <w:rFonts w:hint="eastAsia" w:hAnsi="宋体" w:cs="宋体"/>
                <w:bCs/>
                <w:color w:val="000000" w:themeColor="text1"/>
                <w:sz w:val="21"/>
                <w:highlight w:val="none"/>
                <w14:textFill>
                  <w14:solidFill>
                    <w14:schemeClr w14:val="tx1"/>
                  </w14:solidFill>
                </w14:textFill>
              </w:rPr>
              <w:t>0分</w:t>
            </w:r>
          </w:p>
        </w:tc>
      </w:tr>
      <w:tr w14:paraId="7C3C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37DE74C4">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eastAsia="宋体" w:cs="宋体"/>
                <w:bCs/>
                <w:color w:val="000000" w:themeColor="text1"/>
                <w:sz w:val="21"/>
                <w:highlight w:val="none"/>
                <w:lang w:eastAsia="zh-CN"/>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3.</w:t>
            </w:r>
            <w:r>
              <w:rPr>
                <w:rFonts w:hint="eastAsia" w:hAnsi="宋体" w:cs="宋体"/>
                <w:bCs/>
                <w:color w:val="000000" w:themeColor="text1"/>
                <w:sz w:val="21"/>
                <w:highlight w:val="none"/>
                <w:lang w:val="en-US" w:eastAsia="zh-CN"/>
                <w14:textFill>
                  <w14:solidFill>
                    <w14:schemeClr w14:val="tx1"/>
                  </w14:solidFill>
                </w14:textFill>
              </w:rPr>
              <w:t>1</w:t>
            </w:r>
          </w:p>
        </w:tc>
        <w:tc>
          <w:tcPr>
            <w:tcW w:w="1065" w:type="dxa"/>
            <w:shd w:val="clear" w:color="auto" w:fill="auto"/>
            <w:noWrap w:val="0"/>
            <w:vAlign w:val="center"/>
          </w:tcPr>
          <w:p w14:paraId="7CE142E1">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业绩</w:t>
            </w:r>
          </w:p>
        </w:tc>
        <w:tc>
          <w:tcPr>
            <w:tcW w:w="6145" w:type="dxa"/>
            <w:shd w:val="clear" w:color="auto" w:fill="auto"/>
            <w:noWrap w:val="0"/>
            <w:vAlign w:val="center"/>
          </w:tcPr>
          <w:p w14:paraId="7A7A4D5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考核期内承接过与本</w:t>
            </w:r>
            <w:r>
              <w:rPr>
                <w:rFonts w:hint="eastAsia" w:hAnsi="宋体" w:cs="宋体"/>
                <w:bCs/>
                <w:color w:val="000000" w:themeColor="text1"/>
                <w:szCs w:val="21"/>
                <w:highlight w:val="none"/>
                <w:lang w:eastAsia="zh-CN"/>
                <w14:textFill>
                  <w14:solidFill>
                    <w14:schemeClr w14:val="tx1"/>
                  </w14:solidFill>
                </w14:textFill>
              </w:rPr>
              <w:t>分标</w:t>
            </w:r>
            <w:r>
              <w:rPr>
                <w:rFonts w:hint="eastAsia" w:hAnsi="宋体" w:cs="宋体"/>
                <w:bCs/>
                <w:color w:val="000000" w:themeColor="text1"/>
                <w:szCs w:val="21"/>
                <w:highlight w:val="none"/>
                <w14:textFill>
                  <w14:solidFill>
                    <w14:schemeClr w14:val="tx1"/>
                  </w14:solidFill>
                </w14:textFill>
              </w:rPr>
              <w:t>服务采购履约相关的</w:t>
            </w:r>
            <w:r>
              <w:rPr>
                <w:rFonts w:hint="eastAsia" w:ascii="宋体" w:hAnsi="宋体" w:eastAsia="宋体" w:cs="宋体"/>
                <w:color w:val="000000" w:themeColor="text1"/>
                <w:highlight w:val="none"/>
                <w14:textFill>
                  <w14:solidFill>
                    <w14:schemeClr w14:val="tx1"/>
                  </w14:solidFill>
                </w14:textFill>
              </w:rPr>
              <w:t>财政、审计部门委托</w:t>
            </w:r>
            <w:r>
              <w:rPr>
                <w:rFonts w:hint="eastAsia" w:ascii="宋体" w:hAnsi="宋体" w:eastAsia="宋体" w:cs="宋体"/>
                <w:color w:val="000000" w:themeColor="text1"/>
                <w:highlight w:val="none"/>
                <w:lang w:eastAsia="zh-CN"/>
                <w14:textFill>
                  <w14:solidFill>
                    <w14:schemeClr w14:val="tx1"/>
                  </w14:solidFill>
                </w14:textFill>
              </w:rPr>
              <w:t>的土建、水利、交通、市政、电力工程</w:t>
            </w:r>
            <w:r>
              <w:rPr>
                <w:rFonts w:hint="eastAsia" w:ascii="宋体" w:hAnsi="宋体" w:eastAsia="宋体" w:cs="宋体"/>
                <w:color w:val="000000" w:themeColor="text1"/>
                <w:highlight w:val="none"/>
                <w:lang w:val="en-US" w:eastAsia="zh-CN"/>
                <w14:textFill>
                  <w14:solidFill>
                    <w14:schemeClr w14:val="tx1"/>
                  </w14:solidFill>
                </w14:textFill>
              </w:rPr>
              <w:t>等</w:t>
            </w:r>
            <w:r>
              <w:rPr>
                <w:rFonts w:hint="eastAsia" w:hAnsi="宋体" w:cs="宋体"/>
                <w:bCs/>
                <w:color w:val="000000" w:themeColor="text1"/>
                <w:szCs w:val="21"/>
                <w:highlight w:val="none"/>
                <w14:textFill>
                  <w14:solidFill>
                    <w14:schemeClr w14:val="tx1"/>
                  </w14:solidFill>
                </w14:textFill>
              </w:rPr>
              <w:t>项目</w:t>
            </w:r>
            <w:r>
              <w:rPr>
                <w:rFonts w:ascii="宋体" w:hAnsi="宋体" w:cs="宋体"/>
                <w:bCs/>
                <w:color w:val="000000" w:themeColor="text1"/>
                <w:szCs w:val="21"/>
                <w:highlight w:val="none"/>
                <w14:textFill>
                  <w14:solidFill>
                    <w14:schemeClr w14:val="tx1"/>
                  </w14:solidFill>
                </w14:textFill>
              </w:rPr>
              <w:t>的，每个项目得2分，本项满分为10</w:t>
            </w:r>
            <w:r>
              <w:rPr>
                <w:rFonts w:hint="eastAsia" w:hAnsi="宋体" w:cs="宋体"/>
                <w:bCs/>
                <w:color w:val="000000" w:themeColor="text1"/>
                <w:szCs w:val="21"/>
                <w:highlight w:val="none"/>
                <w14:textFill>
                  <w14:solidFill>
                    <w14:schemeClr w14:val="tx1"/>
                  </w14:solidFill>
                </w14:textFill>
              </w:rPr>
              <w:t>分。</w:t>
            </w:r>
          </w:p>
          <w:p w14:paraId="6C14918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注：考核期为202</w:t>
            </w:r>
            <w:r>
              <w:rPr>
                <w:rFonts w:hint="eastAsia" w:ascii="宋体" w:hAnsi="宋体" w:cs="宋体"/>
                <w:color w:val="000000" w:themeColor="text1"/>
                <w:szCs w:val="21"/>
                <w:highlight w:val="none"/>
                <w:lang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年1月至今，考核项目须提交合同（或协议）或审核成果等相关证明材料。若供应商使用同一项目的招标控制价、概算、预算、结算等分别作为业绩评分依据的，只能按一个项目计分，不能分别计分。</w:t>
            </w:r>
          </w:p>
        </w:tc>
        <w:tc>
          <w:tcPr>
            <w:tcW w:w="1553" w:type="dxa"/>
            <w:shd w:val="clear" w:color="auto" w:fill="auto"/>
            <w:noWrap w:val="0"/>
            <w:vAlign w:val="center"/>
          </w:tcPr>
          <w:p w14:paraId="4D179857">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10</w:t>
            </w:r>
          </w:p>
        </w:tc>
      </w:tr>
      <w:tr w14:paraId="6F71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73B8D025">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eastAsia="宋体" w:cs="宋体"/>
                <w:bCs/>
                <w:color w:val="000000" w:themeColor="text1"/>
                <w:sz w:val="21"/>
                <w:highlight w:val="none"/>
                <w:lang w:eastAsia="zh-CN"/>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3.</w:t>
            </w:r>
            <w:r>
              <w:rPr>
                <w:rFonts w:hint="eastAsia" w:hAnsi="宋体" w:cs="宋体"/>
                <w:bCs/>
                <w:color w:val="000000" w:themeColor="text1"/>
                <w:sz w:val="21"/>
                <w:highlight w:val="none"/>
                <w:lang w:val="en-US" w:eastAsia="zh-CN"/>
                <w14:textFill>
                  <w14:solidFill>
                    <w14:schemeClr w14:val="tx1"/>
                  </w14:solidFill>
                </w14:textFill>
              </w:rPr>
              <w:t>2</w:t>
            </w:r>
          </w:p>
        </w:tc>
        <w:tc>
          <w:tcPr>
            <w:tcW w:w="1065" w:type="dxa"/>
            <w:shd w:val="clear" w:color="auto" w:fill="auto"/>
            <w:noWrap w:val="0"/>
            <w:vAlign w:val="center"/>
          </w:tcPr>
          <w:p w14:paraId="6342FFA5">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企业信誉</w:t>
            </w:r>
          </w:p>
        </w:tc>
        <w:tc>
          <w:tcPr>
            <w:tcW w:w="6145" w:type="dxa"/>
            <w:shd w:val="clear" w:color="auto" w:fill="auto"/>
            <w:noWrap w:val="0"/>
            <w:vAlign w:val="center"/>
          </w:tcPr>
          <w:p w14:paraId="220FEBB9">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通过质量管理体系ISO9001且在有效期内的</w:t>
            </w:r>
            <w:r>
              <w:rPr>
                <w:rFonts w:hint="eastAsia" w:ascii="宋体" w:hAnsi="宋体" w:cs="宋体"/>
                <w:bCs/>
                <w:color w:val="000000" w:themeColor="text1"/>
                <w:szCs w:val="21"/>
                <w:highlight w:val="none"/>
                <w14:textFill>
                  <w14:solidFill>
                    <w14:schemeClr w14:val="tx1"/>
                  </w14:solidFill>
                </w14:textFill>
              </w:rPr>
              <w:t>，得</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cs="宋体"/>
                <w:bCs/>
                <w:color w:val="000000" w:themeColor="text1"/>
                <w:szCs w:val="21"/>
                <w:highlight w:val="none"/>
                <w14:textFill>
                  <w14:solidFill>
                    <w14:schemeClr w14:val="tx1"/>
                  </w14:solidFill>
                </w14:textFill>
              </w:rPr>
              <w:t>分，满分</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cs="宋体"/>
                <w:bCs/>
                <w:color w:val="000000" w:themeColor="text1"/>
                <w:szCs w:val="21"/>
                <w:highlight w:val="none"/>
                <w14:textFill>
                  <w14:solidFill>
                    <w14:schemeClr w14:val="tx1"/>
                  </w14:solidFill>
                </w14:textFill>
              </w:rPr>
              <w:t>分。</w:t>
            </w:r>
          </w:p>
        </w:tc>
        <w:tc>
          <w:tcPr>
            <w:tcW w:w="1553" w:type="dxa"/>
            <w:shd w:val="clear" w:color="auto" w:fill="auto"/>
            <w:noWrap w:val="0"/>
            <w:vAlign w:val="center"/>
          </w:tcPr>
          <w:p w14:paraId="5BAABB48">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eastAsia="宋体" w:cs="宋体"/>
                <w:bCs/>
                <w:color w:val="000000" w:themeColor="text1"/>
                <w:sz w:val="21"/>
                <w:highlight w:val="none"/>
                <w:lang w:eastAsia="zh-CN"/>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lang w:val="en-US" w:eastAsia="zh-CN"/>
                <w14:textFill>
                  <w14:solidFill>
                    <w14:schemeClr w14:val="tx1"/>
                  </w14:solidFill>
                </w14:textFill>
              </w:rPr>
              <w:t>4</w:t>
            </w:r>
          </w:p>
        </w:tc>
      </w:tr>
      <w:tr w14:paraId="3503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6DFB7ABF">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3.3</w:t>
            </w:r>
          </w:p>
        </w:tc>
        <w:tc>
          <w:tcPr>
            <w:tcW w:w="1065" w:type="dxa"/>
            <w:shd w:val="clear" w:color="auto" w:fill="auto"/>
            <w:noWrap w:val="0"/>
            <w:vAlign w:val="center"/>
          </w:tcPr>
          <w:p w14:paraId="4D04A36F">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政策功能</w:t>
            </w:r>
          </w:p>
        </w:tc>
        <w:tc>
          <w:tcPr>
            <w:tcW w:w="6145" w:type="dxa"/>
            <w:shd w:val="clear" w:color="auto" w:fill="auto"/>
            <w:noWrap w:val="0"/>
            <w:vAlign w:val="center"/>
          </w:tcPr>
          <w:p w14:paraId="7A755735">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本项目为非专门面向小微企业采购的项目，小微企业加1分，满分1分。</w:t>
            </w:r>
          </w:p>
          <w:p w14:paraId="2BC465D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注：提供中小企业声明函。</w:t>
            </w:r>
          </w:p>
        </w:tc>
        <w:tc>
          <w:tcPr>
            <w:tcW w:w="1553" w:type="dxa"/>
            <w:shd w:val="clear" w:color="auto" w:fill="auto"/>
            <w:noWrap w:val="0"/>
            <w:vAlign w:val="center"/>
          </w:tcPr>
          <w:p w14:paraId="2304B8A5">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eastAsia="宋体" w:cs="宋体"/>
                <w:bCs/>
                <w:color w:val="000000" w:themeColor="text1"/>
                <w:sz w:val="21"/>
                <w:highlight w:val="none"/>
                <w:lang w:eastAsia="zh-CN"/>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lang w:val="en-US" w:eastAsia="zh-CN"/>
                <w14:textFill>
                  <w14:solidFill>
                    <w14:schemeClr w14:val="tx1"/>
                  </w14:solidFill>
                </w14:textFill>
              </w:rPr>
              <w:t>1</w:t>
            </w:r>
          </w:p>
        </w:tc>
      </w:tr>
      <w:tr w14:paraId="7092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shd w:val="clear" w:color="auto" w:fill="auto"/>
            <w:noWrap w:val="0"/>
            <w:vAlign w:val="center"/>
          </w:tcPr>
          <w:p w14:paraId="3CF80233">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eastAsia="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3</w:t>
            </w:r>
            <w:r>
              <w:rPr>
                <w:rFonts w:hint="eastAsia" w:hAnsi="宋体" w:cs="宋体"/>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lang w:val="en-US" w:eastAsia="zh-CN"/>
                <w14:textFill>
                  <w14:solidFill>
                    <w14:schemeClr w14:val="tx1"/>
                  </w14:solidFill>
                </w14:textFill>
              </w:rPr>
              <w:t>4</w:t>
            </w:r>
          </w:p>
        </w:tc>
        <w:tc>
          <w:tcPr>
            <w:tcW w:w="1065" w:type="dxa"/>
            <w:shd w:val="clear" w:color="auto" w:fill="auto"/>
            <w:noWrap w:val="0"/>
            <w:vAlign w:val="center"/>
          </w:tcPr>
          <w:p w14:paraId="219DC1AE">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服务承诺</w:t>
            </w:r>
          </w:p>
        </w:tc>
        <w:tc>
          <w:tcPr>
            <w:tcW w:w="6145" w:type="dxa"/>
            <w:shd w:val="clear" w:color="auto" w:fill="auto"/>
            <w:noWrap w:val="0"/>
            <w:vAlign w:val="center"/>
          </w:tcPr>
          <w:p w14:paraId="71E84BC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供应商向征集人同时做出以下承诺的，得5分，满分5分：</w:t>
            </w:r>
          </w:p>
          <w:p w14:paraId="34DCD5F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①承诺在规定时间内完成任务；</w:t>
            </w:r>
          </w:p>
          <w:p w14:paraId="03FE6BE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②承诺误差率不超过3％；</w:t>
            </w:r>
          </w:p>
          <w:p w14:paraId="71B0236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③承诺入围后业务不分包；</w:t>
            </w:r>
          </w:p>
          <w:p w14:paraId="58C35F6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④承诺入围后</w:t>
            </w:r>
            <w:r>
              <w:rPr>
                <w:rFonts w:hint="eastAsia" w:ascii="宋体" w:hAnsi="宋体" w:eastAsia="宋体" w:cs="宋体"/>
                <w:color w:val="000000" w:themeColor="text1"/>
                <w:sz w:val="21"/>
                <w:szCs w:val="21"/>
                <w:highlight w:val="none"/>
                <w14:textFill>
                  <w14:solidFill>
                    <w14:schemeClr w14:val="tx1"/>
                  </w14:solidFill>
                </w14:textFill>
              </w:rPr>
              <w:t>能够在需要时提供一名坐班人员</w:t>
            </w:r>
            <w:r>
              <w:rPr>
                <w:rFonts w:hint="eastAsia" w:ascii="宋体" w:hAnsi="宋体" w:eastAsia="宋体" w:cs="宋体"/>
                <w:color w:val="000000" w:themeColor="text1"/>
                <w:sz w:val="21"/>
                <w:szCs w:val="21"/>
                <w:highlight w:val="none"/>
                <w:lang w:eastAsia="zh-CN"/>
                <w14:textFill>
                  <w14:solidFill>
                    <w14:schemeClr w14:val="tx1"/>
                  </w14:solidFill>
                </w14:textFill>
              </w:rPr>
              <w:t>，按征集人指定地点坐班，年龄60周岁以下，能胜任审核工作，需满足二级及以上注册造价师证书满5年及以上条件</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w:t>
            </w:r>
          </w:p>
          <w:p w14:paraId="7F94491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⑤承诺在项目服务过程中，迅速响应征集人和采购人的要求。在接到采购人紧急处理事项后，1个小时内到达指定地点；在采购人下达委托任务后，2小时内到达指定地点检查、领取协审资料；在接到采购人对数通知后，1个小时内到达指定对数地点；在收到采购人审核确认的成果资料后，1个工作日内盖章并返回采购人；</w:t>
            </w:r>
          </w:p>
          <w:p w14:paraId="1273E87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⑥承诺入围后设立独立的办公场所。</w:t>
            </w:r>
          </w:p>
        </w:tc>
        <w:tc>
          <w:tcPr>
            <w:tcW w:w="1553" w:type="dxa"/>
            <w:shd w:val="clear" w:color="auto" w:fill="auto"/>
            <w:noWrap w:val="0"/>
            <w:vAlign w:val="center"/>
          </w:tcPr>
          <w:p w14:paraId="16EE96BD">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5</w:t>
            </w:r>
          </w:p>
        </w:tc>
      </w:tr>
      <w:bookmarkEnd w:id="102"/>
    </w:tbl>
    <w:p w14:paraId="1B9AF232">
      <w:pPr>
        <w:pStyle w:val="26"/>
        <w:shd w:val="clear"/>
        <w:spacing w:line="360" w:lineRule="auto"/>
        <w:ind w:firstLine="105"/>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注：评分分值按四舍五入取至</w:t>
      </w:r>
      <w:r>
        <w:rPr>
          <w:rFonts w:hint="eastAsia" w:hAnsi="宋体" w:cs="宋体"/>
          <w:color w:val="000000" w:themeColor="text1"/>
          <w:highlight w:val="none"/>
          <w14:textFill>
            <w14:solidFill>
              <w14:schemeClr w14:val="tx1"/>
            </w14:solidFill>
          </w14:textFill>
        </w:rPr>
        <w:t>小数点后四位</w:t>
      </w:r>
      <w:r>
        <w:rPr>
          <w:rFonts w:hint="eastAsia" w:hAnsi="宋体" w:cs="宋体"/>
          <w:bCs/>
          <w:color w:val="000000" w:themeColor="text1"/>
          <w:highlight w:val="none"/>
          <w14:textFill>
            <w14:solidFill>
              <w14:schemeClr w14:val="tx1"/>
            </w14:solidFill>
          </w14:textFill>
        </w:rPr>
        <w:t>。</w:t>
      </w:r>
    </w:p>
    <w:p w14:paraId="2116ADFE">
      <w:pPr>
        <w:pStyle w:val="26"/>
        <w:shd w:val="clear"/>
        <w:spacing w:line="360" w:lineRule="auto"/>
        <w:ind w:firstLine="105"/>
        <w:jc w:val="center"/>
        <w:outlineLvl w:val="2"/>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br w:type="page"/>
      </w:r>
      <w:bookmarkStart w:id="103" w:name="_Toc26167"/>
      <w:r>
        <w:rPr>
          <w:rFonts w:hint="eastAsia" w:hAnsi="宋体" w:cs="宋体"/>
          <w:b/>
          <w:color w:val="000000" w:themeColor="text1"/>
          <w:sz w:val="21"/>
          <w:highlight w:val="none"/>
          <w14:textFill>
            <w14:solidFill>
              <w14:schemeClr w14:val="tx1"/>
            </w14:solidFill>
          </w14:textFill>
        </w:rPr>
        <w:t>02分标评分方法</w:t>
      </w:r>
      <w:bookmarkEnd w:id="103"/>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082"/>
        <w:gridCol w:w="6479"/>
        <w:gridCol w:w="1388"/>
      </w:tblGrid>
      <w:tr w14:paraId="7782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noWrap w:val="0"/>
            <w:vAlign w:val="top"/>
          </w:tcPr>
          <w:p w14:paraId="465813C2">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序号</w:t>
            </w:r>
          </w:p>
        </w:tc>
        <w:tc>
          <w:tcPr>
            <w:tcW w:w="549" w:type="pct"/>
            <w:noWrap w:val="0"/>
            <w:vAlign w:val="top"/>
          </w:tcPr>
          <w:p w14:paraId="52E6D659">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评分类型</w:t>
            </w:r>
          </w:p>
        </w:tc>
        <w:tc>
          <w:tcPr>
            <w:tcW w:w="3287" w:type="pct"/>
            <w:noWrap w:val="0"/>
            <w:vAlign w:val="top"/>
          </w:tcPr>
          <w:p w14:paraId="13C416CB">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评分标准</w:t>
            </w:r>
          </w:p>
        </w:tc>
        <w:tc>
          <w:tcPr>
            <w:tcW w:w="704" w:type="pct"/>
            <w:noWrap w:val="0"/>
            <w:vAlign w:val="top"/>
          </w:tcPr>
          <w:p w14:paraId="02F4FE08">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分值</w:t>
            </w:r>
          </w:p>
        </w:tc>
      </w:tr>
      <w:tr w14:paraId="010F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5148EAE0">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1</w:t>
            </w:r>
          </w:p>
        </w:tc>
        <w:tc>
          <w:tcPr>
            <w:tcW w:w="549" w:type="pct"/>
            <w:noWrap w:val="0"/>
            <w:vAlign w:val="center"/>
          </w:tcPr>
          <w:p w14:paraId="7C348C4E">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报价分</w:t>
            </w:r>
          </w:p>
        </w:tc>
        <w:tc>
          <w:tcPr>
            <w:tcW w:w="3287" w:type="pct"/>
            <w:noWrap w:val="0"/>
            <w:vAlign w:val="center"/>
          </w:tcPr>
          <w:p w14:paraId="24F36D50">
            <w:pPr>
              <w:pStyle w:val="26"/>
              <w:shd w:val="clear"/>
              <w:spacing w:line="360" w:lineRule="auto"/>
              <w:rPr>
                <w:rFonts w:hAnsi="宋体" w:cs="宋体"/>
                <w:bCs/>
                <w:color w:val="000000" w:themeColor="text1"/>
                <w:sz w:val="21"/>
                <w:highlight w:val="none"/>
                <w14:textFill>
                  <w14:solidFill>
                    <w14:schemeClr w14:val="tx1"/>
                  </w14:solidFill>
                </w14:textFill>
              </w:rPr>
            </w:pPr>
          </w:p>
        </w:tc>
        <w:tc>
          <w:tcPr>
            <w:tcW w:w="704" w:type="pct"/>
            <w:noWrap w:val="0"/>
            <w:vAlign w:val="center"/>
          </w:tcPr>
          <w:p w14:paraId="2D29F1F7">
            <w:pPr>
              <w:pStyle w:val="26"/>
              <w:shd w:val="clear"/>
              <w:spacing w:line="360" w:lineRule="auto"/>
              <w:jc w:val="left"/>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满分0分</w:t>
            </w:r>
          </w:p>
        </w:tc>
      </w:tr>
      <w:tr w14:paraId="2008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3E756041">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1.1</w:t>
            </w:r>
          </w:p>
        </w:tc>
        <w:tc>
          <w:tcPr>
            <w:tcW w:w="549" w:type="pct"/>
            <w:noWrap w:val="0"/>
            <w:vAlign w:val="center"/>
          </w:tcPr>
          <w:p w14:paraId="57729E35">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报价</w:t>
            </w:r>
          </w:p>
        </w:tc>
        <w:tc>
          <w:tcPr>
            <w:tcW w:w="3287" w:type="pct"/>
            <w:noWrap w:val="0"/>
            <w:vAlign w:val="center"/>
          </w:tcPr>
          <w:p w14:paraId="280F146D">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按</w:t>
            </w:r>
            <w:r>
              <w:rPr>
                <w:rFonts w:hint="eastAsia" w:hAnsi="宋体" w:cs="宋体"/>
                <w:bCs/>
                <w:color w:val="000000" w:themeColor="text1"/>
                <w:sz w:val="21"/>
                <w:highlight w:val="none"/>
                <w:lang w:val="en-US" w:eastAsia="zh-CN"/>
                <w14:textFill>
                  <w14:solidFill>
                    <w14:schemeClr w14:val="tx1"/>
                  </w14:solidFill>
                </w14:textFill>
              </w:rPr>
              <w:t>采购</w:t>
            </w:r>
            <w:r>
              <w:rPr>
                <w:rFonts w:hint="eastAsia" w:hAnsi="宋体" w:cs="宋体"/>
                <w:bCs/>
                <w:color w:val="000000" w:themeColor="text1"/>
                <w:sz w:val="21"/>
                <w:highlight w:val="none"/>
                <w14:textFill>
                  <w14:solidFill>
                    <w14:schemeClr w14:val="tx1"/>
                  </w14:solidFill>
                </w14:textFill>
              </w:rPr>
              <w:t>需求中关于计费方式和费率计费执行</w:t>
            </w:r>
          </w:p>
        </w:tc>
        <w:tc>
          <w:tcPr>
            <w:tcW w:w="704" w:type="pct"/>
            <w:noWrap w:val="0"/>
            <w:vAlign w:val="center"/>
          </w:tcPr>
          <w:p w14:paraId="0EDFC6BD">
            <w:pPr>
              <w:pStyle w:val="26"/>
              <w:shd w:val="clear"/>
              <w:spacing w:line="360" w:lineRule="auto"/>
              <w:jc w:val="left"/>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p>
        </w:tc>
      </w:tr>
      <w:tr w14:paraId="0427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3AB2B1DC">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w:t>
            </w:r>
          </w:p>
        </w:tc>
        <w:tc>
          <w:tcPr>
            <w:tcW w:w="549" w:type="pct"/>
            <w:noWrap w:val="0"/>
            <w:vAlign w:val="center"/>
          </w:tcPr>
          <w:p w14:paraId="5B5D6CE0">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技术分</w:t>
            </w:r>
          </w:p>
        </w:tc>
        <w:tc>
          <w:tcPr>
            <w:tcW w:w="3287" w:type="pct"/>
            <w:noWrap w:val="0"/>
            <w:vAlign w:val="center"/>
          </w:tcPr>
          <w:p w14:paraId="1DC24777">
            <w:pPr>
              <w:pStyle w:val="26"/>
              <w:shd w:val="clear"/>
              <w:spacing w:line="360" w:lineRule="auto"/>
              <w:rPr>
                <w:rFonts w:hAnsi="宋体" w:cs="宋体"/>
                <w:bCs/>
                <w:color w:val="000000" w:themeColor="text1"/>
                <w:sz w:val="21"/>
                <w:highlight w:val="none"/>
                <w14:textFill>
                  <w14:solidFill>
                    <w14:schemeClr w14:val="tx1"/>
                  </w14:solidFill>
                </w14:textFill>
              </w:rPr>
            </w:pPr>
          </w:p>
        </w:tc>
        <w:tc>
          <w:tcPr>
            <w:tcW w:w="704" w:type="pct"/>
            <w:noWrap w:val="0"/>
            <w:vAlign w:val="center"/>
          </w:tcPr>
          <w:p w14:paraId="461C764F">
            <w:pPr>
              <w:pStyle w:val="26"/>
              <w:shd w:val="clear"/>
              <w:spacing w:line="360" w:lineRule="auto"/>
              <w:jc w:val="left"/>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满分</w:t>
            </w:r>
            <w:r>
              <w:rPr>
                <w:rFonts w:hint="eastAsia" w:hAnsi="宋体" w:cs="宋体"/>
                <w:bCs/>
                <w:color w:val="000000" w:themeColor="text1"/>
                <w:sz w:val="21"/>
                <w:highlight w:val="none"/>
                <w:lang w:val="en-US" w:eastAsia="zh-CN"/>
                <w14:textFill>
                  <w14:solidFill>
                    <w14:schemeClr w14:val="tx1"/>
                  </w14:solidFill>
                </w14:textFill>
              </w:rPr>
              <w:t>8</w:t>
            </w:r>
            <w:r>
              <w:rPr>
                <w:rFonts w:hint="eastAsia" w:hAnsi="宋体" w:cs="宋体"/>
                <w:bCs/>
                <w:color w:val="000000" w:themeColor="text1"/>
                <w:sz w:val="21"/>
                <w:highlight w:val="none"/>
                <w14:textFill>
                  <w14:solidFill>
                    <w14:schemeClr w14:val="tx1"/>
                  </w14:solidFill>
                </w14:textFill>
              </w:rPr>
              <w:t>0分</w:t>
            </w:r>
          </w:p>
        </w:tc>
      </w:tr>
      <w:tr w14:paraId="59B7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238E8E14">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 xml:space="preserve">2.1 </w:t>
            </w:r>
          </w:p>
        </w:tc>
        <w:tc>
          <w:tcPr>
            <w:tcW w:w="549" w:type="pct"/>
            <w:noWrap w:val="0"/>
            <w:vAlign w:val="center"/>
          </w:tcPr>
          <w:p w14:paraId="56025A86">
            <w:pPr>
              <w:pStyle w:val="26"/>
              <w:shd w:val="clear"/>
              <w:spacing w:line="360" w:lineRule="auto"/>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工作的程序与方法</w:t>
            </w:r>
          </w:p>
        </w:tc>
        <w:tc>
          <w:tcPr>
            <w:tcW w:w="3287" w:type="pct"/>
            <w:noWrap w:val="0"/>
            <w:vAlign w:val="center"/>
          </w:tcPr>
          <w:p w14:paraId="35493989">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cs="宋体"/>
                <w:bCs/>
                <w:color w:val="000000" w:themeColor="text1"/>
                <w:sz w:val="21"/>
                <w:szCs w:val="21"/>
                <w:highlight w:val="none"/>
                <w:lang w:val="en-US" w:eastAsia="zh-CN"/>
                <w14:textFill>
                  <w14:solidFill>
                    <w14:schemeClr w14:val="tx1"/>
                  </w14:solidFill>
                </w14:textFill>
              </w:rPr>
            </w:pPr>
            <w:r>
              <w:rPr>
                <w:rFonts w:hint="eastAsia" w:hAnsi="宋体" w:cs="宋体"/>
                <w:bCs/>
                <w:color w:val="000000" w:themeColor="text1"/>
                <w:sz w:val="21"/>
                <w:szCs w:val="21"/>
                <w:highlight w:val="none"/>
                <w:lang w:val="en-US" w:eastAsia="zh-CN"/>
                <w14:textFill>
                  <w14:solidFill>
                    <w14:schemeClr w14:val="tx1"/>
                  </w14:solidFill>
                </w14:textFill>
              </w:rPr>
              <w:t>一档（0分）：未提供工作的程序与方法；</w:t>
            </w:r>
          </w:p>
          <w:p w14:paraId="5BE702F5">
            <w:pPr>
              <w:pStyle w:val="26"/>
              <w:keepNext w:val="0"/>
              <w:keepLines w:val="0"/>
              <w:suppressLineNumbers w:val="0"/>
              <w:shd w:val="clear"/>
              <w:spacing w:before="0" w:beforeAutospacing="0" w:after="0" w:afterAutospacing="0" w:line="360" w:lineRule="auto"/>
              <w:ind w:left="0" w:right="0"/>
              <w:rPr>
                <w:rFonts w:hint="default" w:hAnsi="宋体" w:cs="宋体"/>
                <w:bCs/>
                <w:color w:val="000000" w:themeColor="text1"/>
                <w:sz w:val="21"/>
                <w:szCs w:val="21"/>
                <w:highlight w:val="none"/>
                <w:lang w:val="en-US"/>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二档（3分）：</w:t>
            </w:r>
            <w:r>
              <w:rPr>
                <w:rFonts w:hint="eastAsia" w:hAnsi="宋体" w:cs="宋体"/>
                <w:bCs/>
                <w:color w:val="000000" w:themeColor="text1"/>
                <w:sz w:val="21"/>
                <w:szCs w:val="21"/>
                <w:highlight w:val="none"/>
                <w:lang w:val="en-US" w:eastAsia="zh-CN"/>
                <w14:textFill>
                  <w14:solidFill>
                    <w14:schemeClr w14:val="tx1"/>
                  </w14:solidFill>
                </w14:textFill>
              </w:rPr>
              <w:t>工作流程不清晰，岗位职责不清楚，工作方案不具体，工作措施不到位；</w:t>
            </w:r>
          </w:p>
          <w:p w14:paraId="013250F5">
            <w:pPr>
              <w:pStyle w:val="26"/>
              <w:keepNext w:val="0"/>
              <w:keepLines w:val="0"/>
              <w:suppressLineNumbers w:val="0"/>
              <w:shd w:val="clear"/>
              <w:spacing w:before="0" w:beforeAutospacing="0" w:after="0" w:afterAutospacing="0" w:line="360" w:lineRule="auto"/>
              <w:ind w:left="0" w:right="0"/>
              <w:rPr>
                <w:rFonts w:hint="default" w:hAnsi="宋体" w:eastAsia="宋体" w:cs="宋体"/>
                <w:bCs/>
                <w:color w:val="000000" w:themeColor="text1"/>
                <w:sz w:val="21"/>
                <w:szCs w:val="21"/>
                <w:highlight w:val="none"/>
                <w:lang w:val="en-US" w:eastAsia="zh-CN"/>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三档（6分）：</w:t>
            </w:r>
            <w:r>
              <w:rPr>
                <w:rFonts w:hint="eastAsia" w:hAnsi="宋体" w:cs="宋体"/>
                <w:bCs/>
                <w:color w:val="000000" w:themeColor="text1"/>
                <w:sz w:val="21"/>
                <w:szCs w:val="21"/>
                <w:highlight w:val="none"/>
                <w:lang w:val="en-US" w:eastAsia="zh-CN"/>
                <w14:textFill>
                  <w14:solidFill>
                    <w14:schemeClr w14:val="tx1"/>
                  </w14:solidFill>
                </w14:textFill>
              </w:rPr>
              <w:t>工作流程比较清晰，岗位职责比较清楚，工作方案比较具体，工作措施比较到位</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切合协审服务工作的特点；</w:t>
            </w:r>
          </w:p>
          <w:p w14:paraId="063715D7">
            <w:pPr>
              <w:pStyle w:val="26"/>
              <w:keepNext w:val="0"/>
              <w:keepLines w:val="0"/>
              <w:suppressLineNumbers w:val="0"/>
              <w:shd w:val="clear"/>
              <w:spacing w:before="0" w:beforeAutospacing="0" w:after="0" w:afterAutospacing="0" w:line="360" w:lineRule="auto"/>
              <w:ind w:left="0" w:right="0"/>
              <w:rPr>
                <w:rFonts w:hint="default" w:hAnsi="宋体" w:cs="宋体"/>
                <w:bCs/>
                <w:color w:val="000000" w:themeColor="text1"/>
                <w:sz w:val="21"/>
                <w:szCs w:val="21"/>
                <w:highlight w:val="none"/>
                <w:lang w:val="en-US"/>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四档（8分）：</w:t>
            </w:r>
            <w:r>
              <w:rPr>
                <w:rFonts w:hint="eastAsia" w:hAnsi="宋体" w:cs="宋体"/>
                <w:bCs/>
                <w:color w:val="000000" w:themeColor="text1"/>
                <w:sz w:val="21"/>
                <w:szCs w:val="21"/>
                <w:highlight w:val="none"/>
                <w:lang w:val="en-US" w:eastAsia="zh-CN"/>
                <w14:textFill>
                  <w14:solidFill>
                    <w14:schemeClr w14:val="tx1"/>
                  </w14:solidFill>
                </w14:textFill>
              </w:rPr>
              <w:t>工作流程清晰，岗位职责清楚，工作方案具体，工作措施到位，切合协审服务工作的特点，有解决重点难点问题的方法，有与项目各方沟通协调的方案；</w:t>
            </w:r>
          </w:p>
          <w:p w14:paraId="49CCC924">
            <w:pPr>
              <w:pStyle w:val="26"/>
              <w:keepNext w:val="0"/>
              <w:keepLines w:val="0"/>
              <w:suppressLineNumbers w:val="0"/>
              <w:shd w:val="clear"/>
              <w:spacing w:before="0" w:beforeAutospacing="0" w:after="0" w:afterAutospacing="0" w:line="360" w:lineRule="auto"/>
              <w:ind w:left="0" w:leftChars="0" w:right="0" w:rightChars="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五档（10分）：</w:t>
            </w:r>
            <w:r>
              <w:rPr>
                <w:rFonts w:hint="eastAsia" w:hAnsi="宋体" w:cs="宋体"/>
                <w:bCs/>
                <w:color w:val="000000" w:themeColor="text1"/>
                <w:sz w:val="21"/>
                <w:szCs w:val="21"/>
                <w:highlight w:val="none"/>
                <w:lang w:val="en-US" w:eastAsia="zh-CN"/>
                <w14:textFill>
                  <w14:solidFill>
                    <w14:schemeClr w14:val="tx1"/>
                  </w14:solidFill>
                </w14:textFill>
              </w:rPr>
              <w:t>工作流程清晰，岗位职责清楚，工作方案具体，工作措施到位，切合协审服务工作的特点，有解决重点难点问题的方法，有与项目各方沟通协调的方案，能针对控制价、概算、预算、结算分别制定工作流程和方法。</w:t>
            </w:r>
          </w:p>
        </w:tc>
        <w:tc>
          <w:tcPr>
            <w:tcW w:w="704" w:type="pct"/>
            <w:noWrap w:val="0"/>
            <w:vAlign w:val="center"/>
          </w:tcPr>
          <w:p w14:paraId="5582E88F">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10</w:t>
            </w:r>
          </w:p>
        </w:tc>
      </w:tr>
      <w:tr w14:paraId="5E25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6CD20CE6">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2.2</w:t>
            </w:r>
          </w:p>
        </w:tc>
        <w:tc>
          <w:tcPr>
            <w:tcW w:w="549" w:type="pct"/>
            <w:noWrap w:val="0"/>
            <w:vAlign w:val="center"/>
          </w:tcPr>
          <w:p w14:paraId="1A9B6F83">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质量管控措施</w:t>
            </w:r>
          </w:p>
        </w:tc>
        <w:tc>
          <w:tcPr>
            <w:tcW w:w="3287" w:type="pct"/>
            <w:noWrap w:val="0"/>
            <w:vAlign w:val="center"/>
          </w:tcPr>
          <w:p w14:paraId="4CB31130">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hAnsi="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一档（0分）：未提供质量管控措施；</w:t>
            </w:r>
          </w:p>
          <w:p w14:paraId="6AC9688E">
            <w:pPr>
              <w:pStyle w:val="26"/>
              <w:keepNext w:val="0"/>
              <w:keepLines w:val="0"/>
              <w:suppressLineNumbers w:val="0"/>
              <w:shd w:val="clear"/>
              <w:spacing w:before="0" w:beforeAutospacing="0" w:after="0" w:afterAutospacing="0" w:line="360" w:lineRule="auto"/>
              <w:ind w:left="0" w:right="0"/>
              <w:rPr>
                <w:rFonts w:hint="eastAsia" w:hAnsi="宋体" w:cs="宋体"/>
                <w:bCs/>
                <w:color w:val="000000" w:themeColor="text1"/>
                <w:sz w:val="21"/>
                <w:szCs w:val="21"/>
                <w:highlight w:val="none"/>
                <w:lang w:val="en-US" w:eastAsia="zh-CN"/>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二档（3分）：质量管控方案表述</w:t>
            </w:r>
            <w:r>
              <w:rPr>
                <w:rFonts w:hint="eastAsia" w:hAnsi="宋体" w:cs="宋体"/>
                <w:bCs/>
                <w:color w:val="000000" w:themeColor="text1"/>
                <w:sz w:val="21"/>
                <w:szCs w:val="21"/>
                <w:highlight w:val="none"/>
                <w:lang w:val="en-US" w:eastAsia="zh-CN"/>
                <w14:textFill>
                  <w14:solidFill>
                    <w14:schemeClr w14:val="tx1"/>
                  </w14:solidFill>
                </w14:textFill>
              </w:rPr>
              <w:t>不清楚</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14:textFill>
                  <w14:solidFill>
                    <w14:schemeClr w14:val="tx1"/>
                  </w14:solidFill>
                </w14:textFill>
              </w:rPr>
              <w:t>质量保障措施</w:t>
            </w:r>
            <w:r>
              <w:rPr>
                <w:rFonts w:hint="eastAsia" w:hAnsi="宋体" w:cs="宋体"/>
                <w:bCs/>
                <w:color w:val="000000" w:themeColor="text1"/>
                <w:sz w:val="21"/>
                <w:szCs w:val="21"/>
                <w:highlight w:val="none"/>
                <w:lang w:val="en-US" w:eastAsia="zh-CN"/>
                <w14:textFill>
                  <w14:solidFill>
                    <w14:schemeClr w14:val="tx1"/>
                  </w14:solidFill>
                </w14:textFill>
              </w:rPr>
              <w:t>不具体，监管责任没有落实到人员；</w:t>
            </w:r>
          </w:p>
          <w:p w14:paraId="79CE156A">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三档（6分）：质量管控方案表述</w:t>
            </w:r>
            <w:r>
              <w:rPr>
                <w:rFonts w:hint="eastAsia" w:hAnsi="宋体" w:cs="宋体"/>
                <w:bCs/>
                <w:color w:val="000000" w:themeColor="text1"/>
                <w:sz w:val="21"/>
                <w:szCs w:val="21"/>
                <w:highlight w:val="none"/>
                <w:lang w:val="en-US" w:eastAsia="zh-CN"/>
                <w14:textFill>
                  <w14:solidFill>
                    <w14:schemeClr w14:val="tx1"/>
                  </w14:solidFill>
                </w14:textFill>
              </w:rPr>
              <w:t>比较清楚</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14:textFill>
                  <w14:solidFill>
                    <w14:schemeClr w14:val="tx1"/>
                  </w14:solidFill>
                </w14:textFill>
              </w:rPr>
              <w:t>质量保障措施</w:t>
            </w:r>
            <w:r>
              <w:rPr>
                <w:rFonts w:hint="eastAsia" w:hAnsi="宋体" w:cs="宋体"/>
                <w:bCs/>
                <w:color w:val="000000" w:themeColor="text1"/>
                <w:sz w:val="21"/>
                <w:szCs w:val="21"/>
                <w:highlight w:val="none"/>
                <w:lang w:val="en-US" w:eastAsia="zh-CN"/>
                <w14:textFill>
                  <w14:solidFill>
                    <w14:schemeClr w14:val="tx1"/>
                  </w14:solidFill>
                </w14:textFill>
              </w:rPr>
              <w:t>比较具体，有较强的可操作性和针对性，基本能保证服务质量，监管责任落实到人员</w:t>
            </w:r>
            <w:r>
              <w:rPr>
                <w:rFonts w:hint="eastAsia" w:hAnsi="宋体" w:cs="宋体"/>
                <w:bCs/>
                <w:color w:val="000000" w:themeColor="text1"/>
                <w:sz w:val="21"/>
                <w:szCs w:val="21"/>
                <w:highlight w:val="none"/>
                <w14:textFill>
                  <w14:solidFill>
                    <w14:schemeClr w14:val="tx1"/>
                  </w14:solidFill>
                </w14:textFill>
              </w:rPr>
              <w:t>；</w:t>
            </w:r>
          </w:p>
          <w:p w14:paraId="43312228">
            <w:pPr>
              <w:pStyle w:val="26"/>
              <w:keepNext w:val="0"/>
              <w:keepLines w:val="0"/>
              <w:suppressLineNumbers w:val="0"/>
              <w:shd w:val="clear"/>
              <w:spacing w:before="0" w:beforeAutospacing="0" w:after="0" w:afterAutospacing="0" w:line="360" w:lineRule="auto"/>
              <w:ind w:left="0" w:right="0"/>
              <w:rPr>
                <w:rFonts w:hint="default" w:hAnsi="宋体" w:cs="宋体"/>
                <w:bCs/>
                <w:color w:val="000000" w:themeColor="text1"/>
                <w:sz w:val="21"/>
                <w:szCs w:val="21"/>
                <w:highlight w:val="none"/>
                <w:lang w:val="en-US"/>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四档（8分）：质量管控方案表述</w:t>
            </w:r>
            <w:r>
              <w:rPr>
                <w:rFonts w:hint="eastAsia" w:hAnsi="宋体" w:cs="宋体"/>
                <w:bCs/>
                <w:color w:val="000000" w:themeColor="text1"/>
                <w:sz w:val="21"/>
                <w:szCs w:val="21"/>
                <w:highlight w:val="none"/>
                <w:lang w:val="en-US" w:eastAsia="zh-CN"/>
                <w14:textFill>
                  <w14:solidFill>
                    <w14:schemeClr w14:val="tx1"/>
                  </w14:solidFill>
                </w14:textFill>
              </w:rPr>
              <w:t>清楚</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14:textFill>
                  <w14:solidFill>
                    <w14:schemeClr w14:val="tx1"/>
                  </w14:solidFill>
                </w14:textFill>
              </w:rPr>
              <w:t>质量保障措施</w:t>
            </w:r>
            <w:r>
              <w:rPr>
                <w:rFonts w:hint="eastAsia" w:hAnsi="宋体" w:cs="宋体"/>
                <w:bCs/>
                <w:color w:val="000000" w:themeColor="text1"/>
                <w:sz w:val="21"/>
                <w:szCs w:val="21"/>
                <w:highlight w:val="none"/>
                <w:lang w:val="en-US" w:eastAsia="zh-CN"/>
                <w14:textFill>
                  <w14:solidFill>
                    <w14:schemeClr w14:val="tx1"/>
                  </w14:solidFill>
                </w14:textFill>
              </w:rPr>
              <w:t>具体，可操作性和针对性强，能保证服务质量，监管责任落实到人员；内控制度完善，提交各阶段的服务成果都有内部三级审核程序；对协审工作的重要流程有专门的保障措施；</w:t>
            </w:r>
          </w:p>
          <w:p w14:paraId="62813009">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五档（10分）：质量管控方案表述</w:t>
            </w:r>
            <w:r>
              <w:rPr>
                <w:rFonts w:hint="eastAsia" w:hAnsi="宋体" w:cs="宋体"/>
                <w:bCs/>
                <w:color w:val="000000" w:themeColor="text1"/>
                <w:sz w:val="21"/>
                <w:szCs w:val="21"/>
                <w:highlight w:val="none"/>
                <w:lang w:val="en-US" w:eastAsia="zh-CN"/>
                <w14:textFill>
                  <w14:solidFill>
                    <w14:schemeClr w14:val="tx1"/>
                  </w14:solidFill>
                </w14:textFill>
              </w:rPr>
              <w:t>清楚</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bCs/>
                <w:color w:val="000000" w:themeColor="text1"/>
                <w:sz w:val="21"/>
                <w:szCs w:val="21"/>
                <w:highlight w:val="none"/>
                <w14:textFill>
                  <w14:solidFill>
                    <w14:schemeClr w14:val="tx1"/>
                  </w14:solidFill>
                </w14:textFill>
              </w:rPr>
              <w:t>质量保障措施</w:t>
            </w:r>
            <w:r>
              <w:rPr>
                <w:rFonts w:hint="eastAsia" w:hAnsi="宋体" w:cs="宋体"/>
                <w:bCs/>
                <w:color w:val="000000" w:themeColor="text1"/>
                <w:sz w:val="21"/>
                <w:szCs w:val="21"/>
                <w:highlight w:val="none"/>
                <w:lang w:val="en-US" w:eastAsia="zh-CN"/>
                <w14:textFill>
                  <w14:solidFill>
                    <w14:schemeClr w14:val="tx1"/>
                  </w14:solidFill>
                </w14:textFill>
              </w:rPr>
              <w:t>具体，可操作性和针对性强，能保证服务质量，监管责任落实到人员；内控制度完善，提交各阶段的服务成果都有内部三级审核程序；对协审工作的重要流程、重点重大项目协审有专门的保障措施；对工作底稿、踏勘记录、询价记录、对账记录等过程资料有严格的质量要求。</w:t>
            </w:r>
          </w:p>
        </w:tc>
        <w:tc>
          <w:tcPr>
            <w:tcW w:w="704" w:type="pct"/>
            <w:noWrap w:val="0"/>
            <w:vAlign w:val="center"/>
          </w:tcPr>
          <w:p w14:paraId="0E9A12DD">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10</w:t>
            </w:r>
          </w:p>
        </w:tc>
      </w:tr>
      <w:tr w14:paraId="33AA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14878480">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2.3</w:t>
            </w:r>
          </w:p>
        </w:tc>
        <w:tc>
          <w:tcPr>
            <w:tcW w:w="549" w:type="pct"/>
            <w:noWrap w:val="0"/>
            <w:vAlign w:val="center"/>
          </w:tcPr>
          <w:p w14:paraId="3CD0887E">
            <w:pPr>
              <w:pStyle w:val="26"/>
              <w:shd w:val="clear"/>
              <w:spacing w:line="360" w:lineRule="auto"/>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项目实施计划与时间管控措施</w:t>
            </w:r>
          </w:p>
        </w:tc>
        <w:tc>
          <w:tcPr>
            <w:tcW w:w="3287" w:type="pct"/>
            <w:noWrap w:val="0"/>
            <w:vAlign w:val="center"/>
          </w:tcPr>
          <w:p w14:paraId="659D171E">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一档（0分）：未提供项目实施计划与时间管控措施；</w:t>
            </w:r>
          </w:p>
          <w:p w14:paraId="5A6021D9">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二档（2分）：项目实施计划简单，时间管控措施无针对性；</w:t>
            </w:r>
          </w:p>
          <w:p w14:paraId="46E4B4E4">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三档（3分）：项目实施计划</w:t>
            </w:r>
            <w:r>
              <w:rPr>
                <w:rFonts w:hint="eastAsia" w:hAnsi="宋体" w:cs="宋体"/>
                <w:bCs/>
                <w:color w:val="000000" w:themeColor="text1"/>
                <w:sz w:val="21"/>
                <w:szCs w:val="21"/>
                <w:highlight w:val="none"/>
                <w:lang w:val="en-US" w:eastAsia="zh-CN"/>
                <w14:textFill>
                  <w14:solidFill>
                    <w14:schemeClr w14:val="tx1"/>
                  </w14:solidFill>
                </w14:textFill>
              </w:rPr>
              <w:t>比较</w:t>
            </w:r>
            <w:r>
              <w:rPr>
                <w:rFonts w:hint="eastAsia" w:hAnsi="宋体" w:cs="宋体"/>
                <w:bCs/>
                <w:color w:val="000000" w:themeColor="text1"/>
                <w:sz w:val="21"/>
                <w:szCs w:val="21"/>
                <w:highlight w:val="none"/>
                <w14:textFill>
                  <w14:solidFill>
                    <w14:schemeClr w14:val="tx1"/>
                  </w14:solidFill>
                </w14:textFill>
              </w:rPr>
              <w:t>合理、</w:t>
            </w:r>
            <w:r>
              <w:rPr>
                <w:rFonts w:hint="eastAsia" w:hAnsi="宋体" w:cs="宋体"/>
                <w:bCs/>
                <w:color w:val="000000" w:themeColor="text1"/>
                <w:sz w:val="21"/>
                <w:szCs w:val="21"/>
                <w:highlight w:val="none"/>
                <w:lang w:val="en-US" w:eastAsia="zh-CN"/>
                <w14:textFill>
                  <w14:solidFill>
                    <w14:schemeClr w14:val="tx1"/>
                  </w14:solidFill>
                </w14:textFill>
              </w:rPr>
              <w:t>完善</w:t>
            </w:r>
            <w:r>
              <w:rPr>
                <w:rFonts w:hint="eastAsia" w:hAnsi="宋体" w:cs="宋体"/>
                <w:bCs/>
                <w:color w:val="000000" w:themeColor="text1"/>
                <w:sz w:val="21"/>
                <w:szCs w:val="21"/>
                <w:highlight w:val="none"/>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时间管控措施比较具体、到位</w:t>
            </w:r>
            <w:r>
              <w:rPr>
                <w:rFonts w:hint="eastAsia" w:hAnsi="宋体" w:cs="宋体"/>
                <w:bCs/>
                <w:color w:val="000000" w:themeColor="text1"/>
                <w:sz w:val="21"/>
                <w:szCs w:val="21"/>
                <w:highlight w:val="none"/>
                <w14:textFill>
                  <w14:solidFill>
                    <w14:schemeClr w14:val="tx1"/>
                  </w14:solidFill>
                </w14:textFill>
              </w:rPr>
              <w:t>，</w:t>
            </w:r>
            <w:r>
              <w:rPr>
                <w:rFonts w:hint="eastAsia" w:hAnsi="宋体" w:cs="宋体"/>
                <w:bCs/>
                <w:color w:val="000000" w:themeColor="text1"/>
                <w:sz w:val="21"/>
                <w:szCs w:val="21"/>
                <w:highlight w:val="none"/>
                <w:lang w:val="en-US" w:eastAsia="zh-CN"/>
                <w14:textFill>
                  <w14:solidFill>
                    <w14:schemeClr w14:val="tx1"/>
                  </w14:solidFill>
                </w14:textFill>
              </w:rPr>
              <w:t>基本具备</w:t>
            </w:r>
            <w:r>
              <w:rPr>
                <w:rFonts w:hint="eastAsia" w:hAnsi="宋体" w:cs="宋体"/>
                <w:bCs/>
                <w:color w:val="000000" w:themeColor="text1"/>
                <w:sz w:val="21"/>
                <w:szCs w:val="21"/>
                <w:highlight w:val="none"/>
                <w14:textFill>
                  <w14:solidFill>
                    <w14:schemeClr w14:val="tx1"/>
                  </w14:solidFill>
                </w14:textFill>
              </w:rPr>
              <w:t>限时办结能力；</w:t>
            </w:r>
          </w:p>
          <w:p w14:paraId="35CC5D73">
            <w:pPr>
              <w:pStyle w:val="26"/>
              <w:keepNext w:val="0"/>
              <w:keepLines w:val="0"/>
              <w:suppressLineNumbers w:val="0"/>
              <w:shd w:val="clear"/>
              <w:spacing w:before="0" w:beforeAutospacing="0" w:after="0" w:afterAutospacing="0" w:line="360" w:lineRule="auto"/>
              <w:ind w:left="0" w:right="0"/>
              <w:rPr>
                <w:rFonts w:hint="default" w:hAnsi="宋体" w:cs="宋体"/>
                <w:color w:val="000000" w:themeColor="text1"/>
                <w:sz w:val="21"/>
                <w:szCs w:val="21"/>
                <w:highlight w:val="none"/>
                <w:lang w:val="en-US"/>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四档（4分）：项目实施计划合理、</w:t>
            </w:r>
            <w:r>
              <w:rPr>
                <w:rFonts w:hint="eastAsia" w:hAnsi="宋体" w:cs="宋体"/>
                <w:color w:val="000000" w:themeColor="text1"/>
                <w:sz w:val="21"/>
                <w:szCs w:val="21"/>
                <w:highlight w:val="none"/>
                <w:lang w:val="en-US" w:eastAsia="zh-CN"/>
                <w14:textFill>
                  <w14:solidFill>
                    <w14:schemeClr w14:val="tx1"/>
                  </w14:solidFill>
                </w14:textFill>
              </w:rPr>
              <w:t>完善</w:t>
            </w:r>
            <w:r>
              <w:rPr>
                <w:rFonts w:hint="eastAsia" w:hAnsi="宋体" w:cs="宋体"/>
                <w:color w:val="000000" w:themeColor="text1"/>
                <w:sz w:val="21"/>
                <w:szCs w:val="21"/>
                <w:highlight w:val="none"/>
                <w14:textFill>
                  <w14:solidFill>
                    <w14:schemeClr w14:val="tx1"/>
                  </w14:solidFill>
                </w14:textFill>
              </w:rPr>
              <w:t>，时间管控</w:t>
            </w:r>
            <w:r>
              <w:rPr>
                <w:rFonts w:hint="eastAsia" w:hAnsi="宋体" w:cs="宋体"/>
                <w:color w:val="000000" w:themeColor="text1"/>
                <w:sz w:val="21"/>
                <w:szCs w:val="21"/>
                <w:highlight w:val="none"/>
                <w:lang w:val="en-US" w:eastAsia="zh-CN"/>
                <w14:textFill>
                  <w14:solidFill>
                    <w14:schemeClr w14:val="tx1"/>
                  </w14:solidFill>
                </w14:textFill>
              </w:rPr>
              <w:t>措施具体、到位，具备</w:t>
            </w:r>
            <w:r>
              <w:rPr>
                <w:rFonts w:hint="eastAsia" w:hAnsi="宋体" w:cs="宋体"/>
                <w:bCs/>
                <w:color w:val="000000" w:themeColor="text1"/>
                <w:sz w:val="21"/>
                <w:szCs w:val="21"/>
                <w:highlight w:val="none"/>
                <w14:textFill>
                  <w14:solidFill>
                    <w14:schemeClr w14:val="tx1"/>
                  </w14:solidFill>
                </w14:textFill>
              </w:rPr>
              <w:t>限时办结能力</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计划和措施能细化到协审服务各阶段，确保按采购人各阶段的时限要求完成协审任务；</w:t>
            </w:r>
          </w:p>
          <w:p w14:paraId="523632A4">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五档（5分）：项目实施计划合理、</w:t>
            </w:r>
            <w:r>
              <w:rPr>
                <w:rFonts w:hint="eastAsia" w:hAnsi="宋体" w:cs="宋体"/>
                <w:color w:val="000000" w:themeColor="text1"/>
                <w:sz w:val="21"/>
                <w:szCs w:val="21"/>
                <w:highlight w:val="none"/>
                <w:lang w:val="en-US" w:eastAsia="zh-CN"/>
                <w14:textFill>
                  <w14:solidFill>
                    <w14:schemeClr w14:val="tx1"/>
                  </w14:solidFill>
                </w14:textFill>
              </w:rPr>
              <w:t>完善</w:t>
            </w:r>
            <w:r>
              <w:rPr>
                <w:rFonts w:hint="eastAsia" w:hAnsi="宋体" w:cs="宋体"/>
                <w:color w:val="000000" w:themeColor="text1"/>
                <w:sz w:val="21"/>
                <w:szCs w:val="21"/>
                <w:highlight w:val="none"/>
                <w14:textFill>
                  <w14:solidFill>
                    <w14:schemeClr w14:val="tx1"/>
                  </w14:solidFill>
                </w14:textFill>
              </w:rPr>
              <w:t>，时间管控</w:t>
            </w:r>
            <w:r>
              <w:rPr>
                <w:rFonts w:hint="eastAsia" w:hAnsi="宋体" w:cs="宋体"/>
                <w:color w:val="000000" w:themeColor="text1"/>
                <w:sz w:val="21"/>
                <w:szCs w:val="21"/>
                <w:highlight w:val="none"/>
                <w:lang w:val="en-US" w:eastAsia="zh-CN"/>
                <w14:textFill>
                  <w14:solidFill>
                    <w14:schemeClr w14:val="tx1"/>
                  </w14:solidFill>
                </w14:textFill>
              </w:rPr>
              <w:t>措施具体、到位，具备</w:t>
            </w:r>
            <w:r>
              <w:rPr>
                <w:rFonts w:hint="eastAsia" w:hAnsi="宋体" w:cs="宋体"/>
                <w:bCs/>
                <w:color w:val="000000" w:themeColor="text1"/>
                <w:sz w:val="21"/>
                <w:szCs w:val="21"/>
                <w:highlight w:val="none"/>
                <w14:textFill>
                  <w14:solidFill>
                    <w14:schemeClr w14:val="tx1"/>
                  </w14:solidFill>
                </w14:textFill>
              </w:rPr>
              <w:t>限时办结能力</w:t>
            </w:r>
            <w:r>
              <w:rPr>
                <w:rFonts w:hint="eastAsia" w:hAnsi="宋体" w:cs="宋体"/>
                <w:bCs/>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计划和措施能细化到协审服务各阶段，能按采购人各阶段的时限要求完成协审任务；具有协审紧急项目的措施，进度监控与调整的措施。</w:t>
            </w:r>
          </w:p>
        </w:tc>
        <w:tc>
          <w:tcPr>
            <w:tcW w:w="704" w:type="pct"/>
            <w:noWrap w:val="0"/>
            <w:vAlign w:val="center"/>
          </w:tcPr>
          <w:p w14:paraId="6FDDBDB6">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5</w:t>
            </w:r>
          </w:p>
        </w:tc>
      </w:tr>
      <w:tr w14:paraId="1C96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459" w:type="pct"/>
            <w:noWrap w:val="0"/>
            <w:vAlign w:val="center"/>
          </w:tcPr>
          <w:p w14:paraId="0B94095A">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2.4</w:t>
            </w:r>
          </w:p>
        </w:tc>
        <w:tc>
          <w:tcPr>
            <w:tcW w:w="549" w:type="pct"/>
            <w:noWrap w:val="0"/>
            <w:vAlign w:val="center"/>
          </w:tcPr>
          <w:p w14:paraId="029F660F">
            <w:pPr>
              <w:pStyle w:val="26"/>
              <w:shd w:val="clear"/>
              <w:spacing w:line="360" w:lineRule="auto"/>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廉洁措施</w:t>
            </w:r>
          </w:p>
        </w:tc>
        <w:tc>
          <w:tcPr>
            <w:tcW w:w="3287" w:type="pct"/>
            <w:noWrap w:val="0"/>
            <w:vAlign w:val="center"/>
          </w:tcPr>
          <w:p w14:paraId="295634BE">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一档（0分）：未提供廉洁措施；</w:t>
            </w:r>
          </w:p>
          <w:p w14:paraId="44CE08EB">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二档（2分）：</w:t>
            </w:r>
            <w:r>
              <w:rPr>
                <w:rFonts w:hint="eastAsia" w:hAnsi="宋体" w:cs="宋体"/>
                <w:color w:val="000000" w:themeColor="text1"/>
                <w:sz w:val="21"/>
                <w:szCs w:val="21"/>
                <w:highlight w:val="none"/>
                <w14:textFill>
                  <w14:solidFill>
                    <w14:schemeClr w14:val="tx1"/>
                  </w14:solidFill>
                </w14:textFill>
              </w:rPr>
              <w:t>廉洁措施不完整</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可行性、操作性不强</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廉洁从业制度不健全</w:t>
            </w:r>
            <w:r>
              <w:rPr>
                <w:rFonts w:hint="eastAsia" w:hAnsi="宋体" w:cs="宋体"/>
                <w:color w:val="000000" w:themeColor="text1"/>
                <w:sz w:val="21"/>
                <w:szCs w:val="21"/>
                <w:highlight w:val="none"/>
                <w14:textFill>
                  <w14:solidFill>
                    <w14:schemeClr w14:val="tx1"/>
                  </w14:solidFill>
                </w14:textFill>
              </w:rPr>
              <w:t>；</w:t>
            </w:r>
          </w:p>
          <w:p w14:paraId="2121FA21">
            <w:pPr>
              <w:pStyle w:val="26"/>
              <w:keepNext w:val="0"/>
              <w:keepLines w:val="0"/>
              <w:suppressLineNumbers w:val="0"/>
              <w:shd w:val="clear"/>
              <w:spacing w:before="0" w:beforeAutospacing="0" w:after="0" w:afterAutospacing="0" w:line="360" w:lineRule="auto"/>
              <w:ind w:left="0" w:right="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三档（3分）：</w:t>
            </w:r>
            <w:r>
              <w:rPr>
                <w:rFonts w:hint="eastAsia" w:hAnsi="宋体" w:cs="宋体"/>
                <w:color w:val="000000" w:themeColor="text1"/>
                <w:sz w:val="21"/>
                <w:szCs w:val="21"/>
                <w:highlight w:val="none"/>
                <w14:textFill>
                  <w14:solidFill>
                    <w14:schemeClr w14:val="tx1"/>
                  </w14:solidFill>
                </w14:textFill>
              </w:rPr>
              <w:t>廉洁措施</w:t>
            </w:r>
            <w:r>
              <w:rPr>
                <w:rFonts w:hint="eastAsia" w:hAnsi="宋体" w:cs="宋体"/>
                <w:bCs/>
                <w:color w:val="000000" w:themeColor="text1"/>
                <w:sz w:val="21"/>
                <w:szCs w:val="21"/>
                <w:highlight w:val="none"/>
                <w:lang w:val="en-US" w:eastAsia="zh-CN"/>
                <w14:textFill>
                  <w14:solidFill>
                    <w14:schemeClr w14:val="tx1"/>
                  </w14:solidFill>
                </w14:textFill>
              </w:rPr>
              <w:t>比较</w:t>
            </w:r>
            <w:r>
              <w:rPr>
                <w:rFonts w:hint="eastAsia" w:hAnsi="宋体" w:cs="宋体"/>
                <w:color w:val="000000" w:themeColor="text1"/>
                <w:sz w:val="21"/>
                <w:szCs w:val="21"/>
                <w:highlight w:val="none"/>
                <w14:textFill>
                  <w14:solidFill>
                    <w14:schemeClr w14:val="tx1"/>
                  </w14:solidFill>
                </w14:textFill>
              </w:rPr>
              <w:t>完整、可行性、操作性</w:t>
            </w:r>
            <w:r>
              <w:rPr>
                <w:rFonts w:hint="eastAsia" w:hAnsi="宋体" w:cs="宋体"/>
                <w:color w:val="000000" w:themeColor="text1"/>
                <w:sz w:val="21"/>
                <w:szCs w:val="21"/>
                <w:highlight w:val="none"/>
                <w:lang w:val="en-US" w:eastAsia="zh-CN"/>
                <w14:textFill>
                  <w14:solidFill>
                    <w14:schemeClr w14:val="tx1"/>
                  </w14:solidFill>
                </w14:textFill>
              </w:rPr>
              <w:t>较好</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廉洁从业制度基本健全</w:t>
            </w:r>
            <w:r>
              <w:rPr>
                <w:rFonts w:hint="eastAsia" w:hAnsi="宋体" w:cs="宋体"/>
                <w:color w:val="000000" w:themeColor="text1"/>
                <w:sz w:val="21"/>
                <w:szCs w:val="21"/>
                <w:highlight w:val="none"/>
                <w14:textFill>
                  <w14:solidFill>
                    <w14:schemeClr w14:val="tx1"/>
                  </w14:solidFill>
                </w14:textFill>
              </w:rPr>
              <w:t>；</w:t>
            </w:r>
          </w:p>
          <w:p w14:paraId="02AB65F0">
            <w:pPr>
              <w:pStyle w:val="26"/>
              <w:keepNext w:val="0"/>
              <w:keepLines w:val="0"/>
              <w:suppressLineNumbers w:val="0"/>
              <w:shd w:val="clear"/>
              <w:spacing w:before="0" w:beforeAutospacing="0" w:after="0" w:afterAutospacing="0" w:line="360" w:lineRule="auto"/>
              <w:ind w:left="0" w:right="0"/>
              <w:rPr>
                <w:rFonts w:hint="default" w:hAnsi="宋体" w:cs="宋体"/>
                <w:color w:val="000000" w:themeColor="text1"/>
                <w:sz w:val="21"/>
                <w:szCs w:val="21"/>
                <w:highlight w:val="none"/>
                <w:lang w:val="en-US"/>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四档（4分）：廉洁措施完整、可行性、操作性</w:t>
            </w:r>
            <w:r>
              <w:rPr>
                <w:rFonts w:hint="eastAsia" w:hAnsi="宋体" w:cs="宋体"/>
                <w:color w:val="000000" w:themeColor="text1"/>
                <w:sz w:val="21"/>
                <w:szCs w:val="21"/>
                <w:highlight w:val="none"/>
                <w:lang w:val="en-US" w:eastAsia="zh-CN"/>
                <w14:textFill>
                  <w14:solidFill>
                    <w14:schemeClr w14:val="tx1"/>
                  </w14:solidFill>
                </w14:textFill>
              </w:rPr>
              <w:t>好</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廉洁从业制度健全，监管到位，有专职的廉洁监督员，风险防控措施能具体到所有岗位；</w:t>
            </w:r>
          </w:p>
          <w:p w14:paraId="78A2FC5D">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五档（5分）：廉洁措施完整、可行性、操作性</w:t>
            </w:r>
            <w:r>
              <w:rPr>
                <w:rFonts w:hint="eastAsia" w:hAnsi="宋体" w:cs="宋体"/>
                <w:color w:val="000000" w:themeColor="text1"/>
                <w:sz w:val="21"/>
                <w:szCs w:val="21"/>
                <w:highlight w:val="none"/>
                <w:lang w:val="en-US" w:eastAsia="zh-CN"/>
                <w14:textFill>
                  <w14:solidFill>
                    <w14:schemeClr w14:val="tx1"/>
                  </w14:solidFill>
                </w14:textFill>
              </w:rPr>
              <w:t>好</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廉洁从业制度健全，监管到位</w:t>
            </w:r>
            <w:r>
              <w:rPr>
                <w:rFonts w:hint="eastAsia" w:hAnsi="宋体" w:cs="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有专职的廉洁监督员，风险防控措施能具体到所有岗位；开展廉洁文化建设，</w:t>
            </w:r>
            <w:r>
              <w:rPr>
                <w:rFonts w:hint="eastAsia" w:hAnsi="宋体" w:cs="宋体"/>
                <w:color w:val="000000" w:themeColor="text1"/>
                <w:sz w:val="21"/>
                <w:szCs w:val="21"/>
                <w:highlight w:val="none"/>
                <w14:textFill>
                  <w14:solidFill>
                    <w14:schemeClr w14:val="tx1"/>
                  </w14:solidFill>
                </w14:textFill>
              </w:rPr>
              <w:t>有相应的</w:t>
            </w:r>
            <w:r>
              <w:rPr>
                <w:rFonts w:hint="eastAsia" w:hAnsi="宋体" w:cs="宋体"/>
                <w:color w:val="000000" w:themeColor="text1"/>
                <w:sz w:val="21"/>
                <w:szCs w:val="21"/>
                <w:highlight w:val="none"/>
                <w:lang w:val="en-US" w:eastAsia="zh-CN"/>
                <w14:textFill>
                  <w14:solidFill>
                    <w14:schemeClr w14:val="tx1"/>
                  </w14:solidFill>
                </w14:textFill>
              </w:rPr>
              <w:t>廉洁从业</w:t>
            </w:r>
            <w:r>
              <w:rPr>
                <w:rFonts w:hint="eastAsia" w:hAnsi="宋体" w:cs="宋体"/>
                <w:color w:val="000000" w:themeColor="text1"/>
                <w:sz w:val="21"/>
                <w:szCs w:val="21"/>
                <w:highlight w:val="none"/>
                <w14:textFill>
                  <w14:solidFill>
                    <w14:schemeClr w14:val="tx1"/>
                  </w14:solidFill>
                </w14:textFill>
              </w:rPr>
              <w:t>教育与宣传</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廉洁措施充分考虑</w:t>
            </w:r>
            <w:r>
              <w:rPr>
                <w:rFonts w:hint="eastAsia" w:hAnsi="宋体" w:cs="宋体"/>
                <w:color w:val="000000" w:themeColor="text1"/>
                <w:sz w:val="21"/>
                <w:szCs w:val="21"/>
                <w:highlight w:val="none"/>
                <w:lang w:val="en-US" w:eastAsia="zh-CN"/>
                <w14:textFill>
                  <w14:solidFill>
                    <w14:schemeClr w14:val="tx1"/>
                  </w14:solidFill>
                </w14:textFill>
              </w:rPr>
              <w:t>项目协审</w:t>
            </w:r>
            <w:r>
              <w:rPr>
                <w:rFonts w:hint="eastAsia" w:hAnsi="宋体" w:cs="宋体"/>
                <w:color w:val="000000" w:themeColor="text1"/>
                <w:sz w:val="21"/>
                <w:szCs w:val="21"/>
                <w:highlight w:val="none"/>
                <w14:textFill>
                  <w14:solidFill>
                    <w14:schemeClr w14:val="tx1"/>
                  </w14:solidFill>
                </w14:textFill>
              </w:rPr>
              <w:t>实际情况和业务需求</w:t>
            </w:r>
            <w:r>
              <w:rPr>
                <w:rFonts w:hint="eastAsia" w:hAnsi="宋体" w:cs="宋体"/>
                <w:color w:val="000000" w:themeColor="text1"/>
                <w:sz w:val="21"/>
                <w:szCs w:val="21"/>
                <w:highlight w:val="none"/>
                <w:lang w:eastAsia="zh-CN"/>
                <w14:textFill>
                  <w14:solidFill>
                    <w14:schemeClr w14:val="tx1"/>
                  </w14:solidFill>
                </w14:textFill>
              </w:rPr>
              <w:t>。</w:t>
            </w:r>
          </w:p>
        </w:tc>
        <w:tc>
          <w:tcPr>
            <w:tcW w:w="704" w:type="pct"/>
            <w:noWrap w:val="0"/>
            <w:vAlign w:val="center"/>
          </w:tcPr>
          <w:p w14:paraId="642E4EE8">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5</w:t>
            </w:r>
          </w:p>
        </w:tc>
      </w:tr>
      <w:tr w14:paraId="29F8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22BB78EA">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2.5</w:t>
            </w:r>
          </w:p>
        </w:tc>
        <w:tc>
          <w:tcPr>
            <w:tcW w:w="549" w:type="pct"/>
            <w:noWrap w:val="0"/>
            <w:vAlign w:val="center"/>
          </w:tcPr>
          <w:p w14:paraId="4CAA187C">
            <w:pPr>
              <w:pStyle w:val="26"/>
              <w:shd w:val="clear"/>
              <w:spacing w:line="360" w:lineRule="auto"/>
              <w:rPr>
                <w:rFonts w:hAnsi="宋体" w:cs="宋体"/>
                <w:bCs/>
                <w:color w:val="000000" w:themeColor="text1"/>
                <w:sz w:val="21"/>
                <w:szCs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评审报告质量</w:t>
            </w:r>
          </w:p>
        </w:tc>
        <w:tc>
          <w:tcPr>
            <w:tcW w:w="3287" w:type="pct"/>
            <w:noWrap w:val="0"/>
            <w:vAlign w:val="center"/>
          </w:tcPr>
          <w:p w14:paraId="6B7D6463">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要求供应商提交评审报告案例（概算、预算、控制价）任意一份。</w:t>
            </w:r>
          </w:p>
          <w:p w14:paraId="62884089">
            <w:pPr>
              <w:pStyle w:val="26"/>
              <w:keepNext w:val="0"/>
              <w:keepLines w:val="0"/>
              <w:suppressLineNumbers w:val="0"/>
              <w:shd w:val="clear"/>
              <w:spacing w:before="0" w:beforeAutospacing="0" w:after="0" w:afterAutospacing="0" w:line="360" w:lineRule="auto"/>
              <w:ind w:left="0" w:right="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一档（0分）：未提供评审报告；</w:t>
            </w:r>
          </w:p>
          <w:p w14:paraId="33DD78F7">
            <w:pPr>
              <w:pStyle w:val="26"/>
              <w:keepNext w:val="0"/>
              <w:keepLines w:val="0"/>
              <w:suppressLineNumbers w:val="0"/>
              <w:shd w:val="clear"/>
              <w:spacing w:before="0" w:beforeAutospacing="0" w:after="0" w:afterAutospacing="0" w:line="360" w:lineRule="auto"/>
              <w:ind w:left="0" w:right="0"/>
              <w:rPr>
                <w:rFonts w:hint="eastAsia" w:hAnsi="宋体" w:eastAsia="宋体" w:cs="宋体"/>
                <w:color w:val="000000" w:themeColor="text1"/>
                <w:sz w:val="21"/>
                <w:highlight w:val="none"/>
                <w:lang w:eastAsia="zh-CN"/>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二档（2分）：评审报告内容不完整，依据不充分</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数据不准确，条理不清晰</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评审结论</w:t>
            </w:r>
            <w:r>
              <w:rPr>
                <w:rFonts w:hint="eastAsia" w:hAnsi="宋体" w:cs="宋体"/>
                <w:color w:val="000000" w:themeColor="text1"/>
                <w:sz w:val="21"/>
                <w:highlight w:val="none"/>
                <w:lang w:val="en-US" w:eastAsia="zh-CN"/>
                <w14:textFill>
                  <w14:solidFill>
                    <w14:schemeClr w14:val="tx1"/>
                  </w14:solidFill>
                </w14:textFill>
              </w:rPr>
              <w:t>不</w:t>
            </w:r>
            <w:r>
              <w:rPr>
                <w:rFonts w:hint="eastAsia" w:hAnsi="宋体" w:cs="宋体"/>
                <w:color w:val="000000" w:themeColor="text1"/>
                <w:sz w:val="21"/>
                <w:highlight w:val="none"/>
                <w14:textFill>
                  <w14:solidFill>
                    <w14:schemeClr w14:val="tx1"/>
                  </w14:solidFill>
                </w14:textFill>
              </w:rPr>
              <w:t>客观</w:t>
            </w:r>
            <w:r>
              <w:rPr>
                <w:rFonts w:hint="eastAsia" w:hAnsi="宋体" w:cs="宋体"/>
                <w:color w:val="000000" w:themeColor="text1"/>
                <w:sz w:val="21"/>
                <w:highlight w:val="none"/>
                <w:lang w:val="en-US" w:eastAsia="zh-CN"/>
                <w14:textFill>
                  <w14:solidFill>
                    <w14:schemeClr w14:val="tx1"/>
                  </w14:solidFill>
                </w14:textFill>
              </w:rPr>
              <w:t>、不正确；</w:t>
            </w:r>
          </w:p>
          <w:p w14:paraId="71888FBA">
            <w:pPr>
              <w:pStyle w:val="26"/>
              <w:keepNext w:val="0"/>
              <w:keepLines w:val="0"/>
              <w:suppressLineNumbers w:val="0"/>
              <w:shd w:val="clear"/>
              <w:spacing w:before="0" w:beforeAutospacing="0" w:after="0" w:afterAutospacing="0" w:line="360" w:lineRule="auto"/>
              <w:ind w:left="0" w:right="0"/>
              <w:rPr>
                <w:rFonts w:hint="eastAsia" w:hAnsi="宋体" w:eastAsia="宋体" w:cs="宋体"/>
                <w:color w:val="000000" w:themeColor="text1"/>
                <w:sz w:val="21"/>
                <w:highlight w:val="none"/>
                <w:lang w:eastAsia="zh-CN"/>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三档（3分）：评审报告内容</w:t>
            </w:r>
            <w:r>
              <w:rPr>
                <w:rFonts w:hint="eastAsia" w:hAnsi="宋体" w:cs="宋体"/>
                <w:bCs/>
                <w:color w:val="000000" w:themeColor="text1"/>
                <w:sz w:val="21"/>
                <w:szCs w:val="21"/>
                <w:highlight w:val="none"/>
                <w:lang w:val="en-US" w:eastAsia="zh-CN"/>
                <w14:textFill>
                  <w14:solidFill>
                    <w14:schemeClr w14:val="tx1"/>
                  </w14:solidFill>
                </w14:textFill>
              </w:rPr>
              <w:t>基本</w:t>
            </w:r>
            <w:r>
              <w:rPr>
                <w:rFonts w:hint="eastAsia" w:hAnsi="宋体" w:cs="宋体"/>
                <w:color w:val="000000" w:themeColor="text1"/>
                <w:sz w:val="21"/>
                <w:highlight w:val="none"/>
                <w14:textFill>
                  <w14:solidFill>
                    <w14:schemeClr w14:val="tx1"/>
                  </w14:solidFill>
                </w14:textFill>
              </w:rPr>
              <w:t>完整，依据</w:t>
            </w:r>
            <w:r>
              <w:rPr>
                <w:rFonts w:hint="eastAsia" w:hAnsi="宋体" w:cs="宋体"/>
                <w:bCs/>
                <w:color w:val="000000" w:themeColor="text1"/>
                <w:sz w:val="21"/>
                <w:szCs w:val="21"/>
                <w:highlight w:val="none"/>
                <w:lang w:val="en-US" w:eastAsia="zh-CN"/>
                <w14:textFill>
                  <w14:solidFill>
                    <w14:schemeClr w14:val="tx1"/>
                  </w14:solidFill>
                </w14:textFill>
              </w:rPr>
              <w:t>基本</w:t>
            </w:r>
            <w:r>
              <w:rPr>
                <w:rFonts w:hint="eastAsia" w:hAnsi="宋体" w:cs="宋体"/>
                <w:color w:val="000000" w:themeColor="text1"/>
                <w:sz w:val="21"/>
                <w:highlight w:val="none"/>
                <w14:textFill>
                  <w14:solidFill>
                    <w14:schemeClr w14:val="tx1"/>
                  </w14:solidFill>
                </w14:textFill>
              </w:rPr>
              <w:t>充分</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数据</w:t>
            </w:r>
            <w:r>
              <w:rPr>
                <w:rFonts w:hint="eastAsia" w:hAnsi="宋体" w:cs="宋体"/>
                <w:bCs/>
                <w:color w:val="000000" w:themeColor="text1"/>
                <w:sz w:val="21"/>
                <w:szCs w:val="21"/>
                <w:highlight w:val="none"/>
                <w:lang w:val="en-US" w:eastAsia="zh-CN"/>
                <w14:textFill>
                  <w14:solidFill>
                    <w14:schemeClr w14:val="tx1"/>
                  </w14:solidFill>
                </w14:textFill>
              </w:rPr>
              <w:t>基本</w:t>
            </w:r>
            <w:r>
              <w:rPr>
                <w:rFonts w:hint="eastAsia" w:hAnsi="宋体" w:cs="宋体"/>
                <w:color w:val="000000" w:themeColor="text1"/>
                <w:sz w:val="21"/>
                <w:highlight w:val="none"/>
                <w:lang w:val="en-US" w:eastAsia="zh-CN"/>
                <w14:textFill>
                  <w14:solidFill>
                    <w14:schemeClr w14:val="tx1"/>
                  </w14:solidFill>
                </w14:textFill>
              </w:rPr>
              <w:t>准确，条理</w:t>
            </w:r>
            <w:r>
              <w:rPr>
                <w:rFonts w:hint="eastAsia" w:hAnsi="宋体" w:cs="宋体"/>
                <w:bCs/>
                <w:color w:val="000000" w:themeColor="text1"/>
                <w:sz w:val="21"/>
                <w:szCs w:val="21"/>
                <w:highlight w:val="none"/>
                <w:lang w:val="en-US" w:eastAsia="zh-CN"/>
                <w14:textFill>
                  <w14:solidFill>
                    <w14:schemeClr w14:val="tx1"/>
                  </w14:solidFill>
                </w14:textFill>
              </w:rPr>
              <w:t>基本</w:t>
            </w:r>
            <w:r>
              <w:rPr>
                <w:rFonts w:hint="eastAsia" w:hAnsi="宋体" w:cs="宋体"/>
                <w:color w:val="000000" w:themeColor="text1"/>
                <w:sz w:val="21"/>
                <w:highlight w:val="none"/>
                <w:lang w:val="en-US" w:eastAsia="zh-CN"/>
                <w14:textFill>
                  <w14:solidFill>
                    <w14:schemeClr w14:val="tx1"/>
                  </w14:solidFill>
                </w14:textFill>
              </w:rPr>
              <w:t>清晰</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评审结论</w:t>
            </w:r>
            <w:r>
              <w:rPr>
                <w:rFonts w:hint="eastAsia" w:hAnsi="宋体" w:cs="宋体"/>
                <w:bCs/>
                <w:color w:val="000000" w:themeColor="text1"/>
                <w:sz w:val="21"/>
                <w:szCs w:val="21"/>
                <w:highlight w:val="none"/>
                <w:lang w:val="en-US" w:eastAsia="zh-CN"/>
                <w14:textFill>
                  <w14:solidFill>
                    <w14:schemeClr w14:val="tx1"/>
                  </w14:solidFill>
                </w14:textFill>
              </w:rPr>
              <w:t>基本</w:t>
            </w:r>
            <w:r>
              <w:rPr>
                <w:rFonts w:hint="eastAsia" w:hAnsi="宋体" w:cs="宋体"/>
                <w:color w:val="000000" w:themeColor="text1"/>
                <w:sz w:val="21"/>
                <w:highlight w:val="none"/>
                <w14:textFill>
                  <w14:solidFill>
                    <w14:schemeClr w14:val="tx1"/>
                  </w14:solidFill>
                </w14:textFill>
              </w:rPr>
              <w:t>客观</w:t>
            </w:r>
            <w:r>
              <w:rPr>
                <w:rFonts w:hint="eastAsia" w:hAnsi="宋体" w:cs="宋体"/>
                <w:color w:val="000000" w:themeColor="text1"/>
                <w:sz w:val="21"/>
                <w:highlight w:val="none"/>
                <w:lang w:val="en-US" w:eastAsia="zh-CN"/>
                <w14:textFill>
                  <w14:solidFill>
                    <w14:schemeClr w14:val="tx1"/>
                  </w14:solidFill>
                </w14:textFill>
              </w:rPr>
              <w:t>、正确；</w:t>
            </w:r>
          </w:p>
          <w:p w14:paraId="5828CC97">
            <w:pPr>
              <w:pStyle w:val="26"/>
              <w:keepNext w:val="0"/>
              <w:keepLines w:val="0"/>
              <w:suppressLineNumbers w:val="0"/>
              <w:shd w:val="clear"/>
              <w:spacing w:before="0" w:beforeAutospacing="0" w:after="0" w:afterAutospacing="0" w:line="360" w:lineRule="auto"/>
              <w:ind w:left="0" w:right="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四档（4分）：评审报告内容完整，依据充分，</w:t>
            </w:r>
            <w:r>
              <w:rPr>
                <w:rFonts w:hint="eastAsia" w:hAnsi="宋体" w:cs="宋体"/>
                <w:color w:val="000000" w:themeColor="text1"/>
                <w:sz w:val="21"/>
                <w:highlight w:val="none"/>
                <w:lang w:val="en-US" w:eastAsia="zh-CN"/>
                <w14:textFill>
                  <w14:solidFill>
                    <w14:schemeClr w14:val="tx1"/>
                  </w14:solidFill>
                </w14:textFill>
              </w:rPr>
              <w:t>数据准确，</w:t>
            </w:r>
            <w:r>
              <w:rPr>
                <w:rFonts w:hint="eastAsia" w:hAnsi="宋体" w:cs="宋体"/>
                <w:color w:val="000000" w:themeColor="text1"/>
                <w:sz w:val="21"/>
                <w:highlight w:val="none"/>
                <w14:textFill>
                  <w14:solidFill>
                    <w14:schemeClr w14:val="tx1"/>
                  </w14:solidFill>
                </w14:textFill>
              </w:rPr>
              <w:t>条理清晰，</w:t>
            </w:r>
            <w:r>
              <w:rPr>
                <w:rFonts w:hint="eastAsia" w:hAnsi="宋体" w:cs="宋体"/>
                <w:color w:val="000000" w:themeColor="text1"/>
                <w:sz w:val="21"/>
                <w:highlight w:val="none"/>
                <w:lang w:val="en-US" w:eastAsia="zh-CN"/>
                <w14:textFill>
                  <w14:solidFill>
                    <w14:schemeClr w14:val="tx1"/>
                  </w14:solidFill>
                </w14:textFill>
              </w:rPr>
              <w:t>排版整齐，</w:t>
            </w:r>
            <w:r>
              <w:rPr>
                <w:rFonts w:hint="eastAsia" w:hAnsi="宋体" w:cs="宋体"/>
                <w:color w:val="000000" w:themeColor="text1"/>
                <w:sz w:val="21"/>
                <w:highlight w:val="none"/>
                <w14:textFill>
                  <w14:solidFill>
                    <w14:schemeClr w14:val="tx1"/>
                  </w14:solidFill>
                </w14:textFill>
              </w:rPr>
              <w:t>评审结论客观</w:t>
            </w:r>
            <w:r>
              <w:rPr>
                <w:rFonts w:hint="eastAsia" w:hAnsi="宋体" w:cs="宋体"/>
                <w:color w:val="000000" w:themeColor="text1"/>
                <w:sz w:val="21"/>
                <w:highlight w:val="none"/>
                <w:lang w:val="en-US" w:eastAsia="zh-CN"/>
                <w14:textFill>
                  <w14:solidFill>
                    <w14:schemeClr w14:val="tx1"/>
                  </w14:solidFill>
                </w14:textFill>
              </w:rPr>
              <w:t>、正确</w:t>
            </w:r>
            <w:r>
              <w:rPr>
                <w:rFonts w:hint="eastAsia" w:hAnsi="宋体" w:cs="宋体"/>
                <w:color w:val="000000" w:themeColor="text1"/>
                <w:sz w:val="21"/>
                <w:highlight w:val="none"/>
                <w14:textFill>
                  <w14:solidFill>
                    <w14:schemeClr w14:val="tx1"/>
                  </w14:solidFill>
                </w14:textFill>
              </w:rPr>
              <w:t>；</w:t>
            </w:r>
          </w:p>
          <w:p w14:paraId="47C0B49D">
            <w:pPr>
              <w:pStyle w:val="26"/>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Ansi="宋体" w:cs="宋体"/>
                <w:bCs/>
                <w:color w:val="000000" w:themeColor="text1"/>
                <w:sz w:val="21"/>
                <w:szCs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五档（5分）：评审报告内容完整</w:t>
            </w:r>
            <w:r>
              <w:rPr>
                <w:rFonts w:hint="eastAsia" w:hAnsi="宋体" w:cs="宋体"/>
                <w:color w:val="000000" w:themeColor="text1"/>
                <w:sz w:val="21"/>
                <w:highlight w:val="none"/>
                <w:lang w:eastAsia="zh-CN"/>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依据充分，</w:t>
            </w:r>
            <w:r>
              <w:rPr>
                <w:rFonts w:hint="eastAsia" w:hAnsi="宋体" w:cs="宋体"/>
                <w:color w:val="000000" w:themeColor="text1"/>
                <w:sz w:val="21"/>
                <w:highlight w:val="none"/>
                <w:lang w:val="en-US" w:eastAsia="zh-CN"/>
                <w14:textFill>
                  <w14:solidFill>
                    <w14:schemeClr w14:val="tx1"/>
                  </w14:solidFill>
                </w14:textFill>
              </w:rPr>
              <w:t>数据准确，</w:t>
            </w:r>
            <w:r>
              <w:rPr>
                <w:rFonts w:hint="eastAsia" w:hAnsi="宋体" w:cs="宋体"/>
                <w:color w:val="000000" w:themeColor="text1"/>
                <w:sz w:val="21"/>
                <w:highlight w:val="none"/>
                <w14:textFill>
                  <w14:solidFill>
                    <w14:schemeClr w14:val="tx1"/>
                  </w14:solidFill>
                </w14:textFill>
              </w:rPr>
              <w:t>条理清晰，</w:t>
            </w:r>
            <w:r>
              <w:rPr>
                <w:rFonts w:hint="eastAsia" w:hAnsi="宋体" w:cs="宋体"/>
                <w:color w:val="000000" w:themeColor="text1"/>
                <w:sz w:val="21"/>
                <w:highlight w:val="none"/>
                <w:lang w:val="en-US" w:eastAsia="zh-CN"/>
                <w14:textFill>
                  <w14:solidFill>
                    <w14:schemeClr w14:val="tx1"/>
                  </w14:solidFill>
                </w14:textFill>
              </w:rPr>
              <w:t>排版整齐，</w:t>
            </w:r>
            <w:r>
              <w:rPr>
                <w:rFonts w:hint="eastAsia" w:hAnsi="宋体" w:cs="宋体"/>
                <w:color w:val="000000" w:themeColor="text1"/>
                <w:sz w:val="21"/>
                <w:highlight w:val="none"/>
                <w14:textFill>
                  <w14:solidFill>
                    <w14:schemeClr w14:val="tx1"/>
                  </w14:solidFill>
                </w14:textFill>
              </w:rPr>
              <w:t>评审结论客观</w:t>
            </w:r>
            <w:r>
              <w:rPr>
                <w:rFonts w:hint="eastAsia" w:hAnsi="宋体" w:cs="宋体"/>
                <w:color w:val="000000" w:themeColor="text1"/>
                <w:sz w:val="21"/>
                <w:highlight w:val="none"/>
                <w:lang w:val="en-US" w:eastAsia="zh-CN"/>
                <w14:textFill>
                  <w14:solidFill>
                    <w14:schemeClr w14:val="tx1"/>
                  </w14:solidFill>
                </w14:textFill>
              </w:rPr>
              <w:t>、正确</w:t>
            </w:r>
            <w:r>
              <w:rPr>
                <w:rFonts w:hint="eastAsia"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核增及核减原因分析透彻，</w:t>
            </w:r>
            <w:r>
              <w:rPr>
                <w:rFonts w:hint="eastAsia" w:hAnsi="宋体" w:cs="宋体"/>
                <w:color w:val="000000" w:themeColor="text1"/>
                <w:sz w:val="21"/>
                <w:highlight w:val="none"/>
                <w14:textFill>
                  <w14:solidFill>
                    <w14:schemeClr w14:val="tx1"/>
                  </w14:solidFill>
                </w14:textFill>
              </w:rPr>
              <w:t>披露评审问题有理有据，提出评审建议具体</w:t>
            </w:r>
            <w:r>
              <w:rPr>
                <w:rFonts w:hint="eastAsia" w:hAnsi="宋体" w:cs="宋体"/>
                <w:color w:val="000000" w:themeColor="text1"/>
                <w:sz w:val="21"/>
                <w:highlight w:val="none"/>
                <w:lang w:val="en-US" w:eastAsia="zh-CN"/>
                <w14:textFill>
                  <w14:solidFill>
                    <w14:schemeClr w14:val="tx1"/>
                  </w14:solidFill>
                </w14:textFill>
              </w:rPr>
              <w:t>可行</w:t>
            </w:r>
            <w:r>
              <w:rPr>
                <w:rFonts w:hint="eastAsia" w:hAnsi="宋体" w:cs="宋体"/>
                <w:color w:val="000000" w:themeColor="text1"/>
                <w:sz w:val="21"/>
                <w:highlight w:val="none"/>
                <w14:textFill>
                  <w14:solidFill>
                    <w14:schemeClr w14:val="tx1"/>
                  </w14:solidFill>
                </w14:textFill>
              </w:rPr>
              <w:t>，针对性强。</w:t>
            </w:r>
          </w:p>
        </w:tc>
        <w:tc>
          <w:tcPr>
            <w:tcW w:w="704" w:type="pct"/>
            <w:noWrap w:val="0"/>
            <w:vAlign w:val="center"/>
          </w:tcPr>
          <w:p w14:paraId="78BFF923">
            <w:pPr>
              <w:pStyle w:val="26"/>
              <w:shd w:val="clear"/>
              <w:spacing w:line="360" w:lineRule="auto"/>
              <w:rPr>
                <w:rFonts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5</w:t>
            </w:r>
          </w:p>
        </w:tc>
      </w:tr>
      <w:tr w14:paraId="71C8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4C29886E">
            <w:pPr>
              <w:pStyle w:val="26"/>
              <w:shd w:val="clear"/>
              <w:spacing w:line="360" w:lineRule="auto"/>
              <w:rPr>
                <w:rFonts w:hint="eastAsia" w:hAnsi="宋体" w:eastAsia="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2</w:t>
            </w:r>
            <w:r>
              <w:rPr>
                <w:rFonts w:hint="eastAsia" w:hAnsi="宋体" w:cs="宋体"/>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lang w:val="en-US" w:eastAsia="zh-CN"/>
                <w14:textFill>
                  <w14:solidFill>
                    <w14:schemeClr w14:val="tx1"/>
                  </w14:solidFill>
                </w14:textFill>
              </w:rPr>
              <w:t>6</w:t>
            </w:r>
          </w:p>
        </w:tc>
        <w:tc>
          <w:tcPr>
            <w:tcW w:w="549" w:type="pct"/>
            <w:noWrap w:val="0"/>
            <w:vAlign w:val="center"/>
          </w:tcPr>
          <w:p w14:paraId="5F6FC29E">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人员配备</w:t>
            </w:r>
          </w:p>
        </w:tc>
        <w:tc>
          <w:tcPr>
            <w:tcW w:w="3287" w:type="pct"/>
            <w:noWrap w:val="0"/>
            <w:vAlign w:val="center"/>
          </w:tcPr>
          <w:p w14:paraId="4FCD2CF1">
            <w:pPr>
              <w:pStyle w:val="26"/>
              <w:shd w:val="clear"/>
              <w:spacing w:line="36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1.本分标人员最低配备要求：</w:t>
            </w:r>
          </w:p>
          <w:p w14:paraId="7FA19351">
            <w:pPr>
              <w:pStyle w:val="26"/>
              <w:shd w:val="clear"/>
              <w:spacing w:line="36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1</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管理及技术负责人至少1人：必须单独设置、不能兼任专职审核员，且必须具有全国计算机技术与软件专业技术资格（水平）高级及以上职称证书（含信息系统项目管理师、网络规划设计师、系统分析师、系统架构设计师、系统规划与管理师专业其中之一），或具有中国工程咨询协会颁发的咨询工程师（投资）证书【登记专业为电子、信息工程（含通信、广电、信息化）】。</w:t>
            </w:r>
          </w:p>
          <w:p w14:paraId="346F3309">
            <w:pPr>
              <w:pStyle w:val="26"/>
              <w:shd w:val="clear"/>
              <w:spacing w:line="36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2</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电子或信息工程类技术人员至少2人且必须具备以下条件之一：</w:t>
            </w:r>
          </w:p>
          <w:p w14:paraId="15B75AE6">
            <w:pPr>
              <w:pStyle w:val="26"/>
              <w:shd w:val="clear"/>
              <w:spacing w:line="36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①具有工信部考试中心颁发的《软件工程造价师》证书或省级及以上信息化行业组织颁发的软件及信息化工程《造价评估师》证书。</w:t>
            </w:r>
          </w:p>
          <w:p w14:paraId="303D5B26">
            <w:pPr>
              <w:pStyle w:val="26"/>
              <w:shd w:val="clear"/>
              <w:spacing w:line="36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②具有全国计算机技术与软件专业技术资格（水平）中级及以上职称证书（含信息系统项目管理师、网络规划设计师、系统分析师、系统架构设计师、系统规划与管理师专业其中之一）。</w:t>
            </w:r>
          </w:p>
          <w:p w14:paraId="654C5761">
            <w:pPr>
              <w:pStyle w:val="26"/>
              <w:shd w:val="clear"/>
              <w:spacing w:line="36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③具有中国工程咨询协会颁发的咨询工程师（投资）证书【注册专业为：电子、信息工程（含通信、广电、信息化）】</w:t>
            </w:r>
          </w:p>
          <w:p w14:paraId="19ACB247">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④具有工业和信息化部电子工业标准化研究院颁发的IT审计师证书。。</w:t>
            </w:r>
          </w:p>
          <w:p w14:paraId="27A5B10E">
            <w:pPr>
              <w:shd w:val="clea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bidi="ar"/>
                <w14:textFill>
                  <w14:solidFill>
                    <w14:schemeClr w14:val="tx1"/>
                  </w14:solidFill>
                </w14:textFill>
              </w:rPr>
              <w:t>供应商响应投入的人员</w:t>
            </w:r>
            <w:r>
              <w:rPr>
                <w:rFonts w:hint="eastAsia" w:ascii="宋体" w:hAnsi="宋体" w:cs="宋体"/>
                <w:color w:val="000000" w:themeColor="text1"/>
                <w:szCs w:val="21"/>
                <w:highlight w:val="none"/>
                <w14:textFill>
                  <w14:solidFill>
                    <w14:schemeClr w14:val="tx1"/>
                  </w14:solidFill>
                </w14:textFill>
              </w:rPr>
              <w:t>满足上述要求的得30分，</w:t>
            </w:r>
            <w:r>
              <w:rPr>
                <w:rFonts w:hint="eastAsia" w:ascii="宋体" w:hAnsi="宋体"/>
                <w:b/>
                <w:color w:val="000000" w:themeColor="text1"/>
                <w:szCs w:val="21"/>
                <w:highlight w:val="none"/>
                <w14:textFill>
                  <w14:solidFill>
                    <w14:schemeClr w14:val="tx1"/>
                  </w14:solidFill>
                </w14:textFill>
              </w:rPr>
              <w:t>不满足以上最低人员配备要求的，按无效响应处理。</w:t>
            </w:r>
          </w:p>
          <w:p w14:paraId="70424CB4">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r>
              <w:rPr>
                <w:rFonts w:hint="eastAsia" w:hAnsi="宋体" w:cs="宋体"/>
                <w:color w:val="000000" w:themeColor="text1"/>
                <w:sz w:val="21"/>
                <w:highlight w:val="none"/>
                <w14:textFill>
                  <w14:solidFill>
                    <w14:schemeClr w14:val="tx1"/>
                  </w14:solidFill>
                </w14:textFill>
              </w:rPr>
              <w:t>供应商可在满足第1条的基础上</w:t>
            </w:r>
            <w:r>
              <w:rPr>
                <w:rFonts w:hint="eastAsia" w:hAnsi="宋体" w:cs="宋体"/>
                <w:color w:val="000000" w:themeColor="text1"/>
                <w:sz w:val="21"/>
                <w:szCs w:val="21"/>
                <w:highlight w:val="none"/>
                <w14:textFill>
                  <w14:solidFill>
                    <w14:schemeClr w14:val="tx1"/>
                  </w14:solidFill>
                </w14:textFill>
              </w:rPr>
              <w:t>每多增加1名技术人员加3分，满分15分。</w:t>
            </w:r>
          </w:p>
          <w:p w14:paraId="2CF44680">
            <w:pPr>
              <w:shd w:val="clear"/>
              <w:spacing w:line="360" w:lineRule="auto"/>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w:t>
            </w:r>
            <w:r>
              <w:rPr>
                <w:rFonts w:hint="eastAsia" w:ascii="宋体" w:hAnsi="宋体" w:cs="宋体"/>
                <w:color w:val="000000" w:themeColor="text1"/>
                <w:szCs w:val="21"/>
                <w:highlight w:val="none"/>
                <w14:textFill>
                  <w14:solidFill>
                    <w14:schemeClr w14:val="tx1"/>
                  </w14:solidFill>
                </w14:textFill>
              </w:rPr>
              <w:t>1.以上人员必须为本单位，须提供响应文件截止之日止半年内任意连续三个月供应商为该人员购买社保的在职证明材料（退休返聘人员除外）。</w:t>
            </w:r>
          </w:p>
          <w:p w14:paraId="3F206374">
            <w:pPr>
              <w:shd w:val="clea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2.如有退休返聘的人员，必须提供该人员与供应商签订的返聘合同及退休证明，且不满70周岁。</w:t>
            </w:r>
            <w:r>
              <w:rPr>
                <w:rFonts w:hint="eastAsia" w:ascii="宋体" w:hAnsi="宋体" w:cs="宋体"/>
                <w:b/>
                <w:color w:val="000000" w:themeColor="text1"/>
                <w:szCs w:val="21"/>
                <w:highlight w:val="none"/>
                <w14:textFill>
                  <w14:solidFill>
                    <w14:schemeClr w14:val="tx1"/>
                  </w14:solidFill>
                </w14:textFill>
              </w:rPr>
              <w:t>退休返聘人员最多为</w:t>
            </w:r>
            <w:r>
              <w:rPr>
                <w:rFonts w:hint="eastAsia" w:ascii="宋体" w:hAnsi="宋体" w:cs="宋体"/>
                <w:b/>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人，超过</w:t>
            </w:r>
            <w:r>
              <w:rPr>
                <w:rFonts w:hint="eastAsia" w:ascii="宋体" w:hAnsi="宋体" w:cs="宋体"/>
                <w:b/>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人按无效响应处理。</w:t>
            </w:r>
          </w:p>
          <w:p w14:paraId="3DB48A7E">
            <w:pPr>
              <w:shd w:val="clear"/>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hAnsi="宋体" w:cs="宋体"/>
                <w:color w:val="000000" w:themeColor="text1"/>
                <w:szCs w:val="21"/>
                <w:highlight w:val="none"/>
                <w:lang w:bidi="ar"/>
                <w14:textFill>
                  <w14:solidFill>
                    <w14:schemeClr w14:val="tx1"/>
                  </w14:solidFill>
                </w14:textFill>
              </w:rPr>
              <w:t>若供应商使用同一个人的不同证书作为人员配备评分依据的，只能按一个计分，不能分别计分。</w:t>
            </w:r>
          </w:p>
        </w:tc>
        <w:tc>
          <w:tcPr>
            <w:tcW w:w="704" w:type="pct"/>
            <w:noWrap w:val="0"/>
            <w:vAlign w:val="center"/>
          </w:tcPr>
          <w:p w14:paraId="38769D4F">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45</w:t>
            </w:r>
          </w:p>
        </w:tc>
      </w:tr>
      <w:tr w14:paraId="647F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280F8545">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3</w:t>
            </w:r>
          </w:p>
        </w:tc>
        <w:tc>
          <w:tcPr>
            <w:tcW w:w="549" w:type="pct"/>
            <w:noWrap w:val="0"/>
            <w:vAlign w:val="center"/>
          </w:tcPr>
          <w:p w14:paraId="4D995556">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商务分</w:t>
            </w:r>
          </w:p>
        </w:tc>
        <w:tc>
          <w:tcPr>
            <w:tcW w:w="3287" w:type="pct"/>
            <w:noWrap w:val="0"/>
            <w:vAlign w:val="center"/>
          </w:tcPr>
          <w:p w14:paraId="72BAE055">
            <w:pPr>
              <w:pStyle w:val="26"/>
              <w:shd w:val="clear"/>
              <w:spacing w:line="360" w:lineRule="auto"/>
              <w:rPr>
                <w:rFonts w:hAnsi="宋体" w:cs="宋体"/>
                <w:bCs/>
                <w:color w:val="000000" w:themeColor="text1"/>
                <w:sz w:val="21"/>
                <w:highlight w:val="none"/>
                <w14:textFill>
                  <w14:solidFill>
                    <w14:schemeClr w14:val="tx1"/>
                  </w14:solidFill>
                </w14:textFill>
              </w:rPr>
            </w:pPr>
          </w:p>
        </w:tc>
        <w:tc>
          <w:tcPr>
            <w:tcW w:w="704" w:type="pct"/>
            <w:noWrap w:val="0"/>
            <w:vAlign w:val="center"/>
          </w:tcPr>
          <w:p w14:paraId="037D47A5">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满分</w:t>
            </w:r>
            <w:r>
              <w:rPr>
                <w:rFonts w:hint="eastAsia" w:hAnsi="宋体" w:cs="宋体"/>
                <w:bCs/>
                <w:color w:val="000000" w:themeColor="text1"/>
                <w:sz w:val="21"/>
                <w:highlight w:val="none"/>
                <w:lang w:val="en-US" w:eastAsia="zh-CN"/>
                <w14:textFill>
                  <w14:solidFill>
                    <w14:schemeClr w14:val="tx1"/>
                  </w14:solidFill>
                </w14:textFill>
              </w:rPr>
              <w:t>2</w:t>
            </w:r>
            <w:r>
              <w:rPr>
                <w:rFonts w:hint="eastAsia" w:hAnsi="宋体" w:cs="宋体"/>
                <w:bCs/>
                <w:color w:val="000000" w:themeColor="text1"/>
                <w:sz w:val="21"/>
                <w:highlight w:val="none"/>
                <w14:textFill>
                  <w14:solidFill>
                    <w14:schemeClr w14:val="tx1"/>
                  </w14:solidFill>
                </w14:textFill>
              </w:rPr>
              <w:t>0分</w:t>
            </w:r>
          </w:p>
        </w:tc>
      </w:tr>
      <w:tr w14:paraId="0123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6654DBBE">
            <w:pPr>
              <w:pStyle w:val="26"/>
              <w:shd w:val="clear"/>
              <w:spacing w:line="360" w:lineRule="auto"/>
              <w:rPr>
                <w:rFonts w:hint="eastAsia" w:hAnsi="宋体" w:eastAsia="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3.</w:t>
            </w:r>
            <w:r>
              <w:rPr>
                <w:rFonts w:hint="eastAsia" w:hAnsi="宋体" w:cs="宋体"/>
                <w:bCs/>
                <w:color w:val="000000" w:themeColor="text1"/>
                <w:sz w:val="21"/>
                <w:highlight w:val="none"/>
                <w:lang w:val="en-US" w:eastAsia="zh-CN"/>
                <w14:textFill>
                  <w14:solidFill>
                    <w14:schemeClr w14:val="tx1"/>
                  </w14:solidFill>
                </w14:textFill>
              </w:rPr>
              <w:t>1</w:t>
            </w:r>
          </w:p>
        </w:tc>
        <w:tc>
          <w:tcPr>
            <w:tcW w:w="549" w:type="pct"/>
            <w:noWrap w:val="0"/>
            <w:vAlign w:val="center"/>
          </w:tcPr>
          <w:p w14:paraId="34003B51">
            <w:pPr>
              <w:pStyle w:val="26"/>
              <w:shd w:val="clear"/>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供应商</w:t>
            </w:r>
          </w:p>
          <w:p w14:paraId="31C65C0E">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实力</w:t>
            </w:r>
          </w:p>
        </w:tc>
        <w:tc>
          <w:tcPr>
            <w:tcW w:w="3287" w:type="pct"/>
            <w:noWrap w:val="0"/>
            <w:vAlign w:val="center"/>
          </w:tcPr>
          <w:p w14:paraId="62907B2C">
            <w:pPr>
              <w:shd w:val="clea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1.供应商具有《工程咨询单位资信证书》（含通信、广电、信息化）专业资信或资格的，甲级得2分，乙级得1分，满分2分。</w:t>
            </w:r>
          </w:p>
          <w:p w14:paraId="7798DD0B">
            <w:pPr>
              <w:shd w:val="clea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2.ISO20000《信息技术服务管理体系认证证书》、ISO27001《信息安全管理体系认证证书》（以上认证范围须在有效期内，内容须包含：工程咨询或信息系统咨询）的，每项得</w:t>
            </w:r>
            <w:r>
              <w:rPr>
                <w:rFonts w:hint="eastAsia" w:ascii="宋体" w:hAnsi="宋体" w:cs="宋体"/>
                <w:color w:val="000000" w:themeColor="text1"/>
                <w:szCs w:val="21"/>
                <w:highlight w:val="none"/>
                <w:lang w:val="en-US" w:eastAsia="zh-CN"/>
                <w14:textFill>
                  <w14:solidFill>
                    <w14:schemeClr w14:val="tx1"/>
                  </w14:solidFill>
                </w14:textFill>
              </w:rPr>
              <w:t>0.5</w:t>
            </w:r>
            <w:r>
              <w:rPr>
                <w:rFonts w:hint="eastAsia" w:ascii="宋体" w:hAnsi="宋体" w:cs="宋体"/>
                <w:color w:val="000000" w:themeColor="text1"/>
                <w:szCs w:val="21"/>
                <w:highlight w:val="none"/>
                <w14:textFill>
                  <w14:solidFill>
                    <w14:schemeClr w14:val="tx1"/>
                  </w14:solidFill>
                </w14:textFill>
              </w:rPr>
              <w:t>分，满分</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4EDB56F3">
            <w:pPr>
              <w:shd w:val="clea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3.供应商参与过省级及以上信息化项目软件类费用或运维类费用的相关标准编写，每有一个标准得0.5分，此项满分1分。</w:t>
            </w:r>
          </w:p>
        </w:tc>
        <w:tc>
          <w:tcPr>
            <w:tcW w:w="704" w:type="pct"/>
            <w:noWrap w:val="0"/>
            <w:vAlign w:val="center"/>
          </w:tcPr>
          <w:p w14:paraId="077A8EDA">
            <w:pPr>
              <w:pStyle w:val="26"/>
              <w:shd w:val="clear"/>
              <w:spacing w:line="360" w:lineRule="auto"/>
              <w:rPr>
                <w:rFonts w:hint="eastAsia" w:hAnsi="宋体" w:eastAsia="宋体" w:cs="宋体"/>
                <w:bCs/>
                <w:color w:val="000000" w:themeColor="text1"/>
                <w:sz w:val="21"/>
                <w:highlight w:val="none"/>
                <w:lang w:eastAsia="zh-CN"/>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4</w:t>
            </w:r>
          </w:p>
        </w:tc>
      </w:tr>
      <w:tr w14:paraId="5A66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7D52C2BB">
            <w:pPr>
              <w:pStyle w:val="26"/>
              <w:shd w:val="clear"/>
              <w:spacing w:line="360" w:lineRule="auto"/>
              <w:rPr>
                <w:rFonts w:hint="eastAsia" w:hAnsi="宋体" w:eastAsia="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3.</w:t>
            </w:r>
            <w:r>
              <w:rPr>
                <w:rFonts w:hint="eastAsia" w:hAnsi="宋体" w:cs="宋体"/>
                <w:bCs/>
                <w:color w:val="000000" w:themeColor="text1"/>
                <w:sz w:val="21"/>
                <w:highlight w:val="none"/>
                <w:lang w:val="en-US" w:eastAsia="zh-CN"/>
                <w14:textFill>
                  <w14:solidFill>
                    <w14:schemeClr w14:val="tx1"/>
                  </w14:solidFill>
                </w14:textFill>
              </w:rPr>
              <w:t>2</w:t>
            </w:r>
          </w:p>
        </w:tc>
        <w:tc>
          <w:tcPr>
            <w:tcW w:w="549" w:type="pct"/>
            <w:noWrap w:val="0"/>
            <w:vAlign w:val="center"/>
          </w:tcPr>
          <w:p w14:paraId="314B358E">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业绩</w:t>
            </w:r>
          </w:p>
        </w:tc>
        <w:tc>
          <w:tcPr>
            <w:tcW w:w="3287" w:type="pct"/>
            <w:noWrap w:val="0"/>
            <w:vAlign w:val="center"/>
          </w:tcPr>
          <w:p w14:paraId="0C1C5B6B">
            <w:pPr>
              <w:shd w:val="clea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考核期内承接过与本</w:t>
            </w:r>
            <w:r>
              <w:rPr>
                <w:rFonts w:hint="eastAsia" w:ascii="宋体" w:hAnsi="宋体" w:cs="宋体"/>
                <w:color w:val="000000" w:themeColor="text1"/>
                <w:szCs w:val="21"/>
                <w:highlight w:val="none"/>
                <w:lang w:eastAsia="zh-CN"/>
                <w14:textFill>
                  <w14:solidFill>
                    <w14:schemeClr w14:val="tx1"/>
                  </w14:solidFill>
                </w14:textFill>
              </w:rPr>
              <w:t>分标</w:t>
            </w:r>
            <w:r>
              <w:rPr>
                <w:rFonts w:hint="eastAsia" w:ascii="宋体" w:hAnsi="宋体" w:cs="宋体"/>
                <w:color w:val="000000" w:themeColor="text1"/>
                <w:szCs w:val="21"/>
                <w:highlight w:val="none"/>
                <w14:textFill>
                  <w14:solidFill>
                    <w14:schemeClr w14:val="tx1"/>
                  </w14:solidFill>
                </w14:textFill>
              </w:rPr>
              <w:t>服务采购履约相关的项目</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单项</w:t>
            </w:r>
            <w:r>
              <w:rPr>
                <w:rFonts w:hint="eastAsia" w:ascii="宋体" w:hAnsi="宋体" w:cs="宋体"/>
                <w:color w:val="000000" w:themeColor="text1"/>
                <w:szCs w:val="21"/>
                <w:highlight w:val="none"/>
                <w:lang w:eastAsia="zh-CN"/>
                <w14:textFill>
                  <w14:solidFill>
                    <w14:schemeClr w14:val="tx1"/>
                  </w14:solidFill>
                </w14:textFill>
              </w:rPr>
              <w:t>在</w:t>
            </w:r>
            <w:r>
              <w:rPr>
                <w:rFonts w:hint="eastAsia" w:ascii="宋体" w:hAnsi="宋体" w:cs="宋体"/>
                <w:color w:val="000000" w:themeColor="text1"/>
                <w:szCs w:val="21"/>
                <w:highlight w:val="none"/>
                <w14:textFill>
                  <w14:solidFill>
                    <w14:schemeClr w14:val="tx1"/>
                  </w14:solidFill>
                </w14:textFill>
              </w:rPr>
              <w:t>1000万元以下（含1000万元）的，每个项目得1分；1000万元以上，3000万元以下（含3000万元）的，每个项目得2分；3000万元以上的，每个项目得3分。此项满分10分。</w:t>
            </w:r>
          </w:p>
          <w:p w14:paraId="4ED17CF9">
            <w:pPr>
              <w:shd w:val="clea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注：考核期为202</w:t>
            </w:r>
            <w:r>
              <w:rPr>
                <w:rFonts w:hint="eastAsia" w:ascii="宋体" w:hAnsi="宋体" w:cs="宋体"/>
                <w:color w:val="000000" w:themeColor="text1"/>
                <w:szCs w:val="21"/>
                <w:highlight w:val="none"/>
                <w:lang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年1月至今，考核项目须提交合同（或协议）或审核成果等相关证明材料。若供应商使用同一项目的招标控制价、概算、预算、结算等分别作为业绩评分依据的，只能按一个项目计分，不能分别计分。</w:t>
            </w:r>
          </w:p>
        </w:tc>
        <w:tc>
          <w:tcPr>
            <w:tcW w:w="704" w:type="pct"/>
            <w:noWrap w:val="0"/>
            <w:vAlign w:val="center"/>
          </w:tcPr>
          <w:p w14:paraId="46F6081B">
            <w:pPr>
              <w:pStyle w:val="26"/>
              <w:shd w:val="clear"/>
              <w:spacing w:line="360" w:lineRule="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10</w:t>
            </w:r>
          </w:p>
        </w:tc>
      </w:tr>
      <w:tr w14:paraId="3FB7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7828B4D3">
            <w:pPr>
              <w:pStyle w:val="26"/>
              <w:shd w:val="clear"/>
              <w:spacing w:line="360" w:lineRule="auto"/>
              <w:rPr>
                <w:rFonts w:hint="default" w:hAnsi="宋体" w:cs="宋体"/>
                <w:bCs/>
                <w:color w:val="000000" w:themeColor="text1"/>
                <w:sz w:val="21"/>
                <w:highlight w:val="none"/>
                <w:lang w:val="en-US"/>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3.3</w:t>
            </w:r>
          </w:p>
        </w:tc>
        <w:tc>
          <w:tcPr>
            <w:tcW w:w="549" w:type="pct"/>
            <w:noWrap w:val="0"/>
            <w:vAlign w:val="center"/>
          </w:tcPr>
          <w:p w14:paraId="7EC827EF">
            <w:pPr>
              <w:pStyle w:val="26"/>
              <w:shd w:val="clear"/>
              <w:spacing w:line="360" w:lineRule="auto"/>
              <w:rPr>
                <w:rFonts w:hint="eastAsia"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政策功能</w:t>
            </w:r>
          </w:p>
        </w:tc>
        <w:tc>
          <w:tcPr>
            <w:tcW w:w="3287" w:type="pct"/>
            <w:noWrap w:val="0"/>
            <w:vAlign w:val="center"/>
          </w:tcPr>
          <w:p w14:paraId="6E17EAC8">
            <w:pPr>
              <w:shd w:val="clear"/>
              <w:spacing w:line="360" w:lineRule="auto"/>
              <w:jc w:val="left"/>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本项目为非专门面向小微企业采购的项目，小微企业加1分，满分1分。</w:t>
            </w:r>
          </w:p>
          <w:p w14:paraId="0EF1ABDC">
            <w:pPr>
              <w:shd w:val="clear"/>
              <w:spacing w:line="360" w:lineRule="auto"/>
              <w:jc w:val="left"/>
              <w:rPr>
                <w:rFonts w:hint="eastAsia"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注：提供中小企业声明函。</w:t>
            </w:r>
          </w:p>
        </w:tc>
        <w:tc>
          <w:tcPr>
            <w:tcW w:w="704" w:type="pct"/>
            <w:noWrap w:val="0"/>
            <w:vAlign w:val="center"/>
          </w:tcPr>
          <w:p w14:paraId="0A349F1F">
            <w:pPr>
              <w:pStyle w:val="26"/>
              <w:shd w:val="clear"/>
              <w:spacing w:line="360" w:lineRule="auto"/>
              <w:rPr>
                <w:rFonts w:hint="eastAsia"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lang w:val="en-US" w:eastAsia="zh-CN"/>
                <w14:textFill>
                  <w14:solidFill>
                    <w14:schemeClr w14:val="tx1"/>
                  </w14:solidFill>
                </w14:textFill>
              </w:rPr>
              <w:t>1</w:t>
            </w:r>
          </w:p>
        </w:tc>
      </w:tr>
      <w:tr w14:paraId="3D73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noWrap w:val="0"/>
            <w:vAlign w:val="center"/>
          </w:tcPr>
          <w:p w14:paraId="673232B2">
            <w:pPr>
              <w:pStyle w:val="26"/>
              <w:shd w:val="clear"/>
              <w:spacing w:line="360" w:lineRule="auto"/>
              <w:rPr>
                <w:rFonts w:hint="default" w:hAnsi="宋体" w:eastAsia="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3.4</w:t>
            </w:r>
          </w:p>
        </w:tc>
        <w:tc>
          <w:tcPr>
            <w:tcW w:w="549" w:type="pct"/>
            <w:noWrap w:val="0"/>
            <w:vAlign w:val="center"/>
          </w:tcPr>
          <w:p w14:paraId="74E7FB09">
            <w:pPr>
              <w:pStyle w:val="26"/>
              <w:shd w:val="clear"/>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服务承诺</w:t>
            </w:r>
          </w:p>
        </w:tc>
        <w:tc>
          <w:tcPr>
            <w:tcW w:w="3287" w:type="pct"/>
            <w:noWrap w:val="0"/>
            <w:vAlign w:val="center"/>
          </w:tcPr>
          <w:p w14:paraId="16B4F73C">
            <w:pPr>
              <w:shd w:val="clea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供应商向征集人同时做出以下承诺的，得5分，满分5分：</w:t>
            </w:r>
          </w:p>
          <w:p w14:paraId="5A354AB2">
            <w:pPr>
              <w:shd w:val="clea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①承诺在规定时间内完成任务；</w:t>
            </w:r>
          </w:p>
          <w:p w14:paraId="2EF01772">
            <w:pPr>
              <w:shd w:val="clea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②承诺误差率不超过3％；</w:t>
            </w:r>
          </w:p>
          <w:p w14:paraId="3EC03373">
            <w:pPr>
              <w:shd w:val="clea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③承诺入围后业务不分包；</w:t>
            </w:r>
          </w:p>
          <w:p w14:paraId="7B18C93B">
            <w:pPr>
              <w:shd w:val="clea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④承诺入围后</w:t>
            </w:r>
            <w:r>
              <w:rPr>
                <w:rFonts w:hint="eastAsia" w:ascii="宋体" w:hAnsi="宋体" w:eastAsia="宋体" w:cs="宋体"/>
                <w:color w:val="000000" w:themeColor="text1"/>
                <w:sz w:val="21"/>
                <w:szCs w:val="21"/>
                <w:highlight w:val="none"/>
                <w14:textFill>
                  <w14:solidFill>
                    <w14:schemeClr w14:val="tx1"/>
                  </w14:solidFill>
                </w14:textFill>
              </w:rPr>
              <w:t>能够在需要时提供一名坐班人员</w:t>
            </w:r>
            <w:r>
              <w:rPr>
                <w:rFonts w:hint="eastAsia" w:ascii="宋体" w:hAnsi="宋体" w:eastAsia="宋体" w:cs="宋体"/>
                <w:color w:val="000000" w:themeColor="text1"/>
                <w:sz w:val="21"/>
                <w:szCs w:val="21"/>
                <w:highlight w:val="none"/>
                <w:lang w:eastAsia="zh-CN"/>
                <w14:textFill>
                  <w14:solidFill>
                    <w14:schemeClr w14:val="tx1"/>
                  </w14:solidFill>
                </w14:textFill>
              </w:rPr>
              <w:t>，按征集人指定地点坐班，年龄60周岁以下，能胜任审核工作，需满足电子或信息工程类技术人员及以上的条件</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w:t>
            </w:r>
          </w:p>
          <w:p w14:paraId="39419731">
            <w:pPr>
              <w:shd w:val="clea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⑤承诺在项目服务过程中，迅速响应征集人和采购人的要求。在接到采购人紧急处理事项后，1个小时内到达指定地点；在采购人下达委托任务后，2小时内到达指定地点检查、领取协审资料；在接到采购人对数通知后，1个小时内到达指定对数地点；在收到采购人审核确认的成果资料后，1个工作日内盖章并返回采购人；</w:t>
            </w:r>
          </w:p>
          <w:p w14:paraId="46E0BE88">
            <w:pPr>
              <w:shd w:val="clea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⑥承诺入围后设立独立的办公场所。</w:t>
            </w:r>
          </w:p>
        </w:tc>
        <w:tc>
          <w:tcPr>
            <w:tcW w:w="704" w:type="pct"/>
            <w:noWrap w:val="0"/>
            <w:vAlign w:val="center"/>
          </w:tcPr>
          <w:p w14:paraId="7556A04C">
            <w:pPr>
              <w:pStyle w:val="26"/>
              <w:shd w:val="clear"/>
              <w:spacing w:line="360" w:lineRule="auto"/>
              <w:rPr>
                <w:rFonts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0</w:t>
            </w:r>
            <w:r>
              <w:rPr>
                <w:rFonts w:ascii="Times New Roman" w:hAnsi="Times New Roman"/>
                <w:bCs/>
                <w:color w:val="000000" w:themeColor="text1"/>
                <w:sz w:val="21"/>
                <w:highlight w:val="none"/>
                <w14:textFill>
                  <w14:solidFill>
                    <w14:schemeClr w14:val="tx1"/>
                  </w14:solidFill>
                </w14:textFill>
              </w:rPr>
              <w:t>~</w:t>
            </w:r>
            <w:r>
              <w:rPr>
                <w:rFonts w:hint="eastAsia" w:hAnsi="宋体" w:cs="宋体"/>
                <w:bCs/>
                <w:color w:val="000000" w:themeColor="text1"/>
                <w:sz w:val="21"/>
                <w:highlight w:val="none"/>
                <w14:textFill>
                  <w14:solidFill>
                    <w14:schemeClr w14:val="tx1"/>
                  </w14:solidFill>
                </w14:textFill>
              </w:rPr>
              <w:t>5</w:t>
            </w:r>
          </w:p>
        </w:tc>
      </w:tr>
    </w:tbl>
    <w:p w14:paraId="1CC56028">
      <w:pPr>
        <w:pStyle w:val="26"/>
        <w:shd w:val="clear"/>
        <w:spacing w:line="360" w:lineRule="auto"/>
        <w:ind w:firstLine="105"/>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注：评分分值按四舍五入取至</w:t>
      </w:r>
      <w:r>
        <w:rPr>
          <w:rFonts w:hint="eastAsia" w:hAnsi="宋体" w:cs="宋体"/>
          <w:color w:val="000000" w:themeColor="text1"/>
          <w:highlight w:val="none"/>
          <w14:textFill>
            <w14:solidFill>
              <w14:schemeClr w14:val="tx1"/>
            </w14:solidFill>
          </w14:textFill>
        </w:rPr>
        <w:t>小数点后四位</w:t>
      </w:r>
      <w:r>
        <w:rPr>
          <w:rFonts w:hint="eastAsia" w:hAnsi="宋体" w:cs="宋体"/>
          <w:bCs/>
          <w:color w:val="000000" w:themeColor="text1"/>
          <w:highlight w:val="none"/>
          <w14:textFill>
            <w14:solidFill>
              <w14:schemeClr w14:val="tx1"/>
            </w14:solidFill>
          </w14:textFill>
        </w:rPr>
        <w:t>。</w:t>
      </w:r>
    </w:p>
    <w:p w14:paraId="38ED78C3">
      <w:pPr>
        <w:pStyle w:val="2"/>
        <w:keepNext w:val="0"/>
        <w:keepLines w:val="0"/>
        <w:shd w:val="clear"/>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br w:type="page"/>
      </w:r>
      <w:bookmarkEnd w:id="10"/>
      <w:bookmarkStart w:id="104" w:name="_Toc5785"/>
      <w:r>
        <w:rPr>
          <w:rFonts w:hint="eastAsia" w:ascii="宋体" w:hAnsi="宋体" w:eastAsia="宋体" w:cs="宋体"/>
          <w:color w:val="000000" w:themeColor="text1"/>
          <w:highlight w:val="none"/>
          <w14:textFill>
            <w14:solidFill>
              <w14:schemeClr w14:val="tx1"/>
            </w14:solidFill>
          </w14:textFill>
        </w:rPr>
        <w:t>第五章 拟</w:t>
      </w:r>
      <w:bookmarkEnd w:id="104"/>
      <w:r>
        <w:rPr>
          <w:rFonts w:hint="eastAsia" w:hAnsi="宋体" w:cs="宋体"/>
          <w:b/>
          <w:color w:val="000000" w:themeColor="text1"/>
          <w:sz w:val="36"/>
          <w:highlight w:val="none"/>
          <w14:textFill>
            <w14:solidFill>
              <w14:schemeClr w14:val="tx1"/>
            </w14:solidFill>
          </w14:textFill>
        </w:rPr>
        <w:t>签订的框架协议和采购合同文本</w:t>
      </w:r>
    </w:p>
    <w:p w14:paraId="13151130">
      <w:pPr>
        <w:shd w:val="clear"/>
        <w:rPr>
          <w:rFonts w:hint="eastAsia" w:ascii="宋体" w:hAnsi="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br w:type="page"/>
      </w:r>
    </w:p>
    <w:p w14:paraId="23680EAC">
      <w:pPr>
        <w:pStyle w:val="26"/>
        <w:shd w:val="clear"/>
        <w:tabs>
          <w:tab w:val="left" w:pos="2472"/>
        </w:tabs>
        <w:spacing w:line="460" w:lineRule="exact"/>
        <w:jc w:val="center"/>
        <w:rPr>
          <w:rFonts w:hAnsi="宋体" w:cs="宋体"/>
          <w:b/>
          <w:bCs/>
          <w:color w:val="000000" w:themeColor="text1"/>
          <w:sz w:val="44"/>
          <w:highlight w:val="none"/>
          <w14:textFill>
            <w14:solidFill>
              <w14:schemeClr w14:val="tx1"/>
            </w14:solidFill>
          </w14:textFill>
        </w:rPr>
      </w:pPr>
    </w:p>
    <w:p w14:paraId="42B5096A">
      <w:pPr>
        <w:pStyle w:val="26"/>
        <w:shd w:val="clear"/>
        <w:tabs>
          <w:tab w:val="left" w:pos="2472"/>
        </w:tabs>
        <w:spacing w:line="460" w:lineRule="exact"/>
        <w:ind w:firstLine="221"/>
        <w:jc w:val="center"/>
        <w:rPr>
          <w:rFonts w:hAnsi="宋体" w:cs="宋体"/>
          <w:b/>
          <w:bCs/>
          <w:color w:val="000000" w:themeColor="text1"/>
          <w:sz w:val="44"/>
          <w:highlight w:val="none"/>
          <w14:textFill>
            <w14:solidFill>
              <w14:schemeClr w14:val="tx1"/>
            </w14:solidFill>
          </w14:textFill>
        </w:rPr>
      </w:pPr>
    </w:p>
    <w:p w14:paraId="2C38EDB1">
      <w:pPr>
        <w:pStyle w:val="26"/>
        <w:shd w:val="clear"/>
        <w:tabs>
          <w:tab w:val="left" w:pos="2472"/>
        </w:tabs>
        <w:spacing w:line="460" w:lineRule="exact"/>
        <w:ind w:firstLine="221"/>
        <w:jc w:val="center"/>
        <w:outlineLvl w:val="0"/>
        <w:rPr>
          <w:rFonts w:hAnsi="宋体" w:cs="宋体"/>
          <w:b/>
          <w:color w:val="000000" w:themeColor="text1"/>
          <w:sz w:val="36"/>
          <w:highlight w:val="none"/>
          <w14:textFill>
            <w14:solidFill>
              <w14:schemeClr w14:val="tx1"/>
            </w14:solidFill>
          </w14:textFill>
        </w:rPr>
      </w:pPr>
      <w:bookmarkStart w:id="105" w:name="_Toc27105"/>
      <w:bookmarkStart w:id="106" w:name="_Toc9015"/>
      <w:r>
        <w:rPr>
          <w:rFonts w:hint="eastAsia" w:hAnsi="宋体" w:cs="宋体"/>
          <w:b/>
          <w:bCs/>
          <w:color w:val="000000" w:themeColor="text1"/>
          <w:sz w:val="44"/>
          <w:highlight w:val="none"/>
          <w14:textFill>
            <w14:solidFill>
              <w14:schemeClr w14:val="tx1"/>
            </w14:solidFill>
          </w14:textFill>
        </w:rPr>
        <w:t>第一节 框架协议文本</w:t>
      </w:r>
      <w:r>
        <w:rPr>
          <w:rFonts w:hint="eastAsia" w:hAnsi="宋体" w:cs="宋体"/>
          <w:b/>
          <w:color w:val="000000" w:themeColor="text1"/>
          <w:sz w:val="36"/>
          <w:highlight w:val="none"/>
          <w14:textFill>
            <w14:solidFill>
              <w14:schemeClr w14:val="tx1"/>
            </w14:solidFill>
          </w14:textFill>
        </w:rPr>
        <w:br w:type="page"/>
      </w:r>
      <w:bookmarkEnd w:id="105"/>
      <w:bookmarkEnd w:id="106"/>
    </w:p>
    <w:p w14:paraId="21186AF2">
      <w:pPr>
        <w:shd w:val="clear"/>
        <w:spacing w:line="360" w:lineRule="auto"/>
        <w:jc w:val="center"/>
        <w:rPr>
          <w:rFonts w:ascii="宋体" w:hAnsi="宋体" w:cs="宋体"/>
          <w:color w:val="000000" w:themeColor="text1"/>
          <w:highlight w:val="none"/>
          <w14:textFill>
            <w14:solidFill>
              <w14:schemeClr w14:val="tx1"/>
            </w14:solidFill>
          </w14:textFill>
        </w:rPr>
      </w:pPr>
    </w:p>
    <w:p w14:paraId="4327B178">
      <w:pPr>
        <w:shd w:val="clear"/>
        <w:spacing w:line="360" w:lineRule="auto"/>
        <w:jc w:val="center"/>
        <w:rPr>
          <w:rFonts w:hint="eastAsia" w:ascii="宋体" w:hAnsi="宋体" w:eastAsia="宋体" w:cs="宋体"/>
          <w:b/>
          <w:bCs/>
          <w:color w:val="000000" w:themeColor="text1"/>
          <w:sz w:val="44"/>
          <w:highlight w:val="none"/>
          <w:lang w:eastAsia="zh-CN"/>
          <w14:textFill>
            <w14:solidFill>
              <w14:schemeClr w14:val="tx1"/>
            </w14:solidFill>
          </w14:textFill>
        </w:rPr>
      </w:pPr>
      <w:r>
        <w:rPr>
          <w:rFonts w:hint="eastAsia" w:ascii="宋体" w:hAnsi="宋体" w:cs="宋体"/>
          <w:b/>
          <w:bCs/>
          <w:color w:val="000000" w:themeColor="text1"/>
          <w:sz w:val="44"/>
          <w:highlight w:val="none"/>
          <w:lang w:eastAsia="zh-CN"/>
          <w14:textFill>
            <w14:solidFill>
              <w14:schemeClr w14:val="tx1"/>
            </w14:solidFill>
          </w14:textFill>
        </w:rPr>
        <w:t>2025-2027年度上思县财政投资评审服务框架协议采购</w:t>
      </w:r>
    </w:p>
    <w:p w14:paraId="5F74BA5A">
      <w:pPr>
        <w:shd w:val="clear"/>
        <w:spacing w:line="360" w:lineRule="auto"/>
        <w:jc w:val="center"/>
        <w:rPr>
          <w:rFonts w:ascii="宋体" w:hAnsi="宋体" w:cs="宋体"/>
          <w:b/>
          <w:bCs/>
          <w:color w:val="000000" w:themeColor="text1"/>
          <w:sz w:val="44"/>
          <w:highlight w:val="none"/>
          <w14:textFill>
            <w14:solidFill>
              <w14:schemeClr w14:val="tx1"/>
            </w14:solidFill>
          </w14:textFill>
        </w:rPr>
      </w:pPr>
    </w:p>
    <w:p w14:paraId="2F4FA6E3">
      <w:pPr>
        <w:shd w:val="clear"/>
        <w:spacing w:line="360" w:lineRule="auto"/>
        <w:ind w:firstLine="3507" w:firstLineChars="794"/>
        <w:rPr>
          <w:rFonts w:ascii="宋体" w:hAnsi="宋体" w:cs="宋体"/>
          <w:b/>
          <w:bCs/>
          <w:color w:val="000000" w:themeColor="text1"/>
          <w:sz w:val="44"/>
          <w:highlight w:val="none"/>
          <w14:textFill>
            <w14:solidFill>
              <w14:schemeClr w14:val="tx1"/>
            </w14:solidFill>
          </w14:textFill>
        </w:rPr>
      </w:pPr>
    </w:p>
    <w:p w14:paraId="065BA7C3">
      <w:pPr>
        <w:shd w:val="clear"/>
        <w:spacing w:line="360" w:lineRule="auto"/>
        <w:ind w:firstLine="3507" w:firstLineChars="794"/>
        <w:rPr>
          <w:rFonts w:ascii="宋体" w:hAnsi="宋体" w:cs="宋体"/>
          <w:b/>
          <w:bCs/>
          <w:color w:val="000000" w:themeColor="text1"/>
          <w:sz w:val="44"/>
          <w:highlight w:val="none"/>
          <w14:textFill>
            <w14:solidFill>
              <w14:schemeClr w14:val="tx1"/>
            </w14:solidFill>
          </w14:textFill>
        </w:rPr>
      </w:pPr>
    </w:p>
    <w:p w14:paraId="377D3C62">
      <w:pPr>
        <w:shd w:val="clear"/>
        <w:ind w:firstLine="1995" w:firstLineChars="552"/>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项目编号：</w:t>
      </w:r>
    </w:p>
    <w:p w14:paraId="1B40738A">
      <w:pPr>
        <w:shd w:val="clear"/>
        <w:ind w:firstLine="1970" w:firstLineChars="545"/>
        <w:rPr>
          <w:rFonts w:hint="default" w:ascii="宋体" w:hAnsi="宋体" w:eastAsia="宋体" w:cs="宋体"/>
          <w:b/>
          <w:color w:val="000000" w:themeColor="text1"/>
          <w:sz w:val="36"/>
          <w:szCs w:val="36"/>
          <w:highlight w:val="none"/>
          <w:u w:val="none"/>
          <w:lang w:val="en-US" w:eastAsia="zh-CN"/>
          <w14:textFill>
            <w14:solidFill>
              <w14:schemeClr w14:val="tx1"/>
            </w14:solidFill>
          </w14:textFill>
        </w:rPr>
      </w:pPr>
      <w:r>
        <w:rPr>
          <w:rFonts w:hint="eastAsia" w:ascii="宋体" w:hAnsi="宋体" w:cs="宋体"/>
          <w:b/>
          <w:color w:val="000000" w:themeColor="text1"/>
          <w:sz w:val="36"/>
          <w:szCs w:val="36"/>
          <w:highlight w:val="none"/>
          <w:u w:val="none"/>
          <w:lang w:val="en-US" w:eastAsia="zh-CN"/>
          <w14:textFill>
            <w14:solidFill>
              <w14:schemeClr w14:val="tx1"/>
            </w14:solidFill>
          </w14:textFill>
        </w:rPr>
        <w:t>分标号：</w:t>
      </w:r>
    </w:p>
    <w:p w14:paraId="08161F0B">
      <w:pPr>
        <w:shd w:val="clear"/>
        <w:ind w:firstLine="1995" w:firstLineChars="552"/>
        <w:rPr>
          <w:rFonts w:ascii="宋体" w:hAnsi="宋体" w:cs="宋体"/>
          <w:b/>
          <w:color w:val="000000" w:themeColor="text1"/>
          <w:sz w:val="36"/>
          <w:szCs w:val="36"/>
          <w:highlight w:val="none"/>
          <w:u w:val="single"/>
          <w14:textFill>
            <w14:solidFill>
              <w14:schemeClr w14:val="tx1"/>
            </w14:solidFill>
          </w14:textFill>
        </w:rPr>
      </w:pPr>
    </w:p>
    <w:p w14:paraId="3C6C1770">
      <w:pPr>
        <w:shd w:val="clear"/>
        <w:ind w:firstLine="1995" w:firstLineChars="552"/>
        <w:rPr>
          <w:rFonts w:ascii="宋体" w:hAnsi="宋体" w:cs="宋体"/>
          <w:b/>
          <w:color w:val="000000" w:themeColor="text1"/>
          <w:sz w:val="36"/>
          <w:szCs w:val="36"/>
          <w:highlight w:val="none"/>
          <w:u w:val="single"/>
          <w14:textFill>
            <w14:solidFill>
              <w14:schemeClr w14:val="tx1"/>
            </w14:solidFill>
          </w14:textFill>
        </w:rPr>
      </w:pPr>
    </w:p>
    <w:p w14:paraId="33B106B2">
      <w:pPr>
        <w:pStyle w:val="2"/>
        <w:shd w:val="clear"/>
        <w:rPr>
          <w:rFonts w:ascii="宋体" w:hAnsi="宋体" w:cs="宋体"/>
          <w:b/>
          <w:color w:val="000000" w:themeColor="text1"/>
          <w:sz w:val="36"/>
          <w:szCs w:val="36"/>
          <w:highlight w:val="none"/>
          <w:u w:val="single"/>
          <w14:textFill>
            <w14:solidFill>
              <w14:schemeClr w14:val="tx1"/>
            </w14:solidFill>
          </w14:textFill>
        </w:rPr>
      </w:pPr>
    </w:p>
    <w:p w14:paraId="1C6C47C9">
      <w:pPr>
        <w:shd w:val="clear"/>
        <w:rPr>
          <w:rFonts w:ascii="宋体" w:hAnsi="宋体" w:cs="宋体"/>
          <w:b/>
          <w:color w:val="000000" w:themeColor="text1"/>
          <w:sz w:val="36"/>
          <w:szCs w:val="36"/>
          <w:highlight w:val="none"/>
          <w:u w:val="single"/>
          <w14:textFill>
            <w14:solidFill>
              <w14:schemeClr w14:val="tx1"/>
            </w14:solidFill>
          </w14:textFill>
        </w:rPr>
      </w:pPr>
    </w:p>
    <w:p w14:paraId="72C7D4C0">
      <w:pPr>
        <w:pStyle w:val="2"/>
        <w:shd w:val="clear"/>
        <w:rPr>
          <w:rFonts w:ascii="宋体" w:hAnsi="宋体" w:cs="宋体"/>
          <w:b/>
          <w:color w:val="000000" w:themeColor="text1"/>
          <w:sz w:val="36"/>
          <w:szCs w:val="36"/>
          <w:highlight w:val="none"/>
          <w:u w:val="single"/>
          <w14:textFill>
            <w14:solidFill>
              <w14:schemeClr w14:val="tx1"/>
            </w14:solidFill>
          </w14:textFill>
        </w:rPr>
      </w:pPr>
    </w:p>
    <w:p w14:paraId="65208B76">
      <w:pPr>
        <w:shd w:val="clear"/>
        <w:rPr>
          <w:rFonts w:ascii="宋体" w:hAnsi="宋体" w:cs="宋体"/>
          <w:b/>
          <w:color w:val="000000" w:themeColor="text1"/>
          <w:sz w:val="36"/>
          <w:szCs w:val="36"/>
          <w:highlight w:val="none"/>
          <w:u w:val="single"/>
          <w14:textFill>
            <w14:solidFill>
              <w14:schemeClr w14:val="tx1"/>
            </w14:solidFill>
          </w14:textFill>
        </w:rPr>
      </w:pPr>
    </w:p>
    <w:p w14:paraId="113B9488">
      <w:pPr>
        <w:pStyle w:val="2"/>
        <w:shd w:val="clear"/>
        <w:rPr>
          <w:color w:val="000000" w:themeColor="text1"/>
          <w:highlight w:val="none"/>
          <w14:textFill>
            <w14:solidFill>
              <w14:schemeClr w14:val="tx1"/>
            </w14:solidFill>
          </w14:textFill>
        </w:rPr>
      </w:pPr>
    </w:p>
    <w:p w14:paraId="6FB7100F">
      <w:pPr>
        <w:shd w:val="clear"/>
        <w:tabs>
          <w:tab w:val="left" w:pos="7200"/>
        </w:tabs>
        <w:spacing w:line="360" w:lineRule="auto"/>
        <w:ind w:firstLine="1995" w:firstLineChars="552"/>
        <w:rPr>
          <w:rFonts w:ascii="宋体" w:hAnsi="宋体" w:cs="宋体"/>
          <w:b/>
          <w:color w:val="000000" w:themeColor="text1"/>
          <w:sz w:val="36"/>
          <w:szCs w:val="36"/>
          <w:highlight w:val="none"/>
          <w:u w:val="singl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征集人：</w:t>
      </w:r>
      <w:r>
        <w:rPr>
          <w:rFonts w:hint="eastAsia" w:ascii="宋体" w:hAnsi="宋体" w:cs="宋体"/>
          <w:b/>
          <w:color w:val="000000" w:themeColor="text1"/>
          <w:sz w:val="36"/>
          <w:szCs w:val="36"/>
          <w:highlight w:val="none"/>
          <w:u w:val="single"/>
          <w14:textFill>
            <w14:solidFill>
              <w14:schemeClr w14:val="tx1"/>
            </w14:solidFill>
          </w14:textFill>
        </w:rPr>
        <w:t xml:space="preserve">  </w:t>
      </w:r>
      <w:r>
        <w:rPr>
          <w:rFonts w:hint="eastAsia" w:ascii="宋体" w:hAnsi="宋体" w:cs="宋体"/>
          <w:b/>
          <w:color w:val="000000" w:themeColor="text1"/>
          <w:sz w:val="36"/>
          <w:szCs w:val="36"/>
          <w:highlight w:val="none"/>
          <w:u w:val="single"/>
          <w:lang w:eastAsia="zh-CN"/>
          <w14:textFill>
            <w14:solidFill>
              <w14:schemeClr w14:val="tx1"/>
            </w14:solidFill>
          </w14:textFill>
        </w:rPr>
        <w:t>上思县财政局</w:t>
      </w:r>
      <w:r>
        <w:rPr>
          <w:rFonts w:hint="eastAsia" w:ascii="宋体" w:hAnsi="宋体" w:cs="宋体"/>
          <w:b/>
          <w:color w:val="000000" w:themeColor="text1"/>
          <w:sz w:val="36"/>
          <w:szCs w:val="36"/>
          <w:highlight w:val="none"/>
          <w:u w:val="single"/>
          <w14:textFill>
            <w14:solidFill>
              <w14:schemeClr w14:val="tx1"/>
            </w14:solidFill>
          </w14:textFill>
        </w:rPr>
        <w:t xml:space="preserve"> </w:t>
      </w:r>
      <w:r>
        <w:rPr>
          <w:rFonts w:hint="eastAsia" w:ascii="宋体" w:hAnsi="宋体" w:cs="宋体"/>
          <w:b/>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u w:val="single"/>
          <w14:textFill>
            <w14:solidFill>
              <w14:schemeClr w14:val="tx1"/>
            </w14:solidFill>
          </w14:textFill>
        </w:rPr>
        <w:t xml:space="preserve">   </w:t>
      </w:r>
    </w:p>
    <w:p w14:paraId="037F49DD">
      <w:pPr>
        <w:shd w:val="clear"/>
        <w:tabs>
          <w:tab w:val="left" w:pos="7380"/>
        </w:tabs>
        <w:spacing w:line="360" w:lineRule="auto"/>
        <w:ind w:firstLine="1995" w:firstLineChars="552"/>
        <w:rPr>
          <w:rFonts w:hint="default" w:ascii="宋体" w:hAnsi="宋体" w:eastAsia="宋体" w:cs="宋体"/>
          <w:b/>
          <w:bCs/>
          <w:color w:val="000000" w:themeColor="text1"/>
          <w:sz w:val="44"/>
          <w:highlight w:val="none"/>
          <w:lang w:val="en-US"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入围供应商：</w:t>
      </w:r>
      <w:r>
        <w:rPr>
          <w:rFonts w:hint="eastAsia" w:ascii="宋体" w:hAnsi="宋体" w:cs="宋体"/>
          <w:b/>
          <w:color w:val="000000" w:themeColor="text1"/>
          <w:sz w:val="36"/>
          <w:szCs w:val="36"/>
          <w:highlight w:val="none"/>
          <w:u w:val="single"/>
          <w14:textFill>
            <w14:solidFill>
              <w14:schemeClr w14:val="tx1"/>
            </w14:solidFill>
          </w14:textFill>
        </w:rPr>
        <w:t xml:space="preserve">  </w:t>
      </w:r>
      <w:r>
        <w:rPr>
          <w:rFonts w:hint="eastAsia" w:ascii="宋体" w:hAnsi="宋体" w:cs="宋体"/>
          <w:b/>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u w:val="single"/>
          <w14:textFill>
            <w14:solidFill>
              <w14:schemeClr w14:val="tx1"/>
            </w14:solidFill>
          </w14:textFill>
        </w:rPr>
        <w:t xml:space="preserve">    </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p>
    <w:p w14:paraId="79BFFE39">
      <w:pPr>
        <w:shd w:val="clear"/>
        <w:tabs>
          <w:tab w:val="left" w:pos="7380"/>
        </w:tabs>
        <w:spacing w:line="360" w:lineRule="auto"/>
        <w:rPr>
          <w:rFonts w:ascii="宋体" w:hAnsi="宋体" w:cs="宋体"/>
          <w:b/>
          <w:bCs/>
          <w:color w:val="000000" w:themeColor="text1"/>
          <w:sz w:val="44"/>
          <w:highlight w:val="none"/>
          <w14:textFill>
            <w14:solidFill>
              <w14:schemeClr w14:val="tx1"/>
            </w14:solidFill>
          </w14:textFill>
        </w:rPr>
      </w:pPr>
    </w:p>
    <w:p w14:paraId="7CC71AF8">
      <w:pPr>
        <w:shd w:val="clear"/>
        <w:tabs>
          <w:tab w:val="left" w:pos="7380"/>
        </w:tabs>
        <w:spacing w:line="360" w:lineRule="auto"/>
        <w:jc w:val="center"/>
        <w:rPr>
          <w:rFonts w:ascii="宋体" w:hAnsi="宋体" w:cs="宋体"/>
          <w:b/>
          <w:bCs/>
          <w:color w:val="000000" w:themeColor="text1"/>
          <w:sz w:val="44"/>
          <w:highlight w:val="none"/>
          <w14:textFill>
            <w14:solidFill>
              <w14:schemeClr w14:val="tx1"/>
            </w14:solidFill>
          </w14:textFill>
        </w:rPr>
      </w:pPr>
      <w:r>
        <w:rPr>
          <w:rFonts w:hint="eastAsia" w:ascii="宋体" w:hAnsi="宋体" w:cs="宋体"/>
          <w:b/>
          <w:bCs/>
          <w:color w:val="000000" w:themeColor="text1"/>
          <w:sz w:val="44"/>
          <w:highlight w:val="none"/>
          <w14:textFill>
            <w14:solidFill>
              <w14:schemeClr w14:val="tx1"/>
            </w14:solidFill>
          </w14:textFill>
        </w:rPr>
        <w:br w:type="page"/>
      </w:r>
    </w:p>
    <w:p w14:paraId="18954DFA">
      <w:pPr>
        <w:shd w:val="clear"/>
        <w:tabs>
          <w:tab w:val="left" w:pos="7380"/>
        </w:tabs>
        <w:spacing w:line="360" w:lineRule="auto"/>
        <w:jc w:val="center"/>
        <w:rPr>
          <w:rFonts w:ascii="宋体" w:hAnsi="宋体" w:cs="宋体"/>
          <w:b/>
          <w:bCs/>
          <w:color w:val="000000" w:themeColor="text1"/>
          <w:sz w:val="44"/>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目  录</w:t>
      </w:r>
    </w:p>
    <w:p w14:paraId="7750991B">
      <w:pPr>
        <w:shd w:val="clear"/>
        <w:tabs>
          <w:tab w:val="left" w:pos="1170"/>
        </w:tabs>
        <w:spacing w:line="360" w:lineRule="auto"/>
        <w:ind w:left="359" w:leftChars="171" w:firstLine="198" w:firstLineChars="71"/>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ab/>
      </w:r>
    </w:p>
    <w:p w14:paraId="160BA376">
      <w:pPr>
        <w:shd w:val="clea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一、框架协议合同文本</w:t>
      </w:r>
    </w:p>
    <w:p w14:paraId="73BBD981">
      <w:pPr>
        <w:shd w:val="clea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二、合同附件</w:t>
      </w:r>
    </w:p>
    <w:p w14:paraId="4DF8758B">
      <w:pPr>
        <w:pStyle w:val="26"/>
        <w:shd w:val="clea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1.中标通知书</w:t>
      </w:r>
    </w:p>
    <w:p w14:paraId="650F0651">
      <w:pPr>
        <w:pStyle w:val="26"/>
        <w:shd w:val="clea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2.征集文件服务需求一览表</w:t>
      </w:r>
    </w:p>
    <w:p w14:paraId="2C07C45F">
      <w:pPr>
        <w:pStyle w:val="26"/>
        <w:shd w:val="clea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3.征集文件的</w:t>
      </w:r>
      <w:r>
        <w:rPr>
          <w:rFonts w:hint="eastAsia" w:hAnsi="宋体" w:cs="宋体"/>
          <w:color w:val="000000" w:themeColor="text1"/>
          <w:sz w:val="28"/>
          <w:highlight w:val="none"/>
          <w14:textFill>
            <w14:solidFill>
              <w14:schemeClr w14:val="tx1"/>
            </w14:solidFill>
          </w14:textFill>
        </w:rPr>
        <w:t>更改通知（如有）</w:t>
      </w:r>
    </w:p>
    <w:p w14:paraId="24BC6D60">
      <w:pPr>
        <w:shd w:val="clea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4.响应函</w:t>
      </w:r>
    </w:p>
    <w:p w14:paraId="548ECB7E">
      <w:pPr>
        <w:pStyle w:val="26"/>
        <w:shd w:val="clea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5.开标一览表</w:t>
      </w:r>
    </w:p>
    <w:p w14:paraId="77507FDA">
      <w:pPr>
        <w:pStyle w:val="26"/>
        <w:shd w:val="clea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6.响应服务技术需求偏离表</w:t>
      </w:r>
    </w:p>
    <w:p w14:paraId="7B5410A7">
      <w:pPr>
        <w:pStyle w:val="26"/>
        <w:shd w:val="clea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7.商务条款偏离表</w:t>
      </w:r>
    </w:p>
    <w:p w14:paraId="57E61757">
      <w:pPr>
        <w:pStyle w:val="26"/>
        <w:shd w:val="clea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8.中标供应商澄清函（如有请提</w:t>
      </w:r>
      <w:r>
        <w:rPr>
          <w:rFonts w:hint="eastAsia" w:hAnsi="宋体" w:cs="宋体"/>
          <w:color w:val="000000" w:themeColor="text1"/>
          <w:sz w:val="30"/>
          <w:szCs w:val="30"/>
          <w:highlight w:val="none"/>
          <w14:textFill>
            <w14:solidFill>
              <w14:schemeClr w14:val="tx1"/>
            </w14:solidFill>
          </w14:textFill>
        </w:rPr>
        <w:t>供</w:t>
      </w:r>
      <w:r>
        <w:rPr>
          <w:rFonts w:hint="eastAsia" w:hAnsi="宋体" w:cs="宋体"/>
          <w:color w:val="000000" w:themeColor="text1"/>
          <w:sz w:val="28"/>
          <w:szCs w:val="28"/>
          <w:highlight w:val="none"/>
          <w14:textFill>
            <w14:solidFill>
              <w14:schemeClr w14:val="tx1"/>
            </w14:solidFill>
          </w14:textFill>
        </w:rPr>
        <w:t>）</w:t>
      </w:r>
    </w:p>
    <w:p w14:paraId="4E9B348E">
      <w:pPr>
        <w:pStyle w:val="26"/>
        <w:shd w:val="clea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9.人员配备一览表</w:t>
      </w:r>
    </w:p>
    <w:p w14:paraId="582F823E">
      <w:pPr>
        <w:pStyle w:val="26"/>
        <w:shd w:val="clea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10.其他与本合同相关的资料（如有请提</w:t>
      </w:r>
      <w:r>
        <w:rPr>
          <w:rFonts w:hint="eastAsia" w:hAnsi="宋体" w:cs="宋体"/>
          <w:color w:val="000000" w:themeColor="text1"/>
          <w:sz w:val="30"/>
          <w:szCs w:val="30"/>
          <w:highlight w:val="none"/>
          <w14:textFill>
            <w14:solidFill>
              <w14:schemeClr w14:val="tx1"/>
            </w14:solidFill>
          </w14:textFill>
        </w:rPr>
        <w:t>供</w:t>
      </w:r>
      <w:r>
        <w:rPr>
          <w:rFonts w:hint="eastAsia" w:hAnsi="宋体" w:cs="宋体"/>
          <w:color w:val="000000" w:themeColor="text1"/>
          <w:sz w:val="28"/>
          <w:szCs w:val="28"/>
          <w:highlight w:val="none"/>
          <w14:textFill>
            <w14:solidFill>
              <w14:schemeClr w14:val="tx1"/>
            </w14:solidFill>
          </w14:textFill>
        </w:rPr>
        <w:t>）</w:t>
      </w:r>
    </w:p>
    <w:p w14:paraId="42C9BBD0">
      <w:pPr>
        <w:shd w:val="clear"/>
        <w:spacing w:line="360" w:lineRule="auto"/>
        <w:jc w:val="center"/>
        <w:rPr>
          <w:rFonts w:ascii="宋体" w:hAnsi="宋体" w:cs="宋体"/>
          <w:b/>
          <w:color w:val="000000" w:themeColor="text1"/>
          <w:sz w:val="30"/>
          <w:szCs w:val="30"/>
          <w:highlight w:val="none"/>
          <w14:textFill>
            <w14:solidFill>
              <w14:schemeClr w14:val="tx1"/>
            </w14:solidFill>
          </w14:textFill>
        </w:rPr>
      </w:pPr>
    </w:p>
    <w:p w14:paraId="4F63E0C3">
      <w:pPr>
        <w:shd w:val="clear"/>
        <w:spacing w:line="360" w:lineRule="auto"/>
        <w:jc w:val="center"/>
        <w:rPr>
          <w:rFonts w:ascii="宋体" w:hAnsi="宋体" w:cs="宋体"/>
          <w:b/>
          <w:color w:val="000000" w:themeColor="text1"/>
          <w:sz w:val="30"/>
          <w:szCs w:val="30"/>
          <w:highlight w:val="none"/>
          <w14:textFill>
            <w14:solidFill>
              <w14:schemeClr w14:val="tx1"/>
            </w14:solidFill>
          </w14:textFill>
        </w:rPr>
      </w:pPr>
    </w:p>
    <w:p w14:paraId="1132273C">
      <w:pPr>
        <w:shd w:val="clear"/>
        <w:spacing w:line="360" w:lineRule="auto"/>
        <w:jc w:val="center"/>
        <w:rPr>
          <w:rFonts w:ascii="宋体" w:hAnsi="宋体" w:cs="宋体"/>
          <w:b/>
          <w:color w:val="000000" w:themeColor="text1"/>
          <w:sz w:val="30"/>
          <w:szCs w:val="30"/>
          <w:highlight w:val="none"/>
          <w14:textFill>
            <w14:solidFill>
              <w14:schemeClr w14:val="tx1"/>
            </w14:solidFill>
          </w14:textFill>
        </w:rPr>
      </w:pPr>
    </w:p>
    <w:p w14:paraId="5C88B45F">
      <w:pPr>
        <w:shd w:val="clear"/>
        <w:spacing w:line="360" w:lineRule="auto"/>
        <w:jc w:val="center"/>
        <w:rPr>
          <w:rFonts w:ascii="宋体" w:hAnsi="宋体" w:cs="宋体"/>
          <w:b/>
          <w:color w:val="000000" w:themeColor="text1"/>
          <w:sz w:val="30"/>
          <w:szCs w:val="30"/>
          <w:highlight w:val="none"/>
          <w14:textFill>
            <w14:solidFill>
              <w14:schemeClr w14:val="tx1"/>
            </w14:solidFill>
          </w14:textFill>
        </w:rPr>
      </w:pPr>
    </w:p>
    <w:p w14:paraId="7A0B0748">
      <w:pPr>
        <w:shd w:val="clear"/>
        <w:spacing w:line="360" w:lineRule="auto"/>
        <w:jc w:val="center"/>
        <w:rPr>
          <w:rFonts w:ascii="宋体" w:hAnsi="宋体" w:cs="宋体"/>
          <w:b/>
          <w:color w:val="000000" w:themeColor="text1"/>
          <w:sz w:val="30"/>
          <w:szCs w:val="30"/>
          <w:highlight w:val="none"/>
          <w14:textFill>
            <w14:solidFill>
              <w14:schemeClr w14:val="tx1"/>
            </w14:solidFill>
          </w14:textFill>
        </w:rPr>
      </w:pPr>
    </w:p>
    <w:p w14:paraId="6B208374">
      <w:pPr>
        <w:shd w:val="clear"/>
        <w:spacing w:line="360" w:lineRule="auto"/>
        <w:jc w:val="center"/>
        <w:rPr>
          <w:rFonts w:ascii="宋体" w:hAnsi="宋体" w:cs="宋体"/>
          <w:b/>
          <w:color w:val="000000" w:themeColor="text1"/>
          <w:sz w:val="30"/>
          <w:szCs w:val="30"/>
          <w:highlight w:val="none"/>
          <w14:textFill>
            <w14:solidFill>
              <w14:schemeClr w14:val="tx1"/>
            </w14:solidFill>
          </w14:textFill>
        </w:rPr>
      </w:pPr>
    </w:p>
    <w:p w14:paraId="2D9EF17B">
      <w:pPr>
        <w:shd w:val="clear"/>
        <w:spacing w:line="360" w:lineRule="auto"/>
        <w:jc w:val="center"/>
        <w:rPr>
          <w:rFonts w:ascii="宋体" w:hAnsi="宋体" w:cs="宋体"/>
          <w:b/>
          <w:color w:val="000000" w:themeColor="text1"/>
          <w:sz w:val="30"/>
          <w:szCs w:val="30"/>
          <w:highlight w:val="none"/>
          <w14:textFill>
            <w14:solidFill>
              <w14:schemeClr w14:val="tx1"/>
            </w14:solidFill>
          </w14:textFill>
        </w:rPr>
      </w:pPr>
    </w:p>
    <w:p w14:paraId="78DA36FB">
      <w:pPr>
        <w:shd w:val="clear"/>
        <w:spacing w:line="240" w:lineRule="auto"/>
        <w:jc w:val="left"/>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14:paraId="6602F746">
      <w:pPr>
        <w:shd w:val="clear"/>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lang w:eastAsia="zh-CN"/>
          <w14:textFill>
            <w14:solidFill>
              <w14:schemeClr w14:val="tx1"/>
            </w14:solidFill>
          </w14:textFill>
        </w:rPr>
        <w:t>上思县</w:t>
      </w:r>
      <w:r>
        <w:rPr>
          <w:rFonts w:hint="eastAsia" w:ascii="宋体" w:hAnsi="宋体" w:cs="宋体"/>
          <w:b/>
          <w:color w:val="000000" w:themeColor="text1"/>
          <w:sz w:val="30"/>
          <w:szCs w:val="30"/>
          <w:highlight w:val="none"/>
          <w14:textFill>
            <w14:solidFill>
              <w14:schemeClr w14:val="tx1"/>
            </w14:solidFill>
          </w14:textFill>
        </w:rPr>
        <w:t>政府采购框架协议（01分标格式）</w:t>
      </w:r>
    </w:p>
    <w:p w14:paraId="20BFBDBF">
      <w:pPr>
        <w:pStyle w:val="26"/>
        <w:shd w:val="clear"/>
        <w:spacing w:line="360" w:lineRule="auto"/>
        <w:ind w:firstLine="100"/>
        <w:rPr>
          <w:rFonts w:hAnsi="宋体" w:cs="宋体"/>
          <w:color w:val="000000" w:themeColor="text1"/>
          <w:sz w:val="20"/>
          <w:highlight w:val="none"/>
          <w14:textFill>
            <w14:solidFill>
              <w14:schemeClr w14:val="tx1"/>
            </w14:solidFill>
          </w14:textFill>
        </w:rPr>
      </w:pPr>
    </w:p>
    <w:p w14:paraId="0BBC1F0B">
      <w:pPr>
        <w:shd w:val="clea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合同名称：</w:t>
      </w:r>
      <w:r>
        <w:rPr>
          <w:rFonts w:hint="eastAsia" w:ascii="宋体" w:hAnsi="宋体" w:cs="宋体"/>
          <w:color w:val="000000" w:themeColor="text1"/>
          <w:sz w:val="21"/>
          <w:szCs w:val="21"/>
          <w:highlight w:val="none"/>
          <w:lang w:eastAsia="zh-CN"/>
          <w14:textFill>
            <w14:solidFill>
              <w14:schemeClr w14:val="tx1"/>
            </w14:solidFill>
          </w14:textFill>
        </w:rPr>
        <w:t>2025-2027年度上思县财政投资评审服务框架协议采购</w:t>
      </w:r>
      <w:r>
        <w:rPr>
          <w:rFonts w:hint="eastAsia" w:ascii="宋体" w:hAnsi="宋体" w:cs="宋体"/>
          <w:color w:val="000000" w:themeColor="text1"/>
          <w:sz w:val="21"/>
          <w:szCs w:val="21"/>
          <w:highlight w:val="none"/>
          <w14:textFill>
            <w14:solidFill>
              <w14:schemeClr w14:val="tx1"/>
            </w14:solidFill>
          </w14:textFill>
        </w:rPr>
        <w:t xml:space="preserve">01分标    </w:t>
      </w:r>
    </w:p>
    <w:p w14:paraId="6063D408">
      <w:pPr>
        <w:pStyle w:val="26"/>
        <w:shd w:val="clear"/>
        <w:spacing w:line="360" w:lineRule="auto"/>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合同编号：</w:t>
      </w:r>
      <w:r>
        <w:rPr>
          <w:rFonts w:hint="eastAsia" w:hAnsi="宋体" w:cs="宋体"/>
          <w:color w:val="000000" w:themeColor="text1"/>
          <w:sz w:val="21"/>
          <w:szCs w:val="21"/>
          <w:highlight w:val="none"/>
          <w:u w:val="single"/>
          <w14:textFill>
            <w14:solidFill>
              <w14:schemeClr w14:val="tx1"/>
            </w14:solidFill>
          </w14:textFill>
        </w:rPr>
        <w:t xml:space="preserve">                             </w:t>
      </w:r>
    </w:p>
    <w:p w14:paraId="75932953">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分标号：</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14:paraId="0FC70161">
      <w:pPr>
        <w:pStyle w:val="26"/>
        <w:shd w:val="clear"/>
        <w:spacing w:line="360" w:lineRule="auto"/>
        <w:rPr>
          <w:rFonts w:hAnsi="宋体" w:cs="宋体"/>
          <w:color w:val="000000" w:themeColor="text1"/>
          <w:sz w:val="21"/>
          <w:szCs w:val="21"/>
          <w:highlight w:val="none"/>
          <w14:textFill>
            <w14:solidFill>
              <w14:schemeClr w14:val="tx1"/>
            </w14:solidFill>
          </w14:textFill>
        </w:rPr>
      </w:pPr>
    </w:p>
    <w:p w14:paraId="09B8D85D">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征集人（甲方）： </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eastAsia="zh-CN"/>
          <w14:textFill>
            <w14:solidFill>
              <w14:schemeClr w14:val="tx1"/>
            </w14:solidFill>
          </w14:textFill>
        </w:rPr>
        <w:t>上思县财政局</w:t>
      </w:r>
      <w:r>
        <w:rPr>
          <w:rFonts w:hint="eastAsia" w:hAnsi="宋体" w:cs="宋体"/>
          <w:color w:val="000000" w:themeColor="text1"/>
          <w:sz w:val="21"/>
          <w:szCs w:val="21"/>
          <w:highlight w:val="none"/>
          <w:u w:val="single"/>
          <w14:textFill>
            <w14:solidFill>
              <w14:schemeClr w14:val="tx1"/>
            </w14:solidFill>
          </w14:textFill>
        </w:rPr>
        <w:t xml:space="preserve">        </w:t>
      </w:r>
    </w:p>
    <w:p w14:paraId="45C8FF0E">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入围供应商（乙方）：</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14:paraId="59874E74">
      <w:pPr>
        <w:pStyle w:val="26"/>
        <w:shd w:val="clear"/>
        <w:spacing w:line="360" w:lineRule="auto"/>
        <w:ind w:firstLine="105"/>
        <w:rPr>
          <w:rFonts w:hAnsi="宋体" w:cs="宋体"/>
          <w:b/>
          <w:color w:val="000000" w:themeColor="text1"/>
          <w:sz w:val="21"/>
          <w:szCs w:val="21"/>
          <w:highlight w:val="none"/>
          <w14:textFill>
            <w14:solidFill>
              <w14:schemeClr w14:val="tx1"/>
            </w14:solidFill>
          </w14:textFill>
        </w:rPr>
      </w:pPr>
    </w:p>
    <w:p w14:paraId="14023151">
      <w:pPr>
        <w:pStyle w:val="26"/>
        <w:shd w:val="clear"/>
        <w:spacing w:line="360" w:lineRule="auto"/>
        <w:ind w:firstLine="105"/>
        <w:rPr>
          <w:rFonts w:hAnsi="宋体" w:cs="宋体"/>
          <w:b/>
          <w:color w:val="000000" w:themeColor="text1"/>
          <w:sz w:val="21"/>
          <w:szCs w:val="21"/>
          <w:highlight w:val="none"/>
          <w14:textFill>
            <w14:solidFill>
              <w14:schemeClr w14:val="tx1"/>
            </w14:solidFill>
          </w14:textFill>
        </w:rPr>
      </w:pPr>
    </w:p>
    <w:p w14:paraId="5BDE42CE">
      <w:pPr>
        <w:pStyle w:val="26"/>
        <w:shd w:val="clear"/>
        <w:spacing w:line="360" w:lineRule="auto"/>
        <w:rPr>
          <w:rFonts w:hAnsi="宋体" w:cs="宋体"/>
          <w:b/>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根据</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w:t>
      </w:r>
      <w:r>
        <w:rPr>
          <w:rFonts w:hint="eastAsia" w:hAnsi="宋体" w:cs="宋体"/>
          <w:color w:val="000000" w:themeColor="text1"/>
          <w:sz w:val="21"/>
          <w:szCs w:val="21"/>
          <w:highlight w:val="none"/>
          <w:lang w:eastAsia="zh-CN"/>
          <w14:textFill>
            <w14:solidFill>
              <w14:schemeClr w14:val="tx1"/>
            </w14:solidFill>
          </w14:textFill>
        </w:rPr>
        <w:t>上思县</w:t>
      </w:r>
      <w:r>
        <w:rPr>
          <w:rFonts w:hint="eastAsia" w:hAnsi="宋体" w:cs="宋体"/>
          <w:color w:val="000000" w:themeColor="text1"/>
          <w:sz w:val="21"/>
          <w:szCs w:val="21"/>
          <w:highlight w:val="none"/>
          <w14:textFill>
            <w14:solidFill>
              <w14:schemeClr w14:val="tx1"/>
            </w14:solidFill>
          </w14:textFill>
        </w:rPr>
        <w:t>政府采购项目的征集结果，甲方接受乙方对本项目的响应，甲、乙双方同意签署本框架协议（以下简称框架协议）。</w:t>
      </w:r>
    </w:p>
    <w:p w14:paraId="7C2BBC07">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一、框架协议内容</w:t>
      </w:r>
    </w:p>
    <w:p w14:paraId="1A3ED9A2">
      <w:pPr>
        <w:shd w:val="clea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经框架协议采购，乙方成为</w:t>
      </w:r>
      <w:r>
        <w:rPr>
          <w:rFonts w:hint="eastAsia" w:ascii="宋体" w:hAnsi="宋体" w:cs="宋体"/>
          <w:color w:val="000000" w:themeColor="text1"/>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0"/>
          <w:highlight w:val="none"/>
          <w:u w:val="single"/>
          <w:lang w:eastAsia="zh-CN"/>
          <w14:textFill>
            <w14:solidFill>
              <w14:schemeClr w14:val="tx1"/>
            </w14:solidFill>
          </w14:textFill>
        </w:rPr>
        <w:t>2025-2027年度上思县财政投资评审服务框架协议采购</w:t>
      </w:r>
      <w:r>
        <w:rPr>
          <w:rFonts w:hint="eastAsia" w:ascii="宋体" w:hAnsi="宋体" w:cs="宋体"/>
          <w:color w:val="000000" w:themeColor="text1"/>
          <w:szCs w:val="20"/>
          <w:highlight w:val="none"/>
          <w:u w:val="single"/>
          <w14:textFill>
            <w14:solidFill>
              <w14:schemeClr w14:val="tx1"/>
            </w14:solidFill>
          </w14:textFill>
        </w:rPr>
        <w:t xml:space="preserve">01分标  </w:t>
      </w:r>
      <w:r>
        <w:rPr>
          <w:rFonts w:hint="eastAsia" w:ascii="宋体" w:hAnsi="宋体" w:cs="宋体"/>
          <w:color w:val="000000" w:themeColor="text1"/>
          <w:szCs w:val="20"/>
          <w:highlight w:val="none"/>
          <w:lang w:eastAsia="zh-CN"/>
          <w14:textFill>
            <w14:solidFill>
              <w14:schemeClr w14:val="tx1"/>
            </w14:solidFill>
          </w14:textFill>
        </w:rPr>
        <w:t>协</w:t>
      </w:r>
      <w:r>
        <w:rPr>
          <w:rFonts w:hint="eastAsia" w:ascii="宋体" w:hAnsi="宋体" w:cs="宋体"/>
          <w:color w:val="000000" w:themeColor="text1"/>
          <w:szCs w:val="20"/>
          <w:highlight w:val="none"/>
          <w14:textFill>
            <w14:solidFill>
              <w14:schemeClr w14:val="tx1"/>
            </w14:solidFill>
          </w14:textFill>
        </w:rPr>
        <w:t>审服务入围供应商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乙方必须服从甲方的管理和监督，在</w:t>
      </w:r>
      <w:r>
        <w:rPr>
          <w:rFonts w:hint="eastAsia" w:ascii="宋体" w:hAnsi="宋体" w:cs="宋体"/>
          <w:color w:val="000000" w:themeColor="text1"/>
          <w:szCs w:val="21"/>
          <w:highlight w:val="none"/>
          <w14:textFill>
            <w14:solidFill>
              <w14:schemeClr w14:val="tx1"/>
            </w14:solidFill>
          </w14:textFill>
        </w:rPr>
        <w:t>采购人要求其开展</w:t>
      </w:r>
      <w:r>
        <w:rPr>
          <w:rFonts w:hint="eastAsia" w:ascii="宋体" w:hAnsi="宋体" w:cs="宋体"/>
          <w:color w:val="000000" w:themeColor="text1"/>
          <w:szCs w:val="21"/>
          <w:highlight w:val="none"/>
          <w:lang w:val="en-US" w:eastAsia="zh-CN"/>
          <w14:textFill>
            <w14:solidFill>
              <w14:schemeClr w14:val="tx1"/>
            </w14:solidFill>
          </w14:textFill>
        </w:rPr>
        <w:t>上思县</w:t>
      </w:r>
      <w:r>
        <w:rPr>
          <w:rFonts w:hint="eastAsia" w:ascii="宋体" w:hAnsi="宋体" w:cs="宋体"/>
          <w:color w:val="000000" w:themeColor="text1"/>
          <w:szCs w:val="21"/>
          <w:highlight w:val="none"/>
          <w14:textFill>
            <w14:solidFill>
              <w14:schemeClr w14:val="tx1"/>
            </w14:solidFill>
          </w14:textFill>
        </w:rPr>
        <w:t>政府投资建设项目</w:t>
      </w:r>
      <w:r>
        <w:rPr>
          <w:rFonts w:hint="eastAsia" w:ascii="宋体" w:hAnsi="宋体" w:cs="宋体"/>
          <w:color w:val="000000" w:themeColor="text1"/>
          <w:szCs w:val="20"/>
          <w:highlight w:val="none"/>
          <w:u w:val="none"/>
          <w:lang w:eastAsia="zh-CN"/>
          <w14:textFill>
            <w14:solidFill>
              <w14:schemeClr w14:val="tx1"/>
            </w14:solidFill>
          </w14:textFill>
        </w:rPr>
        <w:t>（不含信息化项目）</w:t>
      </w:r>
      <w:r>
        <w:rPr>
          <w:rFonts w:hint="eastAsia" w:ascii="宋体" w:hAnsi="宋体" w:cs="宋体"/>
          <w:color w:val="000000" w:themeColor="text1"/>
          <w:szCs w:val="20"/>
          <w:highlight w:val="none"/>
          <w:u w:val="single"/>
          <w:lang w:eastAsia="zh-CN"/>
          <w14:textFill>
            <w14:solidFill>
              <w14:schemeClr w14:val="tx1"/>
            </w14:solidFill>
          </w14:textFill>
        </w:rPr>
        <w:t>概算、预算、</w:t>
      </w:r>
      <w:r>
        <w:rPr>
          <w:rFonts w:hint="eastAsia" w:ascii="宋体" w:hAnsi="宋体" w:cs="宋体"/>
          <w:color w:val="000000" w:themeColor="text1"/>
          <w:szCs w:val="20"/>
          <w:highlight w:val="none"/>
          <w:u w:val="single"/>
          <w:lang w:val="en-US" w:eastAsia="zh-CN"/>
          <w14:textFill>
            <w14:solidFill>
              <w14:schemeClr w14:val="tx1"/>
            </w14:solidFill>
          </w14:textFill>
        </w:rPr>
        <w:t>工程量清单和</w:t>
      </w:r>
      <w:r>
        <w:rPr>
          <w:rFonts w:hint="eastAsia" w:ascii="宋体" w:hAnsi="宋体" w:cs="宋体"/>
          <w:color w:val="000000" w:themeColor="text1"/>
          <w:szCs w:val="20"/>
          <w:highlight w:val="none"/>
          <w:u w:val="single"/>
          <w:lang w:eastAsia="zh-CN"/>
          <w14:textFill>
            <w14:solidFill>
              <w14:schemeClr w14:val="tx1"/>
            </w14:solidFill>
          </w14:textFill>
        </w:rPr>
        <w:t>招标控制价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协审</w:t>
      </w:r>
      <w:r>
        <w:rPr>
          <w:rFonts w:hint="eastAsia" w:ascii="宋体" w:hAnsi="宋体" w:cs="宋体"/>
          <w:color w:val="000000" w:themeColor="text1"/>
          <w:szCs w:val="21"/>
          <w:highlight w:val="none"/>
          <w14:textFill>
            <w14:solidFill>
              <w14:schemeClr w14:val="tx1"/>
            </w14:solidFill>
          </w14:textFill>
        </w:rPr>
        <w:t>服务时，</w:t>
      </w:r>
      <w:r>
        <w:rPr>
          <w:rFonts w:hint="eastAsia" w:ascii="宋体" w:hAnsi="宋体" w:cs="宋体"/>
          <w:color w:val="000000" w:themeColor="text1"/>
          <w:highlight w:val="none"/>
          <w14:textFill>
            <w14:solidFill>
              <w14:schemeClr w14:val="tx1"/>
            </w14:solidFill>
          </w14:textFill>
        </w:rPr>
        <w:t>与采购人签订</w:t>
      </w:r>
      <w:r>
        <w:rPr>
          <w:rFonts w:hint="eastAsia" w:ascii="宋体" w:hAnsi="宋体" w:cs="宋体"/>
          <w:bCs/>
          <w:color w:val="000000" w:themeColor="text1"/>
          <w:highlight w:val="none"/>
          <w14:textFill>
            <w14:solidFill>
              <w14:schemeClr w14:val="tx1"/>
            </w14:solidFill>
          </w14:textFill>
        </w:rPr>
        <w:t>采购</w:t>
      </w:r>
      <w:r>
        <w:rPr>
          <w:rFonts w:hint="eastAsia" w:ascii="宋体" w:hAnsi="宋体" w:cs="宋体"/>
          <w:color w:val="000000" w:themeColor="text1"/>
          <w:highlight w:val="none"/>
          <w14:textFill>
            <w14:solidFill>
              <w14:schemeClr w14:val="tx1"/>
            </w14:solidFill>
          </w14:textFill>
        </w:rPr>
        <w:t>合同，并服从采购人的安排，按时、保质、保量地完成</w:t>
      </w:r>
      <w:r>
        <w:rPr>
          <w:rFonts w:hint="eastAsia" w:ascii="宋体" w:hAnsi="宋体" w:cs="宋体"/>
          <w:bCs/>
          <w:color w:val="000000" w:themeColor="text1"/>
          <w:highlight w:val="none"/>
          <w:lang w:eastAsia="zh-CN"/>
          <w14:textFill>
            <w14:solidFill>
              <w14:schemeClr w14:val="tx1"/>
            </w14:solidFill>
          </w14:textFill>
        </w:rPr>
        <w:t>协审</w:t>
      </w:r>
      <w:r>
        <w:rPr>
          <w:rFonts w:hint="eastAsia" w:ascii="宋体" w:hAnsi="宋体" w:cs="宋体"/>
          <w:bCs/>
          <w:color w:val="000000" w:themeColor="text1"/>
          <w:highlight w:val="none"/>
          <w14:textFill>
            <w14:solidFill>
              <w14:schemeClr w14:val="tx1"/>
            </w14:solidFill>
          </w14:textFill>
        </w:rPr>
        <w:t>服务</w:t>
      </w:r>
      <w:r>
        <w:rPr>
          <w:rFonts w:hint="eastAsia" w:ascii="宋体" w:hAnsi="宋体" w:cs="宋体"/>
          <w:color w:val="000000" w:themeColor="text1"/>
          <w:highlight w:val="none"/>
          <w14:textFill>
            <w14:solidFill>
              <w14:schemeClr w14:val="tx1"/>
            </w14:solidFill>
          </w14:textFill>
        </w:rPr>
        <w:t>工作。</w:t>
      </w:r>
    </w:p>
    <w:p w14:paraId="696C51D2">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二、框架协议有效期：</w:t>
      </w:r>
    </w:p>
    <w:p w14:paraId="64504880">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本框架协议期限为</w:t>
      </w:r>
      <w:r>
        <w:rPr>
          <w:rFonts w:hint="eastAsia" w:ascii="宋体" w:hAnsi="宋体" w:cs="宋体"/>
          <w:color w:val="000000" w:themeColor="text1"/>
          <w:szCs w:val="21"/>
          <w:highlight w:val="none"/>
          <w:lang w:val="en-US" w:eastAsia="zh-CN"/>
          <w14:textFill>
            <w14:solidFill>
              <w14:schemeClr w14:val="tx1"/>
            </w14:solidFill>
          </w14:textFill>
        </w:rPr>
        <w:t>两年</w:t>
      </w:r>
      <w:r>
        <w:rPr>
          <w:rFonts w:hint="eastAsia" w:ascii="宋体" w:hAnsi="宋体" w:cs="宋体"/>
          <w:color w:val="000000" w:themeColor="text1"/>
          <w:szCs w:val="21"/>
          <w:highlight w:val="none"/>
          <w14:textFill>
            <w14:solidFill>
              <w14:schemeClr w14:val="tx1"/>
            </w14:solidFill>
          </w14:textFill>
        </w:rPr>
        <w:t>，从</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起至</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w:t>
      </w:r>
    </w:p>
    <w:p w14:paraId="32D5342A">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三、协审服务费：</w:t>
      </w:r>
    </w:p>
    <w:p w14:paraId="20C4447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（一）工程概（预）算、工程量清单和招标控制价评审服务费计取如下：</w:t>
      </w:r>
    </w:p>
    <w:p w14:paraId="6236A8E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1.评审服务费=基本费或效益费（二者选高值）</w:t>
      </w:r>
    </w:p>
    <w:p w14:paraId="222065C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2.基本费、效益费的计算</w:t>
      </w:r>
    </w:p>
    <w:p w14:paraId="116FEC1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（1）基本费按经财政部门确认的审定造价实行分段累进计算，基本费=∑（工程项目审定造价（不含暂列金额）×基本费费率×难度系数）：</w:t>
      </w:r>
    </w:p>
    <w:tbl>
      <w:tblPr>
        <w:tblStyle w:val="4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606"/>
        <w:gridCol w:w="3240"/>
        <w:gridCol w:w="1472"/>
      </w:tblGrid>
      <w:tr w14:paraId="12C3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2" w:hRule="atLeast"/>
          <w:jc w:val="center"/>
        </w:trPr>
        <w:tc>
          <w:tcPr>
            <w:tcW w:w="3606" w:type="dxa"/>
            <w:noWrap w:val="0"/>
            <w:vAlign w:val="center"/>
          </w:tcPr>
          <w:p w14:paraId="3E2394FF">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审定单项造价M（万元）</w:t>
            </w:r>
          </w:p>
        </w:tc>
        <w:tc>
          <w:tcPr>
            <w:tcW w:w="3240" w:type="dxa"/>
            <w:noWrap w:val="0"/>
            <w:vAlign w:val="center"/>
          </w:tcPr>
          <w:p w14:paraId="53996FD9">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评审服务费计费标准（费率）‰</w:t>
            </w:r>
          </w:p>
        </w:tc>
        <w:tc>
          <w:tcPr>
            <w:tcW w:w="1472" w:type="dxa"/>
            <w:noWrap w:val="0"/>
            <w:vAlign w:val="center"/>
          </w:tcPr>
          <w:p w14:paraId="2B575D7B">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备注</w:t>
            </w:r>
          </w:p>
        </w:tc>
      </w:tr>
      <w:tr w14:paraId="36EF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33E48163">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w:t>
            </w:r>
          </w:p>
        </w:tc>
        <w:tc>
          <w:tcPr>
            <w:tcW w:w="3240" w:type="dxa"/>
            <w:noWrap w:val="0"/>
            <w:vAlign w:val="center"/>
          </w:tcPr>
          <w:p w14:paraId="383F8644">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1.461</w:t>
            </w:r>
          </w:p>
        </w:tc>
        <w:tc>
          <w:tcPr>
            <w:tcW w:w="1472" w:type="dxa"/>
            <w:vMerge w:val="restart"/>
            <w:noWrap w:val="0"/>
            <w:vAlign w:val="center"/>
          </w:tcPr>
          <w:p w14:paraId="6859FD87">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按照分段差额累进法计算</w:t>
            </w:r>
          </w:p>
        </w:tc>
      </w:tr>
      <w:tr w14:paraId="7071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6E6AA79D">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00&lt;M≤</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000</w:t>
            </w:r>
          </w:p>
        </w:tc>
        <w:tc>
          <w:tcPr>
            <w:tcW w:w="3240" w:type="dxa"/>
            <w:noWrap w:val="0"/>
            <w:vAlign w:val="center"/>
          </w:tcPr>
          <w:p w14:paraId="42FC0C2C">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1.</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00</w:t>
            </w:r>
          </w:p>
        </w:tc>
        <w:tc>
          <w:tcPr>
            <w:tcW w:w="1472" w:type="dxa"/>
            <w:vMerge w:val="continue"/>
            <w:noWrap w:val="0"/>
            <w:vAlign w:val="center"/>
          </w:tcPr>
          <w:p w14:paraId="30B3A3DE">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27B3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1DF5FC60">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000&lt;M≤</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w:t>
            </w:r>
          </w:p>
        </w:tc>
        <w:tc>
          <w:tcPr>
            <w:tcW w:w="3240" w:type="dxa"/>
            <w:noWrap w:val="0"/>
            <w:vAlign w:val="center"/>
          </w:tcPr>
          <w:p w14:paraId="1175BB85">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0.89</w:t>
            </w:r>
          </w:p>
        </w:tc>
        <w:tc>
          <w:tcPr>
            <w:tcW w:w="1472" w:type="dxa"/>
            <w:vMerge w:val="continue"/>
            <w:noWrap w:val="0"/>
            <w:vAlign w:val="center"/>
          </w:tcPr>
          <w:p w14:paraId="735DE0FE">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48F5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4DECFE18">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000&lt;M≤10000</w:t>
            </w:r>
          </w:p>
        </w:tc>
        <w:tc>
          <w:tcPr>
            <w:tcW w:w="3240" w:type="dxa"/>
            <w:noWrap w:val="0"/>
            <w:vAlign w:val="center"/>
          </w:tcPr>
          <w:p w14:paraId="35FB5241">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0.6</w:t>
            </w:r>
          </w:p>
        </w:tc>
        <w:tc>
          <w:tcPr>
            <w:tcW w:w="1472" w:type="dxa"/>
            <w:vMerge w:val="continue"/>
            <w:noWrap w:val="0"/>
            <w:vAlign w:val="center"/>
          </w:tcPr>
          <w:p w14:paraId="1829BD49">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6706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3180D919">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10000&lt;M≤30000</w:t>
            </w:r>
          </w:p>
        </w:tc>
        <w:tc>
          <w:tcPr>
            <w:tcW w:w="3240" w:type="dxa"/>
            <w:noWrap w:val="0"/>
            <w:vAlign w:val="center"/>
          </w:tcPr>
          <w:p w14:paraId="6EDF06B0">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385</w:t>
            </w:r>
          </w:p>
        </w:tc>
        <w:tc>
          <w:tcPr>
            <w:tcW w:w="1472" w:type="dxa"/>
            <w:vMerge w:val="continue"/>
            <w:noWrap w:val="0"/>
            <w:vAlign w:val="center"/>
          </w:tcPr>
          <w:p w14:paraId="66D3567C">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56D4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6" w:hRule="atLeast"/>
          <w:jc w:val="center"/>
        </w:trPr>
        <w:tc>
          <w:tcPr>
            <w:tcW w:w="3606" w:type="dxa"/>
            <w:noWrap w:val="0"/>
            <w:vAlign w:val="center"/>
          </w:tcPr>
          <w:p w14:paraId="37739ABD">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30000&lt;M</w:t>
            </w:r>
          </w:p>
        </w:tc>
        <w:tc>
          <w:tcPr>
            <w:tcW w:w="3240" w:type="dxa"/>
            <w:noWrap w:val="0"/>
            <w:vAlign w:val="center"/>
          </w:tcPr>
          <w:p w14:paraId="2A65A195">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171</w:t>
            </w:r>
          </w:p>
        </w:tc>
        <w:tc>
          <w:tcPr>
            <w:tcW w:w="1472" w:type="dxa"/>
            <w:vMerge w:val="continue"/>
            <w:noWrap w:val="0"/>
            <w:vAlign w:val="center"/>
          </w:tcPr>
          <w:p w14:paraId="62CC7DE1">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bl>
    <w:p w14:paraId="5C6FC0F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（2）效益费按经财政部门确认的净核减值实行分段累进计算，效益费=∑（净核减值×效益费费率×难度系数），净核减值（不含暂列金额、暂估价部分的核减），具体如下：</w:t>
      </w:r>
    </w:p>
    <w:tbl>
      <w:tblPr>
        <w:tblStyle w:val="49"/>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204"/>
        <w:gridCol w:w="2792"/>
        <w:gridCol w:w="1479"/>
      </w:tblGrid>
      <w:tr w14:paraId="3A69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24" w:type="dxa"/>
            <w:noWrap w:val="0"/>
            <w:vAlign w:val="center"/>
          </w:tcPr>
          <w:p w14:paraId="0F9D42F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序号</w:t>
            </w:r>
          </w:p>
        </w:tc>
        <w:tc>
          <w:tcPr>
            <w:tcW w:w="3204" w:type="dxa"/>
            <w:noWrap w:val="0"/>
            <w:vAlign w:val="center"/>
          </w:tcPr>
          <w:p w14:paraId="4F17D8FD">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净核减值</w:t>
            </w:r>
          </w:p>
        </w:tc>
        <w:tc>
          <w:tcPr>
            <w:tcW w:w="2792" w:type="dxa"/>
            <w:noWrap w:val="0"/>
            <w:vAlign w:val="center"/>
          </w:tcPr>
          <w:p w14:paraId="7D653920">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效益费率</w:t>
            </w:r>
          </w:p>
        </w:tc>
        <w:tc>
          <w:tcPr>
            <w:tcW w:w="1479" w:type="dxa"/>
            <w:noWrap w:val="0"/>
            <w:vAlign w:val="center"/>
          </w:tcPr>
          <w:p w14:paraId="186D54DF">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备注</w:t>
            </w:r>
          </w:p>
        </w:tc>
      </w:tr>
      <w:tr w14:paraId="6CD7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10D7AF9E">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w:t>
            </w:r>
          </w:p>
        </w:tc>
        <w:tc>
          <w:tcPr>
            <w:tcW w:w="3204" w:type="dxa"/>
            <w:noWrap w:val="0"/>
            <w:vAlign w:val="center"/>
          </w:tcPr>
          <w:p w14:paraId="117A874B">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净核减值≤100万元</w:t>
            </w:r>
          </w:p>
        </w:tc>
        <w:tc>
          <w:tcPr>
            <w:tcW w:w="2792" w:type="dxa"/>
            <w:noWrap w:val="0"/>
            <w:vAlign w:val="center"/>
          </w:tcPr>
          <w:p w14:paraId="43660A5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3%</w:t>
            </w:r>
          </w:p>
        </w:tc>
        <w:tc>
          <w:tcPr>
            <w:tcW w:w="1479" w:type="dxa"/>
            <w:vMerge w:val="restart"/>
            <w:noWrap w:val="0"/>
            <w:vAlign w:val="center"/>
          </w:tcPr>
          <w:p w14:paraId="0A660603">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按照分段差额累进法计算</w:t>
            </w:r>
          </w:p>
        </w:tc>
      </w:tr>
      <w:tr w14:paraId="5B54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12C1A59F">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w:t>
            </w:r>
          </w:p>
        </w:tc>
        <w:tc>
          <w:tcPr>
            <w:tcW w:w="3204" w:type="dxa"/>
            <w:noWrap w:val="0"/>
            <w:vAlign w:val="center"/>
          </w:tcPr>
          <w:p w14:paraId="2BAEEE6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100万元&lt;净核减值≤300万元</w:t>
            </w:r>
          </w:p>
        </w:tc>
        <w:tc>
          <w:tcPr>
            <w:tcW w:w="2792" w:type="dxa"/>
            <w:noWrap w:val="0"/>
            <w:vAlign w:val="center"/>
          </w:tcPr>
          <w:p w14:paraId="18EC485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p>
        </w:tc>
        <w:tc>
          <w:tcPr>
            <w:tcW w:w="1479" w:type="dxa"/>
            <w:vMerge w:val="continue"/>
            <w:noWrap w:val="0"/>
            <w:vAlign w:val="center"/>
          </w:tcPr>
          <w:p w14:paraId="516565F4">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5502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377E43A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3</w:t>
            </w:r>
          </w:p>
        </w:tc>
        <w:tc>
          <w:tcPr>
            <w:tcW w:w="3204" w:type="dxa"/>
            <w:noWrap w:val="0"/>
            <w:vAlign w:val="center"/>
          </w:tcPr>
          <w:p w14:paraId="1E490533">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300万元&lt;净核减值≤500万元</w:t>
            </w:r>
          </w:p>
        </w:tc>
        <w:tc>
          <w:tcPr>
            <w:tcW w:w="2792" w:type="dxa"/>
            <w:noWrap w:val="0"/>
            <w:vAlign w:val="center"/>
          </w:tcPr>
          <w:p w14:paraId="785D7EF6">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2.64%</w:t>
            </w:r>
          </w:p>
        </w:tc>
        <w:tc>
          <w:tcPr>
            <w:tcW w:w="1479" w:type="dxa"/>
            <w:vMerge w:val="continue"/>
            <w:noWrap w:val="0"/>
            <w:vAlign w:val="center"/>
          </w:tcPr>
          <w:p w14:paraId="61B9F989">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6160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578BC9E2">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4</w:t>
            </w:r>
          </w:p>
        </w:tc>
        <w:tc>
          <w:tcPr>
            <w:tcW w:w="3204" w:type="dxa"/>
            <w:noWrap w:val="0"/>
            <w:vAlign w:val="center"/>
          </w:tcPr>
          <w:p w14:paraId="78B2848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500万元&lt;净核减值≤1000万元</w:t>
            </w:r>
          </w:p>
        </w:tc>
        <w:tc>
          <w:tcPr>
            <w:tcW w:w="2792" w:type="dxa"/>
            <w:noWrap w:val="0"/>
            <w:vAlign w:val="center"/>
          </w:tcPr>
          <w:p w14:paraId="4D17E7CA">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2.18%</w:t>
            </w:r>
          </w:p>
        </w:tc>
        <w:tc>
          <w:tcPr>
            <w:tcW w:w="1479" w:type="dxa"/>
            <w:vMerge w:val="continue"/>
            <w:noWrap w:val="0"/>
            <w:vAlign w:val="center"/>
          </w:tcPr>
          <w:p w14:paraId="24FD0B5D">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6631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24" w:type="dxa"/>
            <w:noWrap w:val="0"/>
            <w:vAlign w:val="center"/>
          </w:tcPr>
          <w:p w14:paraId="64EC3FC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5</w:t>
            </w:r>
          </w:p>
        </w:tc>
        <w:tc>
          <w:tcPr>
            <w:tcW w:w="3204" w:type="dxa"/>
            <w:noWrap w:val="0"/>
            <w:vAlign w:val="center"/>
          </w:tcPr>
          <w:p w14:paraId="118400BB">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1000万元&lt;净核减值≤1500万元</w:t>
            </w:r>
          </w:p>
        </w:tc>
        <w:tc>
          <w:tcPr>
            <w:tcW w:w="2792" w:type="dxa"/>
            <w:noWrap w:val="0"/>
            <w:vAlign w:val="center"/>
          </w:tcPr>
          <w:p w14:paraId="68C8A65B">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1.66%</w:t>
            </w:r>
          </w:p>
        </w:tc>
        <w:tc>
          <w:tcPr>
            <w:tcW w:w="1479" w:type="dxa"/>
            <w:vMerge w:val="continue"/>
            <w:noWrap w:val="0"/>
            <w:vAlign w:val="center"/>
          </w:tcPr>
          <w:p w14:paraId="6D9EB522">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4FC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4" w:type="dxa"/>
            <w:noWrap w:val="0"/>
            <w:vAlign w:val="center"/>
          </w:tcPr>
          <w:p w14:paraId="3576C8CA">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6</w:t>
            </w:r>
          </w:p>
        </w:tc>
        <w:tc>
          <w:tcPr>
            <w:tcW w:w="3204" w:type="dxa"/>
            <w:noWrap w:val="0"/>
            <w:vAlign w:val="center"/>
          </w:tcPr>
          <w:p w14:paraId="26A4A8DB">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1500万元&lt;净核减值</w:t>
            </w:r>
          </w:p>
        </w:tc>
        <w:tc>
          <w:tcPr>
            <w:tcW w:w="2792" w:type="dxa"/>
            <w:noWrap w:val="0"/>
            <w:vAlign w:val="center"/>
          </w:tcPr>
          <w:p w14:paraId="3799F91C">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0.</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415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p>
        </w:tc>
        <w:tc>
          <w:tcPr>
            <w:tcW w:w="1479" w:type="dxa"/>
            <w:vMerge w:val="continue"/>
            <w:noWrap w:val="0"/>
            <w:vAlign w:val="center"/>
          </w:tcPr>
          <w:p w14:paraId="61059675">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bl>
    <w:p w14:paraId="5038ACD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p>
    <w:p w14:paraId="1AB592B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（二）评审服务费上限额：单个项目评审服务费不得超过50万元。评审服务费少于2000元的，按2000元计。</w:t>
      </w:r>
    </w:p>
    <w:p w14:paraId="3F35C1D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（三）难度系数</w:t>
      </w:r>
    </w:p>
    <w:p w14:paraId="0D1A0AE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1.水利、市政道路、给排水、公路及土地整理项目、园林绿化工程，难度系数0.8；桥梁和房建项目，难度系数为1.2；土石方工程项目，难度系数为0.6；信息化项目的难度系数为0.9；其余类型项目的难度系数为1.0；</w:t>
      </w:r>
    </w:p>
    <w:p w14:paraId="629B573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2.需要到项目地调查的，难度系数为1.1（此项付费最高不超过3000元）。</w:t>
      </w:r>
    </w:p>
    <w:p w14:paraId="48A2D28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3.难度系数在安排评审任务时由双方确定。</w:t>
      </w:r>
    </w:p>
    <w:p w14:paraId="39D0E52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（四）土石方开挖、运输、回填、弃置等因套用定额与市场价调整的均不属于付费内容。</w:t>
      </w:r>
    </w:p>
    <w:p w14:paraId="36AFC91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（五）送审的工程因漏项、错项或未按规范性文件准确计价计量等因素导致每一单位工程造价核增20万元以上的，在计算评审结论的核减金额时，上述因素造成的核增金额不冲减核减金额。</w:t>
      </w:r>
    </w:p>
    <w:p w14:paraId="10D9BE0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六）送审与审定所采用的材料价格信息不一致，导致审定造价与送审造价偏差大，差额超过50万元或超过审定造价的±5%以上的，计算评审服务费时，项目的净核减额应扣除该部分核增（减）额后计算评审服务费。</w:t>
      </w:r>
    </w:p>
    <w:p w14:paraId="72FEEDA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（七）征集人明确不属于供应商审核范围（内容）的事项，不计入工程净核减额。</w:t>
      </w:r>
    </w:p>
    <w:p w14:paraId="0F92978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（八）因非入围供应商原因需中止项目审核工作的，采购人视入围供应商完成工作量情况来计算评审服务费：</w:t>
      </w:r>
    </w:p>
    <w:p w14:paraId="261D336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1.已完成征集人委托项目初审工作的，按评审基本费30%计算；</w:t>
      </w:r>
    </w:p>
    <w:p w14:paraId="3179E16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2.已完成征集人委托项目初审及对数工作的，按评审基本费50%计算。</w:t>
      </w:r>
    </w:p>
    <w:p w14:paraId="5DCA17B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3.在合同期内该项目由原供应商再次审核的，支付的评审服务费应扣除原已支付部分。</w:t>
      </w:r>
    </w:p>
    <w:p w14:paraId="1F1068B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（九）因供应商自身原因中途将委托项目退回给征集人的，征集人不支付任何评审费用,且征集人有权不再委托项目或单方面终止该项目合同。</w:t>
      </w:r>
    </w:p>
    <w:p w14:paraId="49AC44D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十）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单方面终止合同。</w:t>
      </w:r>
    </w:p>
    <w:p w14:paraId="21DDBC7F">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十一</w:t>
      </w:r>
      <w:r>
        <w:rPr>
          <w:rFonts w:hint="eastAsia" w:ascii="宋体" w:hAnsi="宋体" w:cs="宋体"/>
          <w:color w:val="000000" w:themeColor="text1"/>
          <w:szCs w:val="21"/>
          <w:highlight w:val="none"/>
          <w14:textFill>
            <w14:solidFill>
              <w14:schemeClr w14:val="tx1"/>
            </w14:solidFill>
          </w14:textFill>
        </w:rPr>
        <w:t>）乙方的响应报价已包括了实施和完成协审工作所需的劳务费、技术服务费、交通、通讯、办公场地、管理费、税费和利润等费用和政策性文件规定及合同包含的所有风险、责任等各项应有的费用，除非上述费用在合同中另有说明，合同期内，费率不再调整。</w:t>
      </w:r>
    </w:p>
    <w:p w14:paraId="00902792">
      <w:pPr>
        <w:shd w:val="clear"/>
        <w:spacing w:line="360" w:lineRule="auto"/>
        <w:ind w:firstLine="422" w:firstLineChars="200"/>
        <w:rPr>
          <w:rFonts w:ascii="宋体" w:hAnsi="宋体" w:cs="宋体"/>
          <w:b/>
          <w:color w:val="000000" w:themeColor="text1"/>
          <w:szCs w:val="21"/>
          <w:highlight w:val="none"/>
          <w:lang w:eastAsia="ar-SA"/>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四、履约保证金</w:t>
      </w:r>
    </w:p>
    <w:p w14:paraId="281AD5A5">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本项目无履约保证金</w:t>
      </w:r>
    </w:p>
    <w:p w14:paraId="54F092BC">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五、服务费的结算与支付方式</w:t>
      </w:r>
    </w:p>
    <w:p w14:paraId="0F70DBF6">
      <w:pPr>
        <w:shd w:val="clea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协审服务费采取谁委托谁付费的方式，具体付款方式由采购人与成交供应商在采购合同中约定。</w:t>
      </w:r>
    </w:p>
    <w:p w14:paraId="2E2298A3">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2.协审服务费按以下情况分别处理：</w:t>
      </w:r>
    </w:p>
    <w:p w14:paraId="3B98E57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（1）按框架协议第三条计费规定计算相应协审服务费；</w:t>
      </w:r>
    </w:p>
    <w:p w14:paraId="3B9BEFB7">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（2）如按上述计费规定计算相应工作协审服务费少于2000元的，按2000元计。</w:t>
      </w:r>
    </w:p>
    <w:p w14:paraId="66D3E108">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3.因采购人原因中途中止协审服务工作的，由采购人与乙方协商，按实际完成的比例计取协审服务费；因供应商原因导致协审服务工作中止的，不计取协审服务费。</w:t>
      </w:r>
    </w:p>
    <w:p w14:paraId="0054F4F9">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4.合同履行期间，如乙方存在违法行为，在政府采购监督管理部门调查或被行政处罚期间，甲方可视情况中止合同，并通知采购人延期支付服务费。</w:t>
      </w:r>
    </w:p>
    <w:p w14:paraId="77B972AA">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六、适用框架协议的采购人</w:t>
      </w:r>
    </w:p>
    <w:p w14:paraId="56C5FB6F">
      <w:pPr>
        <w:shd w:val="clea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上思县财政局。</w:t>
      </w:r>
    </w:p>
    <w:p w14:paraId="514B659B">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七、确定第二阶段成交供应商的方式</w:t>
      </w:r>
    </w:p>
    <w:p w14:paraId="1032FE87">
      <w:pPr>
        <w:shd w:val="clear"/>
        <w:spacing w:line="360" w:lineRule="auto"/>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确定第二阶段成交供应商的方式为直接选定。由采购人依据项目实际情况、供应商服务质量、价格及服务便利性、用户评价等因素，从第一阶段入围供应商中直接选定。</w:t>
      </w:r>
    </w:p>
    <w:p w14:paraId="6D3D17FE">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八、采购合同文本</w:t>
      </w:r>
    </w:p>
    <w:p w14:paraId="51E8E64E">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详见本章第二节。</w:t>
      </w:r>
    </w:p>
    <w:p w14:paraId="4E92614C">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九、权利和义务</w:t>
      </w:r>
    </w:p>
    <w:p w14:paraId="68C9BA50">
      <w:pPr>
        <w:shd w:val="clea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（一）甲方的权利和义务</w:t>
      </w:r>
    </w:p>
    <w:p w14:paraId="09AF445C">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1.甲方将根据有关法律法规规章的规定，按照本项目征集文件采购需求及本框架协议约定的事项从入围供应商中选定成交供应商。</w:t>
      </w:r>
    </w:p>
    <w:p w14:paraId="3B5807C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甲方有权按照本项目征集文件、本框架协议和采购合同等文件对乙方履约行为进行监督、管理和检查，收集并公开对入围供应商履行框架协议和采购合同情况的反馈与评价。如发现乙方违反征集文件或本框架协议或采购合同的有关规定和承诺，甲方有权暂停或终止框架协议。</w:t>
      </w:r>
    </w:p>
    <w:p w14:paraId="41CC07DE">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3.甲方按规定公开框架协议有效期内入围供应商成交结果情况。</w:t>
      </w:r>
    </w:p>
    <w:p w14:paraId="35EE7283">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4.甲方有权对符合本框架协议第十一条约定的入围供应商进行清退，解除框架协议。</w:t>
      </w:r>
    </w:p>
    <w:p w14:paraId="60369AE3">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5.乙方有违法违规违纪问题或违反廉洁从业规定时，甲方实行一票否决，终止框架协议并追究乙方相关责任。</w:t>
      </w:r>
    </w:p>
    <w:p w14:paraId="5EA3E674">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6.甲方认为有必要时，可以约谈、询问乙方的法人代表及相关负责人，乙方不得拒绝。</w:t>
      </w:r>
    </w:p>
    <w:p w14:paraId="34EFCD3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7.甲方有权对乙方拟投入人员实行登记备案管理，并有权随时了解合作过程中乙方工作人员及拟投入人员的变动情况。</w:t>
      </w:r>
    </w:p>
    <w:p w14:paraId="655832B2">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8.甲方将不定期对乙方拟投入人员在岗情况进行检查，如发现乙方委派的</w:t>
      </w:r>
      <w:r>
        <w:rPr>
          <w:rFonts w:hint="eastAsia" w:ascii="宋体" w:hAnsi="宋体" w:cs="宋体"/>
          <w:color w:val="000000" w:themeColor="text1"/>
          <w:szCs w:val="21"/>
          <w:highlight w:val="none"/>
          <w14:textFill>
            <w14:solidFill>
              <w14:schemeClr w14:val="tx1"/>
            </w14:solidFill>
          </w14:textFill>
        </w:rPr>
        <w:t>管理及技术负责人和专业技术</w:t>
      </w:r>
      <w:r>
        <w:rPr>
          <w:rFonts w:hint="eastAsia" w:ascii="宋体" w:hAnsi="宋体"/>
          <w:bCs/>
          <w:color w:val="000000" w:themeColor="text1"/>
          <w:szCs w:val="21"/>
          <w:highlight w:val="none"/>
          <w14:textFill>
            <w14:solidFill>
              <w14:schemeClr w14:val="tx1"/>
            </w14:solidFill>
          </w14:textFill>
        </w:rPr>
        <w:t>人员与响应文件承诺的人员不一致，变更（或减少）人员比例≥30%或变更（或减少）人员人次≥3或变更人员的</w:t>
      </w:r>
      <w:r>
        <w:rPr>
          <w:rFonts w:hint="eastAsia" w:ascii="宋体" w:hAnsi="宋体" w:cs="宋体"/>
          <w:color w:val="000000" w:themeColor="text1"/>
          <w:szCs w:val="21"/>
          <w:highlight w:val="none"/>
          <w14:textFill>
            <w14:solidFill>
              <w14:schemeClr w14:val="tx1"/>
            </w14:solidFill>
          </w14:textFill>
        </w:rPr>
        <w:t>职称、资格证书低于该岗位拟投入人员的</w:t>
      </w:r>
      <w:r>
        <w:rPr>
          <w:rFonts w:hint="eastAsia" w:ascii="宋体" w:hAnsi="宋体"/>
          <w:bCs/>
          <w:color w:val="000000" w:themeColor="text1"/>
          <w:szCs w:val="21"/>
          <w:highlight w:val="none"/>
          <w14:textFill>
            <w14:solidFill>
              <w14:schemeClr w14:val="tx1"/>
            </w14:solidFill>
          </w14:textFill>
        </w:rPr>
        <w:t>，甲方有权暂停委托乙方项目或终止框架协议。</w:t>
      </w:r>
    </w:p>
    <w:p w14:paraId="3FC1E958">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9.甲方有权要求乙方增加人员和更换不合格人员，在特殊情况下有权指定乙方人员从事特定项目审核，乙方应无条件增加、更换或安排相应人员。</w:t>
      </w:r>
    </w:p>
    <w:p w14:paraId="6522D60C">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10.甲方有权要求乙方按时、按质、按量、按计划、按框架协议及采购合同约定完成协审服务工作，有权对乙方的工作质量及进度、服务态度、廉政纪律等进行监督。</w:t>
      </w:r>
    </w:p>
    <w:p w14:paraId="7D0F5309">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11.甲方有权随时了解乙方的工作情况和进度并提出意见建议，有权要求乙方提供审核资料（含纸质及电子版）。</w:t>
      </w:r>
    </w:p>
    <w:p w14:paraId="00EED698">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12.甲方有权对乙方提交的成果提出修改意见并要求乙方按修改意见完成服务工作。</w:t>
      </w:r>
    </w:p>
    <w:p w14:paraId="445E102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13.乙方提交的成果文件及审核资料不符合要求的，甲方有权退回并要求乙方修改。</w:t>
      </w:r>
    </w:p>
    <w:p w14:paraId="2C2567D1">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14.有权合法、正确地使用</w:t>
      </w:r>
      <w:r>
        <w:rPr>
          <w:rFonts w:hint="eastAsia" w:ascii="宋体" w:hAnsi="宋体"/>
          <w:bCs/>
          <w:color w:val="000000" w:themeColor="text1"/>
          <w:szCs w:val="21"/>
          <w:highlight w:val="none"/>
          <w14:textFill>
            <w14:solidFill>
              <w14:schemeClr w14:val="tx1"/>
            </w14:solidFill>
          </w14:textFill>
        </w:rPr>
        <w:t>乙方提交的报告、文件、资料等服务成果。</w:t>
      </w:r>
    </w:p>
    <w:p w14:paraId="330DC8FE">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15.有义务向乙方提供项目协审所需资料，协调相关部门和单位配合评审工作，并及时解决乙方在协审过程中遇到的问题。</w:t>
      </w:r>
    </w:p>
    <w:p w14:paraId="2886F256">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16.有义务按框架协议约定向乙方支付服务费用。</w:t>
      </w:r>
    </w:p>
    <w:p w14:paraId="54AFFD34">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17.如征集文件有要求需在框架协议中另行确定的事项，甲方有权按征集文件要求执行。</w:t>
      </w:r>
    </w:p>
    <w:p w14:paraId="0704A948">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18.如采购项目涉及采购标的知识产权归属的，产权归属甲方。 </w:t>
      </w:r>
    </w:p>
    <w:p w14:paraId="6B943370">
      <w:pPr>
        <w:shd w:val="clea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19.采购人在中华人民共和国境内使用供应商提供的产品及服务时免受第三方提出的侵犯其专利权或其它知识产权的起诉。如第三方提出侵权指控，乙方应承担由此而引起的一切法律责任和费用。</w:t>
      </w:r>
    </w:p>
    <w:p w14:paraId="607E8C4C">
      <w:pPr>
        <w:shd w:val="clea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（二）乙方的权利和义务</w:t>
      </w:r>
    </w:p>
    <w:p w14:paraId="750EF028">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1.乙方应当遵守采购人按照本框架协议规定的成交供应商选定方式获得成交供应商资格。</w:t>
      </w:r>
    </w:p>
    <w:p w14:paraId="2ADA845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2.乙方应严格按照征集文件、响应文件、框架协议、采购合同和委托书的要求、承诺和约定，向甲方提供产品和服务，按时按质按量提交成果，保证甲方委托项目的评审质量和进度。</w:t>
      </w:r>
    </w:p>
    <w:p w14:paraId="17046523">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3.乙方及其投入人员在工作中应接受甲方的管理指导、质量和进度监督、考核评价及意见反馈等，严格履行服务承诺。</w:t>
      </w:r>
    </w:p>
    <w:p w14:paraId="21BFE74B">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4.乙方无正当理由，不得主动放弃入围资格或退出框架协议，否则甲方保留对乙方追究责任的权利。</w:t>
      </w:r>
    </w:p>
    <w:p w14:paraId="5C7E41EB">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5.乙方应按照征集文件要求提供需要核查的原件，如原件与响应文件中提供的不一致或虚假或未提供的，甲方有权取消乙方入围资格。</w:t>
      </w:r>
    </w:p>
    <w:p w14:paraId="3A51F71F">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在框架协议有效期内，乙方管理及技术负责人、专业技术人员应与响应文件保持一致。未经甲方书面要求或同意，乙方管理及技术负责人、专业技术人员不得调整；乙方投入项目的协审人员，必须是响应文件中承诺的拟投入人员。如有变化，需取得甲方同意。</w:t>
      </w:r>
    </w:p>
    <w:p w14:paraId="349F49CC">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7.必须严格满足响应文件中承诺的人员配置。如果必须补充或更换人员，必须补充或更换优于或等同于响应文件所承诺资质的人员，并需取得甲方书面同意。</w:t>
      </w:r>
    </w:p>
    <w:p w14:paraId="5D2CD4A2">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8.乙方应根据甲方提供的资料，依法依规、实事求是的开展协审工作并出具报告、资料及文件等服务成果。</w:t>
      </w:r>
    </w:p>
    <w:p w14:paraId="5072A2D7">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乙方根据本协议及采购合同约定向甲方提供报告、资料、文件等服务成果后，甲方即对上述成果及其内容享有充分、完整和排他的著作权和知识产权。未经甲方书面许可，乙方不得向任何第三方提供上述成果及其内容。</w:t>
      </w:r>
    </w:p>
    <w:p w14:paraId="74A961E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10.乙方及其人员应履行保密义务。如乙方及其人员因违反本条约定给甲方造成损失的，乙方应承担相应的法律责任，并赔偿由此给甲方造成的一切损失。</w:t>
      </w:r>
    </w:p>
    <w:p w14:paraId="56B82981">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11.乙方应履行回避义务。乙方如果与所协审项目（或该项目的相关单位）存在利益关联或其他可能影响项目评审公正性的情形，应主动告知甲方并终止采购合同。乙方协审人员如果与所协审项目（或该项目的相关单位）存在利益关联或其他可能影响项目评审公正性的情形，应主动告知甲方并更换协审人员。</w:t>
      </w:r>
    </w:p>
    <w:p w14:paraId="22DCB759">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12.有义务妥善保管甲方提供的资料，并在协审任务完成后完整交回甲方。</w:t>
      </w:r>
    </w:p>
    <w:p w14:paraId="47FE1021">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13.甲方检查乙方办公场所及人员，约谈、询问乙方法人代表及相关负责人时，乙方有义务积极配合。</w:t>
      </w:r>
    </w:p>
    <w:p w14:paraId="1C487263">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14.有义务将本单位员工花名册（包括姓名、年龄、性别、职务、岗位、联系方式）及拟投入人员名单（含管理与技术负责人及各专业技术人员，名单需与响应文件的拟投入人员名单完全相同，并附上通讯方式及个人详细资料，包括身份证、学历、资格证明文件的复印件，原件备查）通过书面和电子文档形式报甲方登记备案，并向甲方及时上报合作过程中本单位拟投入人员的变动情况。</w:t>
      </w:r>
    </w:p>
    <w:p w14:paraId="07D37F87">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15.有权按照本协议约定收取服务费用。</w:t>
      </w:r>
    </w:p>
    <w:p w14:paraId="3E16294C">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16.有权要求甲方提供项目协审所需资料，帮助协调相关部门和单位配合工作，并及时解决在协审服务中遇到的问题。</w:t>
      </w:r>
    </w:p>
    <w:p w14:paraId="200D5FB0">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17.有权解释说明初审结果误差≥3%的原因。</w:t>
      </w:r>
    </w:p>
    <w:p w14:paraId="0B7AB9FE">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18.乙方应服从甲方对可能委托项目的指派及分配，并了解签订本框架协议后仅代表取得入围</w:t>
      </w:r>
      <w:r>
        <w:rPr>
          <w:rFonts w:hint="eastAsia" w:ascii="宋体" w:hAnsi="宋体"/>
          <w:color w:val="000000" w:themeColor="text1"/>
          <w:szCs w:val="21"/>
          <w:highlight w:val="none"/>
          <w:lang w:eastAsia="zh-CN"/>
          <w14:textFill>
            <w14:solidFill>
              <w14:schemeClr w14:val="tx1"/>
            </w14:solidFill>
          </w14:textFill>
        </w:rPr>
        <w:t>2025-2027年度上思县财政投资评审服务框架协议采购</w:t>
      </w:r>
      <w:r>
        <w:rPr>
          <w:rFonts w:hint="eastAsia" w:ascii="宋体" w:hAnsi="宋体"/>
          <w:bCs/>
          <w:color w:val="000000" w:themeColor="text1"/>
          <w:szCs w:val="21"/>
          <w:highlight w:val="none"/>
          <w14:textFill>
            <w14:solidFill>
              <w14:schemeClr w14:val="tx1"/>
            </w14:solidFill>
          </w14:textFill>
        </w:rPr>
        <w:t>协审服务资格，不等同于可确保直接承接相应数量的项目协审工作并获得相应项目的服务费用。</w:t>
      </w:r>
    </w:p>
    <w:p w14:paraId="61D3FBC5">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十、用户反馈和评价机制</w:t>
      </w:r>
    </w:p>
    <w:p w14:paraId="2A90E5A1">
      <w:pPr>
        <w:shd w:val="clea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本项目将建立用户反馈和评价机制。</w:t>
      </w:r>
    </w:p>
    <w:p w14:paraId="4DA78F64">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十一、入围供应商的清退和补充规则</w:t>
      </w:r>
    </w:p>
    <w:p w14:paraId="4B526943">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1.乙方有下列情形之一，尚未签订框架协议的，取消其入围资格；已经签订框架协议的，解除与其签订的框架协议：</w:t>
      </w:r>
    </w:p>
    <w:p w14:paraId="35A098CA">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（1）恶意串通谋取入围或者合同成交的；</w:t>
      </w:r>
    </w:p>
    <w:p w14:paraId="139496FC">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（2）提供虚假材料谋取入围或者合同成交的；</w:t>
      </w:r>
    </w:p>
    <w:p w14:paraId="0086D430">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（3）无正当理由拒不接受合同授予的；</w:t>
      </w:r>
    </w:p>
    <w:p w14:paraId="7C9BAA51">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（4）不履行合同义务或者履行合同义务不符合约定，经采购人请求履行后仍不履行或者仍未按约定履行的；</w:t>
      </w:r>
    </w:p>
    <w:p w14:paraId="6E614DB3">
      <w:pPr>
        <w:shd w:val="clea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（5）框架协议有效期内，因违法行为被禁止或限制参加政府采购活动的；</w:t>
      </w:r>
    </w:p>
    <w:p w14:paraId="5052D0FF">
      <w:pPr>
        <w:shd w:val="clea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（6）供应商违反职业道德，有违规违纪问题的；</w:t>
      </w:r>
    </w:p>
    <w:p w14:paraId="0CB47F9E">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（7）框架协议约定的其他情形。</w:t>
      </w:r>
    </w:p>
    <w:p w14:paraId="6731037B">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2.补充规则：框架协议有效期内，不再补充征集供应商。</w:t>
      </w:r>
    </w:p>
    <w:p w14:paraId="40A63A57">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十二、违约责任</w:t>
      </w:r>
    </w:p>
    <w:p w14:paraId="66AE57E2">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1.甲方违约，造成乙方损失的，应按《中华人民共和国民法典》有关规定承担责任。</w:t>
      </w:r>
    </w:p>
    <w:p w14:paraId="38D40450">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2.乙方违约，造成甲方损失的，应按《中华人民共和国民法典》有关规定承担责任并赔偿损失。</w:t>
      </w:r>
    </w:p>
    <w:p w14:paraId="18BCCB0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乙方有违法违规违纪问题或违反《协审单位廉洁从业承诺书》中有关廉洁从业规定时，甲方将实行一票否决，终止框架协议并追究乙方相关责任，三年内禁止乙方参与甲方组织的同类业务投标，同时对乙方进行通报，将乙方不良记录报送至行业主管部门。</w:t>
      </w:r>
    </w:p>
    <w:p w14:paraId="13A151A0">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w:t>
      </w:r>
      <w:r>
        <w:rPr>
          <w:rFonts w:hint="eastAsia" w:cs="宋体"/>
          <w:color w:val="000000" w:themeColor="text1"/>
          <w:szCs w:val="21"/>
          <w:highlight w:val="none"/>
          <w:lang w:bidi="ar"/>
          <w14:textFill>
            <w14:solidFill>
              <w14:schemeClr w14:val="tx1"/>
            </w14:solidFill>
          </w14:textFill>
        </w:rPr>
        <w:t>如因乙方原因未能履行采购合同或未达到采购合同约定的要求，采购人有权书面督促乙方履行采购合同，乙方应在收到采购人书面通知之日起</w:t>
      </w:r>
      <w:r>
        <w:rPr>
          <w:color w:val="000000" w:themeColor="text1"/>
          <w:szCs w:val="21"/>
          <w:highlight w:val="none"/>
          <w:lang w:bidi="ar"/>
          <w14:textFill>
            <w14:solidFill>
              <w14:schemeClr w14:val="tx1"/>
            </w14:solidFill>
          </w14:textFill>
        </w:rPr>
        <w:t>5</w:t>
      </w:r>
      <w:r>
        <w:rPr>
          <w:rFonts w:hint="eastAsia" w:cs="宋体"/>
          <w:color w:val="000000" w:themeColor="text1"/>
          <w:szCs w:val="21"/>
          <w:highlight w:val="none"/>
          <w:lang w:bidi="ar"/>
          <w14:textFill>
            <w14:solidFill>
              <w14:schemeClr w14:val="tx1"/>
            </w14:solidFill>
          </w14:textFill>
        </w:rPr>
        <w:t>个工作日内给予书面答复并进行整改。如乙方在上述时间未答复，或无故拖延履行采购合同，或经整改后仍未达到采购人要求，采购人有权解除采购合同，且</w:t>
      </w:r>
      <w:r>
        <w:rPr>
          <w:rFonts w:hint="eastAsia" w:ascii="宋体" w:hAnsi="宋体" w:cs="宋体"/>
          <w:color w:val="000000" w:themeColor="text1"/>
          <w:szCs w:val="21"/>
          <w:highlight w:val="none"/>
          <w:lang w:bidi="ar"/>
          <w14:textFill>
            <w14:solidFill>
              <w14:schemeClr w14:val="tx1"/>
            </w14:solidFill>
          </w14:textFill>
        </w:rPr>
        <w:t>不支付给乙方任何服务费用</w:t>
      </w:r>
      <w:r>
        <w:rPr>
          <w:rFonts w:hint="eastAsia" w:cs="宋体"/>
          <w:color w:val="000000" w:themeColor="text1"/>
          <w:szCs w:val="21"/>
          <w:highlight w:val="none"/>
          <w:lang w:bidi="ar"/>
          <w14:textFill>
            <w14:solidFill>
              <w14:schemeClr w14:val="tx1"/>
            </w14:solidFill>
          </w14:textFill>
        </w:rPr>
        <w:t>。乙方被解除采购合同</w:t>
      </w:r>
      <w:r>
        <w:rPr>
          <w:rFonts w:hint="eastAsia" w:ascii="宋体" w:hAnsi="宋体" w:cs="宋体"/>
          <w:color w:val="000000" w:themeColor="text1"/>
          <w:szCs w:val="21"/>
          <w:highlight w:val="none"/>
          <w:lang w:bidi="ar"/>
          <w14:textFill>
            <w14:solidFill>
              <w14:schemeClr w14:val="tx1"/>
            </w14:solidFill>
          </w14:textFill>
        </w:rPr>
        <w:t>3</w:t>
      </w:r>
      <w:r>
        <w:rPr>
          <w:rFonts w:hint="eastAsia" w:cs="宋体"/>
          <w:color w:val="000000" w:themeColor="text1"/>
          <w:szCs w:val="21"/>
          <w:highlight w:val="none"/>
          <w:lang w:bidi="ar"/>
          <w14:textFill>
            <w14:solidFill>
              <w14:schemeClr w14:val="tx1"/>
            </w14:solidFill>
          </w14:textFill>
        </w:rPr>
        <w:t>次的，甲方终止框架协议。</w:t>
      </w:r>
    </w:p>
    <w:p w14:paraId="171C7411">
      <w:pPr>
        <w:shd w:val="clea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5.开展项目协审服务时，</w:t>
      </w:r>
      <w:r>
        <w:rPr>
          <w:rFonts w:hint="eastAsia" w:cs="宋体"/>
          <w:color w:val="000000" w:themeColor="text1"/>
          <w:szCs w:val="21"/>
          <w:highlight w:val="none"/>
          <w:lang w:bidi="ar"/>
          <w14:textFill>
            <w14:solidFill>
              <w14:schemeClr w14:val="tx1"/>
            </w14:solidFill>
          </w14:textFill>
        </w:rPr>
        <w:t>乙方未得到采购人同意，擅自将《协审单位接审回执表》中投入项目的协审人员</w:t>
      </w:r>
      <w:r>
        <w:rPr>
          <w:rFonts w:hint="eastAsia" w:ascii="宋体" w:hAnsi="宋体" w:cs="宋体"/>
          <w:bCs/>
          <w:color w:val="000000" w:themeColor="text1"/>
          <w:szCs w:val="21"/>
          <w:highlight w:val="none"/>
          <w:lang w:bidi="ar"/>
          <w14:textFill>
            <w14:solidFill>
              <w14:schemeClr w14:val="tx1"/>
            </w14:solidFill>
          </w14:textFill>
        </w:rPr>
        <w:t>更换为其他人员，无论更换人员是否为响应文件中的拟投入人员</w:t>
      </w:r>
      <w:r>
        <w:rPr>
          <w:rFonts w:hint="eastAsia" w:cs="宋体"/>
          <w:color w:val="000000" w:themeColor="text1"/>
          <w:szCs w:val="21"/>
          <w:highlight w:val="none"/>
          <w:lang w:bidi="ar"/>
          <w14:textFill>
            <w14:solidFill>
              <w14:schemeClr w14:val="tx1"/>
            </w14:solidFill>
          </w14:textFill>
        </w:rPr>
        <w:t>，均属于乙方违约，采购人将对乙方处以违约金。更换人员是</w:t>
      </w:r>
      <w:r>
        <w:rPr>
          <w:rFonts w:hint="eastAsia" w:ascii="宋体" w:hAnsi="宋体" w:cs="宋体"/>
          <w:bCs/>
          <w:color w:val="000000" w:themeColor="text1"/>
          <w:szCs w:val="21"/>
          <w:highlight w:val="none"/>
          <w:lang w:bidi="ar"/>
          <w14:textFill>
            <w14:solidFill>
              <w14:schemeClr w14:val="tx1"/>
            </w14:solidFill>
          </w14:textFill>
        </w:rPr>
        <w:t>响应文件中其他拟投入人员的</w:t>
      </w:r>
      <w:r>
        <w:rPr>
          <w:rFonts w:hint="eastAsia" w:cs="宋体"/>
          <w:color w:val="000000" w:themeColor="text1"/>
          <w:szCs w:val="21"/>
          <w:highlight w:val="none"/>
          <w:lang w:bidi="ar"/>
          <w14:textFill>
            <w14:solidFill>
              <w14:schemeClr w14:val="tx1"/>
            </w14:solidFill>
          </w14:textFill>
        </w:rPr>
        <w:t>，处以违约金</w:t>
      </w:r>
      <w:r>
        <w:rPr>
          <w:rFonts w:hint="eastAsia" w:ascii="宋体" w:hAnsi="宋体" w:cs="宋体"/>
          <w:color w:val="000000" w:themeColor="text1"/>
          <w:szCs w:val="21"/>
          <w:highlight w:val="none"/>
          <w:lang w:bidi="ar"/>
          <w14:textFill>
            <w14:solidFill>
              <w14:schemeClr w14:val="tx1"/>
            </w14:solidFill>
          </w14:textFill>
        </w:rPr>
        <w:t>5000元/人</w:t>
      </w:r>
      <w:r>
        <w:rPr>
          <w:rFonts w:hint="eastAsia" w:cs="宋体"/>
          <w:color w:val="000000" w:themeColor="text1"/>
          <w:szCs w:val="21"/>
          <w:highlight w:val="none"/>
          <w:lang w:bidi="ar"/>
          <w14:textFill>
            <w14:solidFill>
              <w14:schemeClr w14:val="tx1"/>
            </w14:solidFill>
          </w14:textFill>
        </w:rPr>
        <w:t>；更换人员不是</w:t>
      </w:r>
      <w:r>
        <w:rPr>
          <w:rFonts w:hint="eastAsia" w:ascii="宋体" w:hAnsi="宋体" w:cs="宋体"/>
          <w:bCs/>
          <w:color w:val="000000" w:themeColor="text1"/>
          <w:szCs w:val="21"/>
          <w:highlight w:val="none"/>
          <w:lang w:bidi="ar"/>
          <w14:textFill>
            <w14:solidFill>
              <w14:schemeClr w14:val="tx1"/>
            </w14:solidFill>
          </w14:textFill>
        </w:rPr>
        <w:t>响应文件中拟投入人员的，</w:t>
      </w:r>
      <w:r>
        <w:rPr>
          <w:rFonts w:hint="eastAsia" w:cs="宋体"/>
          <w:color w:val="000000" w:themeColor="text1"/>
          <w:szCs w:val="21"/>
          <w:highlight w:val="none"/>
          <w:lang w:bidi="ar"/>
          <w14:textFill>
            <w14:solidFill>
              <w14:schemeClr w14:val="tx1"/>
            </w14:solidFill>
          </w14:textFill>
        </w:rPr>
        <w:t>处以违约金</w:t>
      </w:r>
      <w:r>
        <w:rPr>
          <w:rFonts w:hint="eastAsia" w:ascii="宋体" w:hAnsi="宋体" w:cs="宋体"/>
          <w:color w:val="000000" w:themeColor="text1"/>
          <w:szCs w:val="21"/>
          <w:highlight w:val="none"/>
          <w:lang w:bidi="ar"/>
          <w14:textFill>
            <w14:solidFill>
              <w14:schemeClr w14:val="tx1"/>
            </w14:solidFill>
          </w14:textFill>
        </w:rPr>
        <w:t>10000元/人。乙方违约3次的，</w:t>
      </w:r>
      <w:r>
        <w:rPr>
          <w:rFonts w:hint="eastAsia" w:cs="宋体"/>
          <w:color w:val="000000" w:themeColor="text1"/>
          <w:szCs w:val="21"/>
          <w:highlight w:val="none"/>
          <w:lang w:bidi="ar"/>
          <w14:textFill>
            <w14:solidFill>
              <w14:schemeClr w14:val="tx1"/>
            </w14:solidFill>
          </w14:textFill>
        </w:rPr>
        <w:t>甲方终止框架协议。</w:t>
      </w:r>
    </w:p>
    <w:p w14:paraId="61F625DF">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6.甲方检查发现乙方委派的管理及技术负责人和专业技术人员与响应文件承诺的人员不一致，</w:t>
      </w:r>
      <w:r>
        <w:rPr>
          <w:rFonts w:hint="eastAsia" w:ascii="宋体" w:hAnsi="宋体" w:cs="宋体"/>
          <w:bCs/>
          <w:color w:val="000000" w:themeColor="text1"/>
          <w:szCs w:val="21"/>
          <w:highlight w:val="none"/>
          <w:lang w:bidi="ar"/>
          <w14:textFill>
            <w14:solidFill>
              <w14:schemeClr w14:val="tx1"/>
            </w14:solidFill>
          </w14:textFill>
        </w:rPr>
        <w:t>变更（或减少）人员比例≥30%或变更（或减少）人员人次≥3或变更人员的</w:t>
      </w:r>
      <w:r>
        <w:rPr>
          <w:rFonts w:hint="eastAsia" w:ascii="宋体" w:hAnsi="宋体" w:cs="宋体"/>
          <w:color w:val="000000" w:themeColor="text1"/>
          <w:szCs w:val="21"/>
          <w:highlight w:val="none"/>
          <w:lang w:bidi="ar"/>
          <w14:textFill>
            <w14:solidFill>
              <w14:schemeClr w14:val="tx1"/>
            </w14:solidFill>
          </w14:textFill>
        </w:rPr>
        <w:t>职称、资格证书低于该岗位拟投入人员</w:t>
      </w:r>
      <w:r>
        <w:rPr>
          <w:rFonts w:hint="eastAsia" w:ascii="宋体" w:hAnsi="宋体" w:cs="宋体"/>
          <w:bCs/>
          <w:color w:val="000000" w:themeColor="text1"/>
          <w:szCs w:val="21"/>
          <w:highlight w:val="none"/>
          <w:lang w:bidi="ar"/>
          <w14:textFill>
            <w14:solidFill>
              <w14:schemeClr w14:val="tx1"/>
            </w14:solidFill>
          </w14:textFill>
        </w:rPr>
        <w:t>的</w:t>
      </w:r>
      <w:r>
        <w:rPr>
          <w:rFonts w:hint="eastAsia" w:ascii="宋体" w:hAnsi="宋体" w:cs="宋体"/>
          <w:color w:val="000000" w:themeColor="text1"/>
          <w:szCs w:val="21"/>
          <w:highlight w:val="none"/>
          <w:lang w:bidi="ar"/>
          <w14:textFill>
            <w14:solidFill>
              <w14:schemeClr w14:val="tx1"/>
            </w14:solidFill>
          </w14:textFill>
        </w:rPr>
        <w:t>，暂停委托乙方协审任务，直至乙方完成整改并经甲方认可。发现3次的，</w:t>
      </w:r>
      <w:r>
        <w:rPr>
          <w:rFonts w:hint="eastAsia" w:cs="宋体"/>
          <w:color w:val="000000" w:themeColor="text1"/>
          <w:szCs w:val="21"/>
          <w:highlight w:val="none"/>
          <w:lang w:bidi="ar"/>
          <w14:textFill>
            <w14:solidFill>
              <w14:schemeClr w14:val="tx1"/>
            </w14:solidFill>
          </w14:textFill>
        </w:rPr>
        <w:t>甲方</w:t>
      </w:r>
      <w:r>
        <w:rPr>
          <w:rFonts w:hint="eastAsia" w:ascii="宋体" w:hAnsi="宋体" w:cs="宋体"/>
          <w:color w:val="000000" w:themeColor="text1"/>
          <w:szCs w:val="21"/>
          <w:highlight w:val="none"/>
          <w:lang w:bidi="ar"/>
          <w14:textFill>
            <w14:solidFill>
              <w14:schemeClr w14:val="tx1"/>
            </w14:solidFill>
          </w14:textFill>
        </w:rPr>
        <w:t>终止框架协议。</w:t>
      </w:r>
    </w:p>
    <w:p w14:paraId="57DE42CF">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7.乙方应在采购合同规定时间内完成项目协审任务，如乙方无正当理由逾期交回初审结果，属于乙方违约，</w:t>
      </w:r>
      <w:r>
        <w:rPr>
          <w:rFonts w:hint="eastAsia" w:cs="宋体"/>
          <w:color w:val="000000" w:themeColor="text1"/>
          <w:szCs w:val="21"/>
          <w:highlight w:val="none"/>
          <w:lang w:bidi="ar"/>
          <w14:textFill>
            <w14:solidFill>
              <w14:schemeClr w14:val="tx1"/>
            </w14:solidFill>
          </w14:textFill>
        </w:rPr>
        <w:t>采购人将对乙方处以违约金</w:t>
      </w:r>
      <w:r>
        <w:rPr>
          <w:rFonts w:hint="eastAsia" w:ascii="宋体" w:hAnsi="宋体" w:cs="宋体"/>
          <w:color w:val="000000" w:themeColor="text1"/>
          <w:szCs w:val="21"/>
          <w:highlight w:val="none"/>
          <w:lang w:bidi="ar"/>
          <w14:textFill>
            <w14:solidFill>
              <w14:schemeClr w14:val="tx1"/>
            </w14:solidFill>
          </w14:textFill>
        </w:rPr>
        <w:t>1000元/天，上限为10000元。第1次违约，甲方暂停委托项目1次；第2次违约，甲方暂停委托项目2次；第3次违约，</w:t>
      </w:r>
      <w:r>
        <w:rPr>
          <w:rFonts w:hint="eastAsia" w:cs="宋体"/>
          <w:color w:val="000000" w:themeColor="text1"/>
          <w:szCs w:val="21"/>
          <w:highlight w:val="none"/>
          <w:lang w:bidi="ar"/>
          <w14:textFill>
            <w14:solidFill>
              <w14:schemeClr w14:val="tx1"/>
            </w14:solidFill>
          </w14:textFill>
        </w:rPr>
        <w:t>甲方终止框架协议。</w:t>
      </w:r>
    </w:p>
    <w:p w14:paraId="25B1C6D8">
      <w:pPr>
        <w:shd w:val="clea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8.采购人对乙方提交的初审结果进行复审，复审审定结果属于乙方质量原因造成的误差（绝对值累计，正负误差不抵消）≥3%时，采购人对乙方处以违约金10000元/次</w:t>
      </w:r>
      <w:r>
        <w:rPr>
          <w:rFonts w:hint="eastAsia" w:cs="宋体"/>
          <w:color w:val="000000" w:themeColor="text1"/>
          <w:szCs w:val="21"/>
          <w:highlight w:val="none"/>
          <w:lang w:bidi="ar"/>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第1次违约，甲方暂停委托项目1次；第2次违约，甲方暂停委托项目2次；第3次违约，</w:t>
      </w:r>
      <w:r>
        <w:rPr>
          <w:rFonts w:hint="eastAsia" w:cs="宋体"/>
          <w:color w:val="000000" w:themeColor="text1"/>
          <w:szCs w:val="21"/>
          <w:highlight w:val="none"/>
          <w:lang w:bidi="ar"/>
          <w14:textFill>
            <w14:solidFill>
              <w14:schemeClr w14:val="tx1"/>
            </w14:solidFill>
          </w14:textFill>
        </w:rPr>
        <w:t>甲方终止框架协议。</w:t>
      </w:r>
    </w:p>
    <w:p w14:paraId="1B457E4D">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9.如乙方不接受采购人委托，应在2个工作日内向采购人书面说明不接受委托的原因，否则甲方暂停委托乙方协审任务，直到乙方提交书面说明。如乙方出现2次不接受采购人委托的，甲方终止框架协议。</w:t>
      </w:r>
    </w:p>
    <w:p w14:paraId="2C2E353D">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乙方损坏或丢失采购人提供的审核资料或擅自接收项目相关单位补充资料的，乙方应承担由此造成的全部经济和法律责任。出现第1次，采购人对乙方处以违约金10000元；出现第2次，采购人解除采购合同且不支付给乙方任何服务费用，同时甲方有权不再委托乙方协审任务或终止框架协议。</w:t>
      </w:r>
    </w:p>
    <w:p w14:paraId="2A6C9AE1">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如乙方在未出具任何审核结论的情况下，因自身原因中途将委托项目退回给采购人的，出现第1次，采购合同解除，采购人不支付给乙方任何服务费用；出现第2次，甲方有权不再委托乙方协审任务或终止框架协议。</w:t>
      </w:r>
    </w:p>
    <w:p w14:paraId="49F164C2">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12.乙方将采购人安排的协审项目转交第三方的，出现第1次，采购合同解除，采购人不支付给乙方任何服务费用；出现第2次，甲方有权不再委托乙方协审任务或终止框架协议。</w:t>
      </w:r>
    </w:p>
    <w:p w14:paraId="3098C2E3">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13.乙方拒绝甲方约谈、询问的，甲方将通知采购人暂停委托乙方协审任务，直至乙方相关人员接受甲方约谈、询问为止。</w:t>
      </w:r>
    </w:p>
    <w:p w14:paraId="3D7348C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w:t>
      </w:r>
      <w:r>
        <w:rPr>
          <w:rFonts w:hint="eastAsia" w:cs="宋体"/>
          <w:color w:val="000000" w:themeColor="text1"/>
          <w:szCs w:val="21"/>
          <w:highlight w:val="none"/>
          <w:lang w:bidi="ar"/>
          <w14:textFill>
            <w14:solidFill>
              <w14:schemeClr w14:val="tx1"/>
            </w14:solidFill>
          </w14:textFill>
        </w:rPr>
        <w:t>乙方提供的服务如侵犯了第三方合法权益而引发的任何纠纷或诉讼，均由乙方负责交涉并承担全部责任。</w:t>
      </w:r>
    </w:p>
    <w:p w14:paraId="76E2CD74">
      <w:pPr>
        <w:widowControl/>
        <w:shd w:val="clear"/>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bidi="ar"/>
          <w14:textFill>
            <w14:solidFill>
              <w14:schemeClr w14:val="tx1"/>
            </w14:solidFill>
          </w14:textFill>
        </w:rPr>
        <w:t xml:space="preserve">    15.对于乙方的违约行为，甲方认为有必要的，可以给予乙方通报处理，并将乙方不良记录报送至行业主管部门。</w:t>
      </w:r>
    </w:p>
    <w:p w14:paraId="43551C8E">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十三、不可抗力事件处理</w:t>
      </w:r>
    </w:p>
    <w:p w14:paraId="35E3B81A">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1.不可抗力事件发生后，应立即通知对方，并附送有关权威机构出具的证明。</w:t>
      </w:r>
    </w:p>
    <w:p w14:paraId="77252599">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2.不可抗力事件延续120天以上，双方应通过友好协商，确定是否继续履行框架协议。</w:t>
      </w:r>
    </w:p>
    <w:p w14:paraId="62D951A0">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十四、诉讼</w:t>
      </w:r>
    </w:p>
    <w:p w14:paraId="64222B3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双方在执行框架协议中所发生的一切争议，应通过协商解决。如协商不成，双方可就争议共同提请自治区或</w:t>
      </w:r>
      <w:r>
        <w:rPr>
          <w:rFonts w:hint="eastAsia" w:ascii="宋体" w:hAnsi="宋体" w:cs="宋体"/>
          <w:color w:val="000000" w:themeColor="text1"/>
          <w:szCs w:val="21"/>
          <w:highlight w:val="none"/>
          <w:lang w:eastAsia="zh-CN"/>
          <w14:textFill>
            <w14:solidFill>
              <w14:schemeClr w14:val="tx1"/>
            </w14:solidFill>
          </w14:textFill>
        </w:rPr>
        <w:t>防城港</w:t>
      </w:r>
      <w:r>
        <w:rPr>
          <w:rFonts w:hint="eastAsia" w:ascii="宋体" w:hAnsi="宋体" w:cs="宋体"/>
          <w:color w:val="000000" w:themeColor="text1"/>
          <w:szCs w:val="21"/>
          <w:highlight w:val="none"/>
          <w14:textFill>
            <w14:solidFill>
              <w14:schemeClr w14:val="tx1"/>
            </w14:solidFill>
          </w14:textFill>
        </w:rPr>
        <w:t>市工程造价管理机构进行裁定，也可向框架协议签订地法院起诉，框架协议签订地在此约定为</w:t>
      </w:r>
      <w:r>
        <w:rPr>
          <w:rFonts w:hint="eastAsia" w:ascii="宋体" w:hAnsi="宋体" w:cs="宋体"/>
          <w:color w:val="000000" w:themeColor="text1"/>
          <w:szCs w:val="21"/>
          <w:highlight w:val="none"/>
          <w:lang w:val="en-US" w:eastAsia="zh-CN"/>
          <w14:textFill>
            <w14:solidFill>
              <w14:schemeClr w14:val="tx1"/>
            </w14:solidFill>
          </w14:textFill>
        </w:rPr>
        <w:t>上思县</w:t>
      </w:r>
      <w:r>
        <w:rPr>
          <w:rFonts w:hint="eastAsia" w:ascii="宋体" w:hAnsi="宋体" w:cs="宋体"/>
          <w:color w:val="000000" w:themeColor="text1"/>
          <w:szCs w:val="21"/>
          <w:highlight w:val="none"/>
          <w14:textFill>
            <w14:solidFill>
              <w14:schemeClr w14:val="tx1"/>
            </w14:solidFill>
          </w14:textFill>
        </w:rPr>
        <w:t>。</w:t>
      </w:r>
    </w:p>
    <w:p w14:paraId="311AFD0F">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十五、框架协议生效及其它</w:t>
      </w:r>
    </w:p>
    <w:p w14:paraId="269BF323">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1.框架协议经双方法定代表人或授权委托代理人签字并加盖单位公章后生效。</w:t>
      </w:r>
    </w:p>
    <w:p w14:paraId="7ADF5AD6">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2.框架协议执行中，如需修改或补充框架协议内容，由双方协商另签署书面修改或补充协议作为主框架协议不可分割的一部分。</w:t>
      </w:r>
    </w:p>
    <w:p w14:paraId="0822699A">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当事人一方要求变更或解除框架协议时，应当在变更或解除框架协议前5个工作日通知对方，因变更或解除框架协议使一方遭受损失的，除依法可以免除的责任外，应由责任方负责赔偿。变更或解除框架协议的通知或协议必须采取书面形式，协议未达成之前，原框架协议仍然有效。</w:t>
      </w:r>
    </w:p>
    <w:p w14:paraId="314ACC14">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4.下述框架协议附件为本框架协议不可分割的部分并与本框架协议具有同等效力：</w:t>
      </w:r>
    </w:p>
    <w:p w14:paraId="289B7A73">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（1）成交通知书</w:t>
      </w:r>
    </w:p>
    <w:p w14:paraId="2D45DECC">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（2）征集文件服务需求一览表</w:t>
      </w:r>
    </w:p>
    <w:p w14:paraId="60C43752">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（3）征集文件的澄清和修改（如有请提供）</w:t>
      </w:r>
    </w:p>
    <w:p w14:paraId="20301520">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（4）响应函</w:t>
      </w:r>
    </w:p>
    <w:p w14:paraId="21A53A9C">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（5）开标一览表</w:t>
      </w:r>
    </w:p>
    <w:p w14:paraId="1EB8A119">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（6）响应服务技术偏离表</w:t>
      </w:r>
    </w:p>
    <w:p w14:paraId="07233AF7">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（7）商务条款偏离表</w:t>
      </w:r>
    </w:p>
    <w:p w14:paraId="52F3604A">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（8）响应文件</w:t>
      </w:r>
    </w:p>
    <w:p w14:paraId="7E22836A">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（9）成交供应商澄清函（如有请提供）</w:t>
      </w:r>
    </w:p>
    <w:p w14:paraId="65C333AA">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（10）其他与本框架协议相关的资料（如有请提供）</w:t>
      </w:r>
    </w:p>
    <w:p w14:paraId="4FB14A2E">
      <w:pPr>
        <w:shd w:val="clear"/>
        <w:spacing w:line="36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5.本框架协议未尽事宜，遵照《中华人民共和国民法典》有关条文执行。</w:t>
      </w:r>
    </w:p>
    <w:p w14:paraId="4933F8DC">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6.本合同正本一式两份，具有同等法律效力，甲乙双方各执一份；副本两份，采购代理机构存副本一份，并报</w:t>
      </w:r>
      <w:r>
        <w:rPr>
          <w:rFonts w:hint="eastAsia" w:hAnsi="宋体" w:cs="宋体"/>
          <w:color w:val="000000" w:themeColor="text1"/>
          <w:sz w:val="21"/>
          <w:szCs w:val="22"/>
          <w:highlight w:val="none"/>
          <w:lang w:val="en-US" w:eastAsia="zh-CN"/>
          <w14:textFill>
            <w14:solidFill>
              <w14:schemeClr w14:val="tx1"/>
            </w14:solidFill>
          </w14:textFill>
        </w:rPr>
        <w:t>上思县</w:t>
      </w:r>
      <w:r>
        <w:rPr>
          <w:rFonts w:hint="eastAsia" w:hAnsi="宋体" w:cs="宋体"/>
          <w:color w:val="000000" w:themeColor="text1"/>
          <w:sz w:val="21"/>
          <w:szCs w:val="22"/>
          <w:highlight w:val="none"/>
          <w14:textFill>
            <w14:solidFill>
              <w14:schemeClr w14:val="tx1"/>
            </w14:solidFill>
          </w14:textFill>
        </w:rPr>
        <w:t>政府采购监督管理部门备案副本一份。</w:t>
      </w:r>
    </w:p>
    <w:p w14:paraId="6E73D476">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66D2A5E2">
      <w:pPr>
        <w:shd w:val="clear"/>
        <w:spacing w:line="360" w:lineRule="auto"/>
        <w:rPr>
          <w:color w:val="000000" w:themeColor="text1"/>
          <w:sz w:val="21"/>
          <w:szCs w:val="21"/>
          <w:highlight w:val="none"/>
          <w14:textFill>
            <w14:solidFill>
              <w14:schemeClr w14:val="tx1"/>
            </w14:solidFill>
          </w14:textFill>
        </w:rPr>
      </w:pPr>
    </w:p>
    <w:p w14:paraId="3E9F9149">
      <w:pPr>
        <w:pStyle w:val="26"/>
        <w:shd w:val="clear"/>
        <w:spacing w:line="360" w:lineRule="auto"/>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甲方：</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eastAsia="zh-CN"/>
          <w14:textFill>
            <w14:solidFill>
              <w14:schemeClr w14:val="tx1"/>
            </w14:solidFill>
          </w14:textFill>
        </w:rPr>
        <w:t>上思县财政局</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乙方：</w:t>
      </w:r>
      <w:r>
        <w:rPr>
          <w:rFonts w:hint="eastAsia" w:hAnsi="宋体" w:cs="宋体"/>
          <w:color w:val="000000" w:themeColor="text1"/>
          <w:sz w:val="21"/>
          <w:szCs w:val="21"/>
          <w:highlight w:val="none"/>
          <w:u w:val="single"/>
          <w14:textFill>
            <w14:solidFill>
              <w14:schemeClr w14:val="tx1"/>
            </w14:solidFill>
          </w14:textFill>
        </w:rPr>
        <w:t xml:space="preserve">                                    </w:t>
      </w:r>
    </w:p>
    <w:p w14:paraId="0B78EC3A">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地址：</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w:t>
      </w:r>
    </w:p>
    <w:p w14:paraId="5FE76DC5">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法定代表人：</w:t>
      </w:r>
      <w:r>
        <w:rPr>
          <w:rFonts w:hint="eastAsia" w:hAnsi="宋体" w:cs="宋体"/>
          <w:color w:val="000000" w:themeColor="text1"/>
          <w:sz w:val="21"/>
          <w:szCs w:val="21"/>
          <w:highlight w:val="none"/>
          <w:u w:val="single"/>
          <w14:textFill>
            <w14:solidFill>
              <w14:schemeClr w14:val="tx1"/>
            </w14:solidFill>
          </w14:textFill>
        </w:rPr>
        <w:t xml:space="preserve">                              </w:t>
      </w:r>
    </w:p>
    <w:p w14:paraId="023D80BF">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委托代理人：</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委托代理人：</w:t>
      </w:r>
      <w:r>
        <w:rPr>
          <w:rFonts w:hint="eastAsia" w:hAnsi="宋体" w:cs="宋体"/>
          <w:color w:val="000000" w:themeColor="text1"/>
          <w:sz w:val="21"/>
          <w:szCs w:val="21"/>
          <w:highlight w:val="none"/>
          <w:u w:val="single"/>
          <w14:textFill>
            <w14:solidFill>
              <w14:schemeClr w14:val="tx1"/>
            </w14:solidFill>
          </w14:textFill>
        </w:rPr>
        <w:t xml:space="preserve">                              </w:t>
      </w:r>
    </w:p>
    <w:p w14:paraId="4CF6F084">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电话：</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电话：</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w:t>
      </w:r>
    </w:p>
    <w:p w14:paraId="4827F7AF">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传真：</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传真：</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w:t>
      </w:r>
    </w:p>
    <w:p w14:paraId="561BCA2E">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邮政编码：</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eastAsia="zh-CN"/>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邮政编码：</w:t>
      </w:r>
      <w:r>
        <w:rPr>
          <w:rFonts w:hint="eastAsia" w:hAnsi="宋体" w:cs="宋体"/>
          <w:color w:val="000000" w:themeColor="text1"/>
          <w:sz w:val="21"/>
          <w:szCs w:val="21"/>
          <w:highlight w:val="none"/>
          <w:u w:val="single"/>
          <w14:textFill>
            <w14:solidFill>
              <w14:schemeClr w14:val="tx1"/>
            </w14:solidFill>
          </w14:textFill>
        </w:rPr>
        <w:t xml:space="preserve">                                </w:t>
      </w:r>
    </w:p>
    <w:p w14:paraId="4C13D843">
      <w:pPr>
        <w:pStyle w:val="26"/>
        <w:shd w:val="clear"/>
        <w:spacing w:line="360" w:lineRule="auto"/>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开户银行：</w:t>
      </w:r>
      <w:r>
        <w:rPr>
          <w:rFonts w:hint="eastAsia" w:hAnsi="宋体" w:cs="宋体"/>
          <w:color w:val="000000" w:themeColor="text1"/>
          <w:sz w:val="21"/>
          <w:szCs w:val="21"/>
          <w:highlight w:val="none"/>
          <w:u w:val="single"/>
          <w14:textFill>
            <w14:solidFill>
              <w14:schemeClr w14:val="tx1"/>
            </w14:solidFill>
          </w14:textFill>
        </w:rPr>
        <w:t xml:space="preserve">                                </w:t>
      </w:r>
    </w:p>
    <w:p w14:paraId="0F746FF7">
      <w:pPr>
        <w:pStyle w:val="26"/>
        <w:shd w:val="clear"/>
        <w:spacing w:line="360" w:lineRule="auto"/>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开户名称：</w:t>
      </w:r>
      <w:r>
        <w:rPr>
          <w:rFonts w:hint="eastAsia" w:hAnsi="宋体" w:cs="宋体"/>
          <w:color w:val="000000" w:themeColor="text1"/>
          <w:sz w:val="21"/>
          <w:szCs w:val="21"/>
          <w:highlight w:val="none"/>
          <w:u w:val="single"/>
          <w14:textFill>
            <w14:solidFill>
              <w14:schemeClr w14:val="tx1"/>
            </w14:solidFill>
          </w14:textFill>
        </w:rPr>
        <w:t xml:space="preserve">                                </w:t>
      </w:r>
    </w:p>
    <w:p w14:paraId="412E3E83">
      <w:pPr>
        <w:pStyle w:val="26"/>
        <w:shd w:val="clear"/>
        <w:spacing w:line="360" w:lineRule="auto"/>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银行账号：</w:t>
      </w:r>
      <w:r>
        <w:rPr>
          <w:rFonts w:hint="eastAsia" w:hAnsi="宋体" w:cs="宋体"/>
          <w:color w:val="000000" w:themeColor="text1"/>
          <w:sz w:val="21"/>
          <w:szCs w:val="21"/>
          <w:highlight w:val="none"/>
          <w:u w:val="single"/>
          <w14:textFill>
            <w14:solidFill>
              <w14:schemeClr w14:val="tx1"/>
            </w14:solidFill>
          </w14:textFill>
        </w:rPr>
        <w:t xml:space="preserve">                                </w:t>
      </w:r>
    </w:p>
    <w:p w14:paraId="1E7BE122">
      <w:pPr>
        <w:pStyle w:val="26"/>
        <w:shd w:val="clear"/>
        <w:spacing w:line="360" w:lineRule="auto"/>
        <w:ind w:left="0" w:leftChars="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合同签订日期：</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             合同签订地点：</w:t>
      </w:r>
      <w:r>
        <w:rPr>
          <w:rFonts w:hint="eastAsia" w:hAnsi="宋体" w:cs="宋体"/>
          <w:color w:val="000000" w:themeColor="text1"/>
          <w:sz w:val="21"/>
          <w:szCs w:val="21"/>
          <w:highlight w:val="none"/>
          <w:lang w:eastAsia="zh-CN"/>
          <w14:textFill>
            <w14:solidFill>
              <w14:schemeClr w14:val="tx1"/>
            </w14:solidFill>
          </w14:textFill>
        </w:rPr>
        <w:t>广西上思县</w:t>
      </w:r>
      <w:r>
        <w:rPr>
          <w:rFonts w:hint="eastAsia" w:hAnsi="宋体" w:cs="宋体"/>
          <w:color w:val="000000" w:themeColor="text1"/>
          <w:sz w:val="21"/>
          <w:szCs w:val="21"/>
          <w:highlight w:val="none"/>
          <w14:textFill>
            <w14:solidFill>
              <w14:schemeClr w14:val="tx1"/>
            </w14:solidFill>
          </w14:textFill>
        </w:rPr>
        <w:t xml:space="preserve">             </w:t>
      </w:r>
    </w:p>
    <w:p w14:paraId="35E0BA93">
      <w:pPr>
        <w:shd w:val="clear"/>
        <w:spacing w:line="360" w:lineRule="auto"/>
        <w:rPr>
          <w:rFonts w:ascii="宋体" w:hAnsi="宋体"/>
          <w:color w:val="000000" w:themeColor="text1"/>
          <w:highlight w:val="none"/>
          <w14:textFill>
            <w14:solidFill>
              <w14:schemeClr w14:val="tx1"/>
            </w14:solidFill>
          </w14:textFill>
        </w:rPr>
      </w:pPr>
    </w:p>
    <w:p w14:paraId="66ED5BED">
      <w:pPr>
        <w:shd w:val="clear"/>
        <w:spacing w:line="360" w:lineRule="auto"/>
        <w:rPr>
          <w:color w:val="000000" w:themeColor="text1"/>
          <w:highlight w:val="none"/>
          <w14:textFill>
            <w14:solidFill>
              <w14:schemeClr w14:val="tx1"/>
            </w14:solidFill>
          </w14:textFill>
        </w:rPr>
      </w:pPr>
    </w:p>
    <w:p w14:paraId="0D923341">
      <w:pPr>
        <w:shd w:val="clear"/>
        <w:spacing w:line="360" w:lineRule="auto"/>
        <w:rPr>
          <w:color w:val="000000" w:themeColor="text1"/>
          <w:highlight w:val="none"/>
          <w14:textFill>
            <w14:solidFill>
              <w14:schemeClr w14:val="tx1"/>
            </w14:solidFill>
          </w14:textFill>
        </w:rPr>
      </w:pPr>
    </w:p>
    <w:p w14:paraId="49C273B1">
      <w:pPr>
        <w:shd w:val="clear"/>
        <w:spacing w:line="360" w:lineRule="auto"/>
        <w:rPr>
          <w:color w:val="000000" w:themeColor="text1"/>
          <w:highlight w:val="none"/>
          <w14:textFill>
            <w14:solidFill>
              <w14:schemeClr w14:val="tx1"/>
            </w14:solidFill>
          </w14:textFill>
        </w:rPr>
      </w:pPr>
    </w:p>
    <w:p w14:paraId="5465D971">
      <w:pPr>
        <w:shd w:val="clear"/>
        <w:spacing w:line="360" w:lineRule="auto"/>
        <w:rPr>
          <w:color w:val="000000" w:themeColor="text1"/>
          <w:highlight w:val="none"/>
          <w14:textFill>
            <w14:solidFill>
              <w14:schemeClr w14:val="tx1"/>
            </w14:solidFill>
          </w14:textFill>
        </w:rPr>
      </w:pPr>
    </w:p>
    <w:p w14:paraId="7F5AB036">
      <w:pPr>
        <w:shd w:val="clear"/>
        <w:spacing w:line="360" w:lineRule="auto"/>
        <w:rPr>
          <w:color w:val="000000" w:themeColor="text1"/>
          <w:highlight w:val="none"/>
          <w14:textFill>
            <w14:solidFill>
              <w14:schemeClr w14:val="tx1"/>
            </w14:solidFill>
          </w14:textFill>
        </w:rPr>
      </w:pPr>
    </w:p>
    <w:p w14:paraId="00F6AE4F">
      <w:pPr>
        <w:shd w:val="clear"/>
        <w:spacing w:line="360" w:lineRule="auto"/>
        <w:rPr>
          <w:color w:val="000000" w:themeColor="text1"/>
          <w:highlight w:val="none"/>
          <w14:textFill>
            <w14:solidFill>
              <w14:schemeClr w14:val="tx1"/>
            </w14:solidFill>
          </w14:textFill>
        </w:rPr>
      </w:pPr>
    </w:p>
    <w:p w14:paraId="5FEDD7D2">
      <w:pPr>
        <w:shd w:val="clear"/>
        <w:spacing w:line="240" w:lineRule="auto"/>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br w:type="page"/>
      </w:r>
    </w:p>
    <w:p w14:paraId="0103660D">
      <w:pPr>
        <w:shd w:val="clear"/>
        <w:spacing w:line="360" w:lineRule="auto"/>
        <w:rPr>
          <w:rFonts w:ascii="宋体" w:hAnsi="宋体" w:cs="宋体"/>
          <w:b/>
          <w:color w:val="000000" w:themeColor="text1"/>
          <w:kern w:val="0"/>
          <w:sz w:val="24"/>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附件：</w:t>
      </w:r>
      <w:r>
        <w:rPr>
          <w:rFonts w:hint="eastAsia" w:ascii="宋体" w:hAnsi="宋体" w:cs="宋体"/>
          <w:b/>
          <w:color w:val="000000" w:themeColor="text1"/>
          <w:kern w:val="0"/>
          <w:sz w:val="24"/>
          <w:highlight w:val="none"/>
          <w14:textFill>
            <w14:solidFill>
              <w14:schemeClr w14:val="tx1"/>
            </w14:solidFill>
          </w14:textFill>
        </w:rPr>
        <w:t>社会中介机构廉洁从业承诺书</w:t>
      </w:r>
    </w:p>
    <w:p w14:paraId="3932F554">
      <w:pPr>
        <w:shd w:val="clear"/>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社会中介机构廉洁从业承诺书（格式）</w:t>
      </w:r>
    </w:p>
    <w:p w14:paraId="0DB0B243">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我公司将遵守国家有关法律法规和廉政建设责任制规定，并作出如下承诺：</w:t>
      </w:r>
    </w:p>
    <w:p w14:paraId="2320BEF8">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1.向征集人、采购人提供的公司及从业人员登记备案有关证件及资料详实，不弄虚作假；</w:t>
      </w:r>
    </w:p>
    <w:p w14:paraId="00E3A871">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2.概算、预算、控制价、结算和决算协审服务过程中，不得使用未报征集人、采购人登记备案的从业人员；</w:t>
      </w:r>
    </w:p>
    <w:p w14:paraId="17F46756">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3.在项目评审过程中，秉承诚实、信用、公平、公正的原则开展工作，发出的各类书面文件均真实、有效；</w:t>
      </w:r>
    </w:p>
    <w:p w14:paraId="3939FCE8">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4.严格按照现行有关法律、法规和各类规范性文件的要求进行操作，遵守征集人、采购人的有关规定，并接受管理和考核；</w:t>
      </w:r>
    </w:p>
    <w:p w14:paraId="3F713E16">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5.不采用行贿、欺骗、弄虚作假等不正当手段承接工程概算、预算、控制价、结算和决算协审业务；</w:t>
      </w:r>
    </w:p>
    <w:p w14:paraId="0ECDBF8B">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6.不与采购人或投标人串通，泄露招标控制价协审定价信息；</w:t>
      </w:r>
    </w:p>
    <w:p w14:paraId="7814799F">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7.不与建设单位或施工单位串通，有意增大或减少工程量、弄虚作假增加评审额、有意使工程量清单漏项，影响项目评审的客观、公正性；</w:t>
      </w:r>
    </w:p>
    <w:p w14:paraId="0BB5FC4F">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8.不向利益相关方请客、送礼及组织其它有可能影响客观公正评审的活动；</w:t>
      </w:r>
    </w:p>
    <w:p w14:paraId="4F023B3D">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9.不向外界泄露评审工作机密；</w:t>
      </w:r>
    </w:p>
    <w:p w14:paraId="67D700A9">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10.不为公司从事具体评审工作当事人的违法违章行为说情、解脱；</w:t>
      </w:r>
    </w:p>
    <w:p w14:paraId="3EE28CED">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11.不向建设单位或施工单位等相关单位、人员索要或接受回扣、礼金、有价证券、贵重物品等；</w:t>
      </w:r>
    </w:p>
    <w:p w14:paraId="1C1399BA">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12.不接受相关单位组织的有可能影响项目评审公平、公正的宴请及各类娱乐活动。</w:t>
      </w:r>
    </w:p>
    <w:p w14:paraId="3A358B56">
      <w:pPr>
        <w:pStyle w:val="215"/>
        <w:shd w:val="clear" w:color="auto"/>
        <w:spacing w:before="0" w:beforeAutospacing="0" w:after="0" w:afterAutospacing="0" w:line="440" w:lineRule="atLeast"/>
        <w:ind w:firstLine="641"/>
        <w:rPr>
          <w:color w:val="000000" w:themeColor="text1"/>
          <w:kern w:val="2"/>
          <w:sz w:val="21"/>
          <w:szCs w:val="22"/>
          <w:highlight w:val="none"/>
          <w14:textFill>
            <w14:solidFill>
              <w14:schemeClr w14:val="tx1"/>
            </w14:solidFill>
          </w14:textFill>
        </w:rPr>
      </w:pPr>
      <w:r>
        <w:rPr>
          <w:rFonts w:hint="eastAsia"/>
          <w:color w:val="000000" w:themeColor="text1"/>
          <w:kern w:val="2"/>
          <w:sz w:val="21"/>
          <w:szCs w:val="22"/>
          <w:highlight w:val="none"/>
          <w14:textFill>
            <w14:solidFill>
              <w14:schemeClr w14:val="tx1"/>
            </w14:solidFill>
          </w14:textFill>
        </w:rPr>
        <w:t>如违背上述承诺，本公司自愿承担相应责任，接受监督管理部门、纪检监察机关或司法机关调查处理。</w:t>
      </w:r>
    </w:p>
    <w:p w14:paraId="08FB377F">
      <w:pPr>
        <w:pStyle w:val="26"/>
        <w:shd w:val="clear"/>
        <w:spacing w:line="600" w:lineRule="exact"/>
        <w:ind w:firstLine="2062" w:firstLineChars="1027"/>
        <w:rPr>
          <w:rFonts w:hint="eastAsia" w:hAnsi="宋体" w:cs="宋体"/>
          <w:b/>
          <w:color w:val="000000" w:themeColor="text1"/>
          <w:highlight w:val="none"/>
          <w14:textFill>
            <w14:solidFill>
              <w14:schemeClr w14:val="tx1"/>
            </w14:solidFill>
          </w14:textFill>
        </w:rPr>
      </w:pPr>
    </w:p>
    <w:p w14:paraId="737F76B1">
      <w:pPr>
        <w:pStyle w:val="26"/>
        <w:shd w:val="clear"/>
        <w:spacing w:line="600" w:lineRule="exact"/>
        <w:ind w:firstLine="2062" w:firstLineChars="1027"/>
        <w:rPr>
          <w:rFonts w:hint="eastAsia" w:hAnsi="宋体" w:cs="宋体"/>
          <w:b/>
          <w:color w:val="000000" w:themeColor="text1"/>
          <w:highlight w:val="none"/>
          <w14:textFill>
            <w14:solidFill>
              <w14:schemeClr w14:val="tx1"/>
            </w14:solidFill>
          </w14:textFill>
        </w:rPr>
      </w:pPr>
    </w:p>
    <w:p w14:paraId="393AD311">
      <w:pPr>
        <w:pStyle w:val="26"/>
        <w:shd w:val="clear"/>
        <w:spacing w:line="600" w:lineRule="exact"/>
        <w:ind w:firstLine="2165" w:firstLineChars="1027"/>
        <w:rPr>
          <w:rFonts w:hint="eastAsia" w:hAnsi="宋体" w:cs="宋体"/>
          <w:b/>
          <w:color w:val="000000" w:themeColor="text1"/>
          <w:sz w:val="21"/>
          <w:szCs w:val="22"/>
          <w:highlight w:val="none"/>
          <w14:textFill>
            <w14:solidFill>
              <w14:schemeClr w14:val="tx1"/>
            </w14:solidFill>
          </w14:textFill>
        </w:rPr>
      </w:pPr>
    </w:p>
    <w:p w14:paraId="75A8476C">
      <w:pPr>
        <w:pStyle w:val="26"/>
        <w:shd w:val="clear"/>
        <w:spacing w:line="600" w:lineRule="exact"/>
        <w:ind w:firstLine="2165" w:firstLineChars="1027"/>
        <w:rPr>
          <w:rFonts w:hAnsi="宋体" w:cs="宋体"/>
          <w:b/>
          <w:color w:val="000000" w:themeColor="text1"/>
          <w:sz w:val="21"/>
          <w:szCs w:val="22"/>
          <w:highlight w:val="none"/>
          <w:u w:val="single"/>
          <w14:textFill>
            <w14:solidFill>
              <w14:schemeClr w14:val="tx1"/>
            </w14:solidFill>
          </w14:textFill>
        </w:rPr>
      </w:pPr>
      <w:r>
        <w:rPr>
          <w:rFonts w:hint="eastAsia" w:hAnsi="宋体" w:cs="宋体"/>
          <w:b/>
          <w:color w:val="000000" w:themeColor="text1"/>
          <w:sz w:val="21"/>
          <w:szCs w:val="22"/>
          <w:highlight w:val="none"/>
          <w14:textFill>
            <w14:solidFill>
              <w14:schemeClr w14:val="tx1"/>
            </w14:solidFill>
          </w14:textFill>
        </w:rPr>
        <w:t>供应商（盖单位公章）：</w:t>
      </w:r>
    </w:p>
    <w:p w14:paraId="0427F8BA">
      <w:pPr>
        <w:pStyle w:val="26"/>
        <w:shd w:val="clear"/>
        <w:spacing w:line="600" w:lineRule="exact"/>
        <w:ind w:firstLine="2165" w:firstLineChars="1027"/>
        <w:rPr>
          <w:rFonts w:hAnsi="宋体" w:cs="宋体"/>
          <w:b/>
          <w:color w:val="000000" w:themeColor="text1"/>
          <w:sz w:val="21"/>
          <w:szCs w:val="22"/>
          <w:highlight w:val="none"/>
          <w:u w:val="single"/>
          <w14:textFill>
            <w14:solidFill>
              <w14:schemeClr w14:val="tx1"/>
            </w14:solidFill>
          </w14:textFill>
        </w:rPr>
      </w:pPr>
      <w:r>
        <w:rPr>
          <w:rFonts w:hint="eastAsia" w:hAnsi="宋体" w:cs="宋体"/>
          <w:b/>
          <w:color w:val="000000" w:themeColor="text1"/>
          <w:sz w:val="21"/>
          <w:szCs w:val="22"/>
          <w:highlight w:val="none"/>
          <w14:textFill>
            <w14:solidFill>
              <w14:schemeClr w14:val="tx1"/>
            </w14:solidFill>
          </w14:textFill>
        </w:rPr>
        <w:t>法定代表人或其委托代理人（签字或盖章）：</w:t>
      </w:r>
    </w:p>
    <w:p w14:paraId="07173EC3">
      <w:pPr>
        <w:shd w:val="clear"/>
        <w:rPr>
          <w:rFonts w:ascii="宋体" w:hAnsi="宋体" w:cs="宋体"/>
          <w:b/>
          <w:color w:val="000000" w:themeColor="text1"/>
          <w:kern w:val="0"/>
          <w:sz w:val="21"/>
          <w:szCs w:val="21"/>
          <w:highlight w:val="none"/>
          <w:lang w:val="zh-CN"/>
          <w14:textFill>
            <w14:solidFill>
              <w14:schemeClr w14:val="tx1"/>
            </w14:solidFill>
          </w14:textFill>
        </w:rPr>
      </w:pPr>
    </w:p>
    <w:p w14:paraId="05E7D670">
      <w:pPr>
        <w:pStyle w:val="215"/>
        <w:shd w:val="clear" w:color="auto"/>
        <w:spacing w:before="0" w:beforeAutospacing="0" w:after="0" w:afterAutospacing="0" w:line="601" w:lineRule="atLeast"/>
        <w:ind w:right="420" w:firstLine="2480" w:firstLineChars="1123"/>
        <w:rPr>
          <w:b/>
          <w:color w:val="000000" w:themeColor="text1"/>
          <w:kern w:val="2"/>
          <w:sz w:val="22"/>
          <w:szCs w:val="24"/>
          <w:highlight w:val="none"/>
          <w14:textFill>
            <w14:solidFill>
              <w14:schemeClr w14:val="tx1"/>
            </w14:solidFill>
          </w14:textFill>
        </w:rPr>
      </w:pPr>
      <w:r>
        <w:rPr>
          <w:rFonts w:hint="eastAsia"/>
          <w:b/>
          <w:color w:val="000000" w:themeColor="text1"/>
          <w:kern w:val="2"/>
          <w:sz w:val="22"/>
          <w:szCs w:val="24"/>
          <w:highlight w:val="none"/>
          <w14:textFill>
            <w14:solidFill>
              <w14:schemeClr w14:val="tx1"/>
            </w14:solidFill>
          </w14:textFill>
        </w:rPr>
        <w:t>年  月  日</w:t>
      </w:r>
    </w:p>
    <w:p w14:paraId="7F19DD3A">
      <w:pPr>
        <w:shd w:val="clear"/>
        <w:rPr>
          <w:rFonts w:ascii="宋体" w:hAnsi="宋体" w:cs="宋体"/>
          <w:color w:val="000000" w:themeColor="text1"/>
          <w:sz w:val="22"/>
          <w:szCs w:val="28"/>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14:paraId="32596307">
      <w:pPr>
        <w:shd w:val="clear"/>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上思县</w:t>
      </w:r>
      <w:r>
        <w:rPr>
          <w:rFonts w:hint="eastAsia" w:ascii="宋体" w:hAnsi="宋体" w:cs="宋体"/>
          <w:b/>
          <w:color w:val="000000" w:themeColor="text1"/>
          <w:sz w:val="30"/>
          <w:szCs w:val="30"/>
          <w:highlight w:val="none"/>
          <w14:textFill>
            <w14:solidFill>
              <w14:schemeClr w14:val="tx1"/>
            </w14:solidFill>
          </w14:textFill>
        </w:rPr>
        <w:t>政府采购框架协议（02分标格式）</w:t>
      </w:r>
    </w:p>
    <w:p w14:paraId="70478F13">
      <w:pPr>
        <w:pStyle w:val="26"/>
        <w:shd w:val="clear"/>
        <w:spacing w:line="360" w:lineRule="auto"/>
        <w:ind w:firstLine="100"/>
        <w:rPr>
          <w:rFonts w:hAnsi="宋体" w:cs="宋体"/>
          <w:color w:val="000000" w:themeColor="text1"/>
          <w:sz w:val="20"/>
          <w:highlight w:val="none"/>
          <w14:textFill>
            <w14:solidFill>
              <w14:schemeClr w14:val="tx1"/>
            </w14:solidFill>
          </w14:textFill>
        </w:rPr>
      </w:pPr>
    </w:p>
    <w:p w14:paraId="51B29A4C">
      <w:pPr>
        <w:shd w:val="clear"/>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合同名称：</w:t>
      </w:r>
      <w:r>
        <w:rPr>
          <w:rFonts w:hint="eastAsia" w:ascii="宋体" w:hAnsi="宋体" w:cs="宋体"/>
          <w:color w:val="000000" w:themeColor="text1"/>
          <w:sz w:val="21"/>
          <w:szCs w:val="21"/>
          <w:highlight w:val="none"/>
          <w:lang w:eastAsia="zh-CN"/>
          <w14:textFill>
            <w14:solidFill>
              <w14:schemeClr w14:val="tx1"/>
            </w14:solidFill>
          </w14:textFill>
        </w:rPr>
        <w:t>2025-2027年度上思县财政投资评审服务框架协议采购</w:t>
      </w:r>
      <w:r>
        <w:rPr>
          <w:rFonts w:hint="eastAsia" w:ascii="宋体" w:hAnsi="宋体" w:cs="宋体"/>
          <w:color w:val="000000" w:themeColor="text1"/>
          <w:sz w:val="21"/>
          <w:szCs w:val="21"/>
          <w:highlight w:val="none"/>
          <w14:textFill>
            <w14:solidFill>
              <w14:schemeClr w14:val="tx1"/>
            </w14:solidFill>
          </w14:textFill>
        </w:rPr>
        <w:t>02分标</w:t>
      </w:r>
    </w:p>
    <w:p w14:paraId="083F2873">
      <w:pPr>
        <w:pStyle w:val="26"/>
        <w:shd w:val="clear"/>
        <w:spacing w:line="360" w:lineRule="auto"/>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合同编号：</w:t>
      </w:r>
      <w:r>
        <w:rPr>
          <w:rFonts w:hint="eastAsia" w:hAnsi="宋体" w:cs="宋体"/>
          <w:color w:val="000000" w:themeColor="text1"/>
          <w:sz w:val="21"/>
          <w:szCs w:val="21"/>
          <w:highlight w:val="none"/>
          <w:u w:val="single"/>
          <w14:textFill>
            <w14:solidFill>
              <w14:schemeClr w14:val="tx1"/>
            </w14:solidFill>
          </w14:textFill>
        </w:rPr>
        <w:t xml:space="preserve">                             </w:t>
      </w:r>
    </w:p>
    <w:p w14:paraId="206F21C7">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分标号：</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14:paraId="2D8D0586">
      <w:pPr>
        <w:pStyle w:val="26"/>
        <w:shd w:val="clear"/>
        <w:spacing w:line="360" w:lineRule="auto"/>
        <w:rPr>
          <w:rFonts w:hAnsi="宋体" w:cs="宋体"/>
          <w:color w:val="000000" w:themeColor="text1"/>
          <w:sz w:val="21"/>
          <w:szCs w:val="21"/>
          <w:highlight w:val="none"/>
          <w14:textFill>
            <w14:solidFill>
              <w14:schemeClr w14:val="tx1"/>
            </w14:solidFill>
          </w14:textFill>
        </w:rPr>
      </w:pPr>
    </w:p>
    <w:p w14:paraId="53F8002C">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征集人（甲方）： </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eastAsia="zh-CN"/>
          <w14:textFill>
            <w14:solidFill>
              <w14:schemeClr w14:val="tx1"/>
            </w14:solidFill>
          </w14:textFill>
        </w:rPr>
        <w:t>上思县财政局</w:t>
      </w:r>
      <w:r>
        <w:rPr>
          <w:rFonts w:hint="eastAsia" w:hAnsi="宋体" w:cs="宋体"/>
          <w:color w:val="000000" w:themeColor="text1"/>
          <w:sz w:val="21"/>
          <w:szCs w:val="21"/>
          <w:highlight w:val="none"/>
          <w:u w:val="single"/>
          <w14:textFill>
            <w14:solidFill>
              <w14:schemeClr w14:val="tx1"/>
            </w14:solidFill>
          </w14:textFill>
        </w:rPr>
        <w:t xml:space="preserve">        </w:t>
      </w:r>
    </w:p>
    <w:p w14:paraId="71667931">
      <w:pPr>
        <w:pStyle w:val="26"/>
        <w:shd w:val="clea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入围供应商（乙方）：</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14:paraId="64C9D8F8">
      <w:pPr>
        <w:pStyle w:val="26"/>
        <w:shd w:val="clear"/>
        <w:spacing w:line="360" w:lineRule="auto"/>
        <w:ind w:firstLine="105"/>
        <w:rPr>
          <w:rFonts w:hAnsi="宋体" w:cs="宋体"/>
          <w:b/>
          <w:color w:val="000000" w:themeColor="text1"/>
          <w:sz w:val="21"/>
          <w:szCs w:val="21"/>
          <w:highlight w:val="none"/>
          <w14:textFill>
            <w14:solidFill>
              <w14:schemeClr w14:val="tx1"/>
            </w14:solidFill>
          </w14:textFill>
        </w:rPr>
      </w:pPr>
    </w:p>
    <w:p w14:paraId="27EE1A0F">
      <w:pPr>
        <w:pStyle w:val="26"/>
        <w:shd w:val="clear"/>
        <w:spacing w:line="360" w:lineRule="auto"/>
        <w:ind w:firstLine="105"/>
        <w:rPr>
          <w:rFonts w:hAnsi="宋体" w:cs="宋体"/>
          <w:b/>
          <w:color w:val="000000" w:themeColor="text1"/>
          <w:sz w:val="21"/>
          <w:szCs w:val="21"/>
          <w:highlight w:val="none"/>
          <w14:textFill>
            <w14:solidFill>
              <w14:schemeClr w14:val="tx1"/>
            </w14:solidFill>
          </w14:textFill>
        </w:rPr>
      </w:pPr>
    </w:p>
    <w:p w14:paraId="60389AAC">
      <w:pPr>
        <w:pStyle w:val="26"/>
        <w:shd w:val="clear"/>
        <w:spacing w:line="360" w:lineRule="auto"/>
        <w:rPr>
          <w:rFonts w:hAnsi="宋体" w:cs="宋体"/>
          <w:b/>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根据</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w:t>
      </w:r>
      <w:r>
        <w:rPr>
          <w:rFonts w:hint="eastAsia" w:hAnsi="宋体" w:cs="宋体"/>
          <w:color w:val="000000" w:themeColor="text1"/>
          <w:sz w:val="21"/>
          <w:szCs w:val="21"/>
          <w:highlight w:val="none"/>
          <w:lang w:val="en-US" w:eastAsia="zh-CN"/>
          <w14:textFill>
            <w14:solidFill>
              <w14:schemeClr w14:val="tx1"/>
            </w14:solidFill>
          </w14:textFill>
        </w:rPr>
        <w:t>上思县</w:t>
      </w:r>
      <w:r>
        <w:rPr>
          <w:rFonts w:hint="eastAsia" w:hAnsi="宋体" w:cs="宋体"/>
          <w:color w:val="000000" w:themeColor="text1"/>
          <w:sz w:val="21"/>
          <w:szCs w:val="21"/>
          <w:highlight w:val="none"/>
          <w14:textFill>
            <w14:solidFill>
              <w14:schemeClr w14:val="tx1"/>
            </w14:solidFill>
          </w14:textFill>
        </w:rPr>
        <w:t>政府采购项目的征集结果，甲方接受乙方对本项目的响应，甲、乙双方同意签署本框架协议（以下简称框架协议）。</w:t>
      </w:r>
    </w:p>
    <w:p w14:paraId="20297E89">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一、框架协议内容</w:t>
      </w:r>
    </w:p>
    <w:p w14:paraId="13EFE5F5">
      <w:pPr>
        <w:shd w:val="clea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经框架协议采购，乙方成为</w:t>
      </w:r>
      <w:r>
        <w:rPr>
          <w:rFonts w:hint="eastAsia" w:ascii="宋体" w:hAnsi="宋体" w:cs="宋体"/>
          <w:color w:val="000000" w:themeColor="text1"/>
          <w:szCs w:val="20"/>
          <w:highlight w:val="none"/>
          <w:u w:val="single"/>
          <w:lang w:eastAsia="zh-CN"/>
          <w14:textFill>
            <w14:solidFill>
              <w14:schemeClr w14:val="tx1"/>
            </w14:solidFill>
          </w14:textFill>
        </w:rPr>
        <w:t>2025-2027年度上思县财政投资评审服务框架协议采购</w:t>
      </w:r>
      <w:r>
        <w:rPr>
          <w:rFonts w:hint="eastAsia" w:ascii="宋体" w:hAnsi="宋体" w:cs="宋体"/>
          <w:color w:val="000000" w:themeColor="text1"/>
          <w:szCs w:val="20"/>
          <w:highlight w:val="none"/>
          <w:u w:val="single"/>
          <w14:textFill>
            <w14:solidFill>
              <w14:schemeClr w14:val="tx1"/>
            </w14:solidFill>
          </w14:textFill>
        </w:rPr>
        <w:t xml:space="preserve">02分标  </w:t>
      </w:r>
      <w:r>
        <w:rPr>
          <w:rFonts w:hint="eastAsia" w:ascii="宋体" w:hAnsi="宋体" w:cs="宋体"/>
          <w:color w:val="000000" w:themeColor="text1"/>
          <w:szCs w:val="20"/>
          <w:highlight w:val="none"/>
          <w:lang w:eastAsia="zh-CN"/>
          <w14:textFill>
            <w14:solidFill>
              <w14:schemeClr w14:val="tx1"/>
            </w14:solidFill>
          </w14:textFill>
        </w:rPr>
        <w:t>协</w:t>
      </w:r>
      <w:r>
        <w:rPr>
          <w:rFonts w:hint="eastAsia" w:ascii="宋体" w:hAnsi="宋体" w:cs="宋体"/>
          <w:color w:val="000000" w:themeColor="text1"/>
          <w:szCs w:val="20"/>
          <w:highlight w:val="none"/>
          <w14:textFill>
            <w14:solidFill>
              <w14:schemeClr w14:val="tx1"/>
            </w14:solidFill>
          </w14:textFill>
        </w:rPr>
        <w:t>审服务入围供应商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乙方必须服从甲方的管理和监督，在</w:t>
      </w:r>
      <w:r>
        <w:rPr>
          <w:rFonts w:hint="eastAsia" w:ascii="宋体" w:hAnsi="宋体" w:cs="宋体"/>
          <w:color w:val="000000" w:themeColor="text1"/>
          <w:szCs w:val="21"/>
          <w:highlight w:val="none"/>
          <w14:textFill>
            <w14:solidFill>
              <w14:schemeClr w14:val="tx1"/>
            </w14:solidFill>
          </w14:textFill>
        </w:rPr>
        <w:t>采购人要求其开展</w:t>
      </w:r>
      <w:r>
        <w:rPr>
          <w:rFonts w:hint="eastAsia" w:ascii="宋体" w:hAnsi="宋体" w:cs="宋体"/>
          <w:color w:val="000000" w:themeColor="text1"/>
          <w:szCs w:val="21"/>
          <w:highlight w:val="none"/>
          <w:lang w:val="en-US" w:eastAsia="zh-CN"/>
          <w14:textFill>
            <w14:solidFill>
              <w14:schemeClr w14:val="tx1"/>
            </w14:solidFill>
          </w14:textFill>
        </w:rPr>
        <w:t>上思县</w:t>
      </w:r>
      <w:r>
        <w:rPr>
          <w:rFonts w:hint="eastAsia" w:ascii="宋体" w:hAnsi="宋体" w:cs="宋体"/>
          <w:color w:val="000000" w:themeColor="text1"/>
          <w:szCs w:val="21"/>
          <w:highlight w:val="none"/>
          <w14:textFill>
            <w14:solidFill>
              <w14:schemeClr w14:val="tx1"/>
            </w14:solidFill>
          </w14:textFill>
        </w:rPr>
        <w:t>政府投资建设</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0"/>
          <w:highlight w:val="none"/>
          <w:u w:val="single"/>
          <w:lang w:eastAsia="zh-CN"/>
          <w14:textFill>
            <w14:solidFill>
              <w14:schemeClr w14:val="tx1"/>
            </w14:solidFill>
          </w14:textFill>
        </w:rPr>
        <w:t>信息化项目的概算、预算、</w:t>
      </w:r>
      <w:r>
        <w:rPr>
          <w:rFonts w:hint="eastAsia" w:ascii="宋体" w:hAnsi="宋体" w:cs="宋体"/>
          <w:color w:val="000000" w:themeColor="text1"/>
          <w:szCs w:val="20"/>
          <w:highlight w:val="none"/>
          <w:u w:val="single"/>
          <w:lang w:val="en-US" w:eastAsia="zh-CN"/>
          <w14:textFill>
            <w14:solidFill>
              <w14:schemeClr w14:val="tx1"/>
            </w14:solidFill>
          </w14:textFill>
        </w:rPr>
        <w:t>工程量清单和</w:t>
      </w:r>
      <w:r>
        <w:rPr>
          <w:rFonts w:hint="eastAsia" w:ascii="宋体" w:hAnsi="宋体" w:cs="宋体"/>
          <w:color w:val="000000" w:themeColor="text1"/>
          <w:szCs w:val="20"/>
          <w:highlight w:val="none"/>
          <w:u w:val="single"/>
          <w:lang w:eastAsia="zh-CN"/>
          <w14:textFill>
            <w14:solidFill>
              <w14:schemeClr w14:val="tx1"/>
            </w14:solidFill>
          </w14:textFill>
        </w:rPr>
        <w:t>招标控制价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协审</w:t>
      </w:r>
      <w:r>
        <w:rPr>
          <w:rFonts w:hint="eastAsia" w:ascii="宋体" w:hAnsi="宋体" w:cs="宋体"/>
          <w:color w:val="000000" w:themeColor="text1"/>
          <w:szCs w:val="21"/>
          <w:highlight w:val="none"/>
          <w14:textFill>
            <w14:solidFill>
              <w14:schemeClr w14:val="tx1"/>
            </w14:solidFill>
          </w14:textFill>
        </w:rPr>
        <w:t>服务时，</w:t>
      </w:r>
      <w:r>
        <w:rPr>
          <w:rFonts w:hint="eastAsia" w:ascii="宋体" w:hAnsi="宋体" w:cs="宋体"/>
          <w:color w:val="000000" w:themeColor="text1"/>
          <w:highlight w:val="none"/>
          <w14:textFill>
            <w14:solidFill>
              <w14:schemeClr w14:val="tx1"/>
            </w14:solidFill>
          </w14:textFill>
        </w:rPr>
        <w:t>与采购人签订</w:t>
      </w:r>
      <w:r>
        <w:rPr>
          <w:rFonts w:hint="eastAsia" w:ascii="宋体" w:hAnsi="宋体" w:cs="宋体"/>
          <w:bCs/>
          <w:color w:val="000000" w:themeColor="text1"/>
          <w:highlight w:val="none"/>
          <w14:textFill>
            <w14:solidFill>
              <w14:schemeClr w14:val="tx1"/>
            </w14:solidFill>
          </w14:textFill>
        </w:rPr>
        <w:t>采购</w:t>
      </w:r>
      <w:r>
        <w:rPr>
          <w:rFonts w:hint="eastAsia" w:ascii="宋体" w:hAnsi="宋体" w:cs="宋体"/>
          <w:color w:val="000000" w:themeColor="text1"/>
          <w:highlight w:val="none"/>
          <w14:textFill>
            <w14:solidFill>
              <w14:schemeClr w14:val="tx1"/>
            </w14:solidFill>
          </w14:textFill>
        </w:rPr>
        <w:t>合同，并服从采购人的安排，按时、保质、保量地完成</w:t>
      </w:r>
      <w:r>
        <w:rPr>
          <w:rFonts w:hint="eastAsia" w:ascii="宋体" w:hAnsi="宋体" w:cs="宋体"/>
          <w:bCs/>
          <w:color w:val="000000" w:themeColor="text1"/>
          <w:highlight w:val="none"/>
          <w:lang w:eastAsia="zh-CN"/>
          <w14:textFill>
            <w14:solidFill>
              <w14:schemeClr w14:val="tx1"/>
            </w14:solidFill>
          </w14:textFill>
        </w:rPr>
        <w:t>协审</w:t>
      </w:r>
      <w:r>
        <w:rPr>
          <w:rFonts w:hint="eastAsia" w:ascii="宋体" w:hAnsi="宋体" w:cs="宋体"/>
          <w:bCs/>
          <w:color w:val="000000" w:themeColor="text1"/>
          <w:highlight w:val="none"/>
          <w14:textFill>
            <w14:solidFill>
              <w14:schemeClr w14:val="tx1"/>
            </w14:solidFill>
          </w14:textFill>
        </w:rPr>
        <w:t>服务</w:t>
      </w:r>
      <w:r>
        <w:rPr>
          <w:rFonts w:hint="eastAsia" w:ascii="宋体" w:hAnsi="宋体" w:cs="宋体"/>
          <w:color w:val="000000" w:themeColor="text1"/>
          <w:highlight w:val="none"/>
          <w14:textFill>
            <w14:solidFill>
              <w14:schemeClr w14:val="tx1"/>
            </w14:solidFill>
          </w14:textFill>
        </w:rPr>
        <w:t>工作。</w:t>
      </w:r>
    </w:p>
    <w:p w14:paraId="4D3226E1">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二、框架协议有效期：</w:t>
      </w:r>
    </w:p>
    <w:p w14:paraId="3ACDA872">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本框架协议期限为</w:t>
      </w:r>
      <w:r>
        <w:rPr>
          <w:rFonts w:hint="eastAsia" w:ascii="宋体" w:hAnsi="宋体" w:cs="宋体"/>
          <w:color w:val="000000" w:themeColor="text1"/>
          <w:szCs w:val="21"/>
          <w:highlight w:val="none"/>
          <w:lang w:val="en-US" w:eastAsia="zh-CN"/>
          <w14:textFill>
            <w14:solidFill>
              <w14:schemeClr w14:val="tx1"/>
            </w14:solidFill>
          </w14:textFill>
        </w:rPr>
        <w:t>两年</w:t>
      </w:r>
      <w:r>
        <w:rPr>
          <w:rFonts w:hint="eastAsia" w:ascii="宋体" w:hAnsi="宋体" w:cs="宋体"/>
          <w:color w:val="000000" w:themeColor="text1"/>
          <w:szCs w:val="21"/>
          <w:highlight w:val="none"/>
          <w14:textFill>
            <w14:solidFill>
              <w14:schemeClr w14:val="tx1"/>
            </w14:solidFill>
          </w14:textFill>
        </w:rPr>
        <w:t>，从</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起至</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w:t>
      </w:r>
    </w:p>
    <w:p w14:paraId="66B051E9">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三、协审服务费：</w:t>
      </w:r>
    </w:p>
    <w:p w14:paraId="7689DA4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（一）工程概（预）算、工程量清单和招标控制价评审服务费计取如下：</w:t>
      </w:r>
    </w:p>
    <w:p w14:paraId="4F24E39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1.评审服务费=基本费或效益费（二者选高值）</w:t>
      </w:r>
    </w:p>
    <w:p w14:paraId="02FC4AB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2.基本费、效益费的计算</w:t>
      </w:r>
    </w:p>
    <w:p w14:paraId="119788B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（1）基本费按经财政部门确认的审定造价实行分段累进计算，基本费=∑（工程项目审定造价（不含暂列金额）×基本费费率×难度系数）：</w:t>
      </w:r>
    </w:p>
    <w:tbl>
      <w:tblPr>
        <w:tblStyle w:val="4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606"/>
        <w:gridCol w:w="3240"/>
        <w:gridCol w:w="1472"/>
      </w:tblGrid>
      <w:tr w14:paraId="6C08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2" w:hRule="atLeast"/>
          <w:jc w:val="center"/>
        </w:trPr>
        <w:tc>
          <w:tcPr>
            <w:tcW w:w="3606" w:type="dxa"/>
            <w:noWrap w:val="0"/>
            <w:vAlign w:val="center"/>
          </w:tcPr>
          <w:p w14:paraId="59F184B0">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审定单项造价M（万元）</w:t>
            </w:r>
          </w:p>
        </w:tc>
        <w:tc>
          <w:tcPr>
            <w:tcW w:w="3240" w:type="dxa"/>
            <w:noWrap w:val="0"/>
            <w:vAlign w:val="center"/>
          </w:tcPr>
          <w:p w14:paraId="2F600486">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评审服务费计费标准（费率）‰</w:t>
            </w:r>
          </w:p>
        </w:tc>
        <w:tc>
          <w:tcPr>
            <w:tcW w:w="1472" w:type="dxa"/>
            <w:noWrap w:val="0"/>
            <w:vAlign w:val="center"/>
          </w:tcPr>
          <w:p w14:paraId="5F6872C7">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备注</w:t>
            </w:r>
          </w:p>
        </w:tc>
      </w:tr>
      <w:tr w14:paraId="0CAA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2CF318A2">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w:t>
            </w:r>
          </w:p>
        </w:tc>
        <w:tc>
          <w:tcPr>
            <w:tcW w:w="3240" w:type="dxa"/>
            <w:noWrap w:val="0"/>
            <w:vAlign w:val="center"/>
          </w:tcPr>
          <w:p w14:paraId="0CE13A53">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1.461</w:t>
            </w:r>
          </w:p>
        </w:tc>
        <w:tc>
          <w:tcPr>
            <w:tcW w:w="1472" w:type="dxa"/>
            <w:vMerge w:val="restart"/>
            <w:noWrap w:val="0"/>
            <w:vAlign w:val="center"/>
          </w:tcPr>
          <w:p w14:paraId="155BF00A">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按照分段差额累进法计算</w:t>
            </w:r>
          </w:p>
        </w:tc>
      </w:tr>
      <w:tr w14:paraId="702B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6D3FCB46">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00&lt;M≤</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000</w:t>
            </w:r>
          </w:p>
        </w:tc>
        <w:tc>
          <w:tcPr>
            <w:tcW w:w="3240" w:type="dxa"/>
            <w:noWrap w:val="0"/>
            <w:vAlign w:val="center"/>
          </w:tcPr>
          <w:p w14:paraId="4964C65E">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1.</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00</w:t>
            </w:r>
          </w:p>
        </w:tc>
        <w:tc>
          <w:tcPr>
            <w:tcW w:w="1472" w:type="dxa"/>
            <w:vMerge w:val="continue"/>
            <w:noWrap w:val="0"/>
            <w:vAlign w:val="center"/>
          </w:tcPr>
          <w:p w14:paraId="582E261F">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089C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67972B95">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000&lt;M≤</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w:t>
            </w:r>
          </w:p>
        </w:tc>
        <w:tc>
          <w:tcPr>
            <w:tcW w:w="3240" w:type="dxa"/>
            <w:noWrap w:val="0"/>
            <w:vAlign w:val="center"/>
          </w:tcPr>
          <w:p w14:paraId="1C146A43">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0.89</w:t>
            </w:r>
          </w:p>
        </w:tc>
        <w:tc>
          <w:tcPr>
            <w:tcW w:w="1472" w:type="dxa"/>
            <w:vMerge w:val="continue"/>
            <w:noWrap w:val="0"/>
            <w:vAlign w:val="center"/>
          </w:tcPr>
          <w:p w14:paraId="40CF9BC7">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6EA0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11E6CC5B">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000&lt;M≤10000</w:t>
            </w:r>
          </w:p>
        </w:tc>
        <w:tc>
          <w:tcPr>
            <w:tcW w:w="3240" w:type="dxa"/>
            <w:noWrap w:val="0"/>
            <w:vAlign w:val="center"/>
          </w:tcPr>
          <w:p w14:paraId="07FC143D">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0.6</w:t>
            </w:r>
          </w:p>
        </w:tc>
        <w:tc>
          <w:tcPr>
            <w:tcW w:w="1472" w:type="dxa"/>
            <w:vMerge w:val="continue"/>
            <w:noWrap w:val="0"/>
            <w:vAlign w:val="center"/>
          </w:tcPr>
          <w:p w14:paraId="0672AE1C">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67B3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3C59F4B0">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10000&lt;M≤30000</w:t>
            </w:r>
          </w:p>
        </w:tc>
        <w:tc>
          <w:tcPr>
            <w:tcW w:w="3240" w:type="dxa"/>
            <w:noWrap w:val="0"/>
            <w:vAlign w:val="center"/>
          </w:tcPr>
          <w:p w14:paraId="2A47EBED">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385</w:t>
            </w:r>
          </w:p>
        </w:tc>
        <w:tc>
          <w:tcPr>
            <w:tcW w:w="1472" w:type="dxa"/>
            <w:vMerge w:val="continue"/>
            <w:noWrap w:val="0"/>
            <w:vAlign w:val="center"/>
          </w:tcPr>
          <w:p w14:paraId="15717A84">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0374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6" w:hRule="atLeast"/>
          <w:jc w:val="center"/>
        </w:trPr>
        <w:tc>
          <w:tcPr>
            <w:tcW w:w="3606" w:type="dxa"/>
            <w:noWrap w:val="0"/>
            <w:vAlign w:val="center"/>
          </w:tcPr>
          <w:p w14:paraId="7DDF2495">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30000&lt;M</w:t>
            </w:r>
          </w:p>
        </w:tc>
        <w:tc>
          <w:tcPr>
            <w:tcW w:w="3240" w:type="dxa"/>
            <w:noWrap w:val="0"/>
            <w:vAlign w:val="center"/>
          </w:tcPr>
          <w:p w14:paraId="24D2940E">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171</w:t>
            </w:r>
          </w:p>
        </w:tc>
        <w:tc>
          <w:tcPr>
            <w:tcW w:w="1472" w:type="dxa"/>
            <w:vMerge w:val="continue"/>
            <w:noWrap w:val="0"/>
            <w:vAlign w:val="center"/>
          </w:tcPr>
          <w:p w14:paraId="3B55C4E3">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bl>
    <w:p w14:paraId="03E1C43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（2）效益费按经财政部门确认的净核减值实行分段累进计算，效益费=∑（净核减值×效益费费率×难度系数），净核减值（不含暂列金额、暂估价部分的核减），具体如下：</w:t>
      </w:r>
    </w:p>
    <w:tbl>
      <w:tblPr>
        <w:tblStyle w:val="49"/>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204"/>
        <w:gridCol w:w="2792"/>
        <w:gridCol w:w="1479"/>
      </w:tblGrid>
      <w:tr w14:paraId="4BC7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24" w:type="dxa"/>
            <w:noWrap w:val="0"/>
            <w:vAlign w:val="center"/>
          </w:tcPr>
          <w:p w14:paraId="18901DC2">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序号</w:t>
            </w:r>
          </w:p>
        </w:tc>
        <w:tc>
          <w:tcPr>
            <w:tcW w:w="3204" w:type="dxa"/>
            <w:noWrap w:val="0"/>
            <w:vAlign w:val="center"/>
          </w:tcPr>
          <w:p w14:paraId="4358C141">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净核减值</w:t>
            </w:r>
          </w:p>
        </w:tc>
        <w:tc>
          <w:tcPr>
            <w:tcW w:w="2792" w:type="dxa"/>
            <w:noWrap w:val="0"/>
            <w:vAlign w:val="center"/>
          </w:tcPr>
          <w:p w14:paraId="0C1E72C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效益费率</w:t>
            </w:r>
          </w:p>
        </w:tc>
        <w:tc>
          <w:tcPr>
            <w:tcW w:w="1479" w:type="dxa"/>
            <w:noWrap w:val="0"/>
            <w:vAlign w:val="center"/>
          </w:tcPr>
          <w:p w14:paraId="58A628E5">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备注</w:t>
            </w:r>
          </w:p>
        </w:tc>
      </w:tr>
      <w:tr w14:paraId="2A52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2DC0F39A">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w:t>
            </w:r>
          </w:p>
        </w:tc>
        <w:tc>
          <w:tcPr>
            <w:tcW w:w="3204" w:type="dxa"/>
            <w:noWrap w:val="0"/>
            <w:vAlign w:val="center"/>
          </w:tcPr>
          <w:p w14:paraId="69247AA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净核减值≤100万元</w:t>
            </w:r>
          </w:p>
        </w:tc>
        <w:tc>
          <w:tcPr>
            <w:tcW w:w="2792" w:type="dxa"/>
            <w:noWrap w:val="0"/>
            <w:vAlign w:val="center"/>
          </w:tcPr>
          <w:p w14:paraId="14B170DE">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3%</w:t>
            </w:r>
          </w:p>
        </w:tc>
        <w:tc>
          <w:tcPr>
            <w:tcW w:w="1479" w:type="dxa"/>
            <w:vMerge w:val="restart"/>
            <w:noWrap w:val="0"/>
            <w:vAlign w:val="center"/>
          </w:tcPr>
          <w:p w14:paraId="79ED46F6">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按照分段差额累进法计算</w:t>
            </w:r>
          </w:p>
        </w:tc>
      </w:tr>
      <w:tr w14:paraId="0E6E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777771FA">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w:t>
            </w:r>
          </w:p>
        </w:tc>
        <w:tc>
          <w:tcPr>
            <w:tcW w:w="3204" w:type="dxa"/>
            <w:noWrap w:val="0"/>
            <w:vAlign w:val="center"/>
          </w:tcPr>
          <w:p w14:paraId="3A48F281">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100万元&lt;净核减值≤300万元</w:t>
            </w:r>
          </w:p>
        </w:tc>
        <w:tc>
          <w:tcPr>
            <w:tcW w:w="2792" w:type="dxa"/>
            <w:noWrap w:val="0"/>
            <w:vAlign w:val="center"/>
          </w:tcPr>
          <w:p w14:paraId="7849A7D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p>
        </w:tc>
        <w:tc>
          <w:tcPr>
            <w:tcW w:w="1479" w:type="dxa"/>
            <w:vMerge w:val="continue"/>
            <w:noWrap w:val="0"/>
            <w:vAlign w:val="center"/>
          </w:tcPr>
          <w:p w14:paraId="74C313AE">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051F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78C1BA5E">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3</w:t>
            </w:r>
          </w:p>
        </w:tc>
        <w:tc>
          <w:tcPr>
            <w:tcW w:w="3204" w:type="dxa"/>
            <w:noWrap w:val="0"/>
            <w:vAlign w:val="center"/>
          </w:tcPr>
          <w:p w14:paraId="30AF3156">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300万元&lt;净核减值≤500万元</w:t>
            </w:r>
          </w:p>
        </w:tc>
        <w:tc>
          <w:tcPr>
            <w:tcW w:w="2792" w:type="dxa"/>
            <w:noWrap w:val="0"/>
            <w:vAlign w:val="center"/>
          </w:tcPr>
          <w:p w14:paraId="38F5566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2.64%</w:t>
            </w:r>
          </w:p>
        </w:tc>
        <w:tc>
          <w:tcPr>
            <w:tcW w:w="1479" w:type="dxa"/>
            <w:vMerge w:val="continue"/>
            <w:noWrap w:val="0"/>
            <w:vAlign w:val="center"/>
          </w:tcPr>
          <w:p w14:paraId="3E22EB09">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3D9A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5C18120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4</w:t>
            </w:r>
          </w:p>
        </w:tc>
        <w:tc>
          <w:tcPr>
            <w:tcW w:w="3204" w:type="dxa"/>
            <w:noWrap w:val="0"/>
            <w:vAlign w:val="center"/>
          </w:tcPr>
          <w:p w14:paraId="7EEAE7C3">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500万元&lt;净核减值≤1000万元</w:t>
            </w:r>
          </w:p>
        </w:tc>
        <w:tc>
          <w:tcPr>
            <w:tcW w:w="2792" w:type="dxa"/>
            <w:noWrap w:val="0"/>
            <w:vAlign w:val="center"/>
          </w:tcPr>
          <w:p w14:paraId="5280F66A">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2.18%</w:t>
            </w:r>
          </w:p>
        </w:tc>
        <w:tc>
          <w:tcPr>
            <w:tcW w:w="1479" w:type="dxa"/>
            <w:vMerge w:val="continue"/>
            <w:noWrap w:val="0"/>
            <w:vAlign w:val="center"/>
          </w:tcPr>
          <w:p w14:paraId="77151834">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3998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24" w:type="dxa"/>
            <w:noWrap w:val="0"/>
            <w:vAlign w:val="center"/>
          </w:tcPr>
          <w:p w14:paraId="3F52BB33">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5</w:t>
            </w:r>
          </w:p>
        </w:tc>
        <w:tc>
          <w:tcPr>
            <w:tcW w:w="3204" w:type="dxa"/>
            <w:noWrap w:val="0"/>
            <w:vAlign w:val="center"/>
          </w:tcPr>
          <w:p w14:paraId="3933DDB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1000万元&lt;净核减值≤1500万元</w:t>
            </w:r>
          </w:p>
        </w:tc>
        <w:tc>
          <w:tcPr>
            <w:tcW w:w="2792" w:type="dxa"/>
            <w:noWrap w:val="0"/>
            <w:vAlign w:val="center"/>
          </w:tcPr>
          <w:p w14:paraId="7F5ACC3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1.66%</w:t>
            </w:r>
          </w:p>
        </w:tc>
        <w:tc>
          <w:tcPr>
            <w:tcW w:w="1479" w:type="dxa"/>
            <w:vMerge w:val="continue"/>
            <w:noWrap w:val="0"/>
            <w:vAlign w:val="center"/>
          </w:tcPr>
          <w:p w14:paraId="10EF064C">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6AEC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4" w:type="dxa"/>
            <w:noWrap w:val="0"/>
            <w:vAlign w:val="center"/>
          </w:tcPr>
          <w:p w14:paraId="3C0BAAC5">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6</w:t>
            </w:r>
          </w:p>
        </w:tc>
        <w:tc>
          <w:tcPr>
            <w:tcW w:w="3204" w:type="dxa"/>
            <w:noWrap w:val="0"/>
            <w:vAlign w:val="center"/>
          </w:tcPr>
          <w:p w14:paraId="1EBAE83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1500万元&lt;净核减值</w:t>
            </w:r>
          </w:p>
        </w:tc>
        <w:tc>
          <w:tcPr>
            <w:tcW w:w="2792" w:type="dxa"/>
            <w:noWrap w:val="0"/>
            <w:vAlign w:val="center"/>
          </w:tcPr>
          <w:p w14:paraId="10DF6E10">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0.</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415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p>
        </w:tc>
        <w:tc>
          <w:tcPr>
            <w:tcW w:w="1479" w:type="dxa"/>
            <w:vMerge w:val="continue"/>
            <w:noWrap w:val="0"/>
            <w:vAlign w:val="center"/>
          </w:tcPr>
          <w:p w14:paraId="099B215F">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bl>
    <w:p w14:paraId="1FE2536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p>
    <w:p w14:paraId="44101F2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（二）评审服务费上限额：单个项目评审服务费不得超过50万元。评审服务费少于2000元的，按2000元计。</w:t>
      </w:r>
    </w:p>
    <w:p w14:paraId="5C7AFB8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（三）难度系数</w:t>
      </w:r>
    </w:p>
    <w:p w14:paraId="2C102C4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1.水利、市政道路、给排水、公路及土地整理项目、园林绿化工程，难度系数0.8；桥梁和房建项目，难度系数为1.2；土石方工程项目，难度系数为0.6；信息化项目的难度系数为0.9；其余类型项目的难度系数为1.0；</w:t>
      </w:r>
    </w:p>
    <w:p w14:paraId="45F5E25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2.需要到项目地调查的，难度系数为1.1（此项付费最高不超过3000元）。</w:t>
      </w:r>
    </w:p>
    <w:p w14:paraId="7ABE819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3.难度系数在安排评审任务时由双方确定。</w:t>
      </w:r>
    </w:p>
    <w:p w14:paraId="42ECF1D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（四）土石方开挖、运输、回填、弃置等因套用定额与市场价调整的均不属于付费内容。</w:t>
      </w:r>
    </w:p>
    <w:p w14:paraId="3BB66B4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（五）送审的工程因漏项、错项或未按规范性文件准确计价计量等因素导致每一单位工程造价核增20万元以上的，在计算评审结论的核减金额时，上述因素造成的核增金额不冲减核减金额。</w:t>
      </w:r>
    </w:p>
    <w:p w14:paraId="16769C1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六）送审与审定所采用的材料价格信息不一致，导致审定造价与送审造价偏差大，差额超过50万元或超过审定造价的±5%以上的，计算评审服务费时，项目的净核减额应扣除该部分核增（减）额后计算评审服务费。</w:t>
      </w:r>
    </w:p>
    <w:p w14:paraId="2F60571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（七）征集人明确不属于供应商审核范围（内容）的事项，不计入工程净核减额。</w:t>
      </w:r>
    </w:p>
    <w:p w14:paraId="0C799F8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（八）因非入围供应商原因需中止项目审核工作的，采购人视入围供应商完成工作量情况来计算评审服务费：</w:t>
      </w:r>
    </w:p>
    <w:p w14:paraId="65AC312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1.已完成征集人委托项目初审工作的，按评审基本费30%计算；</w:t>
      </w:r>
    </w:p>
    <w:p w14:paraId="44E7422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2.已完成征集人委托项目初审及对数工作的，按评审基本费50%计算。</w:t>
      </w:r>
    </w:p>
    <w:p w14:paraId="57EB153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3.在合同期内该项目由原供应商再次审核的，支付的评审服务费应扣除原已支付部分。</w:t>
      </w:r>
    </w:p>
    <w:p w14:paraId="2AB3FCF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（九）因供应商自身原因中途将委托项目退回给征集人的，征集人不支付任何评审费用,且征集人有权不再委托项目或单方面终止该项目合同。</w:t>
      </w:r>
    </w:p>
    <w:p w14:paraId="5917D96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十）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单方面终止合同。</w:t>
      </w:r>
    </w:p>
    <w:p w14:paraId="0092D011">
      <w:pPr>
        <w:shd w:val="clea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十一</w:t>
      </w:r>
      <w:r>
        <w:rPr>
          <w:rFonts w:hint="eastAsia" w:ascii="宋体" w:hAnsi="宋体" w:cs="宋体"/>
          <w:color w:val="000000" w:themeColor="text1"/>
          <w:szCs w:val="21"/>
          <w:highlight w:val="none"/>
          <w14:textFill>
            <w14:solidFill>
              <w14:schemeClr w14:val="tx1"/>
            </w14:solidFill>
          </w14:textFill>
        </w:rPr>
        <w:t>）乙方的响应报价已包括了实施和完成协审工作所需的劳务费、技术服务费、交通、通讯、办公场地、管理费、税费和利润等费用和政策性文件规定及合同包含的所有风险、责任等各项应有的费用，除非上述费用在合同中另有说明，合同期内，费率不再调整。</w:t>
      </w:r>
    </w:p>
    <w:p w14:paraId="0FC21CA4">
      <w:pPr>
        <w:shd w:val="clear"/>
        <w:spacing w:line="360" w:lineRule="auto"/>
        <w:ind w:firstLine="422" w:firstLineChars="200"/>
        <w:rPr>
          <w:rFonts w:ascii="宋体" w:hAnsi="宋体" w:cs="宋体"/>
          <w:b/>
          <w:color w:val="000000" w:themeColor="text1"/>
          <w:szCs w:val="21"/>
          <w:highlight w:val="none"/>
          <w:lang w:eastAsia="ar-SA"/>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四、履约保证金</w:t>
      </w:r>
    </w:p>
    <w:p w14:paraId="5D54F5EA">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本项目无履约保证金</w:t>
      </w:r>
    </w:p>
    <w:p w14:paraId="7979687D">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五、服务费的结算与支付方式</w:t>
      </w:r>
    </w:p>
    <w:p w14:paraId="19AF355C">
      <w:pPr>
        <w:shd w:val="clea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协审服务费采取谁委托谁付费的方式，具体付款方式由采购人与成交供应商在采购合同中约定。</w:t>
      </w:r>
    </w:p>
    <w:p w14:paraId="3392C601">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2.协审服务费按以下情况分别处理：</w:t>
      </w:r>
    </w:p>
    <w:p w14:paraId="0D4C6BE0">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（1）按框架协议第三条计费规定计算相应协审服务费；</w:t>
      </w:r>
    </w:p>
    <w:p w14:paraId="422DA689">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（2）如按上述计费规定计算相应工作协审服务费少于2000元的按2000元计。</w:t>
      </w:r>
    </w:p>
    <w:p w14:paraId="1CDFAE39">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3.因采购人原因中途中止协审服务工作的，由采购人与乙方协商，按实际完成的比例计取协审服务费；因供应商原因导致协审服务工作中止的，不计取协审服务费。</w:t>
      </w:r>
    </w:p>
    <w:p w14:paraId="0DD2AEED">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4.合同履行期间，如乙方存在违法行为，在政府采购监督管理部门调查或被行政处罚期间，甲方可视情况中止合同，并通知采购人延期支付服务费。</w:t>
      </w:r>
    </w:p>
    <w:p w14:paraId="14EFA2A3">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六、适用框架协议的采购人</w:t>
      </w:r>
    </w:p>
    <w:p w14:paraId="5C1FAEF1">
      <w:pPr>
        <w:shd w:val="clear"/>
        <w:spacing w:line="360" w:lineRule="auto"/>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上思县财政局。</w:t>
      </w:r>
    </w:p>
    <w:p w14:paraId="49B09826">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七、确定第二阶段成交供应商的方式</w:t>
      </w:r>
    </w:p>
    <w:p w14:paraId="1C1D2DD2">
      <w:pPr>
        <w:shd w:val="clear"/>
        <w:spacing w:line="360" w:lineRule="auto"/>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确定第二阶段成交供应商的方式为直接选定。由采购人依据项目实际情况、供应商服务质量、价格及服务便利性、用户评价等因素，从第一阶段入围供应商中直接选定。</w:t>
      </w:r>
    </w:p>
    <w:p w14:paraId="1909B8A9">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八、采购合同文本</w:t>
      </w:r>
    </w:p>
    <w:p w14:paraId="7C9D1176">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详见本章第二节。</w:t>
      </w:r>
    </w:p>
    <w:p w14:paraId="1BEAC54E">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九、权利和义务</w:t>
      </w:r>
    </w:p>
    <w:p w14:paraId="5E4F83B4">
      <w:pPr>
        <w:shd w:val="clea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（一）甲方的权利和义务</w:t>
      </w:r>
    </w:p>
    <w:p w14:paraId="12AFF34E">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1.甲方将根据有关法律法规规章的规定，按照本项目征集文件采购需求及本框架协议约定的事项从入围供应商中选定成交供应商。</w:t>
      </w:r>
    </w:p>
    <w:p w14:paraId="7B738BC7">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甲方有权按照本项目征集文件、本框架协议和采购合同等文件对乙方履约行为进行监督、管理和检查，收集并公开对入围供应商履行框架协议和采购合同情况的反馈与评价。如发现乙方违反征集文件或本框架协议或采购合同的有关规定和承诺，甲方有权暂停或终止框架协议。</w:t>
      </w:r>
    </w:p>
    <w:p w14:paraId="37B437D1">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3.甲方按规定公开框架协议有效期内入围供应商成交结果情况。</w:t>
      </w:r>
    </w:p>
    <w:p w14:paraId="40F875EC">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4.甲方有权对符合本框架协议第十一条约定的入围供应商进行清退，解除框架协议。</w:t>
      </w:r>
    </w:p>
    <w:p w14:paraId="2F3A6B85">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5.乙方有违法违规违纪问题或违反廉洁从业规定时，甲方实行一票否决，终止框架协议并追究乙方相关责任。</w:t>
      </w:r>
    </w:p>
    <w:p w14:paraId="6BF4C9B3">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6.甲方认为有必要时，可以约谈、询问乙方的法人代表及相关负责人，乙方不得拒绝。</w:t>
      </w:r>
    </w:p>
    <w:p w14:paraId="2A40C98D">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7.甲方有权对乙方拟投入人员实行登记备案管理，并有权随时了解合作过程中乙方工作人员及拟投入人员的变动情况。</w:t>
      </w:r>
    </w:p>
    <w:p w14:paraId="6CA5EF9F">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8.甲方将不定期对乙方拟投入人员在岗情况进行检查，如发现乙方委派的</w:t>
      </w:r>
      <w:r>
        <w:rPr>
          <w:rFonts w:hint="eastAsia" w:ascii="宋体" w:hAnsi="宋体" w:cs="宋体"/>
          <w:color w:val="000000" w:themeColor="text1"/>
          <w:szCs w:val="21"/>
          <w:highlight w:val="none"/>
          <w14:textFill>
            <w14:solidFill>
              <w14:schemeClr w14:val="tx1"/>
            </w14:solidFill>
          </w14:textFill>
        </w:rPr>
        <w:t>管理及技术负责人和专业技术</w:t>
      </w:r>
      <w:r>
        <w:rPr>
          <w:rFonts w:hint="eastAsia" w:ascii="宋体" w:hAnsi="宋体"/>
          <w:bCs/>
          <w:color w:val="000000" w:themeColor="text1"/>
          <w:szCs w:val="21"/>
          <w:highlight w:val="none"/>
          <w14:textFill>
            <w14:solidFill>
              <w14:schemeClr w14:val="tx1"/>
            </w14:solidFill>
          </w14:textFill>
        </w:rPr>
        <w:t>人员与响应文件承诺的人员不一致，变更（或减少）人员比例≥30%或变更（或减少）人员人次≥3或变更人员的</w:t>
      </w:r>
      <w:r>
        <w:rPr>
          <w:rFonts w:hint="eastAsia" w:ascii="宋体" w:hAnsi="宋体" w:cs="宋体"/>
          <w:color w:val="000000" w:themeColor="text1"/>
          <w:szCs w:val="21"/>
          <w:highlight w:val="none"/>
          <w14:textFill>
            <w14:solidFill>
              <w14:schemeClr w14:val="tx1"/>
            </w14:solidFill>
          </w14:textFill>
        </w:rPr>
        <w:t>职称、资格证书低于该岗位拟投入人员的</w:t>
      </w:r>
      <w:r>
        <w:rPr>
          <w:rFonts w:hint="eastAsia" w:ascii="宋体" w:hAnsi="宋体"/>
          <w:bCs/>
          <w:color w:val="000000" w:themeColor="text1"/>
          <w:szCs w:val="21"/>
          <w:highlight w:val="none"/>
          <w14:textFill>
            <w14:solidFill>
              <w14:schemeClr w14:val="tx1"/>
            </w14:solidFill>
          </w14:textFill>
        </w:rPr>
        <w:t>，甲方有权暂停委托乙方项目或终止框架协议。</w:t>
      </w:r>
    </w:p>
    <w:p w14:paraId="31CB48A6">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9.甲方有权要求乙方增加人员和更换不合格人员，在特殊情况下有权指定乙方人员从事特定项目审核，乙方应无条件增加、更换或安排相应人员。</w:t>
      </w:r>
    </w:p>
    <w:p w14:paraId="1B7B2386">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10.甲方有权要求乙方按时、按质、按量、按计划、按框架协议及采购合同约定完成协审服务工作，有权对乙方的工作质量及进度、服务态度、廉政纪律等进行监督。</w:t>
      </w:r>
    </w:p>
    <w:p w14:paraId="7668868E">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11.甲方有权随时了解乙方的工作情况和进度并提出意见建议，有权要求乙方提供审核资料（含纸质及电子版）。</w:t>
      </w:r>
    </w:p>
    <w:p w14:paraId="264A2A97">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12.甲方有权对乙方提交的成果提出修改意见并要求乙方按修改意见完成服务工作。</w:t>
      </w:r>
    </w:p>
    <w:p w14:paraId="621744CC">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13.乙方提交的成果文件及审核资料不符合要求的，甲方有权退回并要求乙方修改。</w:t>
      </w:r>
    </w:p>
    <w:p w14:paraId="2F749753">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14.有权合法、正确地使用</w:t>
      </w:r>
      <w:r>
        <w:rPr>
          <w:rFonts w:hint="eastAsia" w:ascii="宋体" w:hAnsi="宋体"/>
          <w:bCs/>
          <w:color w:val="000000" w:themeColor="text1"/>
          <w:szCs w:val="21"/>
          <w:highlight w:val="none"/>
          <w14:textFill>
            <w14:solidFill>
              <w14:schemeClr w14:val="tx1"/>
            </w14:solidFill>
          </w14:textFill>
        </w:rPr>
        <w:t>乙方提交的报告、文件、资料等服务成果。</w:t>
      </w:r>
    </w:p>
    <w:p w14:paraId="0B89296F">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15.有义务向乙方提供项目协审所需资料，协调相关部门和单位配合评审工作，并及时解决乙方在协审过程中遇到的问题。</w:t>
      </w:r>
    </w:p>
    <w:p w14:paraId="6E3E6CBD">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16.有义务按框架协议约定向乙方支付服务费用。</w:t>
      </w:r>
    </w:p>
    <w:p w14:paraId="56279849">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17.如征集文件有要求需在框架协议中另行确定的事项，甲方有权按征集文件要求执行。</w:t>
      </w:r>
    </w:p>
    <w:p w14:paraId="5E6EACF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18.如采购项目涉及采购标的知识产权归属的，产权归属甲方。 </w:t>
      </w:r>
    </w:p>
    <w:p w14:paraId="653C0912">
      <w:pPr>
        <w:shd w:val="clea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19.采购人在中华人民共和国境内使用供应商提供的产品及服务时免受第三方提出的侵犯其专利权或其它知识产权的起诉。如第三方提出侵权指控，乙方应承担由此而引起的一切法律责任和费用。</w:t>
      </w:r>
    </w:p>
    <w:p w14:paraId="0269409E">
      <w:pPr>
        <w:shd w:val="clea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（二）乙方的权利和义务</w:t>
      </w:r>
    </w:p>
    <w:p w14:paraId="74DF42DF">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1.乙方应当遵守采购人按照本框架协议规定的成交供应商选定方式获得成交供应商资格。</w:t>
      </w:r>
    </w:p>
    <w:p w14:paraId="145784F1">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2.乙方应严格按照征集文件、响应文件、框架协议、采购合同和委托书的要求、承诺和约定，向甲方提供产品和服务，按时按质按量提交成果，保证甲方委托项目的评审质量和进度。</w:t>
      </w:r>
    </w:p>
    <w:p w14:paraId="659BECF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3.乙方及其投入人员在工作中应接受甲方的管理指导、质量和进度监督、考核评价及意见反馈等，严格履行服务承诺。</w:t>
      </w:r>
    </w:p>
    <w:p w14:paraId="3BB1C1AE">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4.乙方无正当理由，不得主动放弃入围资格或退出框架协议，否则甲方保留对乙方追究责任的权利。</w:t>
      </w:r>
    </w:p>
    <w:p w14:paraId="0EA29284">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5.乙方应按照征集文件要求提供需要核查的原件，如原件与响应文件中提供的不一致或虚假或未提供的，甲方有权取消乙方入围资格。</w:t>
      </w:r>
    </w:p>
    <w:p w14:paraId="16123BC8">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在框架协议有效期内，乙方管理及技术负责人、专业技术人员应与响应文件保持一致。未经甲方书面要求或同意，乙方管理及技术负责人、专业技术人员不得调整；乙方投入项目的协审人员，必须是响应文件中承诺的拟投入人员。如有变化，需取得甲方同意。</w:t>
      </w:r>
    </w:p>
    <w:p w14:paraId="365EF704">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7.必须严格满足响应文件中承诺的人员配置。如果必须补充或更换人员，必须补充或更换优于或等同于响应文件所承诺资质的人员，并需取得甲方书面同意。</w:t>
      </w:r>
    </w:p>
    <w:p w14:paraId="791529C3">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8.乙方应根据甲方提供的资料，依法依规、实事求是的开展协审工作并出具报告、资料及文件等服务成果。</w:t>
      </w:r>
    </w:p>
    <w:p w14:paraId="5201EF3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乙方根据本协议及采购合同约定向甲方提供报告、资料、文件等服务成果后，甲方即对上述成果及其内容享有充分、完整和排他的著作权和知识产权。未经甲方书面许可，乙方不得向任何第三方提供上述成果及其内容。</w:t>
      </w:r>
    </w:p>
    <w:p w14:paraId="3B395581">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10.乙方及其人员应履行保密义务。如乙方及其人员因违反本条约定给甲方造成损失的，乙方应承担相应的法律责任，并赔偿由此给甲方造成的一切损失。</w:t>
      </w:r>
    </w:p>
    <w:p w14:paraId="6AC2C5F0">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11.乙方应履行回避义务。乙方如果与所协审项目（或该项目的相关单位）存在利益关联或其他可能影响项目评审公正性的情形，应主动告知甲方并终止采购合同。乙方协审人员如果与所协审项目（或该项目的相关单位）存在利益关联或其他可能影响项目评审公正性的情形，应主动告知甲方并更换协审人员。</w:t>
      </w:r>
    </w:p>
    <w:p w14:paraId="7F3CB8C6">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12.有义务妥善保管甲方提供的资料，并在协审任务完成后完整交回甲方。</w:t>
      </w:r>
    </w:p>
    <w:p w14:paraId="2A186537">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13.甲方检查乙方办公场所及人员，约谈、询问乙方法人代表及相关负责人时，乙方有义务积极配合。</w:t>
      </w:r>
    </w:p>
    <w:p w14:paraId="448C5EA0">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14.有义务将本单位员工花名册（包括姓名、年龄、性别、职务、岗位、联系方式）及拟投入人员名单（含管理与技术负责人及各专业技术人员，名单需与响应文件的拟投入人员名单完全相同，并附上通讯方式及个人详细资料，包括身份证、学历、资格证明文件的复印件，原件备查）通过书面和电子文档形式报甲方登记备案，并向甲方及时上报合作过程中本单位拟投入人员的变动情况。</w:t>
      </w:r>
    </w:p>
    <w:p w14:paraId="31C46E58">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15.有权按照本协议约定收取服务费用。</w:t>
      </w:r>
    </w:p>
    <w:p w14:paraId="2912EA8B">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16.有权要求甲方提供项目协审所需资料，帮助协调相关部门和单位配合工作，并及时解决在协审服务中遇到的问题。</w:t>
      </w:r>
    </w:p>
    <w:p w14:paraId="409A2174">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17.有权解释说明初审结果误差≥3%的原因。</w:t>
      </w:r>
    </w:p>
    <w:p w14:paraId="58111CDB">
      <w:pPr>
        <w:shd w:val="clea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18.乙方应服从甲方对可能委托项目的指派及分配，并了解签订本框架协议后仅代表取得入围</w:t>
      </w:r>
      <w:r>
        <w:rPr>
          <w:rFonts w:hint="eastAsia" w:ascii="宋体" w:hAnsi="宋体"/>
          <w:color w:val="000000" w:themeColor="text1"/>
          <w:szCs w:val="21"/>
          <w:highlight w:val="none"/>
          <w:lang w:eastAsia="zh-CN"/>
          <w14:textFill>
            <w14:solidFill>
              <w14:schemeClr w14:val="tx1"/>
            </w14:solidFill>
          </w14:textFill>
        </w:rPr>
        <w:t>2025-2027年度上思县财政投资评审服务框架协议采购</w:t>
      </w:r>
      <w:r>
        <w:rPr>
          <w:rFonts w:hint="eastAsia" w:ascii="宋体" w:hAnsi="宋体"/>
          <w:bCs/>
          <w:color w:val="000000" w:themeColor="text1"/>
          <w:szCs w:val="21"/>
          <w:highlight w:val="none"/>
          <w14:textFill>
            <w14:solidFill>
              <w14:schemeClr w14:val="tx1"/>
            </w14:solidFill>
          </w14:textFill>
        </w:rPr>
        <w:t>协审服务资格，不等同于可确保直接承接相应数量的项目协审工作并获得相应项目的服务费用。</w:t>
      </w:r>
    </w:p>
    <w:p w14:paraId="53F41244">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十、用户反馈和评价机制</w:t>
      </w:r>
    </w:p>
    <w:p w14:paraId="0FFD3770">
      <w:pPr>
        <w:shd w:val="clea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本项目将建立用户反馈和评价机制。</w:t>
      </w:r>
    </w:p>
    <w:p w14:paraId="532D9454">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十一、入围供应商的清退和补充规则</w:t>
      </w:r>
    </w:p>
    <w:p w14:paraId="42FDE785">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1.乙方有下列情形之一，尚未签订框架协议的，取消其入围资格；已经签订框架协议的，解除与其签订的框架协议：</w:t>
      </w:r>
    </w:p>
    <w:p w14:paraId="059855F6">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（1）恶意串通谋取入围或者合同成交的；</w:t>
      </w:r>
    </w:p>
    <w:p w14:paraId="64461385">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（2）提供虚假材料谋取入围或者合同成交的；</w:t>
      </w:r>
    </w:p>
    <w:p w14:paraId="3B3BDD72">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（3）无正当理由拒不接受合同授予的；</w:t>
      </w:r>
    </w:p>
    <w:p w14:paraId="378AEB2F">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（4）不履行合同义务或者履行合同义务不符合约定，经采购人请求履行后仍不履行或者仍未按约定履行的；</w:t>
      </w:r>
    </w:p>
    <w:p w14:paraId="496B37CE">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（5）框架协议有效期内，因违法行为被禁止或限制参加政府采购活动的；</w:t>
      </w:r>
    </w:p>
    <w:p w14:paraId="0ABB55F9">
      <w:pPr>
        <w:shd w:val="clea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（6）供应商违反职业道德，有违规违纪问题的；</w:t>
      </w:r>
    </w:p>
    <w:p w14:paraId="2EDF7B1C">
      <w:pPr>
        <w:shd w:val="clea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（7）框架协议约定的其他情形。</w:t>
      </w:r>
    </w:p>
    <w:p w14:paraId="19BE5D76">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2.补充规则：框架协议有效期内，不再补充征集供应商。</w:t>
      </w:r>
    </w:p>
    <w:p w14:paraId="5F3A03D6">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十二、违约责任</w:t>
      </w:r>
    </w:p>
    <w:p w14:paraId="73A7A4C3">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107" w:name="_Hlk168776918"/>
      <w:r>
        <w:rPr>
          <w:rFonts w:hint="eastAsia" w:ascii="宋体" w:hAnsi="宋体" w:cs="宋体"/>
          <w:color w:val="000000" w:themeColor="text1"/>
          <w:szCs w:val="21"/>
          <w:highlight w:val="none"/>
          <w:lang w:bidi="ar"/>
          <w14:textFill>
            <w14:solidFill>
              <w14:schemeClr w14:val="tx1"/>
            </w14:solidFill>
          </w14:textFill>
        </w:rPr>
        <w:t>1.甲方违约，造成乙方损失的，应按《中华人民共和国民法典》有关规定承担责任。</w:t>
      </w:r>
    </w:p>
    <w:p w14:paraId="3743A71A">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2.乙方违约，造成甲方损失的，应按《中华人民共和国民法典》有关规定承担责任并赔偿损失。</w:t>
      </w:r>
    </w:p>
    <w:p w14:paraId="7E51CC91">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乙方有违法违规违纪问题或违反《协审单位廉洁从业承诺书》中有关廉洁从业规定时，甲方将实行一票否决，终止框架协议并追究乙方相关责任，三年内禁止乙方参与甲方组织的同类业务投标，同时对乙方进行通报，将乙方不良记录报送至行业主管部门。</w:t>
      </w:r>
    </w:p>
    <w:p w14:paraId="50718E96">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w:t>
      </w:r>
      <w:r>
        <w:rPr>
          <w:rFonts w:hint="eastAsia" w:cs="宋体"/>
          <w:color w:val="000000" w:themeColor="text1"/>
          <w:szCs w:val="21"/>
          <w:highlight w:val="none"/>
          <w:lang w:bidi="ar"/>
          <w14:textFill>
            <w14:solidFill>
              <w14:schemeClr w14:val="tx1"/>
            </w14:solidFill>
          </w14:textFill>
        </w:rPr>
        <w:t>如因乙方原因未能履行采购合同或未达到采购合同约定的要求，采购人有权书面督促乙方履行采购合同，乙方应在收到采购人书面通知之日起</w:t>
      </w:r>
      <w:r>
        <w:rPr>
          <w:color w:val="000000" w:themeColor="text1"/>
          <w:szCs w:val="21"/>
          <w:highlight w:val="none"/>
          <w:lang w:bidi="ar"/>
          <w14:textFill>
            <w14:solidFill>
              <w14:schemeClr w14:val="tx1"/>
            </w14:solidFill>
          </w14:textFill>
        </w:rPr>
        <w:t>5</w:t>
      </w:r>
      <w:r>
        <w:rPr>
          <w:rFonts w:hint="eastAsia" w:cs="宋体"/>
          <w:color w:val="000000" w:themeColor="text1"/>
          <w:szCs w:val="21"/>
          <w:highlight w:val="none"/>
          <w:lang w:bidi="ar"/>
          <w14:textFill>
            <w14:solidFill>
              <w14:schemeClr w14:val="tx1"/>
            </w14:solidFill>
          </w14:textFill>
        </w:rPr>
        <w:t>个工作日内给予书面答复并进行整改。如乙方在上述时间未答复，或无故拖延履行采购合同，或经整改后仍未达到采购人要求，采购人有权解除采购合同，且</w:t>
      </w:r>
      <w:r>
        <w:rPr>
          <w:rFonts w:hint="eastAsia" w:ascii="宋体" w:hAnsi="宋体" w:cs="宋体"/>
          <w:color w:val="000000" w:themeColor="text1"/>
          <w:szCs w:val="21"/>
          <w:highlight w:val="none"/>
          <w:lang w:bidi="ar"/>
          <w14:textFill>
            <w14:solidFill>
              <w14:schemeClr w14:val="tx1"/>
            </w14:solidFill>
          </w14:textFill>
        </w:rPr>
        <w:t>不支付给乙方任何服务费用</w:t>
      </w:r>
      <w:r>
        <w:rPr>
          <w:rFonts w:hint="eastAsia" w:cs="宋体"/>
          <w:color w:val="000000" w:themeColor="text1"/>
          <w:szCs w:val="21"/>
          <w:highlight w:val="none"/>
          <w:lang w:bidi="ar"/>
          <w14:textFill>
            <w14:solidFill>
              <w14:schemeClr w14:val="tx1"/>
            </w14:solidFill>
          </w14:textFill>
        </w:rPr>
        <w:t>。乙方被解除采购合同</w:t>
      </w:r>
      <w:r>
        <w:rPr>
          <w:rFonts w:hint="eastAsia" w:ascii="宋体" w:hAnsi="宋体" w:cs="宋体"/>
          <w:color w:val="000000" w:themeColor="text1"/>
          <w:szCs w:val="21"/>
          <w:highlight w:val="none"/>
          <w:lang w:bidi="ar"/>
          <w14:textFill>
            <w14:solidFill>
              <w14:schemeClr w14:val="tx1"/>
            </w14:solidFill>
          </w14:textFill>
        </w:rPr>
        <w:t>3</w:t>
      </w:r>
      <w:r>
        <w:rPr>
          <w:rFonts w:hint="eastAsia" w:cs="宋体"/>
          <w:color w:val="000000" w:themeColor="text1"/>
          <w:szCs w:val="21"/>
          <w:highlight w:val="none"/>
          <w:lang w:bidi="ar"/>
          <w14:textFill>
            <w14:solidFill>
              <w14:schemeClr w14:val="tx1"/>
            </w14:solidFill>
          </w14:textFill>
        </w:rPr>
        <w:t>次的，甲方终止框架协议。</w:t>
      </w:r>
    </w:p>
    <w:p w14:paraId="2B21355F">
      <w:pPr>
        <w:shd w:val="clea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5.开展项目协审服务时，</w:t>
      </w:r>
      <w:r>
        <w:rPr>
          <w:rFonts w:hint="eastAsia" w:cs="宋体"/>
          <w:color w:val="000000" w:themeColor="text1"/>
          <w:szCs w:val="21"/>
          <w:highlight w:val="none"/>
          <w:lang w:bidi="ar"/>
          <w14:textFill>
            <w14:solidFill>
              <w14:schemeClr w14:val="tx1"/>
            </w14:solidFill>
          </w14:textFill>
        </w:rPr>
        <w:t>乙方未得到采购人同意，擅自将《协审单位接审回执表》中投入项目的协审人员</w:t>
      </w:r>
      <w:r>
        <w:rPr>
          <w:rFonts w:hint="eastAsia" w:ascii="宋体" w:hAnsi="宋体" w:cs="宋体"/>
          <w:bCs/>
          <w:color w:val="000000" w:themeColor="text1"/>
          <w:szCs w:val="21"/>
          <w:highlight w:val="none"/>
          <w:lang w:bidi="ar"/>
          <w14:textFill>
            <w14:solidFill>
              <w14:schemeClr w14:val="tx1"/>
            </w14:solidFill>
          </w14:textFill>
        </w:rPr>
        <w:t>更换为其他人员，无论更换人员是否为响应文件中的拟投入人员</w:t>
      </w:r>
      <w:r>
        <w:rPr>
          <w:rFonts w:hint="eastAsia" w:cs="宋体"/>
          <w:color w:val="000000" w:themeColor="text1"/>
          <w:szCs w:val="21"/>
          <w:highlight w:val="none"/>
          <w:lang w:bidi="ar"/>
          <w14:textFill>
            <w14:solidFill>
              <w14:schemeClr w14:val="tx1"/>
            </w14:solidFill>
          </w14:textFill>
        </w:rPr>
        <w:t>，均属于乙方违约，采购人将对乙方处以违约金。更换人员是</w:t>
      </w:r>
      <w:r>
        <w:rPr>
          <w:rFonts w:hint="eastAsia" w:ascii="宋体" w:hAnsi="宋体" w:cs="宋体"/>
          <w:bCs/>
          <w:color w:val="000000" w:themeColor="text1"/>
          <w:szCs w:val="21"/>
          <w:highlight w:val="none"/>
          <w:lang w:bidi="ar"/>
          <w14:textFill>
            <w14:solidFill>
              <w14:schemeClr w14:val="tx1"/>
            </w14:solidFill>
          </w14:textFill>
        </w:rPr>
        <w:t>响应文件中其他拟投入人员的</w:t>
      </w:r>
      <w:r>
        <w:rPr>
          <w:rFonts w:hint="eastAsia" w:cs="宋体"/>
          <w:color w:val="000000" w:themeColor="text1"/>
          <w:szCs w:val="21"/>
          <w:highlight w:val="none"/>
          <w:lang w:bidi="ar"/>
          <w14:textFill>
            <w14:solidFill>
              <w14:schemeClr w14:val="tx1"/>
            </w14:solidFill>
          </w14:textFill>
        </w:rPr>
        <w:t>，处以违约金</w:t>
      </w:r>
      <w:r>
        <w:rPr>
          <w:rFonts w:hint="eastAsia" w:ascii="宋体" w:hAnsi="宋体" w:cs="宋体"/>
          <w:color w:val="000000" w:themeColor="text1"/>
          <w:szCs w:val="21"/>
          <w:highlight w:val="none"/>
          <w:lang w:bidi="ar"/>
          <w14:textFill>
            <w14:solidFill>
              <w14:schemeClr w14:val="tx1"/>
            </w14:solidFill>
          </w14:textFill>
        </w:rPr>
        <w:t>5000元/人</w:t>
      </w:r>
      <w:r>
        <w:rPr>
          <w:rFonts w:hint="eastAsia" w:cs="宋体"/>
          <w:color w:val="000000" w:themeColor="text1"/>
          <w:szCs w:val="21"/>
          <w:highlight w:val="none"/>
          <w:lang w:bidi="ar"/>
          <w14:textFill>
            <w14:solidFill>
              <w14:schemeClr w14:val="tx1"/>
            </w14:solidFill>
          </w14:textFill>
        </w:rPr>
        <w:t>；更换人员不是</w:t>
      </w:r>
      <w:r>
        <w:rPr>
          <w:rFonts w:hint="eastAsia" w:ascii="宋体" w:hAnsi="宋体" w:cs="宋体"/>
          <w:bCs/>
          <w:color w:val="000000" w:themeColor="text1"/>
          <w:szCs w:val="21"/>
          <w:highlight w:val="none"/>
          <w:lang w:bidi="ar"/>
          <w14:textFill>
            <w14:solidFill>
              <w14:schemeClr w14:val="tx1"/>
            </w14:solidFill>
          </w14:textFill>
        </w:rPr>
        <w:t>响应文件中拟投入人员的，</w:t>
      </w:r>
      <w:r>
        <w:rPr>
          <w:rFonts w:hint="eastAsia" w:cs="宋体"/>
          <w:color w:val="000000" w:themeColor="text1"/>
          <w:szCs w:val="21"/>
          <w:highlight w:val="none"/>
          <w:lang w:bidi="ar"/>
          <w14:textFill>
            <w14:solidFill>
              <w14:schemeClr w14:val="tx1"/>
            </w14:solidFill>
          </w14:textFill>
        </w:rPr>
        <w:t>处以违约金</w:t>
      </w:r>
      <w:r>
        <w:rPr>
          <w:rFonts w:hint="eastAsia" w:ascii="宋体" w:hAnsi="宋体" w:cs="宋体"/>
          <w:color w:val="000000" w:themeColor="text1"/>
          <w:szCs w:val="21"/>
          <w:highlight w:val="none"/>
          <w:lang w:bidi="ar"/>
          <w14:textFill>
            <w14:solidFill>
              <w14:schemeClr w14:val="tx1"/>
            </w14:solidFill>
          </w14:textFill>
        </w:rPr>
        <w:t>10000元/人。乙方违约3次的，</w:t>
      </w:r>
      <w:r>
        <w:rPr>
          <w:rFonts w:hint="eastAsia" w:cs="宋体"/>
          <w:color w:val="000000" w:themeColor="text1"/>
          <w:szCs w:val="21"/>
          <w:highlight w:val="none"/>
          <w:lang w:bidi="ar"/>
          <w14:textFill>
            <w14:solidFill>
              <w14:schemeClr w14:val="tx1"/>
            </w14:solidFill>
          </w14:textFill>
        </w:rPr>
        <w:t>甲方终止框架协议。</w:t>
      </w:r>
    </w:p>
    <w:p w14:paraId="5406915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6.甲方检查发现乙方委派的管理及技术负责人和专业技术人员与响应文件承诺的人员不一致，</w:t>
      </w:r>
      <w:r>
        <w:rPr>
          <w:rFonts w:hint="eastAsia" w:ascii="宋体" w:hAnsi="宋体" w:cs="宋体"/>
          <w:bCs/>
          <w:color w:val="000000" w:themeColor="text1"/>
          <w:szCs w:val="21"/>
          <w:highlight w:val="none"/>
          <w:lang w:bidi="ar"/>
          <w14:textFill>
            <w14:solidFill>
              <w14:schemeClr w14:val="tx1"/>
            </w14:solidFill>
          </w14:textFill>
        </w:rPr>
        <w:t>变更（或减少）人员比例≥30%或变更（或减少）人员人次≥3或变更人员的</w:t>
      </w:r>
      <w:r>
        <w:rPr>
          <w:rFonts w:hint="eastAsia" w:ascii="宋体" w:hAnsi="宋体" w:cs="宋体"/>
          <w:color w:val="000000" w:themeColor="text1"/>
          <w:szCs w:val="21"/>
          <w:highlight w:val="none"/>
          <w:lang w:bidi="ar"/>
          <w14:textFill>
            <w14:solidFill>
              <w14:schemeClr w14:val="tx1"/>
            </w14:solidFill>
          </w14:textFill>
        </w:rPr>
        <w:t>职称、资格证书低于该岗位拟投入人员</w:t>
      </w:r>
      <w:r>
        <w:rPr>
          <w:rFonts w:hint="eastAsia" w:ascii="宋体" w:hAnsi="宋体" w:cs="宋体"/>
          <w:bCs/>
          <w:color w:val="000000" w:themeColor="text1"/>
          <w:szCs w:val="21"/>
          <w:highlight w:val="none"/>
          <w:lang w:bidi="ar"/>
          <w14:textFill>
            <w14:solidFill>
              <w14:schemeClr w14:val="tx1"/>
            </w14:solidFill>
          </w14:textFill>
        </w:rPr>
        <w:t>的</w:t>
      </w:r>
      <w:r>
        <w:rPr>
          <w:rFonts w:hint="eastAsia" w:ascii="宋体" w:hAnsi="宋体" w:cs="宋体"/>
          <w:color w:val="000000" w:themeColor="text1"/>
          <w:szCs w:val="21"/>
          <w:highlight w:val="none"/>
          <w:lang w:bidi="ar"/>
          <w14:textFill>
            <w14:solidFill>
              <w14:schemeClr w14:val="tx1"/>
            </w14:solidFill>
          </w14:textFill>
        </w:rPr>
        <w:t>，暂停委托乙方协审任务，直至乙方完成整改并经甲方认可。发现3次的，</w:t>
      </w:r>
      <w:r>
        <w:rPr>
          <w:rFonts w:hint="eastAsia" w:cs="宋体"/>
          <w:color w:val="000000" w:themeColor="text1"/>
          <w:szCs w:val="21"/>
          <w:highlight w:val="none"/>
          <w:lang w:bidi="ar"/>
          <w14:textFill>
            <w14:solidFill>
              <w14:schemeClr w14:val="tx1"/>
            </w14:solidFill>
          </w14:textFill>
        </w:rPr>
        <w:t>甲方</w:t>
      </w:r>
      <w:r>
        <w:rPr>
          <w:rFonts w:hint="eastAsia" w:ascii="宋体" w:hAnsi="宋体" w:cs="宋体"/>
          <w:color w:val="000000" w:themeColor="text1"/>
          <w:szCs w:val="21"/>
          <w:highlight w:val="none"/>
          <w:lang w:bidi="ar"/>
          <w14:textFill>
            <w14:solidFill>
              <w14:schemeClr w14:val="tx1"/>
            </w14:solidFill>
          </w14:textFill>
        </w:rPr>
        <w:t>终止框架协议。</w:t>
      </w:r>
    </w:p>
    <w:p w14:paraId="49C8490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7.乙方应在采购合同规定时间内完成项目协审任务，如乙方无正当理由逾期交回初审结果，属于乙方违约，</w:t>
      </w:r>
      <w:r>
        <w:rPr>
          <w:rFonts w:hint="eastAsia" w:cs="宋体"/>
          <w:color w:val="000000" w:themeColor="text1"/>
          <w:szCs w:val="21"/>
          <w:highlight w:val="none"/>
          <w:lang w:bidi="ar"/>
          <w14:textFill>
            <w14:solidFill>
              <w14:schemeClr w14:val="tx1"/>
            </w14:solidFill>
          </w14:textFill>
        </w:rPr>
        <w:t>采购人将对乙方处以违约金</w:t>
      </w:r>
      <w:r>
        <w:rPr>
          <w:rFonts w:hint="eastAsia" w:ascii="宋体" w:hAnsi="宋体" w:cs="宋体"/>
          <w:color w:val="000000" w:themeColor="text1"/>
          <w:szCs w:val="21"/>
          <w:highlight w:val="none"/>
          <w:lang w:bidi="ar"/>
          <w14:textFill>
            <w14:solidFill>
              <w14:schemeClr w14:val="tx1"/>
            </w14:solidFill>
          </w14:textFill>
        </w:rPr>
        <w:t>1000元/天，上限为10000元。第1次违约，甲方暂停委托项目1次；第2次违约，甲方暂停委托项目2次；第3次违约，</w:t>
      </w:r>
      <w:r>
        <w:rPr>
          <w:rFonts w:hint="eastAsia" w:cs="宋体"/>
          <w:color w:val="000000" w:themeColor="text1"/>
          <w:szCs w:val="21"/>
          <w:highlight w:val="none"/>
          <w:lang w:bidi="ar"/>
          <w14:textFill>
            <w14:solidFill>
              <w14:schemeClr w14:val="tx1"/>
            </w14:solidFill>
          </w14:textFill>
        </w:rPr>
        <w:t>甲方终止框架协议。</w:t>
      </w:r>
    </w:p>
    <w:p w14:paraId="215B510E">
      <w:pPr>
        <w:shd w:val="clea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8.采购人对乙方提交的初审结果进行复审，复审审定结果属于乙方质量原因造成的误差（绝对值累计，正负误差不抵消）≥3%时，采购人对乙方处以违约金10000元/次</w:t>
      </w:r>
      <w:r>
        <w:rPr>
          <w:rFonts w:hint="eastAsia" w:cs="宋体"/>
          <w:color w:val="000000" w:themeColor="text1"/>
          <w:szCs w:val="21"/>
          <w:highlight w:val="none"/>
          <w:lang w:bidi="ar"/>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第1次违约，甲方暂停委托项目1次；第2次违约，甲方暂停委托项目2次；第3次违约，</w:t>
      </w:r>
      <w:r>
        <w:rPr>
          <w:rFonts w:hint="eastAsia" w:cs="宋体"/>
          <w:color w:val="000000" w:themeColor="text1"/>
          <w:szCs w:val="21"/>
          <w:highlight w:val="none"/>
          <w:lang w:bidi="ar"/>
          <w14:textFill>
            <w14:solidFill>
              <w14:schemeClr w14:val="tx1"/>
            </w14:solidFill>
          </w14:textFill>
        </w:rPr>
        <w:t>甲方终止框架协议。</w:t>
      </w:r>
    </w:p>
    <w:p w14:paraId="394C8C51">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9.如乙方不接受采购人委托，应在2个工作日内向采购人书面说明不接受委托的原因，否则甲方暂停委托乙方协审任务，直到乙方提交书面说明。如乙方出现2次不接受采购人委托的，甲方终止框架协议。</w:t>
      </w:r>
    </w:p>
    <w:p w14:paraId="004DF82A">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10.乙方损坏或丢失采购人提供的审核资料或擅自接收项目相关单位补充资料的，乙方应承担由此造成的全部经济和法律责任。出现第1次，采购人对乙方处以违约金10000元；出现第2次，采购人解除采购合同且不支付给乙方任何服务费用，同时甲方有权不再委托乙方协审任务或终止框架协议。</w:t>
      </w:r>
    </w:p>
    <w:p w14:paraId="476BAEEA">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11.如乙方在未出具任何审核结论的情况下，因自身原因中途将委托项目退回给采购人的，出现第1次，采购合同解除，采购人不支付给乙方任何服务费用；出现第2次，甲方有权不再委托乙方协审任务或终止框架协议。</w:t>
      </w:r>
    </w:p>
    <w:p w14:paraId="3A532974">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12.乙方将采购人安排的协审项目转交第三方的，出现第1次，采购合同解除，采购人不支付给乙方任何服务费用；出现第2次，甲方有权不再委托乙方协审任务或终止框架协议。</w:t>
      </w:r>
    </w:p>
    <w:p w14:paraId="4330E39F">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13.乙方拒绝甲方约谈、询问的，甲方将通知采购人暂停委托乙方协审任务，直至乙方相关人员接受甲方约谈、询问为止。</w:t>
      </w:r>
    </w:p>
    <w:p w14:paraId="7CB63137">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14.</w:t>
      </w:r>
      <w:r>
        <w:rPr>
          <w:rFonts w:hint="eastAsia" w:cs="宋体"/>
          <w:color w:val="000000" w:themeColor="text1"/>
          <w:szCs w:val="21"/>
          <w:highlight w:val="none"/>
          <w:lang w:bidi="ar"/>
          <w14:textFill>
            <w14:solidFill>
              <w14:schemeClr w14:val="tx1"/>
            </w14:solidFill>
          </w14:textFill>
        </w:rPr>
        <w:t>乙方提供的服务如侵犯了第三方合法权益而引发的任何纠纷或诉讼，均由乙方负责交涉并承担全部责任。</w:t>
      </w:r>
    </w:p>
    <w:p w14:paraId="3369B565">
      <w:pPr>
        <w:widowControl/>
        <w:shd w:val="clear"/>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bidi="ar"/>
          <w14:textFill>
            <w14:solidFill>
              <w14:schemeClr w14:val="tx1"/>
            </w14:solidFill>
          </w14:textFill>
        </w:rPr>
        <w:t xml:space="preserve">    15.对于乙方的违约行为，甲方认为有必要的，可以给予乙方通报处理，并将乙方不良记录报送至行业主管部门。</w:t>
      </w:r>
      <w:bookmarkEnd w:id="107"/>
    </w:p>
    <w:p w14:paraId="67EAFF48">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十三、不可抗力事件处理</w:t>
      </w:r>
    </w:p>
    <w:p w14:paraId="62B17F2A">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1.不可抗力事件发生后，应立即通知对方，并附送有关权威机构出具的证明。</w:t>
      </w:r>
    </w:p>
    <w:p w14:paraId="66E4C789">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2.不可抗力事件延续120天以上，双方应通过友好协商，确定是否继续履行框架协议。</w:t>
      </w:r>
    </w:p>
    <w:p w14:paraId="78F94FB6">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十四、诉讼</w:t>
      </w:r>
    </w:p>
    <w:p w14:paraId="4B23391E">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双方在执行框架协议中所发生的一切争议，应通过协商解决。如协商不成，双方可就争议共同提请自治区或</w:t>
      </w:r>
      <w:r>
        <w:rPr>
          <w:rFonts w:hint="eastAsia" w:ascii="宋体" w:hAnsi="宋体" w:cs="宋体"/>
          <w:color w:val="000000" w:themeColor="text1"/>
          <w:szCs w:val="21"/>
          <w:highlight w:val="none"/>
          <w:lang w:eastAsia="zh-CN"/>
          <w14:textFill>
            <w14:solidFill>
              <w14:schemeClr w14:val="tx1"/>
            </w14:solidFill>
          </w14:textFill>
        </w:rPr>
        <w:t>防城港</w:t>
      </w:r>
      <w:r>
        <w:rPr>
          <w:rFonts w:hint="eastAsia" w:ascii="宋体" w:hAnsi="宋体" w:cs="宋体"/>
          <w:color w:val="000000" w:themeColor="text1"/>
          <w:szCs w:val="21"/>
          <w:highlight w:val="none"/>
          <w14:textFill>
            <w14:solidFill>
              <w14:schemeClr w14:val="tx1"/>
            </w14:solidFill>
          </w14:textFill>
        </w:rPr>
        <w:t>市工程造价管理机构进行裁定，也可向框架协议签订地法院起诉，框架协议签订地在此约定为</w:t>
      </w:r>
      <w:r>
        <w:rPr>
          <w:rFonts w:hint="eastAsia" w:ascii="宋体" w:hAnsi="宋体" w:cs="宋体"/>
          <w:color w:val="000000" w:themeColor="text1"/>
          <w:szCs w:val="21"/>
          <w:highlight w:val="none"/>
          <w:lang w:val="en-US" w:eastAsia="zh-CN"/>
          <w14:textFill>
            <w14:solidFill>
              <w14:schemeClr w14:val="tx1"/>
            </w14:solidFill>
          </w14:textFill>
        </w:rPr>
        <w:t>上思县</w:t>
      </w:r>
      <w:r>
        <w:rPr>
          <w:rFonts w:hint="eastAsia" w:ascii="宋体" w:hAnsi="宋体" w:cs="宋体"/>
          <w:color w:val="000000" w:themeColor="text1"/>
          <w:szCs w:val="21"/>
          <w:highlight w:val="none"/>
          <w14:textFill>
            <w14:solidFill>
              <w14:schemeClr w14:val="tx1"/>
            </w14:solidFill>
          </w14:textFill>
        </w:rPr>
        <w:t>。</w:t>
      </w:r>
    </w:p>
    <w:p w14:paraId="65078505">
      <w:pPr>
        <w:shd w:val="clea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十五、框架协议生效及其它</w:t>
      </w:r>
    </w:p>
    <w:p w14:paraId="46715E88">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1.框架协议经双方法定代表人或授权委托代理人签字并加盖单位公章后生效。</w:t>
      </w:r>
    </w:p>
    <w:p w14:paraId="47DE3D25">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2.框架协议执行中，如需修改或补充框架协议内容，由双方协商另签署书面修改或补充协议作为主框架协议不可分割的一部分。</w:t>
      </w:r>
    </w:p>
    <w:p w14:paraId="00B2C92D">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当事人一方要求变更或解除框架协议时，应当在变更或解除框架协议前5个工作日通知对方，因变更或解除框架协议使一方遭受损失的，除依法可以免除的责任外，应由责任方负责赔偿。变更或解除框架协议的通知或协议必须采取书面形式，协议未达成之前，原框架协议仍然有效。</w:t>
      </w:r>
    </w:p>
    <w:p w14:paraId="27128ECB">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4.下述框架协议附件为本框架协议不可分割的部分并与本框架协议具有同等效力：</w:t>
      </w:r>
    </w:p>
    <w:p w14:paraId="0CCC1ACA">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（1）成交通知书</w:t>
      </w:r>
    </w:p>
    <w:p w14:paraId="408D652A">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（2）征集文件服务需求一览表</w:t>
      </w:r>
    </w:p>
    <w:p w14:paraId="6B5A50F9">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（3）征集文件的澄清和修改（如有请提供）</w:t>
      </w:r>
    </w:p>
    <w:p w14:paraId="0A2B201F">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（4）响应函</w:t>
      </w:r>
    </w:p>
    <w:p w14:paraId="48640209">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（5）开标一览表</w:t>
      </w:r>
    </w:p>
    <w:p w14:paraId="4815078E">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（6）响应服务技术偏离表</w:t>
      </w:r>
    </w:p>
    <w:p w14:paraId="1A8D5BBD">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（7）商务条款偏离表</w:t>
      </w:r>
    </w:p>
    <w:p w14:paraId="35593A39">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（8）响应文件</w:t>
      </w:r>
    </w:p>
    <w:p w14:paraId="180591B3">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（9）成交供应商澄清函（如有请提供）</w:t>
      </w:r>
    </w:p>
    <w:p w14:paraId="70CE6121">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（10）其他与本框架协议相关的资料（如有请提供）</w:t>
      </w:r>
    </w:p>
    <w:p w14:paraId="755AA249">
      <w:pPr>
        <w:shd w:val="clear"/>
        <w:spacing w:line="36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5.本框架协议未尽事宜，遵照《中华人民共和国民法典》有关条文执行。</w:t>
      </w:r>
    </w:p>
    <w:p w14:paraId="3E669237">
      <w:pPr>
        <w:pStyle w:val="26"/>
        <w:shd w:val="clear"/>
        <w:spacing w:line="360" w:lineRule="auto"/>
        <w:ind w:firstLine="420" w:firstLineChars="200"/>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6.本合同正本一式两份，具有同等法律效力，甲乙双方各执一份；副本两份，采购代理机构存副本一份，并报</w:t>
      </w:r>
      <w:r>
        <w:rPr>
          <w:rFonts w:hint="eastAsia" w:hAnsi="宋体" w:cs="宋体"/>
          <w:color w:val="000000" w:themeColor="text1"/>
          <w:sz w:val="21"/>
          <w:szCs w:val="22"/>
          <w:highlight w:val="none"/>
          <w:lang w:val="en-US" w:eastAsia="zh-CN"/>
          <w14:textFill>
            <w14:solidFill>
              <w14:schemeClr w14:val="tx1"/>
            </w14:solidFill>
          </w14:textFill>
        </w:rPr>
        <w:t>上思县</w:t>
      </w:r>
      <w:r>
        <w:rPr>
          <w:rFonts w:hint="eastAsia" w:hAnsi="宋体" w:cs="宋体"/>
          <w:color w:val="000000" w:themeColor="text1"/>
          <w:sz w:val="21"/>
          <w:szCs w:val="22"/>
          <w:highlight w:val="none"/>
          <w14:textFill>
            <w14:solidFill>
              <w14:schemeClr w14:val="tx1"/>
            </w14:solidFill>
          </w14:textFill>
        </w:rPr>
        <w:t>政府采购监督管理部门备案副本一份。</w:t>
      </w:r>
    </w:p>
    <w:p w14:paraId="50CE9B26">
      <w:pPr>
        <w:shd w:val="clear"/>
        <w:spacing w:line="360" w:lineRule="auto"/>
        <w:ind w:firstLine="440" w:firstLineChars="200"/>
        <w:rPr>
          <w:rFonts w:ascii="宋体" w:hAnsi="宋体" w:cs="宋体"/>
          <w:color w:val="000000" w:themeColor="text1"/>
          <w:sz w:val="22"/>
          <w:szCs w:val="22"/>
          <w:highlight w:val="none"/>
          <w14:textFill>
            <w14:solidFill>
              <w14:schemeClr w14:val="tx1"/>
            </w14:solidFill>
          </w14:textFill>
        </w:rPr>
      </w:pPr>
    </w:p>
    <w:p w14:paraId="69F1053F">
      <w:pPr>
        <w:pStyle w:val="26"/>
        <w:shd w:val="clear"/>
        <w:spacing w:line="360" w:lineRule="auto"/>
        <w:rPr>
          <w:rFonts w:hAnsi="宋体" w:cs="宋体"/>
          <w:color w:val="000000" w:themeColor="text1"/>
          <w:sz w:val="21"/>
          <w:szCs w:val="22"/>
          <w:highlight w:val="none"/>
          <w14:textFill>
            <w14:solidFill>
              <w14:schemeClr w14:val="tx1"/>
            </w14:solidFill>
          </w14:textFill>
        </w:rPr>
      </w:pPr>
    </w:p>
    <w:p w14:paraId="57EEEE20">
      <w:pPr>
        <w:shd w:val="clear"/>
        <w:rPr>
          <w:color w:val="000000" w:themeColor="text1"/>
          <w:sz w:val="22"/>
          <w:szCs w:val="28"/>
          <w:highlight w:val="none"/>
          <w14:textFill>
            <w14:solidFill>
              <w14:schemeClr w14:val="tx1"/>
            </w14:solidFill>
          </w14:textFill>
        </w:rPr>
      </w:pPr>
    </w:p>
    <w:p w14:paraId="3CB88864">
      <w:pPr>
        <w:pStyle w:val="26"/>
        <w:shd w:val="clear"/>
        <w:spacing w:line="360" w:lineRule="auto"/>
        <w:rPr>
          <w:rFonts w:hAnsi="宋体" w:cs="宋体"/>
          <w:color w:val="000000" w:themeColor="text1"/>
          <w:sz w:val="21"/>
          <w:szCs w:val="22"/>
          <w:highlight w:val="none"/>
          <w14:textFill>
            <w14:solidFill>
              <w14:schemeClr w14:val="tx1"/>
            </w14:solidFill>
          </w14:textFill>
        </w:rPr>
      </w:pPr>
    </w:p>
    <w:p w14:paraId="5306EC16">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甲方：</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u w:val="single"/>
          <w:lang w:eastAsia="zh-CN"/>
          <w14:textFill>
            <w14:solidFill>
              <w14:schemeClr w14:val="tx1"/>
            </w14:solidFill>
          </w14:textFill>
        </w:rPr>
        <w:t>上思县财政局</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乙方：</w:t>
      </w:r>
      <w:r>
        <w:rPr>
          <w:rFonts w:hint="eastAsia" w:hAnsi="宋体" w:cs="宋体"/>
          <w:color w:val="000000" w:themeColor="text1"/>
          <w:sz w:val="21"/>
          <w:szCs w:val="22"/>
          <w:highlight w:val="none"/>
          <w:u w:val="single"/>
          <w14:textFill>
            <w14:solidFill>
              <w14:schemeClr w14:val="tx1"/>
            </w14:solidFill>
          </w14:textFill>
        </w:rPr>
        <w:t xml:space="preserve">                                    </w:t>
      </w:r>
    </w:p>
    <w:p w14:paraId="357E5D33">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地址：</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地址：</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w:t>
      </w:r>
    </w:p>
    <w:p w14:paraId="189E486E">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法定代表人：</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法定代表人：</w:t>
      </w:r>
      <w:r>
        <w:rPr>
          <w:rFonts w:hint="eastAsia" w:hAnsi="宋体" w:cs="宋体"/>
          <w:color w:val="000000" w:themeColor="text1"/>
          <w:sz w:val="21"/>
          <w:szCs w:val="22"/>
          <w:highlight w:val="none"/>
          <w:u w:val="single"/>
          <w14:textFill>
            <w14:solidFill>
              <w14:schemeClr w14:val="tx1"/>
            </w14:solidFill>
          </w14:textFill>
        </w:rPr>
        <w:t xml:space="preserve">                              </w:t>
      </w:r>
    </w:p>
    <w:p w14:paraId="5D6C4F90">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委托代理人：</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委托代理人：</w:t>
      </w:r>
      <w:r>
        <w:rPr>
          <w:rFonts w:hint="eastAsia" w:hAnsi="宋体" w:cs="宋体"/>
          <w:color w:val="000000" w:themeColor="text1"/>
          <w:sz w:val="21"/>
          <w:szCs w:val="22"/>
          <w:highlight w:val="none"/>
          <w:u w:val="single"/>
          <w14:textFill>
            <w14:solidFill>
              <w14:schemeClr w14:val="tx1"/>
            </w14:solidFill>
          </w14:textFill>
        </w:rPr>
        <w:t xml:space="preserve">                              </w:t>
      </w:r>
    </w:p>
    <w:p w14:paraId="65A2AE26">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电话：</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电话：</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w:t>
      </w:r>
    </w:p>
    <w:p w14:paraId="3546B35C">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传真：</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传真：</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w:t>
      </w:r>
    </w:p>
    <w:p w14:paraId="633731FE">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邮政编码：</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u w:val="single"/>
          <w:lang w:eastAsia="zh-CN"/>
          <w14:textFill>
            <w14:solidFill>
              <w14:schemeClr w14:val="tx1"/>
            </w14:solidFill>
          </w14:textFill>
        </w:rPr>
        <w:t xml:space="preserve">      </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邮政编码：</w:t>
      </w:r>
      <w:r>
        <w:rPr>
          <w:rFonts w:hint="eastAsia" w:hAnsi="宋体" w:cs="宋体"/>
          <w:color w:val="000000" w:themeColor="text1"/>
          <w:sz w:val="21"/>
          <w:szCs w:val="22"/>
          <w:highlight w:val="none"/>
          <w:u w:val="single"/>
          <w14:textFill>
            <w14:solidFill>
              <w14:schemeClr w14:val="tx1"/>
            </w14:solidFill>
          </w14:textFill>
        </w:rPr>
        <w:t xml:space="preserve">                                </w:t>
      </w:r>
    </w:p>
    <w:p w14:paraId="47CA7673">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 xml:space="preserve">                                              开户银行：</w:t>
      </w:r>
      <w:r>
        <w:rPr>
          <w:rFonts w:hint="eastAsia" w:hAnsi="宋体" w:cs="宋体"/>
          <w:color w:val="000000" w:themeColor="text1"/>
          <w:sz w:val="21"/>
          <w:szCs w:val="22"/>
          <w:highlight w:val="none"/>
          <w:u w:val="single"/>
          <w14:textFill>
            <w14:solidFill>
              <w14:schemeClr w14:val="tx1"/>
            </w14:solidFill>
          </w14:textFill>
        </w:rPr>
        <w:t xml:space="preserve">                                </w:t>
      </w:r>
    </w:p>
    <w:p w14:paraId="75C27775">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 xml:space="preserve">                                              开户名称：</w:t>
      </w:r>
      <w:r>
        <w:rPr>
          <w:rFonts w:hint="eastAsia" w:hAnsi="宋体" w:cs="宋体"/>
          <w:color w:val="000000" w:themeColor="text1"/>
          <w:sz w:val="21"/>
          <w:szCs w:val="22"/>
          <w:highlight w:val="none"/>
          <w:u w:val="single"/>
          <w14:textFill>
            <w14:solidFill>
              <w14:schemeClr w14:val="tx1"/>
            </w14:solidFill>
          </w14:textFill>
        </w:rPr>
        <w:t xml:space="preserve">                                </w:t>
      </w:r>
    </w:p>
    <w:p w14:paraId="4D096A20">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 xml:space="preserve">                                              银行账号：</w:t>
      </w:r>
      <w:r>
        <w:rPr>
          <w:rFonts w:hint="eastAsia" w:hAnsi="宋体" w:cs="宋体"/>
          <w:color w:val="000000" w:themeColor="text1"/>
          <w:sz w:val="21"/>
          <w:szCs w:val="22"/>
          <w:highlight w:val="none"/>
          <w:u w:val="single"/>
          <w14:textFill>
            <w14:solidFill>
              <w14:schemeClr w14:val="tx1"/>
            </w14:solidFill>
          </w14:textFill>
        </w:rPr>
        <w:t xml:space="preserve">                                </w:t>
      </w:r>
    </w:p>
    <w:p w14:paraId="1F0C8434">
      <w:pPr>
        <w:pStyle w:val="26"/>
        <w:shd w:val="clear"/>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合同签订日期：</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年</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月</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日             合同签订地点：</w:t>
      </w:r>
      <w:r>
        <w:rPr>
          <w:rFonts w:hint="eastAsia" w:hAnsi="宋体" w:cs="宋体"/>
          <w:color w:val="000000" w:themeColor="text1"/>
          <w:sz w:val="21"/>
          <w:szCs w:val="22"/>
          <w:highlight w:val="none"/>
          <w:lang w:eastAsia="zh-CN"/>
          <w14:textFill>
            <w14:solidFill>
              <w14:schemeClr w14:val="tx1"/>
            </w14:solidFill>
          </w14:textFill>
        </w:rPr>
        <w:t>广西上思县</w:t>
      </w:r>
      <w:r>
        <w:rPr>
          <w:rFonts w:hint="eastAsia" w:hAnsi="宋体" w:cs="宋体"/>
          <w:color w:val="000000" w:themeColor="text1"/>
          <w:sz w:val="21"/>
          <w:szCs w:val="22"/>
          <w:highlight w:val="none"/>
          <w14:textFill>
            <w14:solidFill>
              <w14:schemeClr w14:val="tx1"/>
            </w14:solidFill>
          </w14:textFill>
        </w:rPr>
        <w:t xml:space="preserve">             </w:t>
      </w:r>
    </w:p>
    <w:p w14:paraId="3EB107B0">
      <w:pPr>
        <w:shd w:val="clear"/>
        <w:spacing w:line="360" w:lineRule="auto"/>
        <w:rPr>
          <w:rFonts w:ascii="宋体" w:hAnsi="宋体"/>
          <w:color w:val="000000" w:themeColor="text1"/>
          <w:highlight w:val="none"/>
          <w14:textFill>
            <w14:solidFill>
              <w14:schemeClr w14:val="tx1"/>
            </w14:solidFill>
          </w14:textFill>
        </w:rPr>
      </w:pPr>
    </w:p>
    <w:p w14:paraId="71397CB9">
      <w:pPr>
        <w:shd w:val="clear"/>
        <w:spacing w:line="360" w:lineRule="auto"/>
        <w:rPr>
          <w:rFonts w:ascii="宋体" w:hAnsi="宋体"/>
          <w:color w:val="000000" w:themeColor="text1"/>
          <w:highlight w:val="none"/>
          <w14:textFill>
            <w14:solidFill>
              <w14:schemeClr w14:val="tx1"/>
            </w14:solidFill>
          </w14:textFill>
        </w:rPr>
      </w:pPr>
    </w:p>
    <w:p w14:paraId="7C11C261">
      <w:pPr>
        <w:shd w:val="clear"/>
        <w:spacing w:line="360" w:lineRule="auto"/>
        <w:rPr>
          <w:rFonts w:ascii="宋体" w:hAnsi="宋体" w:cs="宋体"/>
          <w:b/>
          <w:color w:val="000000" w:themeColor="text1"/>
          <w:kern w:val="0"/>
          <w:sz w:val="24"/>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附件：</w:t>
      </w:r>
      <w:r>
        <w:rPr>
          <w:rFonts w:hint="eastAsia" w:ascii="宋体" w:hAnsi="宋体" w:cs="宋体"/>
          <w:b/>
          <w:color w:val="000000" w:themeColor="text1"/>
          <w:kern w:val="0"/>
          <w:sz w:val="24"/>
          <w:highlight w:val="none"/>
          <w14:textFill>
            <w14:solidFill>
              <w14:schemeClr w14:val="tx1"/>
            </w14:solidFill>
          </w14:textFill>
        </w:rPr>
        <w:t>社会中介机构廉洁从业承诺书（略，同上）</w:t>
      </w:r>
    </w:p>
    <w:p w14:paraId="13876CFD">
      <w:pPr>
        <w:shd w:val="clear"/>
        <w:spacing w:line="360" w:lineRule="auto"/>
        <w:jc w:val="center"/>
        <w:rPr>
          <w:rFonts w:ascii="宋体" w:hAnsi="宋体" w:cs="宋体"/>
          <w:color w:val="000000" w:themeColor="text1"/>
          <w:highlight w:val="none"/>
          <w14:textFill>
            <w14:solidFill>
              <w14:schemeClr w14:val="tx1"/>
            </w14:solidFill>
          </w14:textFill>
        </w:rPr>
      </w:pPr>
    </w:p>
    <w:p w14:paraId="376F2914">
      <w:pPr>
        <w:shd w:val="clear"/>
        <w:spacing w:line="360" w:lineRule="auto"/>
        <w:jc w:val="center"/>
        <w:rPr>
          <w:rFonts w:ascii="宋体" w:hAnsi="宋体" w:cs="宋体"/>
          <w:b/>
          <w:bCs/>
          <w:color w:val="000000" w:themeColor="text1"/>
          <w:sz w:val="52"/>
          <w:highlight w:val="none"/>
          <w14:textFill>
            <w14:solidFill>
              <w14:schemeClr w14:val="tx1"/>
            </w14:solidFill>
          </w14:textFill>
        </w:rPr>
      </w:pPr>
      <w:r>
        <w:rPr>
          <w:rFonts w:hint="eastAsia" w:ascii="宋体" w:hAnsi="宋体" w:cs="宋体"/>
          <w:b/>
          <w:bCs/>
          <w:color w:val="000000" w:themeColor="text1"/>
          <w:sz w:val="52"/>
          <w:highlight w:val="none"/>
          <w14:textFill>
            <w14:solidFill>
              <w14:schemeClr w14:val="tx1"/>
            </w14:solidFill>
          </w14:textFill>
        </w:rPr>
        <w:br w:type="page"/>
      </w:r>
    </w:p>
    <w:p w14:paraId="0AD8A218">
      <w:pPr>
        <w:shd w:val="clear"/>
        <w:spacing w:line="360" w:lineRule="auto"/>
        <w:jc w:val="center"/>
        <w:rPr>
          <w:rFonts w:ascii="宋体" w:hAnsi="宋体" w:cs="宋体"/>
          <w:b/>
          <w:bCs/>
          <w:color w:val="000000" w:themeColor="text1"/>
          <w:sz w:val="52"/>
          <w:highlight w:val="none"/>
          <w14:textFill>
            <w14:solidFill>
              <w14:schemeClr w14:val="tx1"/>
            </w14:solidFill>
          </w14:textFill>
        </w:rPr>
      </w:pPr>
    </w:p>
    <w:p w14:paraId="64EF8106">
      <w:pPr>
        <w:shd w:val="clear"/>
        <w:spacing w:line="360" w:lineRule="auto"/>
        <w:jc w:val="center"/>
        <w:rPr>
          <w:rFonts w:ascii="宋体" w:hAnsi="宋体" w:cs="宋体"/>
          <w:b/>
          <w:bCs/>
          <w:color w:val="000000" w:themeColor="text1"/>
          <w:sz w:val="52"/>
          <w:highlight w:val="none"/>
          <w14:textFill>
            <w14:solidFill>
              <w14:schemeClr w14:val="tx1"/>
            </w14:solidFill>
          </w14:textFill>
        </w:rPr>
      </w:pPr>
    </w:p>
    <w:p w14:paraId="7EAED003">
      <w:pPr>
        <w:shd w:val="clear"/>
        <w:spacing w:line="360" w:lineRule="auto"/>
        <w:jc w:val="center"/>
        <w:rPr>
          <w:rFonts w:ascii="宋体" w:hAnsi="宋体" w:cs="宋体"/>
          <w:b/>
          <w:bCs/>
          <w:color w:val="000000" w:themeColor="text1"/>
          <w:sz w:val="52"/>
          <w:highlight w:val="none"/>
          <w14:textFill>
            <w14:solidFill>
              <w14:schemeClr w14:val="tx1"/>
            </w14:solidFill>
          </w14:textFill>
        </w:rPr>
      </w:pPr>
    </w:p>
    <w:p w14:paraId="22FFFF14">
      <w:pPr>
        <w:shd w:val="clear"/>
        <w:spacing w:line="360" w:lineRule="auto"/>
        <w:jc w:val="center"/>
        <w:rPr>
          <w:rFonts w:ascii="宋体" w:hAnsi="宋体" w:cs="宋体"/>
          <w:b/>
          <w:bCs/>
          <w:color w:val="000000" w:themeColor="text1"/>
          <w:sz w:val="52"/>
          <w:highlight w:val="none"/>
          <w14:textFill>
            <w14:solidFill>
              <w14:schemeClr w14:val="tx1"/>
            </w14:solidFill>
          </w14:textFill>
        </w:rPr>
      </w:pPr>
    </w:p>
    <w:p w14:paraId="6C550FA3">
      <w:pPr>
        <w:shd w:val="clear"/>
        <w:spacing w:line="360" w:lineRule="auto"/>
        <w:jc w:val="center"/>
        <w:rPr>
          <w:rFonts w:ascii="宋体" w:hAnsi="宋体" w:cs="宋体"/>
          <w:b/>
          <w:bCs/>
          <w:color w:val="000000" w:themeColor="text1"/>
          <w:sz w:val="52"/>
          <w:highlight w:val="none"/>
          <w14:textFill>
            <w14:solidFill>
              <w14:schemeClr w14:val="tx1"/>
            </w14:solidFill>
          </w14:textFill>
        </w:rPr>
      </w:pPr>
    </w:p>
    <w:p w14:paraId="5BF203E1">
      <w:pPr>
        <w:shd w:val="clear"/>
        <w:autoSpaceDE w:val="0"/>
        <w:autoSpaceDN w:val="0"/>
        <w:adjustRightInd w:val="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52"/>
          <w:highlight w:val="none"/>
          <w14:textFill>
            <w14:solidFill>
              <w14:schemeClr w14:val="tx1"/>
            </w14:solidFill>
          </w14:textFill>
        </w:rPr>
        <w:t>第二节   采购合同文本</w:t>
      </w:r>
      <w:r>
        <w:rPr>
          <w:rFonts w:hint="eastAsia" w:ascii="宋体" w:hAnsi="宋体" w:cs="宋体"/>
          <w:b/>
          <w:bCs/>
          <w:color w:val="000000" w:themeColor="text1"/>
          <w:sz w:val="52"/>
          <w:highlight w:val="none"/>
          <w14:textFill>
            <w14:solidFill>
              <w14:schemeClr w14:val="tx1"/>
            </w14:solidFill>
          </w14:textFill>
        </w:rPr>
        <w:br w:type="page"/>
      </w:r>
      <w:r>
        <w:rPr>
          <w:rFonts w:hint="eastAsia" w:ascii="宋体" w:hAnsi="宋体" w:cs="宋体"/>
          <w:color w:val="000000" w:themeColor="text1"/>
          <w:kern w:val="0"/>
          <w:sz w:val="28"/>
          <w:szCs w:val="28"/>
          <w:highlight w:val="none"/>
          <w14:textFill>
            <w14:solidFill>
              <w14:schemeClr w14:val="tx1"/>
            </w14:solidFill>
          </w14:textFill>
        </w:rPr>
        <w:t>合同编号：</w:t>
      </w:r>
    </w:p>
    <w:p w14:paraId="4BC4B489">
      <w:pPr>
        <w:shd w:val="clear"/>
        <w:autoSpaceDE w:val="0"/>
        <w:autoSpaceDN w:val="0"/>
        <w:adjustRightInd w:val="0"/>
        <w:jc w:val="left"/>
        <w:rPr>
          <w:rFonts w:ascii="宋体" w:hAnsi="宋体" w:cs="宋体"/>
          <w:color w:val="000000" w:themeColor="text1"/>
          <w:kern w:val="0"/>
          <w:sz w:val="28"/>
          <w:szCs w:val="28"/>
          <w:highlight w:val="none"/>
          <w14:textFill>
            <w14:solidFill>
              <w14:schemeClr w14:val="tx1"/>
            </w14:solidFill>
          </w14:textFill>
        </w:rPr>
      </w:pPr>
    </w:p>
    <w:p w14:paraId="441DDE52">
      <w:pPr>
        <w:shd w:val="clear"/>
        <w:autoSpaceDE w:val="0"/>
        <w:autoSpaceDN w:val="0"/>
        <w:adjustRightInd w:val="0"/>
        <w:jc w:val="center"/>
        <w:rPr>
          <w:rFonts w:ascii="宋体" w:hAnsi="宋体" w:cs="宋体"/>
          <w:color w:val="000000" w:themeColor="text1"/>
          <w:kern w:val="0"/>
          <w:sz w:val="44"/>
          <w:szCs w:val="44"/>
          <w:highlight w:val="none"/>
          <w14:textFill>
            <w14:solidFill>
              <w14:schemeClr w14:val="tx1"/>
            </w14:solidFill>
          </w14:textFill>
        </w:rPr>
      </w:pPr>
      <w:r>
        <w:rPr>
          <w:rFonts w:hint="eastAsia" w:ascii="宋体" w:hAnsi="宋体" w:cs="宋体"/>
          <w:color w:val="000000" w:themeColor="text1"/>
          <w:kern w:val="0"/>
          <w:sz w:val="44"/>
          <w:szCs w:val="44"/>
          <w:highlight w:val="none"/>
          <w14:textFill>
            <w14:solidFill>
              <w14:schemeClr w14:val="tx1"/>
            </w14:solidFill>
          </w14:textFill>
        </w:rPr>
        <w:t>采 购 合 同（01分标格式）</w:t>
      </w:r>
    </w:p>
    <w:p w14:paraId="5CEDDB54">
      <w:pPr>
        <w:shd w:val="clear"/>
        <w:autoSpaceDE w:val="0"/>
        <w:autoSpaceDN w:val="0"/>
        <w:adjustRightInd w:val="0"/>
        <w:jc w:val="left"/>
        <w:rPr>
          <w:rFonts w:ascii="宋体" w:hAnsi="宋体" w:cs="宋体"/>
          <w:color w:val="000000" w:themeColor="text1"/>
          <w:kern w:val="0"/>
          <w:sz w:val="28"/>
          <w:szCs w:val="28"/>
          <w:highlight w:val="none"/>
          <w14:textFill>
            <w14:solidFill>
              <w14:schemeClr w14:val="tx1"/>
            </w14:solidFill>
          </w14:textFill>
        </w:rPr>
      </w:pPr>
    </w:p>
    <w:p w14:paraId="36CC6E0B">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采购人（甲方）：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14:paraId="59FE6289">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成交供应商（乙方）：</w:t>
      </w:r>
      <w:r>
        <w:rPr>
          <w:rFonts w:hint="eastAsia" w:ascii="宋体" w:hAnsi="宋体" w:cs="宋体"/>
          <w:color w:val="000000" w:themeColor="text1"/>
          <w:szCs w:val="21"/>
          <w:highlight w:val="none"/>
          <w:u w:val="single"/>
          <w14:textFill>
            <w14:solidFill>
              <w14:schemeClr w14:val="tx1"/>
            </w14:solidFill>
          </w14:textFill>
        </w:rPr>
        <w:t xml:space="preserve">                                </w:t>
      </w:r>
    </w:p>
    <w:p w14:paraId="72C6D5F3">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2E8CB834">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根据《中华人民共和国民法典》、《中华人民共和国政府采购法》、《政府采购框架协议采购方式管理暂行办法》、《</w:t>
      </w:r>
      <w:r>
        <w:rPr>
          <w:rFonts w:hint="eastAsia" w:ascii="宋体" w:hAnsi="宋体" w:cs="宋体"/>
          <w:color w:val="000000" w:themeColor="text1"/>
          <w:szCs w:val="21"/>
          <w:highlight w:val="none"/>
          <w:lang w:eastAsia="zh-CN"/>
          <w14:textFill>
            <w14:solidFill>
              <w14:schemeClr w14:val="tx1"/>
            </w14:solidFill>
          </w14:textFill>
        </w:rPr>
        <w:t>2025-2027年度上思县财政投资评审服务框架协议采购</w:t>
      </w:r>
      <w:r>
        <w:rPr>
          <w:rFonts w:hint="eastAsia" w:ascii="宋体" w:hAnsi="宋体" w:cs="宋体"/>
          <w:color w:val="000000" w:themeColor="text1"/>
          <w:szCs w:val="21"/>
          <w:highlight w:val="none"/>
          <w14:textFill>
            <w14:solidFill>
              <w14:schemeClr w14:val="tx1"/>
            </w14:solidFill>
          </w14:textFill>
        </w:rPr>
        <w:t>》及其他有关法律、法规和规章的规定，遵循平等、自愿、公平和诚实信用原则，双方协商一致，订立本合同。</w:t>
      </w:r>
    </w:p>
    <w:p w14:paraId="63DCE302">
      <w:pPr>
        <w:shd w:val="clea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一、合同内容</w:t>
      </w:r>
    </w:p>
    <w:p w14:paraId="026B4F57">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甲方委托乙方进行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协审服务工作。</w:t>
      </w:r>
    </w:p>
    <w:p w14:paraId="17738433">
      <w:pPr>
        <w:shd w:val="clea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二、合同时间</w:t>
      </w:r>
    </w:p>
    <w:p w14:paraId="3D615E9F">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日，其中初稿提交时间：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日，最终成果提交时间：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日。如遇到非乙方原因影响协审工作进度的，乙方应及时向甲方报告，经核实后，评审时间相应顺延。</w:t>
      </w:r>
    </w:p>
    <w:p w14:paraId="258EDB9F">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三、服务要求</w:t>
      </w:r>
    </w:p>
    <w:p w14:paraId="2E3DD6F1">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（1）严格遵守国家的法律、法规和有关规章制度，严格遵守执业行为准则和职业道德，按现行财政投资项目评审操作规程、质量控制办法等规定的执行。</w:t>
      </w:r>
    </w:p>
    <w:p w14:paraId="6F1C9853">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（2）严格按照现行的工程造价管理办法、工程造价协审规范及标准等文件要求进行评审工作，按照相关依据发表专业意见和出具成果文件，并对成果的真实性、完整性、准确性负责。</w:t>
      </w:r>
    </w:p>
    <w:p w14:paraId="15D96A78">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（3）严格遵守项目评审时限要求，合理安排人员在规定时间内完成项目协审工作，向采购人提交合同规定质量和数量的成果文件及电子文档。</w:t>
      </w:r>
    </w:p>
    <w:p w14:paraId="53007BCA">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（4）协审人员在项目评审工程中，应恪守客观公正、实事求是的原则，确保评审工作的真实完整和准确，保证评审质量。</w:t>
      </w:r>
    </w:p>
    <w:p w14:paraId="159A4C00">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评审报告及评审文书编制标准：评审内容完整、数据准确、依据充分，评审结论定性客观、定量准确、依据充分，核增核减原因定性准确、条理清晰，披露评审问题有理有据、分析透彻，提出评审建议措施具体、针对性强。</w:t>
      </w:r>
    </w:p>
    <w:p w14:paraId="1715D6FC">
      <w:pPr>
        <w:shd w:val="clear"/>
        <w:spacing w:line="360" w:lineRule="auto"/>
        <w:ind w:firstLine="422" w:firstLineChars="200"/>
        <w:rPr>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四、协审服务费</w:t>
      </w:r>
    </w:p>
    <w:p w14:paraId="4DAEC06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（一）工程概（预）算、工程量清单和招标控制价评审服务费计取如下：</w:t>
      </w:r>
    </w:p>
    <w:p w14:paraId="1C53307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1.评审服务费=基本费或效益费（二者选高值）</w:t>
      </w:r>
    </w:p>
    <w:p w14:paraId="5C67298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2.基本费、效益费的计算</w:t>
      </w:r>
    </w:p>
    <w:p w14:paraId="342BC97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（1）基本费按经财政部门确认的审定造价实行分段累进计算，基本费=∑（工程项目审定造价（不含暂列金额）×基本费费率×难度系数）：</w:t>
      </w:r>
    </w:p>
    <w:tbl>
      <w:tblPr>
        <w:tblStyle w:val="4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606"/>
        <w:gridCol w:w="3240"/>
        <w:gridCol w:w="1472"/>
      </w:tblGrid>
      <w:tr w14:paraId="5E1D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center"/>
        </w:trPr>
        <w:tc>
          <w:tcPr>
            <w:tcW w:w="3606" w:type="dxa"/>
            <w:noWrap w:val="0"/>
            <w:vAlign w:val="center"/>
          </w:tcPr>
          <w:p w14:paraId="2BE35179">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审定单项造价M（万元）</w:t>
            </w:r>
          </w:p>
        </w:tc>
        <w:tc>
          <w:tcPr>
            <w:tcW w:w="3240" w:type="dxa"/>
            <w:noWrap w:val="0"/>
            <w:vAlign w:val="center"/>
          </w:tcPr>
          <w:p w14:paraId="5C761E60">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评审服务费计费标准（费率）‰</w:t>
            </w:r>
          </w:p>
        </w:tc>
        <w:tc>
          <w:tcPr>
            <w:tcW w:w="1472" w:type="dxa"/>
            <w:noWrap w:val="0"/>
            <w:vAlign w:val="center"/>
          </w:tcPr>
          <w:p w14:paraId="05D9892A">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备注</w:t>
            </w:r>
          </w:p>
        </w:tc>
      </w:tr>
      <w:tr w14:paraId="6233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5B4002EF">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w:t>
            </w:r>
          </w:p>
        </w:tc>
        <w:tc>
          <w:tcPr>
            <w:tcW w:w="3240" w:type="dxa"/>
            <w:noWrap w:val="0"/>
            <w:vAlign w:val="center"/>
          </w:tcPr>
          <w:p w14:paraId="7945C355">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1.461</w:t>
            </w:r>
          </w:p>
        </w:tc>
        <w:tc>
          <w:tcPr>
            <w:tcW w:w="1472" w:type="dxa"/>
            <w:vMerge w:val="restart"/>
            <w:noWrap w:val="0"/>
            <w:vAlign w:val="center"/>
          </w:tcPr>
          <w:p w14:paraId="5C3CF95D">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按照分段差额累进法计算</w:t>
            </w:r>
          </w:p>
        </w:tc>
      </w:tr>
      <w:tr w14:paraId="446B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686CDE39">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00&lt;M≤</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000</w:t>
            </w:r>
          </w:p>
        </w:tc>
        <w:tc>
          <w:tcPr>
            <w:tcW w:w="3240" w:type="dxa"/>
            <w:noWrap w:val="0"/>
            <w:vAlign w:val="center"/>
          </w:tcPr>
          <w:p w14:paraId="4A836436">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1.</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00</w:t>
            </w:r>
          </w:p>
        </w:tc>
        <w:tc>
          <w:tcPr>
            <w:tcW w:w="1472" w:type="dxa"/>
            <w:vMerge w:val="continue"/>
            <w:noWrap w:val="0"/>
            <w:vAlign w:val="center"/>
          </w:tcPr>
          <w:p w14:paraId="08ADDA7D">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3883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1EE69664">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000&lt;M≤</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w:t>
            </w:r>
          </w:p>
        </w:tc>
        <w:tc>
          <w:tcPr>
            <w:tcW w:w="3240" w:type="dxa"/>
            <w:noWrap w:val="0"/>
            <w:vAlign w:val="center"/>
          </w:tcPr>
          <w:p w14:paraId="2E3B9458">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0.89</w:t>
            </w:r>
          </w:p>
        </w:tc>
        <w:tc>
          <w:tcPr>
            <w:tcW w:w="1472" w:type="dxa"/>
            <w:vMerge w:val="continue"/>
            <w:noWrap w:val="0"/>
            <w:vAlign w:val="center"/>
          </w:tcPr>
          <w:p w14:paraId="0C39472B">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736C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38F17E73">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000&lt;M≤10000</w:t>
            </w:r>
          </w:p>
        </w:tc>
        <w:tc>
          <w:tcPr>
            <w:tcW w:w="3240" w:type="dxa"/>
            <w:noWrap w:val="0"/>
            <w:vAlign w:val="center"/>
          </w:tcPr>
          <w:p w14:paraId="1DCEE4A7">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0.6</w:t>
            </w:r>
          </w:p>
        </w:tc>
        <w:tc>
          <w:tcPr>
            <w:tcW w:w="1472" w:type="dxa"/>
            <w:vMerge w:val="continue"/>
            <w:noWrap w:val="0"/>
            <w:vAlign w:val="center"/>
          </w:tcPr>
          <w:p w14:paraId="4B6C468A">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26A9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5B7AB7CB">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10000&lt;M≤30000</w:t>
            </w:r>
          </w:p>
        </w:tc>
        <w:tc>
          <w:tcPr>
            <w:tcW w:w="3240" w:type="dxa"/>
            <w:noWrap w:val="0"/>
            <w:vAlign w:val="center"/>
          </w:tcPr>
          <w:p w14:paraId="7A82A234">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385</w:t>
            </w:r>
          </w:p>
        </w:tc>
        <w:tc>
          <w:tcPr>
            <w:tcW w:w="1472" w:type="dxa"/>
            <w:vMerge w:val="continue"/>
            <w:noWrap w:val="0"/>
            <w:vAlign w:val="center"/>
          </w:tcPr>
          <w:p w14:paraId="02D8BCCF">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387C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6" w:hRule="atLeast"/>
          <w:jc w:val="center"/>
        </w:trPr>
        <w:tc>
          <w:tcPr>
            <w:tcW w:w="3606" w:type="dxa"/>
            <w:noWrap w:val="0"/>
            <w:vAlign w:val="center"/>
          </w:tcPr>
          <w:p w14:paraId="03A21F04">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30000&lt;M</w:t>
            </w:r>
          </w:p>
        </w:tc>
        <w:tc>
          <w:tcPr>
            <w:tcW w:w="3240" w:type="dxa"/>
            <w:noWrap w:val="0"/>
            <w:vAlign w:val="center"/>
          </w:tcPr>
          <w:p w14:paraId="5B10EFA3">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171</w:t>
            </w:r>
          </w:p>
        </w:tc>
        <w:tc>
          <w:tcPr>
            <w:tcW w:w="1472" w:type="dxa"/>
            <w:vMerge w:val="continue"/>
            <w:noWrap w:val="0"/>
            <w:vAlign w:val="center"/>
          </w:tcPr>
          <w:p w14:paraId="2F336EB9">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bl>
    <w:p w14:paraId="4AE7109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（2）效益费按经财政部门确认的净核减值实行分段累进计算，效益费=∑（净核减值×效益费费率×难度系数），净核减值（不含暂列金额、暂估价部分的核减），具体如下：</w:t>
      </w:r>
    </w:p>
    <w:tbl>
      <w:tblPr>
        <w:tblStyle w:val="49"/>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204"/>
        <w:gridCol w:w="2792"/>
        <w:gridCol w:w="1479"/>
      </w:tblGrid>
      <w:tr w14:paraId="126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24" w:type="dxa"/>
            <w:noWrap w:val="0"/>
            <w:vAlign w:val="center"/>
          </w:tcPr>
          <w:p w14:paraId="0A88D5C3">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序号</w:t>
            </w:r>
          </w:p>
        </w:tc>
        <w:tc>
          <w:tcPr>
            <w:tcW w:w="3204" w:type="dxa"/>
            <w:noWrap w:val="0"/>
            <w:vAlign w:val="center"/>
          </w:tcPr>
          <w:p w14:paraId="55CB8D5C">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净核减值</w:t>
            </w:r>
          </w:p>
        </w:tc>
        <w:tc>
          <w:tcPr>
            <w:tcW w:w="2792" w:type="dxa"/>
            <w:noWrap w:val="0"/>
            <w:vAlign w:val="center"/>
          </w:tcPr>
          <w:p w14:paraId="479C3E06">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效益费率</w:t>
            </w:r>
          </w:p>
        </w:tc>
        <w:tc>
          <w:tcPr>
            <w:tcW w:w="1479" w:type="dxa"/>
            <w:noWrap w:val="0"/>
            <w:vAlign w:val="center"/>
          </w:tcPr>
          <w:p w14:paraId="28E7481A">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备注</w:t>
            </w:r>
          </w:p>
        </w:tc>
      </w:tr>
      <w:tr w14:paraId="22BE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7BFED996">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w:t>
            </w:r>
          </w:p>
        </w:tc>
        <w:tc>
          <w:tcPr>
            <w:tcW w:w="3204" w:type="dxa"/>
            <w:noWrap w:val="0"/>
            <w:vAlign w:val="center"/>
          </w:tcPr>
          <w:p w14:paraId="2286D3F0">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净核减值≤100万元</w:t>
            </w:r>
          </w:p>
        </w:tc>
        <w:tc>
          <w:tcPr>
            <w:tcW w:w="2792" w:type="dxa"/>
            <w:noWrap w:val="0"/>
            <w:vAlign w:val="center"/>
          </w:tcPr>
          <w:p w14:paraId="6C538C6F">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3%</w:t>
            </w:r>
          </w:p>
        </w:tc>
        <w:tc>
          <w:tcPr>
            <w:tcW w:w="1479" w:type="dxa"/>
            <w:vMerge w:val="restart"/>
            <w:noWrap w:val="0"/>
            <w:vAlign w:val="center"/>
          </w:tcPr>
          <w:p w14:paraId="74CBBBFB">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按照分段差额累进法计算</w:t>
            </w:r>
          </w:p>
        </w:tc>
      </w:tr>
      <w:tr w14:paraId="1B5C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755F743B">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w:t>
            </w:r>
          </w:p>
        </w:tc>
        <w:tc>
          <w:tcPr>
            <w:tcW w:w="3204" w:type="dxa"/>
            <w:noWrap w:val="0"/>
            <w:vAlign w:val="center"/>
          </w:tcPr>
          <w:p w14:paraId="5785DE1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100万元&lt;净核减值≤300万元</w:t>
            </w:r>
          </w:p>
        </w:tc>
        <w:tc>
          <w:tcPr>
            <w:tcW w:w="2792" w:type="dxa"/>
            <w:noWrap w:val="0"/>
            <w:vAlign w:val="center"/>
          </w:tcPr>
          <w:p w14:paraId="2ED2577B">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p>
        </w:tc>
        <w:tc>
          <w:tcPr>
            <w:tcW w:w="1479" w:type="dxa"/>
            <w:vMerge w:val="continue"/>
            <w:noWrap w:val="0"/>
            <w:vAlign w:val="center"/>
          </w:tcPr>
          <w:p w14:paraId="2BBCFEB6">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379E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082568B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3</w:t>
            </w:r>
          </w:p>
        </w:tc>
        <w:tc>
          <w:tcPr>
            <w:tcW w:w="3204" w:type="dxa"/>
            <w:noWrap w:val="0"/>
            <w:vAlign w:val="center"/>
          </w:tcPr>
          <w:p w14:paraId="7CB1FA41">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300万元&lt;净核减值≤500万元</w:t>
            </w:r>
          </w:p>
        </w:tc>
        <w:tc>
          <w:tcPr>
            <w:tcW w:w="2792" w:type="dxa"/>
            <w:noWrap w:val="0"/>
            <w:vAlign w:val="center"/>
          </w:tcPr>
          <w:p w14:paraId="3D778F3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2.64%</w:t>
            </w:r>
          </w:p>
        </w:tc>
        <w:tc>
          <w:tcPr>
            <w:tcW w:w="1479" w:type="dxa"/>
            <w:vMerge w:val="continue"/>
            <w:noWrap w:val="0"/>
            <w:vAlign w:val="center"/>
          </w:tcPr>
          <w:p w14:paraId="30AEE8A6">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6655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4DDE2CC2">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4</w:t>
            </w:r>
          </w:p>
        </w:tc>
        <w:tc>
          <w:tcPr>
            <w:tcW w:w="3204" w:type="dxa"/>
            <w:noWrap w:val="0"/>
            <w:vAlign w:val="center"/>
          </w:tcPr>
          <w:p w14:paraId="42495E7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500万元&lt;净核减值≤1000万元</w:t>
            </w:r>
          </w:p>
        </w:tc>
        <w:tc>
          <w:tcPr>
            <w:tcW w:w="2792" w:type="dxa"/>
            <w:noWrap w:val="0"/>
            <w:vAlign w:val="center"/>
          </w:tcPr>
          <w:p w14:paraId="329BC98C">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2.18%</w:t>
            </w:r>
          </w:p>
        </w:tc>
        <w:tc>
          <w:tcPr>
            <w:tcW w:w="1479" w:type="dxa"/>
            <w:vMerge w:val="continue"/>
            <w:noWrap w:val="0"/>
            <w:vAlign w:val="center"/>
          </w:tcPr>
          <w:p w14:paraId="71B653FB">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2A27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24" w:type="dxa"/>
            <w:noWrap w:val="0"/>
            <w:vAlign w:val="center"/>
          </w:tcPr>
          <w:p w14:paraId="0AF5BAC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5</w:t>
            </w:r>
          </w:p>
        </w:tc>
        <w:tc>
          <w:tcPr>
            <w:tcW w:w="3204" w:type="dxa"/>
            <w:noWrap w:val="0"/>
            <w:vAlign w:val="center"/>
          </w:tcPr>
          <w:p w14:paraId="1A7471FE">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1000万元&lt;净核减值≤1500万元</w:t>
            </w:r>
          </w:p>
        </w:tc>
        <w:tc>
          <w:tcPr>
            <w:tcW w:w="2792" w:type="dxa"/>
            <w:noWrap w:val="0"/>
            <w:vAlign w:val="center"/>
          </w:tcPr>
          <w:p w14:paraId="21A6117D">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1.66%</w:t>
            </w:r>
          </w:p>
        </w:tc>
        <w:tc>
          <w:tcPr>
            <w:tcW w:w="1479" w:type="dxa"/>
            <w:vMerge w:val="continue"/>
            <w:noWrap w:val="0"/>
            <w:vAlign w:val="center"/>
          </w:tcPr>
          <w:p w14:paraId="5AA4C0E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5AF1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4" w:type="dxa"/>
            <w:noWrap w:val="0"/>
            <w:vAlign w:val="center"/>
          </w:tcPr>
          <w:p w14:paraId="7AE2DF86">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6</w:t>
            </w:r>
          </w:p>
        </w:tc>
        <w:tc>
          <w:tcPr>
            <w:tcW w:w="3204" w:type="dxa"/>
            <w:noWrap w:val="0"/>
            <w:vAlign w:val="center"/>
          </w:tcPr>
          <w:p w14:paraId="3BC0FA01">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1500万元&lt;净核减值</w:t>
            </w:r>
          </w:p>
        </w:tc>
        <w:tc>
          <w:tcPr>
            <w:tcW w:w="2792" w:type="dxa"/>
            <w:noWrap w:val="0"/>
            <w:vAlign w:val="center"/>
          </w:tcPr>
          <w:p w14:paraId="0A981EA5">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0.</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415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p>
        </w:tc>
        <w:tc>
          <w:tcPr>
            <w:tcW w:w="1479" w:type="dxa"/>
            <w:vMerge w:val="continue"/>
            <w:noWrap w:val="0"/>
            <w:vAlign w:val="center"/>
          </w:tcPr>
          <w:p w14:paraId="55D8EE98">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bl>
    <w:p w14:paraId="2FE2E36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p>
    <w:p w14:paraId="76B178A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（二）评审服务费上限额：单个项目评审服务费不得超过50万元。评审服务费少于2000元的，按2000元计。</w:t>
      </w:r>
    </w:p>
    <w:p w14:paraId="07099B8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（三）难度系数</w:t>
      </w:r>
    </w:p>
    <w:p w14:paraId="0C17BFA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1.水利、市政道路、给排水、公路及土地整理项目、园林绿化工程，难度系数0.8；桥梁和房建项目，难度系数为1.2；土石方工程项目，难度系数为0.6；信息化项目的难度系数为0.9；其余类型项目的难度系数为1.0；</w:t>
      </w:r>
    </w:p>
    <w:p w14:paraId="67497E1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2.需要到项目地调查的，难度系数为1.1（此项付费最高不超过3000元）。</w:t>
      </w:r>
    </w:p>
    <w:p w14:paraId="18E6A9C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3.难度系数在安排评审任务时由双方确定。</w:t>
      </w:r>
    </w:p>
    <w:p w14:paraId="6A1BC97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（四）土石方开挖、运输、回填、弃置等因套用定额与市场价调整的均不属于付费内容。</w:t>
      </w:r>
    </w:p>
    <w:p w14:paraId="0335DBB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（五）送审的工程因漏项、错项或未按规范性文件准确计价计量等因素导致每一单位工程造价核增20万元以上的，在计算评审结论的核减金额时，上述因素造成的核增金额不冲减核减金额。</w:t>
      </w:r>
    </w:p>
    <w:p w14:paraId="750D6DC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六）送审与审定所采用的材料价格信息不一致，导致审定造价与送审造价偏差大，差额超过50万元或超过审定造价的±5%以上的，计算评审服务费时，项目的净核减额应扣除该部分核增（减）额后计算评审服务费。</w:t>
      </w:r>
    </w:p>
    <w:p w14:paraId="7BA4C9E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（七）征集人明确不属于供应商审核范围（内容）的事项，不计入工程净核减额。</w:t>
      </w:r>
    </w:p>
    <w:p w14:paraId="6302AAE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（八）因非入围供应商原因需中止项目审核工作的，采购人视入围供应商完成工作量情况来计算评审服务费：</w:t>
      </w:r>
    </w:p>
    <w:p w14:paraId="5813618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1.已完成征集人委托项目初审工作的，按评审基本费30%计算；</w:t>
      </w:r>
    </w:p>
    <w:p w14:paraId="67F47B14">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2.已完成征集人委托项目初审及对数工作的，按评审基本费50%计算。</w:t>
      </w:r>
    </w:p>
    <w:p w14:paraId="427A3C1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3.在合同期内该项目由原供应商再次审核的，支付的评审服务费应扣除原已支付部分。</w:t>
      </w:r>
    </w:p>
    <w:p w14:paraId="1FA9DF1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（九）因供应商自身原因中途将委托项目退回给征集人的，征集人不支付任何评审费用,且征集人有权不再委托项目或单方面终止该项目合同。</w:t>
      </w:r>
    </w:p>
    <w:p w14:paraId="5095B86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十）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单方面终止合同。</w:t>
      </w:r>
    </w:p>
    <w:p w14:paraId="10FF63F6">
      <w:pPr>
        <w:shd w:val="clear"/>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十一</w:t>
      </w:r>
      <w:r>
        <w:rPr>
          <w:rFonts w:hint="eastAsia" w:ascii="宋体" w:hAnsi="宋体" w:cs="宋体"/>
          <w:color w:val="000000" w:themeColor="text1"/>
          <w:szCs w:val="21"/>
          <w:highlight w:val="none"/>
          <w14:textFill>
            <w14:solidFill>
              <w14:schemeClr w14:val="tx1"/>
            </w14:solidFill>
          </w14:textFill>
        </w:rPr>
        <w:t xml:space="preserve">）乙方的响应报价已包括了实施和完成协审工作所需的劳务费、技术服务费、交通、通讯、办公场地、管理费、税费和利润等费用和政策性文件规定及合同包含的所有风险、责任等各项应有的费用，除非上述费用在合同中另有说明，合同期内，费率不再调整。 </w:t>
      </w:r>
      <w:r>
        <w:rPr>
          <w:rFonts w:hint="eastAsia" w:ascii="宋体" w:hAnsi="宋体" w:cs="宋体"/>
          <w:b/>
          <w:bCs/>
          <w:color w:val="000000" w:themeColor="text1"/>
          <w:szCs w:val="21"/>
          <w:highlight w:val="none"/>
          <w14:textFill>
            <w14:solidFill>
              <w14:schemeClr w14:val="tx1"/>
            </w14:solidFill>
          </w14:textFill>
        </w:rPr>
        <w:t xml:space="preserve">   </w:t>
      </w:r>
    </w:p>
    <w:p w14:paraId="1ADF65AB">
      <w:pPr>
        <w:shd w:val="clea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五、服务费的结算与支付方式</w:t>
      </w:r>
    </w:p>
    <w:p w14:paraId="7AB5C6E4">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1.协审服务费按以下情况分别处理：</w:t>
      </w:r>
    </w:p>
    <w:p w14:paraId="4DE352BE">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（1）按本合同第四条计费规定计算相应协审服务费；</w:t>
      </w:r>
    </w:p>
    <w:p w14:paraId="26905A16">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（2）如按上述计费规定计算相应工作协审服务费少于2000元的，按2000元计。</w:t>
      </w:r>
    </w:p>
    <w:p w14:paraId="33C148B0">
      <w:pPr>
        <w:shd w:val="clea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2.协审服务费按“谁委托，谁付费”的原则。支付方式：</w:t>
      </w:r>
      <w:r>
        <w:rPr>
          <w:rFonts w:hint="eastAsia" w:ascii="宋体" w:hAnsi="宋体" w:cs="宋体"/>
          <w:color w:val="000000" w:themeColor="text1"/>
          <w:szCs w:val="21"/>
          <w:highlight w:val="none"/>
          <w:u w:val="single"/>
          <w14:textFill>
            <w14:solidFill>
              <w14:schemeClr w14:val="tx1"/>
            </w14:solidFill>
          </w14:textFill>
        </w:rPr>
        <w:t xml:space="preserve">                     。</w:t>
      </w:r>
    </w:p>
    <w:p w14:paraId="0A7EEF48">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3.因乙方原因中途中止协审服务工作的，由甲方与乙方协商，按实际完成的比例计取协审服务费；因乙方原因导致协审服务工作中止的，不计取协审服务费。</w:t>
      </w:r>
    </w:p>
    <w:p w14:paraId="34F249B0">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4.合同履行期间，如乙方存在违法行为，在政府采购监督管理部门调查或被行政处罚期间，甲方可视情况中止合同，并通知采购人延期支付服务费。</w:t>
      </w:r>
    </w:p>
    <w:p w14:paraId="6E216639">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六、权利和义务</w:t>
      </w:r>
    </w:p>
    <w:p w14:paraId="162B48FA">
      <w:pPr>
        <w:shd w:val="clea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（一）甲方的权利及义务</w:t>
      </w:r>
    </w:p>
    <w:p w14:paraId="4D644EEE">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甲方有权按照征集人与乙方签订的框架协议、本合同等文件对乙方履约行为进行监督、管理和检查，收集并公开对乙方履行框架协议和采购合同情况的反馈与评价。如发现乙方违反框架协议或本合同的有关规定和承诺，甲方有权处以违约金、暂停委托协审任务或解除合同。</w:t>
      </w:r>
    </w:p>
    <w:p w14:paraId="38876442">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2.乙方有违法违规违纪问题或违反廉洁从业规定时，甲方将解除合同并追究乙方相关责任，同时告知征集人。</w:t>
      </w:r>
    </w:p>
    <w:p w14:paraId="7DD7C914">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3.甲方认为有必要时，可以约谈、询问乙方的法人代表及相关负责人，乙方不得拒绝。</w:t>
      </w:r>
    </w:p>
    <w:p w14:paraId="3AA04F2B">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4.甲方有权</w:t>
      </w:r>
      <w:r>
        <w:rPr>
          <w:rFonts w:hint="eastAsia" w:ascii="宋体" w:hAnsi="宋体" w:cs="宋体"/>
          <w:color w:val="000000" w:themeColor="text1"/>
          <w:szCs w:val="21"/>
          <w:highlight w:val="none"/>
          <w14:textFill>
            <w14:solidFill>
              <w14:schemeClr w14:val="tx1"/>
            </w14:solidFill>
          </w14:textFill>
        </w:rPr>
        <w:t>要求乙方提供响应文件中拟投入人员名单，要求</w:t>
      </w:r>
      <w:r>
        <w:rPr>
          <w:rFonts w:hint="eastAsia" w:ascii="宋体" w:hAnsi="宋体"/>
          <w:bCs/>
          <w:color w:val="000000" w:themeColor="text1"/>
          <w:szCs w:val="21"/>
          <w:highlight w:val="none"/>
          <w14:textFill>
            <w14:solidFill>
              <w14:schemeClr w14:val="tx1"/>
            </w14:solidFill>
          </w14:textFill>
        </w:rPr>
        <w:t>乙方的协审人员必须是响应文件中承诺的拟投入人员；有权随时了解合作过程中乙方投入人员的变动情况。</w:t>
      </w:r>
    </w:p>
    <w:p w14:paraId="57CCB7CC">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5.甲方将不定期对乙方投入人员在岗情况进行检查，如发现乙方委派的</w:t>
      </w:r>
      <w:r>
        <w:rPr>
          <w:rFonts w:hint="eastAsia" w:ascii="宋体" w:hAnsi="宋体" w:cs="宋体"/>
          <w:color w:val="000000" w:themeColor="text1"/>
          <w:szCs w:val="21"/>
          <w:highlight w:val="none"/>
          <w14:textFill>
            <w14:solidFill>
              <w14:schemeClr w14:val="tx1"/>
            </w14:solidFill>
          </w14:textFill>
        </w:rPr>
        <w:t>协审人员</w:t>
      </w:r>
      <w:r>
        <w:rPr>
          <w:rFonts w:hint="eastAsia" w:ascii="宋体" w:hAnsi="宋体"/>
          <w:bCs/>
          <w:color w:val="000000" w:themeColor="text1"/>
          <w:szCs w:val="21"/>
          <w:highlight w:val="none"/>
          <w14:textFill>
            <w14:solidFill>
              <w14:schemeClr w14:val="tx1"/>
            </w14:solidFill>
          </w14:textFill>
        </w:rPr>
        <w:t>与响应文件中承诺的人员不一致，变更（或减少）人员比例≥30%或变更（或减少）人员人次≥3或变更人员的</w:t>
      </w:r>
      <w:r>
        <w:rPr>
          <w:rFonts w:hint="eastAsia" w:ascii="宋体" w:hAnsi="宋体" w:cs="宋体"/>
          <w:color w:val="000000" w:themeColor="text1"/>
          <w:szCs w:val="21"/>
          <w:highlight w:val="none"/>
          <w14:textFill>
            <w14:solidFill>
              <w14:schemeClr w14:val="tx1"/>
            </w14:solidFill>
          </w14:textFill>
        </w:rPr>
        <w:t>职称、资格证书低于该岗位拟投入人员的</w:t>
      </w:r>
      <w:r>
        <w:rPr>
          <w:rFonts w:hint="eastAsia" w:ascii="宋体" w:hAnsi="宋体"/>
          <w:bCs/>
          <w:color w:val="000000" w:themeColor="text1"/>
          <w:szCs w:val="21"/>
          <w:highlight w:val="none"/>
          <w14:textFill>
            <w14:solidFill>
              <w14:schemeClr w14:val="tx1"/>
            </w14:solidFill>
          </w14:textFill>
        </w:rPr>
        <w:t>，甲方有权将乙方违约情况告知征集人。</w:t>
      </w:r>
    </w:p>
    <w:p w14:paraId="75A5A6D2">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6.甲方有权要求乙方增加人员或更换不合格人员，在特殊情况下有权指定乙方人员从事特定项目审核，乙方应无条件增加、更换或安排相应人员。</w:t>
      </w:r>
    </w:p>
    <w:p w14:paraId="779FA931">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7.甲方有权要求乙方按时、按质、按量、按计划、按框架协议及本合同约定完成协审服务工作，有权对乙方的工作质量及进度、服务态度、廉政纪律等进行监督。</w:t>
      </w:r>
    </w:p>
    <w:p w14:paraId="03B11165">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8.甲方有权随时了解乙方的工作情况和进度并提出意见建议，有权要求乙方提供审核资料（含纸质及电子版）。</w:t>
      </w:r>
    </w:p>
    <w:p w14:paraId="4BC0C3EF">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9.甲方有权对乙方提交的成果提出修改意见并要求乙方按修改意见完成服务工作。</w:t>
      </w:r>
    </w:p>
    <w:p w14:paraId="7178F0E1">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10.乙方提交的成果文件及审核资料不符合要求的，甲方有权退回并要求乙方修改。</w:t>
      </w:r>
    </w:p>
    <w:p w14:paraId="6C811A4D">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11.有权合法、正确地使用</w:t>
      </w:r>
      <w:r>
        <w:rPr>
          <w:rFonts w:hint="eastAsia" w:ascii="宋体" w:hAnsi="宋体"/>
          <w:bCs/>
          <w:color w:val="000000" w:themeColor="text1"/>
          <w:szCs w:val="21"/>
          <w:highlight w:val="none"/>
          <w14:textFill>
            <w14:solidFill>
              <w14:schemeClr w14:val="tx1"/>
            </w14:solidFill>
          </w14:textFill>
        </w:rPr>
        <w:t>乙方提交的报告、文件、资料等服务成果。</w:t>
      </w:r>
    </w:p>
    <w:p w14:paraId="67F5D81F">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12.有义务向乙方提供项目协审所需资料，协调相关部门和单位配合评审工作，并及时解决乙方在协审过程中遇到的问题。</w:t>
      </w:r>
    </w:p>
    <w:p w14:paraId="3F39D2C4">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13.有义务按本合同约定向乙方支付服务费用。</w:t>
      </w:r>
    </w:p>
    <w:p w14:paraId="04E01CA7">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14.如采购项目涉及采购标的知识产权归属的，产权归属甲方。 </w:t>
      </w:r>
    </w:p>
    <w:p w14:paraId="184753A2">
      <w:pPr>
        <w:shd w:val="clea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15.采购人在中华人民共和国境内使用供应商提供的产品及服务时免受第三方提出的侵犯其专利权或其它知识产权的起诉。如第三方提出侵权指控，乙方应承担由此而引起的一切法律责任和费用。</w:t>
      </w:r>
    </w:p>
    <w:p w14:paraId="785FB3DF">
      <w:pPr>
        <w:shd w:val="clea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（二）乙方的权利和义务</w:t>
      </w:r>
    </w:p>
    <w:p w14:paraId="5C5449DD">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1.乙方应严格按照征集文件、响应文件、框架协议、采购合同和委托书的要求、承诺和约定，向甲方提供产品和服务，按时按质按量提交成果，保证甲方委托项目的评审质量和进度。</w:t>
      </w:r>
    </w:p>
    <w:p w14:paraId="300485EC">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2.乙方及其投入人员在工作中应接受甲方的管理指导、质量和进度监督、考核评价及意见反馈等，严格履行服务承诺。</w:t>
      </w:r>
    </w:p>
    <w:p w14:paraId="4CE79081">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3.乙方必须严格满足响应文件中承诺的人员配置。如果必须补充或更换人员，必须补充或更换优于或等同于响应文件所承诺资质的协审人员，并需取得甲方书面同意。</w:t>
      </w:r>
    </w:p>
    <w:p w14:paraId="71D1B44F">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4.本合同有效期内，乙方投入项目的协审人员，必须是响应文件中承诺的拟投入人员，未经甲方书面要求或同意，协审人员不得调整。协审人员必须保证工作时间在岗和通信畅通。</w:t>
      </w:r>
    </w:p>
    <w:p w14:paraId="2B24D447">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5.乙方应根据甲方提供的资料，依法依规、实事求是的开展协审工作并出具报告、资料及文件等服务成果。</w:t>
      </w:r>
    </w:p>
    <w:p w14:paraId="0F009264">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乙方根据框架协议及本合同约定向甲方提供报告、资料、文件等服务成果后，甲方即对上述成果及其内容享有充分、完整和排他的著作权和知识产权。未经甲方书面许可，乙方不得向任何第三方提供上述成果及其内容。</w:t>
      </w:r>
    </w:p>
    <w:p w14:paraId="408C01D2">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7.乙方及其人员应履行保密义务。如乙方及其人员因违反本条约定给甲方造成损失的，乙方应承担相应的法律责任，并赔偿由此给甲方造成的一切损失。</w:t>
      </w:r>
    </w:p>
    <w:p w14:paraId="2D4B3B5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乙方应履行回避义务。乙方如果与所协审项目（或该项目相关单位）存在利益关联或其他可能影响项目评审公正性的情形，应主动告知甲方并解除合同。乙方协审人员如果与所协审项目（或该项目相关单位）存在利益关联或其他可能影响项目评审公正性的情形，应主动告知甲方并更换协审人员。</w:t>
      </w:r>
    </w:p>
    <w:p w14:paraId="06ABBB73">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9.有义务妥善保管甲方提供的资料，并在协审任务完成后完整交回甲方。</w:t>
      </w:r>
    </w:p>
    <w:p w14:paraId="6E2A93E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10.甲方检查乙方办公场所及人员，约谈、询问乙方法人代表及相关负责人时，乙方有义务积极配合。</w:t>
      </w:r>
    </w:p>
    <w:p w14:paraId="0D6F74DD">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11.有权按照本合同约定收取服务费用。</w:t>
      </w:r>
    </w:p>
    <w:p w14:paraId="5F9F587E">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12.有权要求甲方提供项目协审所需资料，帮助协调相关部门和单位配合工作，并及时解决在协审服务中遇到的问题。</w:t>
      </w:r>
    </w:p>
    <w:p w14:paraId="792B7423">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13.有权解释说明初审结果误差≥3%的原因。</w:t>
      </w:r>
    </w:p>
    <w:p w14:paraId="2CA8DBBF">
      <w:pPr>
        <w:shd w:val="clear"/>
        <w:spacing w:line="360" w:lineRule="auto"/>
        <w:ind w:firstLine="422" w:firstLineChars="200"/>
        <w:rPr>
          <w:rFonts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b/>
          <w:bCs/>
          <w:color w:val="000000" w:themeColor="text1"/>
          <w:kern w:val="0"/>
          <w:szCs w:val="21"/>
          <w:highlight w:val="none"/>
          <w:lang w:val="zh-CN"/>
          <w14:textFill>
            <w14:solidFill>
              <w14:schemeClr w14:val="tx1"/>
            </w14:solidFill>
          </w14:textFill>
        </w:rPr>
        <w:t>七、双方约定</w:t>
      </w:r>
    </w:p>
    <w:p w14:paraId="345C3F58">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应在采购合同规定的时间前完成协审工作，并向甲方提交成果及工程量计算底稿。向甲方提交资料的时间原则上按如下规定：（1）招标控制价（含工程量清单）协审按采购合同要求的时间完成，提交的时间应尽可能提前。如甲方提供的相关资料不齐全的，乙方向甲方提交资料的时间相应顺延。乙方应向甲方提供经甲方审核通过的招标控制价（含工程量清单）一式五份及电子文档，纸质文档须加盖中标人公章及执业印章。（2）概算、预算协审按采购合同要求的时间完成（除甲方提供主要资料滞后外），乙方应按甲方要求向甲方提供经甲方审核通过的预算成果一式四份及电子文档，纸质文档须加盖乙方公章及执业印章。（3）结算按采购合同要求的时间完成（除甲方提供主要资料滞后外），乙方应按甲方要求向甲方提供经甲方编审通过的结算成果一式四份及电子文档，纸质文档须加盖乙方公章及执业印章。（4）对于未执行《</w:t>
      </w:r>
      <w:r>
        <w:rPr>
          <w:rFonts w:hint="eastAsia" w:ascii="宋体" w:hAnsi="宋体" w:cs="宋体"/>
          <w:color w:val="000000" w:themeColor="text1"/>
          <w:szCs w:val="21"/>
          <w:highlight w:val="none"/>
          <w:lang w:eastAsia="zh-CN"/>
          <w14:textFill>
            <w14:solidFill>
              <w14:schemeClr w14:val="tx1"/>
            </w14:solidFill>
          </w14:textFill>
        </w:rPr>
        <w:t>防城港</w:t>
      </w:r>
      <w:r>
        <w:rPr>
          <w:rFonts w:hint="eastAsia" w:ascii="宋体" w:hAnsi="宋体" w:cs="宋体"/>
          <w:color w:val="000000" w:themeColor="text1"/>
          <w:szCs w:val="21"/>
          <w:highlight w:val="none"/>
          <w14:textFill>
            <w14:solidFill>
              <w14:schemeClr w14:val="tx1"/>
            </w14:solidFill>
          </w14:textFill>
        </w:rPr>
        <w:t>建设工程造价信息》的信息价或信息价缺项的材料、设备，应附上相应的询价、报价及定价资料并加盖乙方公章。</w:t>
      </w:r>
    </w:p>
    <w:p w14:paraId="7F88ABBA">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2.如建设单位（或送审单位）提出与协审工作有关的疑问，乙方必须在规定的时间内提出书面答复意见，并送甲方审定后由甲方答复建设单位（或送审单位）。</w:t>
      </w:r>
    </w:p>
    <w:p w14:paraId="04648AF8">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3.招标控制价的协审，如因工程本身的原因停止招标或只需出具工程量清单成果及工程量计算底稿的，按该项目初步成果计算协审服务费的60％支付。</w:t>
      </w:r>
    </w:p>
    <w:p w14:paraId="4E74640F">
      <w:pPr>
        <w:shd w:val="clea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招标控制价的协审，如已完成并提供招标控制价，但因市场原因需调整材料价格的，不另计协审服务费；已完成并提供招标控制价，但因设计变更发生变化而需调整招标控制价的，可根据实际情况增加难度系数0.1至0.3。</w:t>
      </w:r>
    </w:p>
    <w:p w14:paraId="2D209840">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5.乙方在签订采购合同后应积极主动地与甲方联系，落实具体事宜，安排充足的人员在规定的时间内完成协审工作，并将安排的该委托任务的负责人及相关审核人员姓名与联系电话书面反馈给甲方。</w:t>
      </w:r>
    </w:p>
    <w:p w14:paraId="7035C1B1">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6.如工程项目在招标控制价（含工程量清单）、概算、预算协审过程中需要调整的，甲方立即通知乙方；如乙方在协审过程中发现问题的，应立即通知甲方。</w:t>
      </w:r>
    </w:p>
    <w:p w14:paraId="5E0C9852">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7.乙方不得将甲方委托的协审工作内容透露给除甲方以外的任何人。如发现乙方有违约情况并经查实的，甲方有权解除合同并追究乙方违约责任，并报送征集人。</w:t>
      </w:r>
    </w:p>
    <w:p w14:paraId="43639BC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合同有效期内，甲方认为乙方实际投入的协审人员不足以满足协审任务需要或认为协审人员不称职时，可向乙方发出要求增加或更换（必要时可指定）协审人员的通知，乙方在收到通知后的2天内应增加或更换相应的协审人员，由此产生的费用由乙方自行承担。</w:t>
      </w:r>
    </w:p>
    <w:p w14:paraId="1477198E">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乙方已接受甲方委托协审某工程项目招标控制价（含工程量清单）、概算、预算的，不能再为与该工程项目有关的建设、施工、供货等相关单位提供与该工程项目有关的造价咨询服务；如发现乙方有违规情况并经查实的，甲方有权解除合同并追究乙方违约责任，并报送征集人。</w:t>
      </w:r>
    </w:p>
    <w:p w14:paraId="40D05A26">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乙方应向甲方提交的成果及工程量计算底稿时必须已完成内部三级审核程序，并提供各级审核人的书面审核意见。根据项目协审情况，甲方认为有需要时，将对乙方内部三级审核各级审核员进行考评，并对是否宜继续参与政府投资建设项目协审工作作出认定。如甲方认为乙方的协审和复核人员不宜再参与政府投资建设项目招标控制价（含工程量清单）、概算、预算协审工作的，乙方不得再安排其参与政府投资建设项目协审工作，甲方认为需要经乙方对其进行严格业务培训后方可再安排相应工作的，乙方必须严格执行。</w:t>
      </w:r>
    </w:p>
    <w:p w14:paraId="30936DE1">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11.甲方认为有必要时，可以约谈、询问乙方的法人代表及相关负责人，乙方不得拒绝。</w:t>
      </w:r>
    </w:p>
    <w:p w14:paraId="7C8B921E">
      <w:pPr>
        <w:shd w:val="clear"/>
        <w:spacing w:line="360" w:lineRule="auto"/>
        <w:ind w:firstLine="420"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12.其它约定：</w:t>
      </w:r>
      <w:r>
        <w:rPr>
          <w:rFonts w:hint="eastAsia" w:ascii="宋体" w:hAnsi="宋体" w:cs="宋体"/>
          <w:color w:val="000000" w:themeColor="text1"/>
          <w:szCs w:val="21"/>
          <w:highlight w:val="none"/>
          <w:u w:val="single"/>
          <w14:textFill>
            <w14:solidFill>
              <w14:schemeClr w14:val="tx1"/>
            </w14:solidFill>
          </w14:textFill>
        </w:rPr>
        <w:t xml:space="preserve">（由甲方根据项目具体情况约定）     </w:t>
      </w:r>
    </w:p>
    <w:p w14:paraId="1B0234A8">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八、服务评价</w:t>
      </w:r>
    </w:p>
    <w:p w14:paraId="14327BA3">
      <w:pPr>
        <w:shd w:val="clea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框架协议将建立用户反馈和评价机制。</w:t>
      </w:r>
    </w:p>
    <w:p w14:paraId="7CA22564">
      <w:pPr>
        <w:shd w:val="clear"/>
        <w:spacing w:line="360" w:lineRule="auto"/>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九、违约责任</w:t>
      </w:r>
    </w:p>
    <w:p w14:paraId="37C0C12A">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1.甲方违约，造成乙方损失的，应按</w:t>
      </w:r>
      <w:r>
        <w:rPr>
          <w:rFonts w:hint="eastAsia" w:ascii="宋体" w:hAnsi="宋体" w:cs="宋体"/>
          <w:color w:val="000000" w:themeColor="text1"/>
          <w:szCs w:val="21"/>
          <w:highlight w:val="none"/>
          <w14:textFill>
            <w14:solidFill>
              <w14:schemeClr w14:val="tx1"/>
            </w14:solidFill>
          </w14:textFill>
        </w:rPr>
        <w:t>《中华人民共和国民法典》</w:t>
      </w:r>
      <w:r>
        <w:rPr>
          <w:rFonts w:hint="eastAsia" w:ascii="宋体" w:hAnsi="宋体"/>
          <w:color w:val="000000" w:themeColor="text1"/>
          <w:szCs w:val="21"/>
          <w:highlight w:val="none"/>
          <w14:textFill>
            <w14:solidFill>
              <w14:schemeClr w14:val="tx1"/>
            </w14:solidFill>
          </w14:textFill>
        </w:rPr>
        <w:t>有关规定承担责任。</w:t>
      </w:r>
    </w:p>
    <w:p w14:paraId="79D534AA">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2.乙方违约，造成甲方损失的，应按《中华人民共和国民法典》</w:t>
      </w:r>
      <w:r>
        <w:rPr>
          <w:rFonts w:hint="eastAsia" w:ascii="宋体" w:hAnsi="宋体"/>
          <w:color w:val="000000" w:themeColor="text1"/>
          <w:szCs w:val="21"/>
          <w:highlight w:val="none"/>
          <w14:textFill>
            <w14:solidFill>
              <w14:schemeClr w14:val="tx1"/>
            </w14:solidFill>
          </w14:textFill>
        </w:rPr>
        <w:t>有关规定承担责任并</w:t>
      </w:r>
      <w:r>
        <w:rPr>
          <w:rFonts w:hint="eastAsia" w:ascii="宋体" w:hAnsi="宋体" w:cs="宋体"/>
          <w:color w:val="000000" w:themeColor="text1"/>
          <w:szCs w:val="21"/>
          <w:highlight w:val="none"/>
          <w14:textFill>
            <w14:solidFill>
              <w14:schemeClr w14:val="tx1"/>
            </w14:solidFill>
          </w14:textFill>
        </w:rPr>
        <w:t>赔偿损失。</w:t>
      </w:r>
    </w:p>
    <w:p w14:paraId="5FE5807C">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3.乙方有违法违规违纪问题或违反《协审单位廉洁从业承诺书》中有关廉洁从业规定时，甲方将实行一票否决，</w:t>
      </w:r>
      <w:r>
        <w:rPr>
          <w:rFonts w:hint="eastAsia" w:ascii="宋体" w:hAnsi="宋体"/>
          <w:bCs/>
          <w:color w:val="000000" w:themeColor="text1"/>
          <w:szCs w:val="21"/>
          <w:highlight w:val="none"/>
          <w14:textFill>
            <w14:solidFill>
              <w14:schemeClr w14:val="tx1"/>
            </w14:solidFill>
          </w14:textFill>
        </w:rPr>
        <w:t>解除合同并追究乙方相关责任，同时告知征集人。</w:t>
      </w:r>
    </w:p>
    <w:p w14:paraId="52673556">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如</w:t>
      </w:r>
      <w:r>
        <w:rPr>
          <w:color w:val="000000" w:themeColor="text1"/>
          <w:szCs w:val="21"/>
          <w:highlight w:val="none"/>
          <w14:textFill>
            <w14:solidFill>
              <w14:schemeClr w14:val="tx1"/>
            </w14:solidFill>
          </w14:textFill>
        </w:rPr>
        <w:t>因乙方原因未能履行合同或未达到合同约定</w:t>
      </w:r>
      <w:r>
        <w:rPr>
          <w:rFonts w:hint="eastAsia"/>
          <w:color w:val="000000" w:themeColor="text1"/>
          <w:szCs w:val="21"/>
          <w:highlight w:val="none"/>
          <w14:textFill>
            <w14:solidFill>
              <w14:schemeClr w14:val="tx1"/>
            </w14:solidFill>
          </w14:textFill>
        </w:rPr>
        <w:t>的</w:t>
      </w:r>
      <w:r>
        <w:rPr>
          <w:color w:val="000000" w:themeColor="text1"/>
          <w:szCs w:val="21"/>
          <w:highlight w:val="none"/>
          <w14:textFill>
            <w14:solidFill>
              <w14:schemeClr w14:val="tx1"/>
            </w14:solidFill>
          </w14:textFill>
        </w:rPr>
        <w:t>要求，甲方有权书面</w:t>
      </w:r>
      <w:r>
        <w:rPr>
          <w:rFonts w:hint="eastAsia"/>
          <w:color w:val="000000" w:themeColor="text1"/>
          <w:szCs w:val="21"/>
          <w:highlight w:val="none"/>
          <w14:textFill>
            <w14:solidFill>
              <w14:schemeClr w14:val="tx1"/>
            </w14:solidFill>
          </w14:textFill>
        </w:rPr>
        <w:t>督促</w:t>
      </w:r>
      <w:r>
        <w:rPr>
          <w:color w:val="000000" w:themeColor="text1"/>
          <w:szCs w:val="21"/>
          <w:highlight w:val="none"/>
          <w14:textFill>
            <w14:solidFill>
              <w14:schemeClr w14:val="tx1"/>
            </w14:solidFill>
          </w14:textFill>
        </w:rPr>
        <w:t>乙方履行合同，乙方应在收到甲方书面通知之日起</w:t>
      </w:r>
      <w:r>
        <w:rPr>
          <w:rFonts w:hint="eastAsia"/>
          <w:color w:val="000000" w:themeColor="text1"/>
          <w:szCs w:val="21"/>
          <w:highlight w:val="none"/>
          <w14:textFill>
            <w14:solidFill>
              <w14:schemeClr w14:val="tx1"/>
            </w14:solidFill>
          </w14:textFill>
        </w:rPr>
        <w:t>5个工作日</w:t>
      </w:r>
      <w:r>
        <w:rPr>
          <w:color w:val="000000" w:themeColor="text1"/>
          <w:szCs w:val="21"/>
          <w:highlight w:val="none"/>
          <w14:textFill>
            <w14:solidFill>
              <w14:schemeClr w14:val="tx1"/>
            </w14:solidFill>
          </w14:textFill>
        </w:rPr>
        <w:t>内给予书面答复并进行整改</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如乙方在上述时间未答复，或无故拖延履行合同，或经整改后仍未达到甲方要求，甲方有权解除合同，且</w:t>
      </w:r>
      <w:r>
        <w:rPr>
          <w:rFonts w:hint="eastAsia" w:ascii="宋体" w:hAnsi="宋体"/>
          <w:color w:val="000000" w:themeColor="text1"/>
          <w:szCs w:val="21"/>
          <w:highlight w:val="none"/>
          <w14:textFill>
            <w14:solidFill>
              <w14:schemeClr w14:val="tx1"/>
            </w14:solidFill>
          </w14:textFill>
        </w:rPr>
        <w:t>不支付给乙方任何服务费用</w:t>
      </w:r>
      <w:r>
        <w:rPr>
          <w:color w:val="000000" w:themeColor="text1"/>
          <w:szCs w:val="21"/>
          <w:highlight w:val="none"/>
          <w14:textFill>
            <w14:solidFill>
              <w14:schemeClr w14:val="tx1"/>
            </w14:solidFill>
          </w14:textFill>
        </w:rPr>
        <w:t>。</w:t>
      </w:r>
    </w:p>
    <w:p w14:paraId="712B449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乙方未得到甲方同意，擅自</w:t>
      </w:r>
      <w:r>
        <w:rPr>
          <w:rFonts w:hint="eastAsia"/>
          <w:color w:val="000000" w:themeColor="text1"/>
          <w:szCs w:val="21"/>
          <w:highlight w:val="none"/>
          <w14:textFill>
            <w14:solidFill>
              <w14:schemeClr w14:val="tx1"/>
            </w14:solidFill>
          </w14:textFill>
        </w:rPr>
        <w:t>将《协审单位接审回执表》中投入本项目的协审人员</w:t>
      </w:r>
      <w:r>
        <w:rPr>
          <w:rFonts w:hint="eastAsia" w:ascii="宋体" w:hAnsi="宋体"/>
          <w:bCs/>
          <w:color w:val="000000" w:themeColor="text1"/>
          <w:szCs w:val="21"/>
          <w:highlight w:val="none"/>
          <w14:textFill>
            <w14:solidFill>
              <w14:schemeClr w14:val="tx1"/>
            </w14:solidFill>
          </w14:textFill>
        </w:rPr>
        <w:t>更换为其他人员，无论更换人员是否为响应文件中的拟投入人员</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甲方</w:t>
      </w:r>
      <w:r>
        <w:rPr>
          <w:rFonts w:hint="eastAsia"/>
          <w:color w:val="000000" w:themeColor="text1"/>
          <w:szCs w:val="21"/>
          <w:highlight w:val="none"/>
          <w14:textFill>
            <w14:solidFill>
              <w14:schemeClr w14:val="tx1"/>
            </w14:solidFill>
          </w14:textFill>
        </w:rPr>
        <w:t>都对乙方处以违约金</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更换人员是</w:t>
      </w:r>
      <w:r>
        <w:rPr>
          <w:rFonts w:hint="eastAsia" w:ascii="宋体" w:hAnsi="宋体"/>
          <w:bCs/>
          <w:color w:val="000000" w:themeColor="text1"/>
          <w:szCs w:val="21"/>
          <w:highlight w:val="none"/>
          <w14:textFill>
            <w14:solidFill>
              <w14:schemeClr w14:val="tx1"/>
            </w14:solidFill>
          </w14:textFill>
        </w:rPr>
        <w:t>响应文件中其他拟投入人员的，</w:t>
      </w:r>
      <w:r>
        <w:rPr>
          <w:rFonts w:hint="eastAsia"/>
          <w:color w:val="000000" w:themeColor="text1"/>
          <w:szCs w:val="21"/>
          <w:highlight w:val="none"/>
          <w14:textFill>
            <w14:solidFill>
              <w14:schemeClr w14:val="tx1"/>
            </w14:solidFill>
          </w14:textFill>
        </w:rPr>
        <w:t>处以违约金</w:t>
      </w:r>
      <w:r>
        <w:rPr>
          <w:rFonts w:hint="eastAsia" w:ascii="宋体" w:hAnsi="宋体"/>
          <w:color w:val="000000" w:themeColor="text1"/>
          <w:szCs w:val="21"/>
          <w:highlight w:val="none"/>
          <w14:textFill>
            <w14:solidFill>
              <w14:schemeClr w14:val="tx1"/>
            </w14:solidFill>
          </w14:textFill>
        </w:rPr>
        <w:t>5000元/人</w:t>
      </w:r>
      <w:r>
        <w:rPr>
          <w:rFonts w:hint="eastAsia"/>
          <w:color w:val="000000" w:themeColor="text1"/>
          <w:szCs w:val="21"/>
          <w:highlight w:val="none"/>
          <w14:textFill>
            <w14:solidFill>
              <w14:schemeClr w14:val="tx1"/>
            </w14:solidFill>
          </w14:textFill>
        </w:rPr>
        <w:t>；更换人员不是</w:t>
      </w:r>
      <w:r>
        <w:rPr>
          <w:rFonts w:hint="eastAsia" w:ascii="宋体" w:hAnsi="宋体"/>
          <w:bCs/>
          <w:color w:val="000000" w:themeColor="text1"/>
          <w:szCs w:val="21"/>
          <w:highlight w:val="none"/>
          <w14:textFill>
            <w14:solidFill>
              <w14:schemeClr w14:val="tx1"/>
            </w14:solidFill>
          </w14:textFill>
        </w:rPr>
        <w:t>响应文件中拟投入人员的，</w:t>
      </w:r>
      <w:r>
        <w:rPr>
          <w:rFonts w:hint="eastAsia"/>
          <w:color w:val="000000" w:themeColor="text1"/>
          <w:szCs w:val="21"/>
          <w:highlight w:val="none"/>
          <w14:textFill>
            <w14:solidFill>
              <w14:schemeClr w14:val="tx1"/>
            </w14:solidFill>
          </w14:textFill>
        </w:rPr>
        <w:t>处以违约金</w:t>
      </w:r>
      <w:r>
        <w:rPr>
          <w:rFonts w:hint="eastAsia" w:ascii="宋体" w:hAnsi="宋体"/>
          <w:color w:val="000000" w:themeColor="text1"/>
          <w:szCs w:val="21"/>
          <w:highlight w:val="none"/>
          <w14:textFill>
            <w14:solidFill>
              <w14:schemeClr w14:val="tx1"/>
            </w14:solidFill>
          </w14:textFill>
        </w:rPr>
        <w:t>10000元/人。</w:t>
      </w:r>
    </w:p>
    <w:p w14:paraId="54DC76BE">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6.甲方检查发现</w:t>
      </w:r>
      <w:r>
        <w:rPr>
          <w:rFonts w:hint="eastAsia" w:ascii="宋体" w:hAnsi="宋体"/>
          <w:color w:val="000000" w:themeColor="text1"/>
          <w:szCs w:val="21"/>
          <w:highlight w:val="none"/>
          <w14:textFill>
            <w14:solidFill>
              <w14:schemeClr w14:val="tx1"/>
            </w14:solidFill>
          </w14:textFill>
        </w:rPr>
        <w:t>乙方委派的</w:t>
      </w:r>
      <w:r>
        <w:rPr>
          <w:rFonts w:hint="eastAsia" w:ascii="宋体" w:hAnsi="宋体" w:cs="宋体"/>
          <w:color w:val="000000" w:themeColor="text1"/>
          <w:szCs w:val="21"/>
          <w:highlight w:val="none"/>
          <w14:textFill>
            <w14:solidFill>
              <w14:schemeClr w14:val="tx1"/>
            </w14:solidFill>
          </w14:textFill>
        </w:rPr>
        <w:t>协审人员</w:t>
      </w:r>
      <w:r>
        <w:rPr>
          <w:rFonts w:hint="eastAsia" w:ascii="宋体" w:hAnsi="宋体"/>
          <w:bCs/>
          <w:color w:val="000000" w:themeColor="text1"/>
          <w:szCs w:val="21"/>
          <w:highlight w:val="none"/>
          <w14:textFill>
            <w14:solidFill>
              <w14:schemeClr w14:val="tx1"/>
            </w14:solidFill>
          </w14:textFill>
        </w:rPr>
        <w:t>与响应文件中承诺的人员不一致，变更（或减少）人员比例≥30%或变更（或减少）人员人次≥3或变更人员的</w:t>
      </w:r>
      <w:r>
        <w:rPr>
          <w:rFonts w:hint="eastAsia" w:ascii="宋体" w:hAnsi="宋体" w:cs="宋体"/>
          <w:color w:val="000000" w:themeColor="text1"/>
          <w:szCs w:val="21"/>
          <w:highlight w:val="none"/>
          <w14:textFill>
            <w14:solidFill>
              <w14:schemeClr w14:val="tx1"/>
            </w14:solidFill>
          </w14:textFill>
        </w:rPr>
        <w:t>职称、资格证书低于该岗位拟投入人员的</w:t>
      </w:r>
      <w:r>
        <w:rPr>
          <w:rFonts w:hint="eastAsia"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甲方暂停委托乙方协审任务。</w:t>
      </w:r>
    </w:p>
    <w:p w14:paraId="323AAD30">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7.乙方应在采购合同规定时间内完成项目协审任务，如乙方无正当理由逾期交回初审结果，</w:t>
      </w:r>
      <w:r>
        <w:rPr>
          <w:color w:val="000000" w:themeColor="text1"/>
          <w:szCs w:val="21"/>
          <w:highlight w:val="none"/>
          <w14:textFill>
            <w14:solidFill>
              <w14:schemeClr w14:val="tx1"/>
            </w14:solidFill>
          </w14:textFill>
        </w:rPr>
        <w:t>甲方</w:t>
      </w:r>
      <w:r>
        <w:rPr>
          <w:rFonts w:hint="eastAsia"/>
          <w:color w:val="000000" w:themeColor="text1"/>
          <w:szCs w:val="21"/>
          <w:highlight w:val="none"/>
          <w14:textFill>
            <w14:solidFill>
              <w14:schemeClr w14:val="tx1"/>
            </w14:solidFill>
          </w14:textFill>
        </w:rPr>
        <w:t>对乙方处以违约金</w:t>
      </w:r>
      <w:r>
        <w:rPr>
          <w:rFonts w:hint="eastAsia" w:ascii="宋体" w:hAnsi="宋体"/>
          <w:color w:val="000000" w:themeColor="text1"/>
          <w:szCs w:val="21"/>
          <w:highlight w:val="none"/>
          <w14:textFill>
            <w14:solidFill>
              <w14:schemeClr w14:val="tx1"/>
            </w14:solidFill>
          </w14:textFill>
        </w:rPr>
        <w:t>1000元/天，上限为10000元</w:t>
      </w:r>
      <w:r>
        <w:rPr>
          <w:color w:val="000000" w:themeColor="text1"/>
          <w:szCs w:val="21"/>
          <w:highlight w:val="none"/>
          <w14:textFill>
            <w14:solidFill>
              <w14:schemeClr w14:val="tx1"/>
            </w14:solidFill>
          </w14:textFill>
        </w:rPr>
        <w:t>。</w:t>
      </w:r>
    </w:p>
    <w:p w14:paraId="2C6E0660">
      <w:pPr>
        <w:shd w:val="clea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8.甲方对乙方提交的初审结果进行复审，复审审定结果属于乙方质量原因造成的误差（绝对值累计，正负误差不抵消）≥3%时，</w:t>
      </w:r>
      <w:r>
        <w:rPr>
          <w:color w:val="000000" w:themeColor="text1"/>
          <w:szCs w:val="21"/>
          <w:highlight w:val="none"/>
          <w14:textFill>
            <w14:solidFill>
              <w14:schemeClr w14:val="tx1"/>
            </w14:solidFill>
          </w14:textFill>
        </w:rPr>
        <w:t>甲方</w:t>
      </w:r>
      <w:r>
        <w:rPr>
          <w:rFonts w:hint="eastAsia"/>
          <w:color w:val="000000" w:themeColor="text1"/>
          <w:szCs w:val="21"/>
          <w:highlight w:val="none"/>
          <w14:textFill>
            <w14:solidFill>
              <w14:schemeClr w14:val="tx1"/>
            </w14:solidFill>
          </w14:textFill>
        </w:rPr>
        <w:t>对乙方处以违约金</w:t>
      </w:r>
      <w:r>
        <w:rPr>
          <w:rFonts w:hint="eastAsia" w:ascii="宋体" w:hAnsi="宋体"/>
          <w:color w:val="000000" w:themeColor="text1"/>
          <w:szCs w:val="21"/>
          <w:highlight w:val="none"/>
          <w14:textFill>
            <w14:solidFill>
              <w14:schemeClr w14:val="tx1"/>
            </w14:solidFill>
          </w14:textFill>
        </w:rPr>
        <w:t>10000元/次</w:t>
      </w:r>
      <w:r>
        <w:rPr>
          <w:color w:val="000000" w:themeColor="text1"/>
          <w:szCs w:val="21"/>
          <w:highlight w:val="none"/>
          <w14:textFill>
            <w14:solidFill>
              <w14:schemeClr w14:val="tx1"/>
            </w14:solidFill>
          </w14:textFill>
        </w:rPr>
        <w:t>。</w:t>
      </w:r>
    </w:p>
    <w:p w14:paraId="37573C1A">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9.如乙方不接受甲方委托，应在2个工作日内向甲方书面说明不接受委托的原因，否则甲方</w:t>
      </w:r>
      <w:r>
        <w:rPr>
          <w:rFonts w:hint="eastAsia" w:ascii="宋体" w:hAnsi="宋体"/>
          <w:bCs/>
          <w:color w:val="000000" w:themeColor="text1"/>
          <w:szCs w:val="21"/>
          <w:highlight w:val="none"/>
          <w14:textFill>
            <w14:solidFill>
              <w14:schemeClr w14:val="tx1"/>
            </w14:solidFill>
          </w14:textFill>
        </w:rPr>
        <w:t>暂停委托乙方协审任务</w:t>
      </w:r>
      <w:r>
        <w:rPr>
          <w:rFonts w:hint="eastAsia" w:ascii="宋体" w:hAnsi="宋体"/>
          <w:color w:val="000000" w:themeColor="text1"/>
          <w:szCs w:val="21"/>
          <w:highlight w:val="none"/>
          <w14:textFill>
            <w14:solidFill>
              <w14:schemeClr w14:val="tx1"/>
            </w14:solidFill>
          </w14:textFill>
        </w:rPr>
        <w:t>，直到乙方提交书面说明。</w:t>
      </w:r>
    </w:p>
    <w:p w14:paraId="513B0255">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10.乙方损坏或丢失甲方提供的审核资料或擅自接收项目相关单位补充资料的，乙方应承担由此造成的全部经济和法律责任。出现第1次，</w:t>
      </w:r>
      <w:r>
        <w:rPr>
          <w:color w:val="000000" w:themeColor="text1"/>
          <w:szCs w:val="21"/>
          <w:highlight w:val="none"/>
          <w14:textFill>
            <w14:solidFill>
              <w14:schemeClr w14:val="tx1"/>
            </w14:solidFill>
          </w14:textFill>
        </w:rPr>
        <w:t>甲方</w:t>
      </w:r>
      <w:r>
        <w:rPr>
          <w:rFonts w:hint="eastAsia"/>
          <w:color w:val="000000" w:themeColor="text1"/>
          <w:szCs w:val="21"/>
          <w:highlight w:val="none"/>
          <w14:textFill>
            <w14:solidFill>
              <w14:schemeClr w14:val="tx1"/>
            </w14:solidFill>
          </w14:textFill>
        </w:rPr>
        <w:t>对乙方处以违约金</w:t>
      </w:r>
      <w:r>
        <w:rPr>
          <w:rFonts w:hint="eastAsia" w:ascii="宋体" w:hAnsi="宋体"/>
          <w:color w:val="000000" w:themeColor="text1"/>
          <w:szCs w:val="21"/>
          <w:highlight w:val="none"/>
          <w14:textFill>
            <w14:solidFill>
              <w14:schemeClr w14:val="tx1"/>
            </w14:solidFill>
          </w14:textFill>
        </w:rPr>
        <w:t>10000元；出现第2次，</w:t>
      </w:r>
      <w:r>
        <w:rPr>
          <w:rFonts w:hint="eastAsia" w:ascii="宋体" w:hAnsi="宋体" w:cs="宋体"/>
          <w:color w:val="000000" w:themeColor="text1"/>
          <w:szCs w:val="21"/>
          <w:highlight w:val="none"/>
          <w14:textFill>
            <w14:solidFill>
              <w14:schemeClr w14:val="tx1"/>
            </w14:solidFill>
          </w14:textFill>
        </w:rPr>
        <w:t>甲方解除合同且</w:t>
      </w:r>
      <w:r>
        <w:rPr>
          <w:rFonts w:hint="eastAsia" w:ascii="宋体" w:hAnsi="宋体"/>
          <w:color w:val="000000" w:themeColor="text1"/>
          <w:szCs w:val="21"/>
          <w:highlight w:val="none"/>
          <w14:textFill>
            <w14:solidFill>
              <w14:schemeClr w14:val="tx1"/>
            </w14:solidFill>
          </w14:textFill>
        </w:rPr>
        <w:t>不支付给乙方任何服务费用</w:t>
      </w:r>
      <w:r>
        <w:rPr>
          <w:rFonts w:hint="eastAsia" w:ascii="宋体" w:hAnsi="宋体" w:cs="宋体"/>
          <w:color w:val="000000" w:themeColor="text1"/>
          <w:szCs w:val="21"/>
          <w:highlight w:val="none"/>
          <w14:textFill>
            <w14:solidFill>
              <w14:schemeClr w14:val="tx1"/>
            </w14:solidFill>
          </w14:textFill>
        </w:rPr>
        <w:t>。</w:t>
      </w:r>
    </w:p>
    <w:p w14:paraId="0D94C68E">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11.如乙方在未出具任何审核结论的情况下，因自身原因中途将委托项目退回给甲方的，合同解除，甲方不支付给乙方任何服务费用。</w:t>
      </w:r>
    </w:p>
    <w:p w14:paraId="5C43163B">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12.乙方将甲方安排的协审项目转交第三方的，合同解除，甲方不支付给乙方任何服务费用。</w:t>
      </w:r>
    </w:p>
    <w:p w14:paraId="6D5D685F">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13.乙方拒绝甲方约谈、询问的，甲方暂停委托乙方协审任务，直至乙方相关人员接受甲方约谈、询问为止。</w:t>
      </w:r>
    </w:p>
    <w:p w14:paraId="0268D5D3">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乙方提供的服务如侵犯了第三方合法权益而引发的任何纠纷或诉讼，均由乙方负责交涉并承担全部责任。</w:t>
      </w:r>
    </w:p>
    <w:p w14:paraId="0103CC69">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15.甲方将乙方的违约情况反馈给征集人；认为有必要的，可以给予乙方通报处理，并将乙方不良记录报送至行业主管部门。</w:t>
      </w:r>
    </w:p>
    <w:p w14:paraId="2AD740B1">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十、不可抗力事件处理</w:t>
      </w:r>
    </w:p>
    <w:p w14:paraId="1C22E83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1.不可抗力事件发生后，应立即通知对方，并附送有关权威机构出具的证明。</w:t>
      </w:r>
    </w:p>
    <w:p w14:paraId="1331AB5E">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2.不可抗力事件延续120天以上，双方应通过友好协商，确定是否继续履行合同。</w:t>
      </w:r>
    </w:p>
    <w:p w14:paraId="1961B5EF">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十一、诉讼</w:t>
      </w:r>
    </w:p>
    <w:p w14:paraId="79984CFF">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双方在执行合同中所发生的一切争议，应通过协商解决。如协商不成，双方可就争议共同提请自治区或</w:t>
      </w:r>
      <w:r>
        <w:rPr>
          <w:rFonts w:hint="eastAsia" w:ascii="宋体" w:hAnsi="宋体" w:cs="宋体"/>
          <w:color w:val="000000" w:themeColor="text1"/>
          <w:szCs w:val="21"/>
          <w:highlight w:val="none"/>
          <w:lang w:eastAsia="zh-CN"/>
          <w14:textFill>
            <w14:solidFill>
              <w14:schemeClr w14:val="tx1"/>
            </w14:solidFill>
          </w14:textFill>
        </w:rPr>
        <w:t>防城港</w:t>
      </w:r>
      <w:r>
        <w:rPr>
          <w:rFonts w:hint="eastAsia" w:ascii="宋体" w:hAnsi="宋体" w:cs="宋体"/>
          <w:color w:val="000000" w:themeColor="text1"/>
          <w:szCs w:val="21"/>
          <w:highlight w:val="none"/>
          <w14:textFill>
            <w14:solidFill>
              <w14:schemeClr w14:val="tx1"/>
            </w14:solidFill>
          </w14:textFill>
        </w:rPr>
        <w:t>市工程造价管理机构进行裁定，也可向合同签订地法院起诉，合同签订地在此约定为</w:t>
      </w:r>
      <w:r>
        <w:rPr>
          <w:rFonts w:hint="eastAsia" w:ascii="宋体" w:hAnsi="宋体" w:cs="宋体"/>
          <w:color w:val="000000" w:themeColor="text1"/>
          <w:szCs w:val="21"/>
          <w:highlight w:val="none"/>
          <w:lang w:val="en-US" w:eastAsia="zh-CN"/>
          <w14:textFill>
            <w14:solidFill>
              <w14:schemeClr w14:val="tx1"/>
            </w14:solidFill>
          </w14:textFill>
        </w:rPr>
        <w:t>上思县</w:t>
      </w:r>
      <w:r>
        <w:rPr>
          <w:rFonts w:hint="eastAsia" w:ascii="宋体" w:hAnsi="宋体" w:cs="宋体"/>
          <w:color w:val="000000" w:themeColor="text1"/>
          <w:szCs w:val="21"/>
          <w:highlight w:val="none"/>
          <w14:textFill>
            <w14:solidFill>
              <w14:schemeClr w14:val="tx1"/>
            </w14:solidFill>
          </w14:textFill>
        </w:rPr>
        <w:t>。</w:t>
      </w:r>
    </w:p>
    <w:p w14:paraId="5EE0980C">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十二、合同生效及其它</w:t>
      </w:r>
    </w:p>
    <w:p w14:paraId="1F444411">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1.合同经双方法定代表人或授权委托代理人签字并加盖单位公章后生效。</w:t>
      </w:r>
    </w:p>
    <w:p w14:paraId="2403B1FF">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2.合同执行中，如需修改或补充合同内容，由双方协商另签署书面修改或补充协议作为主合同不可分割的一部分。</w:t>
      </w:r>
    </w:p>
    <w:p w14:paraId="67F96E51">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14:paraId="04D5D442">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4.本合同未尽事宜，遵照《中华人民共和国民法典》有关条文执行。</w:t>
      </w:r>
    </w:p>
    <w:p w14:paraId="797A8DA3">
      <w:pPr>
        <w:shd w:val="clear"/>
        <w:spacing w:line="360" w:lineRule="auto"/>
        <w:ind w:firstLine="420" w:firstLineChars="200"/>
        <w:rPr>
          <w:rFonts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5.本合同一式肆份，具有同等法律效力，甲乙双方各执贰份。</w:t>
      </w:r>
    </w:p>
    <w:p w14:paraId="20DD3E60">
      <w:pPr>
        <w:shd w:val="clear"/>
        <w:spacing w:line="360" w:lineRule="auto"/>
        <w:rPr>
          <w:rFonts w:hAnsi="宋体" w:cs="宋体"/>
          <w:color w:val="000000" w:themeColor="text1"/>
          <w:sz w:val="22"/>
          <w:szCs w:val="28"/>
          <w:highlight w:val="none"/>
          <w14:textFill>
            <w14:solidFill>
              <w14:schemeClr w14:val="tx1"/>
            </w14:solidFill>
          </w14:textFill>
        </w:rPr>
      </w:pPr>
    </w:p>
    <w:p w14:paraId="3CF9A116">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甲方：</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u w:val="single"/>
          <w:lang w:eastAsia="zh-CN"/>
          <w14:textFill>
            <w14:solidFill>
              <w14:schemeClr w14:val="tx1"/>
            </w14:solidFill>
          </w14:textFill>
        </w:rPr>
        <w:t>上思县财政局</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乙方：</w:t>
      </w:r>
      <w:r>
        <w:rPr>
          <w:rFonts w:hint="eastAsia" w:hAnsi="宋体" w:cs="宋体"/>
          <w:color w:val="000000" w:themeColor="text1"/>
          <w:sz w:val="21"/>
          <w:szCs w:val="22"/>
          <w:highlight w:val="none"/>
          <w:u w:val="single"/>
          <w14:textFill>
            <w14:solidFill>
              <w14:schemeClr w14:val="tx1"/>
            </w14:solidFill>
          </w14:textFill>
        </w:rPr>
        <w:t xml:space="preserve">                                    </w:t>
      </w:r>
    </w:p>
    <w:p w14:paraId="4291FA11">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地址：</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地址：</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w:t>
      </w:r>
    </w:p>
    <w:p w14:paraId="2A8EE4B6">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法定代表人：</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法定代表人：</w:t>
      </w:r>
      <w:r>
        <w:rPr>
          <w:rFonts w:hint="eastAsia" w:hAnsi="宋体" w:cs="宋体"/>
          <w:color w:val="000000" w:themeColor="text1"/>
          <w:sz w:val="21"/>
          <w:szCs w:val="22"/>
          <w:highlight w:val="none"/>
          <w:u w:val="single"/>
          <w14:textFill>
            <w14:solidFill>
              <w14:schemeClr w14:val="tx1"/>
            </w14:solidFill>
          </w14:textFill>
        </w:rPr>
        <w:t xml:space="preserve">                              </w:t>
      </w:r>
    </w:p>
    <w:p w14:paraId="742F6C96">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委托代理人：</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委托代理人：</w:t>
      </w:r>
      <w:r>
        <w:rPr>
          <w:rFonts w:hint="eastAsia" w:hAnsi="宋体" w:cs="宋体"/>
          <w:color w:val="000000" w:themeColor="text1"/>
          <w:sz w:val="21"/>
          <w:szCs w:val="22"/>
          <w:highlight w:val="none"/>
          <w:u w:val="single"/>
          <w14:textFill>
            <w14:solidFill>
              <w14:schemeClr w14:val="tx1"/>
            </w14:solidFill>
          </w14:textFill>
        </w:rPr>
        <w:t xml:space="preserve">                              </w:t>
      </w:r>
    </w:p>
    <w:p w14:paraId="0152997F">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电话：</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电话：</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w:t>
      </w:r>
    </w:p>
    <w:p w14:paraId="74B4311E">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传真：</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传真：</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w:t>
      </w:r>
    </w:p>
    <w:p w14:paraId="156CDF48">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邮政编码：</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u w:val="single"/>
          <w:lang w:eastAsia="zh-CN"/>
          <w14:textFill>
            <w14:solidFill>
              <w14:schemeClr w14:val="tx1"/>
            </w14:solidFill>
          </w14:textFill>
        </w:rPr>
        <w:t xml:space="preserve">      </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邮政编码：</w:t>
      </w:r>
      <w:r>
        <w:rPr>
          <w:rFonts w:hint="eastAsia" w:hAnsi="宋体" w:cs="宋体"/>
          <w:color w:val="000000" w:themeColor="text1"/>
          <w:sz w:val="21"/>
          <w:szCs w:val="22"/>
          <w:highlight w:val="none"/>
          <w:u w:val="single"/>
          <w14:textFill>
            <w14:solidFill>
              <w14:schemeClr w14:val="tx1"/>
            </w14:solidFill>
          </w14:textFill>
        </w:rPr>
        <w:t xml:space="preserve">                                </w:t>
      </w:r>
    </w:p>
    <w:p w14:paraId="4A9ACF11">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 xml:space="preserve">                                              开户银行：</w:t>
      </w:r>
      <w:r>
        <w:rPr>
          <w:rFonts w:hint="eastAsia" w:hAnsi="宋体" w:cs="宋体"/>
          <w:color w:val="000000" w:themeColor="text1"/>
          <w:sz w:val="21"/>
          <w:szCs w:val="22"/>
          <w:highlight w:val="none"/>
          <w:u w:val="single"/>
          <w14:textFill>
            <w14:solidFill>
              <w14:schemeClr w14:val="tx1"/>
            </w14:solidFill>
          </w14:textFill>
        </w:rPr>
        <w:t xml:space="preserve">                                </w:t>
      </w:r>
    </w:p>
    <w:p w14:paraId="71001906">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 xml:space="preserve">                                              开户名称：</w:t>
      </w:r>
      <w:r>
        <w:rPr>
          <w:rFonts w:hint="eastAsia" w:hAnsi="宋体" w:cs="宋体"/>
          <w:color w:val="000000" w:themeColor="text1"/>
          <w:sz w:val="21"/>
          <w:szCs w:val="22"/>
          <w:highlight w:val="none"/>
          <w:u w:val="single"/>
          <w14:textFill>
            <w14:solidFill>
              <w14:schemeClr w14:val="tx1"/>
            </w14:solidFill>
          </w14:textFill>
        </w:rPr>
        <w:t xml:space="preserve">                                </w:t>
      </w:r>
    </w:p>
    <w:p w14:paraId="3BB30AB4">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 xml:space="preserve">                                              银行账号：</w:t>
      </w:r>
      <w:r>
        <w:rPr>
          <w:rFonts w:hint="eastAsia" w:hAnsi="宋体" w:cs="宋体"/>
          <w:color w:val="000000" w:themeColor="text1"/>
          <w:sz w:val="21"/>
          <w:szCs w:val="22"/>
          <w:highlight w:val="none"/>
          <w:u w:val="single"/>
          <w14:textFill>
            <w14:solidFill>
              <w14:schemeClr w14:val="tx1"/>
            </w14:solidFill>
          </w14:textFill>
        </w:rPr>
        <w:t xml:space="preserve">                                </w:t>
      </w:r>
    </w:p>
    <w:p w14:paraId="54B39099">
      <w:pPr>
        <w:pStyle w:val="26"/>
        <w:shd w:val="clear"/>
        <w:spacing w:line="360" w:lineRule="auto"/>
        <w:ind w:left="0" w:leftChars="0"/>
        <w:rPr>
          <w:rFonts w:hAnsi="宋体" w:cs="宋体"/>
          <w:color w:val="000000" w:themeColor="text1"/>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合同签订日期：</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年</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月</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日             合同签订地点：</w:t>
      </w:r>
      <w:r>
        <w:rPr>
          <w:rFonts w:hint="eastAsia" w:hAnsi="宋体" w:cs="宋体"/>
          <w:color w:val="000000" w:themeColor="text1"/>
          <w:sz w:val="21"/>
          <w:szCs w:val="22"/>
          <w:highlight w:val="none"/>
          <w:lang w:eastAsia="zh-CN"/>
          <w14:textFill>
            <w14:solidFill>
              <w14:schemeClr w14:val="tx1"/>
            </w14:solidFill>
          </w14:textFill>
        </w:rPr>
        <w:t>广西上思县</w:t>
      </w:r>
      <w:r>
        <w:rPr>
          <w:rFonts w:hint="eastAsia" w:hAnsi="宋体" w:cs="宋体"/>
          <w:color w:val="000000" w:themeColor="text1"/>
          <w:sz w:val="21"/>
          <w:szCs w:val="22"/>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14:paraId="5363103D">
      <w:pPr>
        <w:shd w:val="clear"/>
        <w:spacing w:line="360" w:lineRule="auto"/>
        <w:rPr>
          <w:rFonts w:ascii="宋体" w:hAnsi="宋体"/>
          <w:color w:val="000000" w:themeColor="text1"/>
          <w:highlight w:val="none"/>
          <w14:textFill>
            <w14:solidFill>
              <w14:schemeClr w14:val="tx1"/>
            </w14:solidFill>
          </w14:textFill>
        </w:rPr>
      </w:pPr>
    </w:p>
    <w:p w14:paraId="526B5A5C">
      <w:pPr>
        <w:shd w:val="clear"/>
        <w:autoSpaceDE w:val="0"/>
        <w:autoSpaceDN w:val="0"/>
        <w:adjustRightInd w:val="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kern w:val="0"/>
          <w:sz w:val="28"/>
          <w:szCs w:val="28"/>
          <w:highlight w:val="none"/>
          <w14:textFill>
            <w14:solidFill>
              <w14:schemeClr w14:val="tx1"/>
            </w14:solidFill>
          </w14:textFill>
        </w:rPr>
        <w:t>合同编号：</w:t>
      </w:r>
    </w:p>
    <w:p w14:paraId="0F47FFBE">
      <w:pPr>
        <w:shd w:val="clear"/>
        <w:autoSpaceDE w:val="0"/>
        <w:autoSpaceDN w:val="0"/>
        <w:adjustRightInd w:val="0"/>
        <w:rPr>
          <w:rFonts w:ascii="宋体" w:hAnsi="宋体" w:cs="宋体"/>
          <w:color w:val="000000" w:themeColor="text1"/>
          <w:highlight w:val="none"/>
          <w14:textFill>
            <w14:solidFill>
              <w14:schemeClr w14:val="tx1"/>
            </w14:solidFill>
          </w14:textFill>
        </w:rPr>
      </w:pPr>
    </w:p>
    <w:p w14:paraId="6F228CDB">
      <w:pPr>
        <w:shd w:val="clear"/>
        <w:autoSpaceDE w:val="0"/>
        <w:autoSpaceDN w:val="0"/>
        <w:adjustRightInd w:val="0"/>
        <w:jc w:val="center"/>
        <w:rPr>
          <w:rFonts w:ascii="宋体" w:hAnsi="宋体" w:cs="宋体"/>
          <w:color w:val="000000" w:themeColor="text1"/>
          <w:kern w:val="0"/>
          <w:sz w:val="44"/>
          <w:szCs w:val="44"/>
          <w:highlight w:val="none"/>
          <w14:textFill>
            <w14:solidFill>
              <w14:schemeClr w14:val="tx1"/>
            </w14:solidFill>
          </w14:textFill>
        </w:rPr>
      </w:pPr>
      <w:r>
        <w:rPr>
          <w:rFonts w:hint="eastAsia" w:ascii="宋体" w:hAnsi="宋体" w:cs="宋体"/>
          <w:color w:val="000000" w:themeColor="text1"/>
          <w:kern w:val="0"/>
          <w:sz w:val="44"/>
          <w:szCs w:val="44"/>
          <w:highlight w:val="none"/>
          <w14:textFill>
            <w14:solidFill>
              <w14:schemeClr w14:val="tx1"/>
            </w14:solidFill>
          </w14:textFill>
        </w:rPr>
        <w:t>采 购 合 同（02分标格式）</w:t>
      </w:r>
    </w:p>
    <w:p w14:paraId="75CEF047">
      <w:pPr>
        <w:shd w:val="clear"/>
        <w:autoSpaceDE w:val="0"/>
        <w:autoSpaceDN w:val="0"/>
        <w:adjustRightInd w:val="0"/>
        <w:jc w:val="left"/>
        <w:rPr>
          <w:rFonts w:ascii="宋体" w:hAnsi="宋体" w:cs="宋体"/>
          <w:color w:val="000000" w:themeColor="text1"/>
          <w:kern w:val="0"/>
          <w:sz w:val="28"/>
          <w:szCs w:val="28"/>
          <w:highlight w:val="none"/>
          <w14:textFill>
            <w14:solidFill>
              <w14:schemeClr w14:val="tx1"/>
            </w14:solidFill>
          </w14:textFill>
        </w:rPr>
      </w:pPr>
    </w:p>
    <w:p w14:paraId="5C0E9699">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采购人（甲方）：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14:paraId="1D2767E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成交供应商（乙方）：</w:t>
      </w:r>
      <w:r>
        <w:rPr>
          <w:rFonts w:hint="eastAsia" w:ascii="宋体" w:hAnsi="宋体" w:cs="宋体"/>
          <w:color w:val="000000" w:themeColor="text1"/>
          <w:szCs w:val="21"/>
          <w:highlight w:val="none"/>
          <w:u w:val="single"/>
          <w14:textFill>
            <w14:solidFill>
              <w14:schemeClr w14:val="tx1"/>
            </w14:solidFill>
          </w14:textFill>
        </w:rPr>
        <w:t xml:space="preserve">                                </w:t>
      </w:r>
    </w:p>
    <w:p w14:paraId="1933BB4A">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46B9FE34">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根据《中华人民共和国民法典》、《中华人民共和国政府采购法》、《政府采购框架协议采购方式管理暂行办法》、《</w:t>
      </w:r>
      <w:r>
        <w:rPr>
          <w:rFonts w:hint="eastAsia" w:ascii="宋体" w:hAnsi="宋体" w:cs="宋体"/>
          <w:color w:val="000000" w:themeColor="text1"/>
          <w:szCs w:val="21"/>
          <w:highlight w:val="none"/>
          <w:lang w:eastAsia="zh-CN"/>
          <w14:textFill>
            <w14:solidFill>
              <w14:schemeClr w14:val="tx1"/>
            </w14:solidFill>
          </w14:textFill>
        </w:rPr>
        <w:t>2025-2027年度上思县财政投资评审服务框架协议采购</w:t>
      </w:r>
      <w:r>
        <w:rPr>
          <w:rFonts w:hint="eastAsia" w:ascii="宋体" w:hAnsi="宋体" w:cs="宋体"/>
          <w:color w:val="000000" w:themeColor="text1"/>
          <w:szCs w:val="21"/>
          <w:highlight w:val="none"/>
          <w14:textFill>
            <w14:solidFill>
              <w14:schemeClr w14:val="tx1"/>
            </w14:solidFill>
          </w14:textFill>
        </w:rPr>
        <w:t>》及其他有关法律、法规和规章的规定，遵循平等、自愿、公平和诚实信用原则，双方协商一致，订立本合同。</w:t>
      </w:r>
    </w:p>
    <w:p w14:paraId="45C59A17">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一、合同内容</w:t>
      </w:r>
    </w:p>
    <w:p w14:paraId="5879652B">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甲方委托乙方进行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协审服务工作。</w:t>
      </w:r>
    </w:p>
    <w:p w14:paraId="3355D717">
      <w:pPr>
        <w:shd w:val="clea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二、合同时间</w:t>
      </w:r>
    </w:p>
    <w:p w14:paraId="62717CC2">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日，其中初稿提交时间：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日，最终成果提交时间：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日。如遇到非乙方原因影响协审工作进度的，乙方应及时向甲方报告，经核实后，评审时间相应顺延。</w:t>
      </w:r>
    </w:p>
    <w:p w14:paraId="6715B17C">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三、服务要求</w:t>
      </w:r>
    </w:p>
    <w:p w14:paraId="522CA4D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（1）严格遵守国家的法律、法规和有关规章制度，严格遵守执业行为准则和职业道德，按现行财政投资项目评审操作规程、质量控制办法等规定的执行。</w:t>
      </w:r>
    </w:p>
    <w:p w14:paraId="00DAF52E">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严格按照现行国家标准以及相关规范，如《软件工程软件开发成本度量规范》（GB/T36964-2018）等文件要求开展定制软件开发、信息系统集成、信息系统硬件等造价审核工作，依照相关依据发表专业意见和出具成果文件，并对成果的真实性、完整性、准确性负责。</w:t>
      </w:r>
    </w:p>
    <w:p w14:paraId="0CB3C6A4">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（3）严格遵守项目评审时限要求，合理安排人员在规定时间内完成项目协审工作，向采购人提交合同规定质量和数量的成果文件及电子文档。</w:t>
      </w:r>
    </w:p>
    <w:p w14:paraId="66AC739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（4）协审人员在项目评审工程中，应恪守客观公正、实事求是的原则，确保评审工作的真实完整和准确，保证评审质量。</w:t>
      </w:r>
    </w:p>
    <w:p w14:paraId="006D2FC0">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评审报告及评审文书编制标准：评审内容完整、数据准确、依据充分，评审结论定性客观、定量准确、依据充分，核增核减原因定性准确、条理清晰，披露评审问题有理有据、分析透彻，提出评审建议措施具体、针对性强。</w:t>
      </w:r>
    </w:p>
    <w:p w14:paraId="5E41FD69">
      <w:pPr>
        <w:shd w:val="clea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四、协审服务费</w:t>
      </w:r>
    </w:p>
    <w:p w14:paraId="0067818E">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（一）工程概（预）算、工程量清单和招标控制价评审服务费计取如下：</w:t>
      </w:r>
    </w:p>
    <w:p w14:paraId="7C1BA78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1.评审服务费=基本费或效益费（二者选高值）</w:t>
      </w:r>
    </w:p>
    <w:p w14:paraId="4D9F561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2.基本费、效益费的计算</w:t>
      </w:r>
    </w:p>
    <w:p w14:paraId="010D64E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（1）基本费按经财政部门确认的审定造价实行分段累进计算，基本费=∑（工程项目审定造价（不含暂列金额）×基本费费率×难度系数）：</w:t>
      </w:r>
    </w:p>
    <w:tbl>
      <w:tblPr>
        <w:tblStyle w:val="4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606"/>
        <w:gridCol w:w="3240"/>
        <w:gridCol w:w="1472"/>
      </w:tblGrid>
      <w:tr w14:paraId="0751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2" w:hRule="atLeast"/>
          <w:jc w:val="center"/>
        </w:trPr>
        <w:tc>
          <w:tcPr>
            <w:tcW w:w="3606" w:type="dxa"/>
            <w:noWrap w:val="0"/>
            <w:vAlign w:val="center"/>
          </w:tcPr>
          <w:p w14:paraId="2FCF7A53">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审定单项造价M（万元）</w:t>
            </w:r>
          </w:p>
        </w:tc>
        <w:tc>
          <w:tcPr>
            <w:tcW w:w="3240" w:type="dxa"/>
            <w:noWrap w:val="0"/>
            <w:vAlign w:val="center"/>
          </w:tcPr>
          <w:p w14:paraId="43493AC6">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评审服务费计费标准（费率）‰</w:t>
            </w:r>
          </w:p>
        </w:tc>
        <w:tc>
          <w:tcPr>
            <w:tcW w:w="1472" w:type="dxa"/>
            <w:noWrap w:val="0"/>
            <w:vAlign w:val="center"/>
          </w:tcPr>
          <w:p w14:paraId="3F8CAB27">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备注</w:t>
            </w:r>
          </w:p>
        </w:tc>
      </w:tr>
      <w:tr w14:paraId="70B2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2B3C6B1B">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w:t>
            </w:r>
          </w:p>
        </w:tc>
        <w:tc>
          <w:tcPr>
            <w:tcW w:w="3240" w:type="dxa"/>
            <w:noWrap w:val="0"/>
            <w:vAlign w:val="center"/>
          </w:tcPr>
          <w:p w14:paraId="226ACF64">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1.461</w:t>
            </w:r>
          </w:p>
        </w:tc>
        <w:tc>
          <w:tcPr>
            <w:tcW w:w="1472" w:type="dxa"/>
            <w:vMerge w:val="restart"/>
            <w:noWrap w:val="0"/>
            <w:vAlign w:val="center"/>
          </w:tcPr>
          <w:p w14:paraId="3AD567A8">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按照分段差额累进法计算</w:t>
            </w:r>
          </w:p>
        </w:tc>
      </w:tr>
      <w:tr w14:paraId="0C3D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5F698079">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00&lt;M≤</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000</w:t>
            </w:r>
          </w:p>
        </w:tc>
        <w:tc>
          <w:tcPr>
            <w:tcW w:w="3240" w:type="dxa"/>
            <w:noWrap w:val="0"/>
            <w:vAlign w:val="center"/>
          </w:tcPr>
          <w:p w14:paraId="0BBD4163">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1.</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00</w:t>
            </w:r>
          </w:p>
        </w:tc>
        <w:tc>
          <w:tcPr>
            <w:tcW w:w="1472" w:type="dxa"/>
            <w:vMerge w:val="continue"/>
            <w:noWrap w:val="0"/>
            <w:vAlign w:val="center"/>
          </w:tcPr>
          <w:p w14:paraId="5D92E359">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489A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466E48EE">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000&lt;M≤</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w:t>
            </w:r>
          </w:p>
        </w:tc>
        <w:tc>
          <w:tcPr>
            <w:tcW w:w="3240" w:type="dxa"/>
            <w:noWrap w:val="0"/>
            <w:vAlign w:val="center"/>
          </w:tcPr>
          <w:p w14:paraId="02D310FF">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0.89</w:t>
            </w:r>
          </w:p>
        </w:tc>
        <w:tc>
          <w:tcPr>
            <w:tcW w:w="1472" w:type="dxa"/>
            <w:vMerge w:val="continue"/>
            <w:noWrap w:val="0"/>
            <w:vAlign w:val="center"/>
          </w:tcPr>
          <w:p w14:paraId="21EDBA63">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0812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59C96C00">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000&lt;M≤10000</w:t>
            </w:r>
          </w:p>
        </w:tc>
        <w:tc>
          <w:tcPr>
            <w:tcW w:w="3240" w:type="dxa"/>
            <w:noWrap w:val="0"/>
            <w:vAlign w:val="center"/>
          </w:tcPr>
          <w:p w14:paraId="4289F7D9">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0.6</w:t>
            </w:r>
          </w:p>
        </w:tc>
        <w:tc>
          <w:tcPr>
            <w:tcW w:w="1472" w:type="dxa"/>
            <w:vMerge w:val="continue"/>
            <w:noWrap w:val="0"/>
            <w:vAlign w:val="center"/>
          </w:tcPr>
          <w:p w14:paraId="3263CD70">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4520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3606" w:type="dxa"/>
            <w:noWrap w:val="0"/>
            <w:vAlign w:val="center"/>
          </w:tcPr>
          <w:p w14:paraId="30EF7AAC">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10000&lt;M≤30000</w:t>
            </w:r>
          </w:p>
        </w:tc>
        <w:tc>
          <w:tcPr>
            <w:tcW w:w="3240" w:type="dxa"/>
            <w:noWrap w:val="0"/>
            <w:vAlign w:val="center"/>
          </w:tcPr>
          <w:p w14:paraId="239D2E79">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385</w:t>
            </w:r>
          </w:p>
        </w:tc>
        <w:tc>
          <w:tcPr>
            <w:tcW w:w="1472" w:type="dxa"/>
            <w:vMerge w:val="continue"/>
            <w:noWrap w:val="0"/>
            <w:vAlign w:val="center"/>
          </w:tcPr>
          <w:p w14:paraId="7E70BF12">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r w14:paraId="7269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6" w:hRule="atLeast"/>
          <w:jc w:val="center"/>
        </w:trPr>
        <w:tc>
          <w:tcPr>
            <w:tcW w:w="3606" w:type="dxa"/>
            <w:noWrap w:val="0"/>
            <w:vAlign w:val="center"/>
          </w:tcPr>
          <w:p w14:paraId="5DC10D59">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30000&lt;M</w:t>
            </w:r>
          </w:p>
        </w:tc>
        <w:tc>
          <w:tcPr>
            <w:tcW w:w="3240" w:type="dxa"/>
            <w:noWrap w:val="0"/>
            <w:vAlign w:val="center"/>
          </w:tcPr>
          <w:p w14:paraId="15810B84">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bidi="ar"/>
                <w14:textFill>
                  <w14:solidFill>
                    <w14:schemeClr w14:val="tx1"/>
                  </w14:solidFill>
                </w14:textFill>
              </w:rPr>
              <w:t>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171</w:t>
            </w:r>
          </w:p>
        </w:tc>
        <w:tc>
          <w:tcPr>
            <w:tcW w:w="1472" w:type="dxa"/>
            <w:vMerge w:val="continue"/>
            <w:noWrap w:val="0"/>
            <w:vAlign w:val="center"/>
          </w:tcPr>
          <w:p w14:paraId="13A26215">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p>
        </w:tc>
      </w:tr>
    </w:tbl>
    <w:p w14:paraId="0473151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（2）效益费按经财政部门确认的净核减值实行分段累进计算，效益费=∑（净核减值×效益费费率×难度系数），净核减值（不含暂列金额、暂估价部分的核减），具体如下：</w:t>
      </w:r>
    </w:p>
    <w:tbl>
      <w:tblPr>
        <w:tblStyle w:val="49"/>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204"/>
        <w:gridCol w:w="2792"/>
        <w:gridCol w:w="1479"/>
      </w:tblGrid>
      <w:tr w14:paraId="05C3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24" w:type="dxa"/>
            <w:noWrap w:val="0"/>
            <w:vAlign w:val="center"/>
          </w:tcPr>
          <w:p w14:paraId="22378737">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序号</w:t>
            </w:r>
          </w:p>
        </w:tc>
        <w:tc>
          <w:tcPr>
            <w:tcW w:w="3204" w:type="dxa"/>
            <w:noWrap w:val="0"/>
            <w:vAlign w:val="center"/>
          </w:tcPr>
          <w:p w14:paraId="60FECA2B">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净核减值</w:t>
            </w:r>
          </w:p>
        </w:tc>
        <w:tc>
          <w:tcPr>
            <w:tcW w:w="2792" w:type="dxa"/>
            <w:noWrap w:val="0"/>
            <w:vAlign w:val="center"/>
          </w:tcPr>
          <w:p w14:paraId="612792C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效益费率</w:t>
            </w:r>
          </w:p>
        </w:tc>
        <w:tc>
          <w:tcPr>
            <w:tcW w:w="1479" w:type="dxa"/>
            <w:noWrap w:val="0"/>
            <w:vAlign w:val="center"/>
          </w:tcPr>
          <w:p w14:paraId="25F4A9E2">
            <w:pPr>
              <w:pStyle w:val="26"/>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备注</w:t>
            </w:r>
          </w:p>
        </w:tc>
      </w:tr>
      <w:tr w14:paraId="3C50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64D2FE1E">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w:t>
            </w:r>
          </w:p>
        </w:tc>
        <w:tc>
          <w:tcPr>
            <w:tcW w:w="3204" w:type="dxa"/>
            <w:noWrap w:val="0"/>
            <w:vAlign w:val="center"/>
          </w:tcPr>
          <w:p w14:paraId="0940946B">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净核减值≤100万元</w:t>
            </w:r>
          </w:p>
        </w:tc>
        <w:tc>
          <w:tcPr>
            <w:tcW w:w="2792" w:type="dxa"/>
            <w:noWrap w:val="0"/>
            <w:vAlign w:val="center"/>
          </w:tcPr>
          <w:p w14:paraId="32D676C0">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3%</w:t>
            </w:r>
          </w:p>
        </w:tc>
        <w:tc>
          <w:tcPr>
            <w:tcW w:w="1479" w:type="dxa"/>
            <w:vMerge w:val="restart"/>
            <w:noWrap w:val="0"/>
            <w:vAlign w:val="center"/>
          </w:tcPr>
          <w:p w14:paraId="1ADF2665">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按照分段差额累进法计算</w:t>
            </w:r>
          </w:p>
        </w:tc>
      </w:tr>
      <w:tr w14:paraId="2C71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04BBCD82">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w:t>
            </w:r>
          </w:p>
        </w:tc>
        <w:tc>
          <w:tcPr>
            <w:tcW w:w="3204" w:type="dxa"/>
            <w:noWrap w:val="0"/>
            <w:vAlign w:val="center"/>
          </w:tcPr>
          <w:p w14:paraId="0E15CC6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100万元&lt;净核减值≤300万元</w:t>
            </w:r>
          </w:p>
        </w:tc>
        <w:tc>
          <w:tcPr>
            <w:tcW w:w="2792" w:type="dxa"/>
            <w:noWrap w:val="0"/>
            <w:vAlign w:val="center"/>
          </w:tcPr>
          <w:p w14:paraId="05D9D28E">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p>
        </w:tc>
        <w:tc>
          <w:tcPr>
            <w:tcW w:w="1479" w:type="dxa"/>
            <w:vMerge w:val="continue"/>
            <w:noWrap w:val="0"/>
            <w:vAlign w:val="center"/>
          </w:tcPr>
          <w:p w14:paraId="7B02F68B">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74C0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57EA4F7D">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3</w:t>
            </w:r>
          </w:p>
        </w:tc>
        <w:tc>
          <w:tcPr>
            <w:tcW w:w="3204" w:type="dxa"/>
            <w:noWrap w:val="0"/>
            <w:vAlign w:val="center"/>
          </w:tcPr>
          <w:p w14:paraId="103A9D3A">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300万元&lt;净核减值≤500万元</w:t>
            </w:r>
          </w:p>
        </w:tc>
        <w:tc>
          <w:tcPr>
            <w:tcW w:w="2792" w:type="dxa"/>
            <w:noWrap w:val="0"/>
            <w:vAlign w:val="center"/>
          </w:tcPr>
          <w:p w14:paraId="6215AF1D">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2.64%</w:t>
            </w:r>
          </w:p>
        </w:tc>
        <w:tc>
          <w:tcPr>
            <w:tcW w:w="1479" w:type="dxa"/>
            <w:vMerge w:val="continue"/>
            <w:noWrap w:val="0"/>
            <w:vAlign w:val="center"/>
          </w:tcPr>
          <w:p w14:paraId="697A8900">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5286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noWrap w:val="0"/>
            <w:vAlign w:val="center"/>
          </w:tcPr>
          <w:p w14:paraId="68D810BA">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4</w:t>
            </w:r>
          </w:p>
        </w:tc>
        <w:tc>
          <w:tcPr>
            <w:tcW w:w="3204" w:type="dxa"/>
            <w:noWrap w:val="0"/>
            <w:vAlign w:val="center"/>
          </w:tcPr>
          <w:p w14:paraId="676F5BB6">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500万元&lt;净核减值≤1000万元</w:t>
            </w:r>
          </w:p>
        </w:tc>
        <w:tc>
          <w:tcPr>
            <w:tcW w:w="2792" w:type="dxa"/>
            <w:noWrap w:val="0"/>
            <w:vAlign w:val="center"/>
          </w:tcPr>
          <w:p w14:paraId="62A78263">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2.18%</w:t>
            </w:r>
          </w:p>
        </w:tc>
        <w:tc>
          <w:tcPr>
            <w:tcW w:w="1479" w:type="dxa"/>
            <w:vMerge w:val="continue"/>
            <w:noWrap w:val="0"/>
            <w:vAlign w:val="center"/>
          </w:tcPr>
          <w:p w14:paraId="0F12CC36">
            <w:pPr>
              <w:keepNext w:val="0"/>
              <w:keepLines w:val="0"/>
              <w:pageBreakBefore w:val="0"/>
              <w:widowControl/>
              <w:shd w:val="clear"/>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001E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24" w:type="dxa"/>
            <w:noWrap w:val="0"/>
            <w:vAlign w:val="center"/>
          </w:tcPr>
          <w:p w14:paraId="76507D4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5</w:t>
            </w:r>
          </w:p>
        </w:tc>
        <w:tc>
          <w:tcPr>
            <w:tcW w:w="3204" w:type="dxa"/>
            <w:noWrap w:val="0"/>
            <w:vAlign w:val="center"/>
          </w:tcPr>
          <w:p w14:paraId="4A9B8455">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1000万元&lt;净核减值≤1500万元</w:t>
            </w:r>
          </w:p>
        </w:tc>
        <w:tc>
          <w:tcPr>
            <w:tcW w:w="2792" w:type="dxa"/>
            <w:noWrap w:val="0"/>
            <w:vAlign w:val="center"/>
          </w:tcPr>
          <w:p w14:paraId="74B6F2C1">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1.66%</w:t>
            </w:r>
          </w:p>
        </w:tc>
        <w:tc>
          <w:tcPr>
            <w:tcW w:w="1479" w:type="dxa"/>
            <w:vMerge w:val="continue"/>
            <w:noWrap w:val="0"/>
            <w:vAlign w:val="center"/>
          </w:tcPr>
          <w:p w14:paraId="54B796BD">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r w14:paraId="37E6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4" w:type="dxa"/>
            <w:noWrap w:val="0"/>
            <w:vAlign w:val="center"/>
          </w:tcPr>
          <w:p w14:paraId="18227DED">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6</w:t>
            </w:r>
          </w:p>
        </w:tc>
        <w:tc>
          <w:tcPr>
            <w:tcW w:w="3204" w:type="dxa"/>
            <w:noWrap w:val="0"/>
            <w:vAlign w:val="center"/>
          </w:tcPr>
          <w:p w14:paraId="4D9569D0">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1500万元&lt;净核减值</w:t>
            </w:r>
          </w:p>
        </w:tc>
        <w:tc>
          <w:tcPr>
            <w:tcW w:w="2792" w:type="dxa"/>
            <w:noWrap w:val="0"/>
            <w:vAlign w:val="center"/>
          </w:tcPr>
          <w:p w14:paraId="0F7F6C6D">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0.</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415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p>
        </w:tc>
        <w:tc>
          <w:tcPr>
            <w:tcW w:w="1479" w:type="dxa"/>
            <w:vMerge w:val="continue"/>
            <w:noWrap w:val="0"/>
            <w:vAlign w:val="center"/>
          </w:tcPr>
          <w:p w14:paraId="3BBAF344">
            <w:pPr>
              <w:keepNext w:val="0"/>
              <w:keepLines w:val="0"/>
              <w:pageBreakBefore w:val="0"/>
              <w:shd w:val="clear"/>
              <w:kinsoku/>
              <w:wordWrap/>
              <w:overflowPunct/>
              <w:topLinePunct w:val="0"/>
              <w:autoSpaceDE/>
              <w:autoSpaceDN/>
              <w:bidi w:val="0"/>
              <w:adjustRightInd/>
              <w:snapToGrid/>
              <w:spacing w:line="560" w:lineRule="exact"/>
              <w:ind w:firstLine="0" w:firstLineChars="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tc>
      </w:tr>
    </w:tbl>
    <w:p w14:paraId="794EA47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p>
    <w:p w14:paraId="6547A438">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（二）评审服务费上限额：单个项目评审服务费不得超过50万元。评审服务费少于2000元的，按2000元计。</w:t>
      </w:r>
    </w:p>
    <w:p w14:paraId="61A978B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（三）难度系数</w:t>
      </w:r>
    </w:p>
    <w:p w14:paraId="212E2F4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1.水利、市政道路、给排水、公路及土地整理项目、园林绿化工程，难度系数0.8；桥梁和房建项目，难度系数为1.2；土石方工程项目，难度系数为0.6；信息化项目的难度系数为0.9；其余类型项目的难度系数为1.0；</w:t>
      </w:r>
    </w:p>
    <w:p w14:paraId="23EDDD7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2.需要到项目地调查的，难度系数为1.1（此项付费最高不超过3000元）。</w:t>
      </w:r>
    </w:p>
    <w:p w14:paraId="581437A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3.难度系数在安排评审任务时由双方确定。</w:t>
      </w:r>
    </w:p>
    <w:p w14:paraId="238E12C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（四）土石方开挖、运输、回填、弃置等因套用定额与市场价调整的均不属于付费内容。</w:t>
      </w:r>
    </w:p>
    <w:p w14:paraId="68C31909">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（五）送审的工程因漏项、错项或未按规范性文件准确计价计量等因素导致每一单位工程造价核增20万元以上的，在计算评审结论的核减金额时，上述因素造成的核增金额不冲减核减金额。</w:t>
      </w:r>
    </w:p>
    <w:p w14:paraId="24388E3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六）送审与审定所采用的材料价格信息不一致，导致审定造价与送审造价偏差大，差额超过50万元或超过审定造价的±5%以上的，计算评审服务费时，项目的净核减额应扣除该部分核增（减）额后计算评审服务费。</w:t>
      </w:r>
    </w:p>
    <w:p w14:paraId="60A677A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（七）征集人明确不属于供应商审核范围（内容）的事项，不计入工程净核减额。</w:t>
      </w:r>
    </w:p>
    <w:p w14:paraId="5A3C25D1">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（八）因非入围供应商原因需中止项目审核工作的，采购人视入围供应商完成工作量情况来计算评审服务费：</w:t>
      </w:r>
    </w:p>
    <w:p w14:paraId="0DD225F2">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1.已完成征集人委托项目初审工作的，按评审基本费30%计算；</w:t>
      </w:r>
    </w:p>
    <w:p w14:paraId="4B13C89F">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2.已完成征集人委托项目初审及对数工作的，按评审基本费50%计算。</w:t>
      </w:r>
    </w:p>
    <w:p w14:paraId="5CEF26F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3.在合同期内该项目由原供应商再次审核的，支付的评审服务费应扣除原已支付部分。</w:t>
      </w:r>
    </w:p>
    <w:p w14:paraId="48C5475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（九）因供应商自身原因中途将委托项目退回给征集人的，征集人不支付任何评审费用,且征集人有权不再委托项目或单方面终止该项目合同。</w:t>
      </w:r>
    </w:p>
    <w:p w14:paraId="550C43FC">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十）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单方面终止合同。</w:t>
      </w:r>
    </w:p>
    <w:p w14:paraId="06889FA1">
      <w:pPr>
        <w:shd w:val="clear"/>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十一</w:t>
      </w:r>
      <w:r>
        <w:rPr>
          <w:rFonts w:hint="eastAsia" w:ascii="宋体" w:hAnsi="宋体" w:cs="宋体"/>
          <w:color w:val="000000" w:themeColor="text1"/>
          <w:szCs w:val="21"/>
          <w:highlight w:val="none"/>
          <w14:textFill>
            <w14:solidFill>
              <w14:schemeClr w14:val="tx1"/>
            </w14:solidFill>
          </w14:textFill>
        </w:rPr>
        <w:t xml:space="preserve">）乙方的响应报价已包括了实施和完成协审工作所需的劳务费、技术服务费、交通、通讯、办公场地、管理费、税费和利润等费用和政策性文件规定及合同包含的所有风险、责任等各项应有的费用，除非上述费用在合同中另有说明，合同期内，费率不再调整。   </w:t>
      </w:r>
      <w:r>
        <w:rPr>
          <w:rFonts w:hint="eastAsia" w:ascii="宋体" w:hAnsi="宋体" w:cs="宋体"/>
          <w:b/>
          <w:bCs/>
          <w:color w:val="000000" w:themeColor="text1"/>
          <w:szCs w:val="21"/>
          <w:highlight w:val="none"/>
          <w14:textFill>
            <w14:solidFill>
              <w14:schemeClr w14:val="tx1"/>
            </w14:solidFill>
          </w14:textFill>
        </w:rPr>
        <w:t xml:space="preserve"> </w:t>
      </w:r>
    </w:p>
    <w:p w14:paraId="6BA2BA72">
      <w:pPr>
        <w:shd w:val="clea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五、服务费的结算与支付方式</w:t>
      </w:r>
    </w:p>
    <w:p w14:paraId="27FF7828">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1.协审服务费按以下情况分别处理：</w:t>
      </w:r>
    </w:p>
    <w:p w14:paraId="7702F194">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（1）按本合同第四条计费规定计算相应协审服务费；</w:t>
      </w:r>
    </w:p>
    <w:p w14:paraId="6802FF2B">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（2）如按上述计费规定计算相应工作协审服务费少于2000元的按2000元计。</w:t>
      </w:r>
    </w:p>
    <w:p w14:paraId="4F4C4BC3">
      <w:pPr>
        <w:shd w:val="clea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2.协审服务费按“谁委托，谁付费”的原则。支付方式：</w:t>
      </w:r>
      <w:r>
        <w:rPr>
          <w:rFonts w:hint="eastAsia" w:ascii="宋体" w:hAnsi="宋体" w:cs="宋体"/>
          <w:color w:val="000000" w:themeColor="text1"/>
          <w:szCs w:val="21"/>
          <w:highlight w:val="none"/>
          <w:u w:val="single"/>
          <w14:textFill>
            <w14:solidFill>
              <w14:schemeClr w14:val="tx1"/>
            </w14:solidFill>
          </w14:textFill>
        </w:rPr>
        <w:t xml:space="preserve">                 。</w:t>
      </w:r>
    </w:p>
    <w:p w14:paraId="1444EE6B">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3.因乙方原因中途中止协审服务工作的，由甲方与乙方协商，按实际完成的比例计取协审服务费；因乙方原因导致协审服务工作中止的，不计取协审服务费。</w:t>
      </w:r>
    </w:p>
    <w:p w14:paraId="75461E02">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4.合同履行期间，如乙方存在违法行为，在政府采购监督管理部门调查或被行政处罚期间，甲方可视情况中止合同，并通知采购人延期支付服务费。</w:t>
      </w:r>
    </w:p>
    <w:p w14:paraId="0E6162BB">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六、权利和义务</w:t>
      </w:r>
    </w:p>
    <w:p w14:paraId="2C9CCB03">
      <w:pPr>
        <w:shd w:val="clea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（一）甲方的权利及义务</w:t>
      </w:r>
    </w:p>
    <w:p w14:paraId="1A23D82F">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甲方有权按照征集人与乙方签订的框架协议、本合同等文件对乙方履约行为进行监督、管理和检查，收集并公开对乙方履行框架协议和采购合同情况的反馈与评价。如发现乙方违反框架协议或本合同的有关规定和承诺，甲方有权处以违约金、暂停委托协审任务或解除合同。</w:t>
      </w:r>
    </w:p>
    <w:p w14:paraId="47EDEECD">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2.乙方有违法违规违纪问题或违反廉洁从业规定时，甲方将解除合同并追究乙方相关责任，同时告知征集人。</w:t>
      </w:r>
    </w:p>
    <w:p w14:paraId="5A62498F">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3.甲方认为有必要时，可以约谈、询问乙方的法人代表及相关负责人，乙方不得拒绝。</w:t>
      </w:r>
    </w:p>
    <w:p w14:paraId="488F15AC">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4.甲方有权</w:t>
      </w:r>
      <w:r>
        <w:rPr>
          <w:rFonts w:hint="eastAsia" w:ascii="宋体" w:hAnsi="宋体" w:cs="宋体"/>
          <w:color w:val="000000" w:themeColor="text1"/>
          <w:szCs w:val="21"/>
          <w:highlight w:val="none"/>
          <w14:textFill>
            <w14:solidFill>
              <w14:schemeClr w14:val="tx1"/>
            </w14:solidFill>
          </w14:textFill>
        </w:rPr>
        <w:t>要求乙方提供响应文件中拟投入人员名单，要求</w:t>
      </w:r>
      <w:r>
        <w:rPr>
          <w:rFonts w:hint="eastAsia" w:ascii="宋体" w:hAnsi="宋体"/>
          <w:bCs/>
          <w:color w:val="000000" w:themeColor="text1"/>
          <w:szCs w:val="21"/>
          <w:highlight w:val="none"/>
          <w14:textFill>
            <w14:solidFill>
              <w14:schemeClr w14:val="tx1"/>
            </w14:solidFill>
          </w14:textFill>
        </w:rPr>
        <w:t>乙方的协审人员必须是响应文件中承诺的拟投入人员；有权随时了解合作过程中乙方投入人员的变动情况。</w:t>
      </w:r>
    </w:p>
    <w:p w14:paraId="6AA52E77">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5.甲方将不定期对乙方投入人员在岗情况进行检查，如发现乙方委派的</w:t>
      </w:r>
      <w:r>
        <w:rPr>
          <w:rFonts w:hint="eastAsia" w:ascii="宋体" w:hAnsi="宋体" w:cs="宋体"/>
          <w:color w:val="000000" w:themeColor="text1"/>
          <w:szCs w:val="21"/>
          <w:highlight w:val="none"/>
          <w14:textFill>
            <w14:solidFill>
              <w14:schemeClr w14:val="tx1"/>
            </w14:solidFill>
          </w14:textFill>
        </w:rPr>
        <w:t>协审人员</w:t>
      </w:r>
      <w:r>
        <w:rPr>
          <w:rFonts w:hint="eastAsia" w:ascii="宋体" w:hAnsi="宋体"/>
          <w:bCs/>
          <w:color w:val="000000" w:themeColor="text1"/>
          <w:szCs w:val="21"/>
          <w:highlight w:val="none"/>
          <w14:textFill>
            <w14:solidFill>
              <w14:schemeClr w14:val="tx1"/>
            </w14:solidFill>
          </w14:textFill>
        </w:rPr>
        <w:t>与响应文件中承诺的人员不一致，变更（或减少）人员比例≥30%或变更（或减少）人员人次≥3或变更人员的</w:t>
      </w:r>
      <w:r>
        <w:rPr>
          <w:rFonts w:hint="eastAsia" w:ascii="宋体" w:hAnsi="宋体" w:cs="宋体"/>
          <w:color w:val="000000" w:themeColor="text1"/>
          <w:szCs w:val="21"/>
          <w:highlight w:val="none"/>
          <w14:textFill>
            <w14:solidFill>
              <w14:schemeClr w14:val="tx1"/>
            </w14:solidFill>
          </w14:textFill>
        </w:rPr>
        <w:t>职称、资格证书低于该岗位拟投入人员的</w:t>
      </w:r>
      <w:r>
        <w:rPr>
          <w:rFonts w:hint="eastAsia" w:ascii="宋体" w:hAnsi="宋体"/>
          <w:bCs/>
          <w:color w:val="000000" w:themeColor="text1"/>
          <w:szCs w:val="21"/>
          <w:highlight w:val="none"/>
          <w14:textFill>
            <w14:solidFill>
              <w14:schemeClr w14:val="tx1"/>
            </w14:solidFill>
          </w14:textFill>
        </w:rPr>
        <w:t>，甲方有权将乙方违约情况告知征集人。</w:t>
      </w:r>
    </w:p>
    <w:p w14:paraId="05D784F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6.甲方有权要求乙方增加人员或更换不合格人员，在特殊情况下有权指定乙方人员从事特定项目审核，乙方应无条件增加、更换或安排相应人员。</w:t>
      </w:r>
    </w:p>
    <w:p w14:paraId="5A295779">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7.甲方有权要求乙方按时、按质、按量、按计划、按框架协议及本合同约定完成协审服务工作，有权对乙方的工作质量及进度、服务态度、廉政纪律等进行监督。</w:t>
      </w:r>
    </w:p>
    <w:p w14:paraId="0BB58F5E">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8.甲方有权随时了解乙方的工作情况和进度并提出意见建议，有权要求乙方提供审核资料（含纸质及电子版）。</w:t>
      </w:r>
    </w:p>
    <w:p w14:paraId="4D7487D8">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9.甲方有权对乙方提交的成果提出修改意见并要求乙方按修改意见完成服务工作。</w:t>
      </w:r>
    </w:p>
    <w:p w14:paraId="20CDCEF2">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10.乙方提交的成果文件及审核资料不符合要求的，甲方有权退回并要求乙方修改。</w:t>
      </w:r>
    </w:p>
    <w:p w14:paraId="0DC0F197">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11.有权合法、正确地使用</w:t>
      </w:r>
      <w:r>
        <w:rPr>
          <w:rFonts w:hint="eastAsia" w:ascii="宋体" w:hAnsi="宋体"/>
          <w:bCs/>
          <w:color w:val="000000" w:themeColor="text1"/>
          <w:szCs w:val="21"/>
          <w:highlight w:val="none"/>
          <w14:textFill>
            <w14:solidFill>
              <w14:schemeClr w14:val="tx1"/>
            </w14:solidFill>
          </w14:textFill>
        </w:rPr>
        <w:t>乙方提交的报告、文件、资料等服务成果。</w:t>
      </w:r>
    </w:p>
    <w:p w14:paraId="2E052BFE">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12.有义务向乙方提供项目协审所需资料，协调相关部门和单位配合评审工作，并及时解决乙方在协审过程中遇到的问题。</w:t>
      </w:r>
    </w:p>
    <w:p w14:paraId="3D0C4648">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13.有义务按本合同约定向乙方支付服务费用。</w:t>
      </w:r>
    </w:p>
    <w:p w14:paraId="4D3C1E3A">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14.如采购项目涉及采购标的知识产权归属的，产权归属甲方。 </w:t>
      </w:r>
    </w:p>
    <w:p w14:paraId="22F7FEB2">
      <w:pPr>
        <w:shd w:val="clea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15.采购人在中华人民共和国境内使用供应商提供的产品及服务时免受第三方提出的侵犯其专利权或其它知识产权的起诉。如第三方提出侵权指控，乙方应承担由此而引起的一切法律责任和费用。</w:t>
      </w:r>
    </w:p>
    <w:p w14:paraId="18EC1E6A">
      <w:pPr>
        <w:shd w:val="clea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（二）乙方的权利和义务</w:t>
      </w:r>
    </w:p>
    <w:p w14:paraId="6610AD37">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1.乙方应严格按照征集文件、响应文件、框架协议、采购合同和委托书的要求、承诺和约定，向甲方提供产品和服务，按时按质按量提交成果，保证甲方委托项目的评审质量和进度。</w:t>
      </w:r>
    </w:p>
    <w:p w14:paraId="40579CB0">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2.乙方及其投入人员在工作中应接受甲方的管理指导、质量和进度监督、考核评价及意见反馈等，严格履行服务承诺。</w:t>
      </w:r>
    </w:p>
    <w:p w14:paraId="74FD54D2">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3.乙方必须严格满足响应文件中承诺的人员配置。如果必须补充或更换人员，必须补充或更换优于或等同于响应文件所承诺资质的协审人员，并需取得甲方书面同意。</w:t>
      </w:r>
    </w:p>
    <w:p w14:paraId="43780653">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4.本合同有效期内，乙方投入项目的协审人员，必须是响应文件中承诺的拟投入人员，未经甲方书面要求或同意，协审人员不得调整。协审人员必须保证工作时间在岗和通信畅通。</w:t>
      </w:r>
    </w:p>
    <w:p w14:paraId="2A399DF1">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5.乙方应根据甲方提供的资料，依法依规、实事求是的开展协审工作并出具报告、资料及文件等服务成果。</w:t>
      </w:r>
    </w:p>
    <w:p w14:paraId="44C92A41">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乙方根据框架协议及本合同约定向甲方提供报告、资料、文件等服务成果后，甲方即对上述成果及其内容享有充分、完整和排他的著作权和知识产权。未经甲方书面许可，乙方不得向任何第三方提供上述成果及其内容。</w:t>
      </w:r>
    </w:p>
    <w:p w14:paraId="1A47493C">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7.乙方及其人员应履行保密义务。如乙方及其人员因违反本条约定给甲方造成损失的，乙方应承担相应的法律责任，并赔偿由此给甲方造成的一切损失。</w:t>
      </w:r>
    </w:p>
    <w:p w14:paraId="14396D6D">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8.乙方应履行回避义务。乙方如果与所协审项目（或该项目相关单位）存在利益关联或其他可能影响项目评审公正性的情形，应主动告知甲方并解除合同。乙方协审人员如果与所协审项目（或该项目相关单位）存在利益关联或其他可能影响项目评审公正性的情形，应主动告知甲方并更换协审人员。</w:t>
      </w:r>
    </w:p>
    <w:p w14:paraId="7436E3BD">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9.有义务妥善保管甲方提供的资料，并在协审任务完成后完整交回甲方。</w:t>
      </w:r>
    </w:p>
    <w:p w14:paraId="4DE70B86">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10.甲方检查乙方办公场所及人员，约谈、询问乙方法人代表及相关负责人时，乙方有义务积极配合。</w:t>
      </w:r>
    </w:p>
    <w:p w14:paraId="6C18AFAC">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11.有权按照本合同约定收取服务费用。</w:t>
      </w:r>
    </w:p>
    <w:p w14:paraId="01BA1313">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12.有权要求甲方提供项目协审所需资料，帮助协调相关部门和单位配合工作，并及时解决在协审服务中遇到的问题。</w:t>
      </w:r>
    </w:p>
    <w:p w14:paraId="55514579">
      <w:pPr>
        <w:shd w:val="clea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13.有权解释说明初审结果误差≥3%的原因。</w:t>
      </w:r>
    </w:p>
    <w:p w14:paraId="69AF0488">
      <w:pPr>
        <w:shd w:val="clear"/>
        <w:spacing w:line="360" w:lineRule="auto"/>
        <w:ind w:firstLine="422" w:firstLineChars="200"/>
        <w:rPr>
          <w:rFonts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b/>
          <w:bCs/>
          <w:color w:val="000000" w:themeColor="text1"/>
          <w:kern w:val="0"/>
          <w:szCs w:val="21"/>
          <w:highlight w:val="none"/>
          <w:lang w:val="zh-CN"/>
          <w14:textFill>
            <w14:solidFill>
              <w14:schemeClr w14:val="tx1"/>
            </w14:solidFill>
          </w14:textFill>
        </w:rPr>
        <w:t>七、双方约定</w:t>
      </w:r>
    </w:p>
    <w:p w14:paraId="56B09448">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应在采购合同规定的时间前完成协审工作，并向甲方提交成果及工程量计算底稿。向甲方提交资料的时间原则上按如下规定：（1）招标控制价（含工程量清单）协审按采购合同要求的时间完成，提交的时间应尽可能提前。如甲方提供的相关资料不齐全的，乙方向甲方提交资料的时间相应顺延。乙方应向甲方提供经甲方审核通过的招标控制价（含工程量清单）一式五份及电子文档，纸质文档须加盖中标人公章及执业印章。（2）概算、预算协审按采购合同要求的时间完成（除甲方提供主要资料滞后外），乙方应按甲方要求向甲方提供经甲方审核通过的预算成果一式四份及电子文档，纸质文档须加盖乙方公章及执业印章。（3）结算按采购合同要求的时间完成（除甲方提供主要资料滞后外），乙方应按甲方要求向甲方提供经甲方编审通过的结算成果一式四份及电子文档，纸质文档须加盖乙方公章及执业印章。（4）对于未执行《</w:t>
      </w:r>
      <w:r>
        <w:rPr>
          <w:rFonts w:hint="eastAsia" w:ascii="宋体" w:hAnsi="宋体" w:cs="宋体"/>
          <w:color w:val="000000" w:themeColor="text1"/>
          <w:szCs w:val="21"/>
          <w:highlight w:val="none"/>
          <w:lang w:eastAsia="zh-CN"/>
          <w14:textFill>
            <w14:solidFill>
              <w14:schemeClr w14:val="tx1"/>
            </w14:solidFill>
          </w14:textFill>
        </w:rPr>
        <w:t>防城港</w:t>
      </w:r>
      <w:r>
        <w:rPr>
          <w:rFonts w:hint="eastAsia" w:ascii="宋体" w:hAnsi="宋体" w:cs="宋体"/>
          <w:color w:val="000000" w:themeColor="text1"/>
          <w:szCs w:val="21"/>
          <w:highlight w:val="none"/>
          <w14:textFill>
            <w14:solidFill>
              <w14:schemeClr w14:val="tx1"/>
            </w14:solidFill>
          </w14:textFill>
        </w:rPr>
        <w:t>建设工程造价信息》的信息价或信息价缺项的材料、设备，应附上相应的询价、报价及定价资料并加盖乙方公章。</w:t>
      </w:r>
    </w:p>
    <w:p w14:paraId="1E3461D5">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2.如建设单位（或送审单位）提出与协审工作有关的疑问，乙方必须在规定的时间内提出书面答复意见，并送甲方审定后由甲方答复建设单位（或送审单位）。</w:t>
      </w:r>
    </w:p>
    <w:p w14:paraId="2670F4F6">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3.招标控制价的协审，如因工程本身的原因停止招标或只需出具工程量清单成果及工程量计算底稿的，按该项目初步成果计算协审服务费的60％支付。</w:t>
      </w:r>
    </w:p>
    <w:p w14:paraId="0432D748">
      <w:pPr>
        <w:shd w:val="clea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招标控制价的协审，如已完成并提供招标控制价，但因市场原因需调整材料价格的，不另计协审服务费；已完成并提供招标控制价，但因设计变更发生变化而需调整招标控制价的，可根据实际情况增加难度系数0.1至0.3。</w:t>
      </w:r>
    </w:p>
    <w:p w14:paraId="29023363">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5.乙方在签订采购合同后应积极主动地与甲方联系，落实具体事宜，安排充足的人员在规定的时间内完成协审工作，并将安排的该委托任务的负责人及相关审核人员姓名与联系电话书面反馈给甲方。</w:t>
      </w:r>
    </w:p>
    <w:p w14:paraId="3BFF4F22">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6.如工程项目在招标控制价（含工程量清单）、概算、预算协审过程中需要调整的，甲方立即通知乙方；如乙方在协审过程中发现问题的，应立即通知甲方。</w:t>
      </w:r>
    </w:p>
    <w:p w14:paraId="7DE394BD">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7.乙方不得将甲方委托的协审工作内容透露给除甲方以外的任何人。如发现乙方有违约情况并经查实的，甲方有权解除合同并追究乙方违约责任，并报送征集人。</w:t>
      </w:r>
    </w:p>
    <w:p w14:paraId="0D683059">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合同有效期内，甲方认为乙方实际投入的协审人员不足以满足协审任务需要或认为协审人员不称职时，可向乙方发出要求增加或更换（必要时可指定）协审人员的通知，乙方在收到通知后的2天内应增加或更换相应的协审人员，由此产生的费用由乙方自行承担。</w:t>
      </w:r>
    </w:p>
    <w:p w14:paraId="64EBC242">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乙方已接受甲方委托协审某工程项目招标控制价（含工程量清单）、概算、预算的，不能再为与该工程项目有关的建设、施工、供货等相关单位提供与该工程项目有关的造价咨询服务；如发现乙方有违规情况并经查实的，甲方有权解除合同并追究乙方违约责任，并报送征集人。</w:t>
      </w:r>
    </w:p>
    <w:p w14:paraId="3BE762B5">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乙方应向甲方提交的成果及工程量计算底稿时必须已完成内部三级审核程序，并提供各级审核人的书面审核意见。根据项目协审情况，甲方认为有需要时，将对乙方内部三级审核各级审核员进行考评，并对是否宜继续参与政府投资建设项目协审工作作出认定。如甲方认为乙方的协审和复核人员不宜再参与政府投资建设项目招标控制价（含工程量清单）、概算、预算协审工作的，乙方不得再安排其参与政府投资建设项目协审工作，甲方认为需要经乙方对其进行严格业务培训后方可再安排相应工作的，乙方必须严格执行。</w:t>
      </w:r>
    </w:p>
    <w:p w14:paraId="059CEAFE">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11.甲方认为有必要时，可以约谈、询问乙方的法人代表及相关负责人，乙方不得拒绝。</w:t>
      </w:r>
    </w:p>
    <w:p w14:paraId="3443C9BD">
      <w:pPr>
        <w:shd w:val="clear"/>
        <w:spacing w:line="360" w:lineRule="auto"/>
        <w:ind w:firstLine="420"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12.其它约定：</w:t>
      </w:r>
      <w:r>
        <w:rPr>
          <w:rFonts w:hint="eastAsia" w:ascii="宋体" w:hAnsi="宋体" w:cs="宋体"/>
          <w:color w:val="000000" w:themeColor="text1"/>
          <w:szCs w:val="21"/>
          <w:highlight w:val="none"/>
          <w:u w:val="single"/>
          <w14:textFill>
            <w14:solidFill>
              <w14:schemeClr w14:val="tx1"/>
            </w14:solidFill>
          </w14:textFill>
        </w:rPr>
        <w:t xml:space="preserve">（由甲方根据项目具体情况约定）     </w:t>
      </w:r>
    </w:p>
    <w:p w14:paraId="46C7B0EF">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八、服务评价</w:t>
      </w:r>
    </w:p>
    <w:p w14:paraId="1B57D41C">
      <w:pPr>
        <w:shd w:val="clea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框架协议将建立用户反馈和评价机制。</w:t>
      </w:r>
    </w:p>
    <w:p w14:paraId="09A0FB4D">
      <w:pPr>
        <w:shd w:val="clear"/>
        <w:spacing w:line="360" w:lineRule="auto"/>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九、违约责任</w:t>
      </w:r>
    </w:p>
    <w:p w14:paraId="425E3C56">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1.甲方违约，造成乙方损失的，应按</w:t>
      </w:r>
      <w:r>
        <w:rPr>
          <w:rFonts w:hint="eastAsia" w:ascii="宋体" w:hAnsi="宋体" w:cs="宋体"/>
          <w:color w:val="000000" w:themeColor="text1"/>
          <w:szCs w:val="21"/>
          <w:highlight w:val="none"/>
          <w14:textFill>
            <w14:solidFill>
              <w14:schemeClr w14:val="tx1"/>
            </w14:solidFill>
          </w14:textFill>
        </w:rPr>
        <w:t>《中华人民共和国民法典》</w:t>
      </w:r>
      <w:r>
        <w:rPr>
          <w:rFonts w:hint="eastAsia" w:ascii="宋体" w:hAnsi="宋体"/>
          <w:color w:val="000000" w:themeColor="text1"/>
          <w:szCs w:val="21"/>
          <w:highlight w:val="none"/>
          <w14:textFill>
            <w14:solidFill>
              <w14:schemeClr w14:val="tx1"/>
            </w14:solidFill>
          </w14:textFill>
        </w:rPr>
        <w:t>有关规定承担责任。</w:t>
      </w:r>
    </w:p>
    <w:p w14:paraId="1248F2FF">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2.乙方违约，造成甲方损失的，应按《中华人民共和国民法典》</w:t>
      </w:r>
      <w:r>
        <w:rPr>
          <w:rFonts w:hint="eastAsia" w:ascii="宋体" w:hAnsi="宋体"/>
          <w:color w:val="000000" w:themeColor="text1"/>
          <w:szCs w:val="21"/>
          <w:highlight w:val="none"/>
          <w14:textFill>
            <w14:solidFill>
              <w14:schemeClr w14:val="tx1"/>
            </w14:solidFill>
          </w14:textFill>
        </w:rPr>
        <w:t>有关规定承担责任并</w:t>
      </w:r>
      <w:r>
        <w:rPr>
          <w:rFonts w:hint="eastAsia" w:ascii="宋体" w:hAnsi="宋体" w:cs="宋体"/>
          <w:color w:val="000000" w:themeColor="text1"/>
          <w:szCs w:val="21"/>
          <w:highlight w:val="none"/>
          <w14:textFill>
            <w14:solidFill>
              <w14:schemeClr w14:val="tx1"/>
            </w14:solidFill>
          </w14:textFill>
        </w:rPr>
        <w:t>赔偿损失。</w:t>
      </w:r>
    </w:p>
    <w:p w14:paraId="238FA8E9">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3.乙方有违法违规违纪问题或违反《协审单位廉洁从业承诺书》中有关廉洁从业规定时，甲方将实行一票否决，</w:t>
      </w:r>
      <w:r>
        <w:rPr>
          <w:rFonts w:hint="eastAsia" w:ascii="宋体" w:hAnsi="宋体"/>
          <w:bCs/>
          <w:color w:val="000000" w:themeColor="text1"/>
          <w:szCs w:val="21"/>
          <w:highlight w:val="none"/>
          <w14:textFill>
            <w14:solidFill>
              <w14:schemeClr w14:val="tx1"/>
            </w14:solidFill>
          </w14:textFill>
        </w:rPr>
        <w:t>解除合同并追究乙方相关责任，同时告知征集人。</w:t>
      </w:r>
    </w:p>
    <w:p w14:paraId="793151BB">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如</w:t>
      </w:r>
      <w:r>
        <w:rPr>
          <w:color w:val="000000" w:themeColor="text1"/>
          <w:szCs w:val="21"/>
          <w:highlight w:val="none"/>
          <w14:textFill>
            <w14:solidFill>
              <w14:schemeClr w14:val="tx1"/>
            </w14:solidFill>
          </w14:textFill>
        </w:rPr>
        <w:t>因乙方原因未能履行合同或未达到合同约定</w:t>
      </w:r>
      <w:r>
        <w:rPr>
          <w:rFonts w:hint="eastAsia"/>
          <w:color w:val="000000" w:themeColor="text1"/>
          <w:szCs w:val="21"/>
          <w:highlight w:val="none"/>
          <w14:textFill>
            <w14:solidFill>
              <w14:schemeClr w14:val="tx1"/>
            </w14:solidFill>
          </w14:textFill>
        </w:rPr>
        <w:t>的</w:t>
      </w:r>
      <w:r>
        <w:rPr>
          <w:color w:val="000000" w:themeColor="text1"/>
          <w:szCs w:val="21"/>
          <w:highlight w:val="none"/>
          <w14:textFill>
            <w14:solidFill>
              <w14:schemeClr w14:val="tx1"/>
            </w14:solidFill>
          </w14:textFill>
        </w:rPr>
        <w:t>要求，甲方有权书面</w:t>
      </w:r>
      <w:r>
        <w:rPr>
          <w:rFonts w:hint="eastAsia"/>
          <w:color w:val="000000" w:themeColor="text1"/>
          <w:szCs w:val="21"/>
          <w:highlight w:val="none"/>
          <w14:textFill>
            <w14:solidFill>
              <w14:schemeClr w14:val="tx1"/>
            </w14:solidFill>
          </w14:textFill>
        </w:rPr>
        <w:t>督促</w:t>
      </w:r>
      <w:r>
        <w:rPr>
          <w:color w:val="000000" w:themeColor="text1"/>
          <w:szCs w:val="21"/>
          <w:highlight w:val="none"/>
          <w14:textFill>
            <w14:solidFill>
              <w14:schemeClr w14:val="tx1"/>
            </w14:solidFill>
          </w14:textFill>
        </w:rPr>
        <w:t>乙方履行合同，乙方应在收到甲方书面通知之日起</w:t>
      </w:r>
      <w:r>
        <w:rPr>
          <w:rFonts w:hint="eastAsia"/>
          <w:color w:val="000000" w:themeColor="text1"/>
          <w:szCs w:val="21"/>
          <w:highlight w:val="none"/>
          <w14:textFill>
            <w14:solidFill>
              <w14:schemeClr w14:val="tx1"/>
            </w14:solidFill>
          </w14:textFill>
        </w:rPr>
        <w:t>5个工作日</w:t>
      </w:r>
      <w:r>
        <w:rPr>
          <w:color w:val="000000" w:themeColor="text1"/>
          <w:szCs w:val="21"/>
          <w:highlight w:val="none"/>
          <w14:textFill>
            <w14:solidFill>
              <w14:schemeClr w14:val="tx1"/>
            </w14:solidFill>
          </w14:textFill>
        </w:rPr>
        <w:t>内给予书面答复并进行整改</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如乙方在上述时间未答复，或无故拖延履行合同，或经整改后仍未达到甲方要求，甲方有权解除合同，且</w:t>
      </w:r>
      <w:r>
        <w:rPr>
          <w:rFonts w:hint="eastAsia" w:ascii="宋体" w:hAnsi="宋体"/>
          <w:color w:val="000000" w:themeColor="text1"/>
          <w:szCs w:val="21"/>
          <w:highlight w:val="none"/>
          <w14:textFill>
            <w14:solidFill>
              <w14:schemeClr w14:val="tx1"/>
            </w14:solidFill>
          </w14:textFill>
        </w:rPr>
        <w:t>不支付给乙方任何服务费用</w:t>
      </w:r>
      <w:r>
        <w:rPr>
          <w:color w:val="000000" w:themeColor="text1"/>
          <w:szCs w:val="21"/>
          <w:highlight w:val="none"/>
          <w14:textFill>
            <w14:solidFill>
              <w14:schemeClr w14:val="tx1"/>
            </w14:solidFill>
          </w14:textFill>
        </w:rPr>
        <w:t>。</w:t>
      </w:r>
    </w:p>
    <w:p w14:paraId="3E12768C">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乙方未得到甲方同意，擅自</w:t>
      </w:r>
      <w:r>
        <w:rPr>
          <w:rFonts w:hint="eastAsia"/>
          <w:color w:val="000000" w:themeColor="text1"/>
          <w:szCs w:val="21"/>
          <w:highlight w:val="none"/>
          <w14:textFill>
            <w14:solidFill>
              <w14:schemeClr w14:val="tx1"/>
            </w14:solidFill>
          </w14:textFill>
        </w:rPr>
        <w:t>将《协审单位接审回执表》中投入本项目的协审人员</w:t>
      </w:r>
      <w:r>
        <w:rPr>
          <w:rFonts w:hint="eastAsia" w:ascii="宋体" w:hAnsi="宋体"/>
          <w:bCs/>
          <w:color w:val="000000" w:themeColor="text1"/>
          <w:szCs w:val="21"/>
          <w:highlight w:val="none"/>
          <w14:textFill>
            <w14:solidFill>
              <w14:schemeClr w14:val="tx1"/>
            </w14:solidFill>
          </w14:textFill>
        </w:rPr>
        <w:t>更换为其他人员，无论更换人员是否为响应文件中的拟投入人员</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甲方</w:t>
      </w:r>
      <w:r>
        <w:rPr>
          <w:rFonts w:hint="eastAsia"/>
          <w:color w:val="000000" w:themeColor="text1"/>
          <w:szCs w:val="21"/>
          <w:highlight w:val="none"/>
          <w14:textFill>
            <w14:solidFill>
              <w14:schemeClr w14:val="tx1"/>
            </w14:solidFill>
          </w14:textFill>
        </w:rPr>
        <w:t>都对乙方处以违约金</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更换人员是</w:t>
      </w:r>
      <w:r>
        <w:rPr>
          <w:rFonts w:hint="eastAsia" w:ascii="宋体" w:hAnsi="宋体"/>
          <w:bCs/>
          <w:color w:val="000000" w:themeColor="text1"/>
          <w:szCs w:val="21"/>
          <w:highlight w:val="none"/>
          <w14:textFill>
            <w14:solidFill>
              <w14:schemeClr w14:val="tx1"/>
            </w14:solidFill>
          </w14:textFill>
        </w:rPr>
        <w:t>响应文件中其他拟投入人员的，</w:t>
      </w:r>
      <w:r>
        <w:rPr>
          <w:rFonts w:hint="eastAsia"/>
          <w:color w:val="000000" w:themeColor="text1"/>
          <w:szCs w:val="21"/>
          <w:highlight w:val="none"/>
          <w14:textFill>
            <w14:solidFill>
              <w14:schemeClr w14:val="tx1"/>
            </w14:solidFill>
          </w14:textFill>
        </w:rPr>
        <w:t>处以违约金</w:t>
      </w:r>
      <w:r>
        <w:rPr>
          <w:rFonts w:hint="eastAsia" w:ascii="宋体" w:hAnsi="宋体"/>
          <w:color w:val="000000" w:themeColor="text1"/>
          <w:szCs w:val="21"/>
          <w:highlight w:val="none"/>
          <w14:textFill>
            <w14:solidFill>
              <w14:schemeClr w14:val="tx1"/>
            </w14:solidFill>
          </w14:textFill>
        </w:rPr>
        <w:t>5000元/人</w:t>
      </w:r>
      <w:r>
        <w:rPr>
          <w:rFonts w:hint="eastAsia"/>
          <w:color w:val="000000" w:themeColor="text1"/>
          <w:szCs w:val="21"/>
          <w:highlight w:val="none"/>
          <w14:textFill>
            <w14:solidFill>
              <w14:schemeClr w14:val="tx1"/>
            </w14:solidFill>
          </w14:textFill>
        </w:rPr>
        <w:t>；更换人员不是</w:t>
      </w:r>
      <w:r>
        <w:rPr>
          <w:rFonts w:hint="eastAsia" w:ascii="宋体" w:hAnsi="宋体"/>
          <w:bCs/>
          <w:color w:val="000000" w:themeColor="text1"/>
          <w:szCs w:val="21"/>
          <w:highlight w:val="none"/>
          <w14:textFill>
            <w14:solidFill>
              <w14:schemeClr w14:val="tx1"/>
            </w14:solidFill>
          </w14:textFill>
        </w:rPr>
        <w:t>响应文件中拟投入人员的，</w:t>
      </w:r>
      <w:r>
        <w:rPr>
          <w:rFonts w:hint="eastAsia"/>
          <w:color w:val="000000" w:themeColor="text1"/>
          <w:szCs w:val="21"/>
          <w:highlight w:val="none"/>
          <w14:textFill>
            <w14:solidFill>
              <w14:schemeClr w14:val="tx1"/>
            </w14:solidFill>
          </w14:textFill>
        </w:rPr>
        <w:t>处以违约金</w:t>
      </w:r>
      <w:r>
        <w:rPr>
          <w:rFonts w:hint="eastAsia" w:ascii="宋体" w:hAnsi="宋体"/>
          <w:color w:val="000000" w:themeColor="text1"/>
          <w:szCs w:val="21"/>
          <w:highlight w:val="none"/>
          <w14:textFill>
            <w14:solidFill>
              <w14:schemeClr w14:val="tx1"/>
            </w14:solidFill>
          </w14:textFill>
        </w:rPr>
        <w:t>10000元/人。</w:t>
      </w:r>
    </w:p>
    <w:p w14:paraId="3B1D0FF2">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6.甲方检查发现</w:t>
      </w:r>
      <w:r>
        <w:rPr>
          <w:rFonts w:hint="eastAsia" w:ascii="宋体" w:hAnsi="宋体"/>
          <w:color w:val="000000" w:themeColor="text1"/>
          <w:szCs w:val="21"/>
          <w:highlight w:val="none"/>
          <w14:textFill>
            <w14:solidFill>
              <w14:schemeClr w14:val="tx1"/>
            </w14:solidFill>
          </w14:textFill>
        </w:rPr>
        <w:t>乙方委派的</w:t>
      </w:r>
      <w:r>
        <w:rPr>
          <w:rFonts w:hint="eastAsia" w:ascii="宋体" w:hAnsi="宋体" w:cs="宋体"/>
          <w:color w:val="000000" w:themeColor="text1"/>
          <w:szCs w:val="21"/>
          <w:highlight w:val="none"/>
          <w14:textFill>
            <w14:solidFill>
              <w14:schemeClr w14:val="tx1"/>
            </w14:solidFill>
          </w14:textFill>
        </w:rPr>
        <w:t>协审人员</w:t>
      </w:r>
      <w:r>
        <w:rPr>
          <w:rFonts w:hint="eastAsia" w:ascii="宋体" w:hAnsi="宋体"/>
          <w:bCs/>
          <w:color w:val="000000" w:themeColor="text1"/>
          <w:szCs w:val="21"/>
          <w:highlight w:val="none"/>
          <w14:textFill>
            <w14:solidFill>
              <w14:schemeClr w14:val="tx1"/>
            </w14:solidFill>
          </w14:textFill>
        </w:rPr>
        <w:t>与响应文件中承诺的人员不一致，变更（或减少）人员比例≥30%或变更（或减少）人员人次≥3或变更人员的</w:t>
      </w:r>
      <w:r>
        <w:rPr>
          <w:rFonts w:hint="eastAsia" w:ascii="宋体" w:hAnsi="宋体" w:cs="宋体"/>
          <w:color w:val="000000" w:themeColor="text1"/>
          <w:szCs w:val="21"/>
          <w:highlight w:val="none"/>
          <w14:textFill>
            <w14:solidFill>
              <w14:schemeClr w14:val="tx1"/>
            </w14:solidFill>
          </w14:textFill>
        </w:rPr>
        <w:t>职称、资格证书低于该岗位拟投入人员的</w:t>
      </w:r>
      <w:r>
        <w:rPr>
          <w:rFonts w:hint="eastAsia" w:ascii="宋体" w:hAnsi="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甲方暂停委托乙方协审任务。</w:t>
      </w:r>
    </w:p>
    <w:p w14:paraId="5080951C">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7.乙方应在采购合同规定时间内完成项目协审任务，如乙方无正当理由逾期交回初审结果，</w:t>
      </w:r>
      <w:r>
        <w:rPr>
          <w:color w:val="000000" w:themeColor="text1"/>
          <w:szCs w:val="21"/>
          <w:highlight w:val="none"/>
          <w14:textFill>
            <w14:solidFill>
              <w14:schemeClr w14:val="tx1"/>
            </w14:solidFill>
          </w14:textFill>
        </w:rPr>
        <w:t>甲方</w:t>
      </w:r>
      <w:r>
        <w:rPr>
          <w:rFonts w:hint="eastAsia"/>
          <w:color w:val="000000" w:themeColor="text1"/>
          <w:szCs w:val="21"/>
          <w:highlight w:val="none"/>
          <w14:textFill>
            <w14:solidFill>
              <w14:schemeClr w14:val="tx1"/>
            </w14:solidFill>
          </w14:textFill>
        </w:rPr>
        <w:t>对乙方处以违约金</w:t>
      </w:r>
      <w:r>
        <w:rPr>
          <w:rFonts w:hint="eastAsia" w:ascii="宋体" w:hAnsi="宋体"/>
          <w:color w:val="000000" w:themeColor="text1"/>
          <w:szCs w:val="21"/>
          <w:highlight w:val="none"/>
          <w14:textFill>
            <w14:solidFill>
              <w14:schemeClr w14:val="tx1"/>
            </w14:solidFill>
          </w14:textFill>
        </w:rPr>
        <w:t>1000元/天，上限为10000元</w:t>
      </w:r>
      <w:r>
        <w:rPr>
          <w:color w:val="000000" w:themeColor="text1"/>
          <w:szCs w:val="21"/>
          <w:highlight w:val="none"/>
          <w14:textFill>
            <w14:solidFill>
              <w14:schemeClr w14:val="tx1"/>
            </w14:solidFill>
          </w14:textFill>
        </w:rPr>
        <w:t>。</w:t>
      </w:r>
    </w:p>
    <w:p w14:paraId="579C19DF">
      <w:pPr>
        <w:shd w:val="clea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8.甲方对乙方提交的初审结果进行复审，复审审定结果属于乙方质量原因造成的误差（绝对值累计，正负误差不抵消）≥3%时，</w:t>
      </w:r>
      <w:r>
        <w:rPr>
          <w:color w:val="000000" w:themeColor="text1"/>
          <w:szCs w:val="21"/>
          <w:highlight w:val="none"/>
          <w14:textFill>
            <w14:solidFill>
              <w14:schemeClr w14:val="tx1"/>
            </w14:solidFill>
          </w14:textFill>
        </w:rPr>
        <w:t>甲方</w:t>
      </w:r>
      <w:r>
        <w:rPr>
          <w:rFonts w:hint="eastAsia"/>
          <w:color w:val="000000" w:themeColor="text1"/>
          <w:szCs w:val="21"/>
          <w:highlight w:val="none"/>
          <w14:textFill>
            <w14:solidFill>
              <w14:schemeClr w14:val="tx1"/>
            </w14:solidFill>
          </w14:textFill>
        </w:rPr>
        <w:t>对乙方处以违约金</w:t>
      </w:r>
      <w:r>
        <w:rPr>
          <w:rFonts w:hint="eastAsia" w:ascii="宋体" w:hAnsi="宋体"/>
          <w:color w:val="000000" w:themeColor="text1"/>
          <w:szCs w:val="21"/>
          <w:highlight w:val="none"/>
          <w14:textFill>
            <w14:solidFill>
              <w14:schemeClr w14:val="tx1"/>
            </w14:solidFill>
          </w14:textFill>
        </w:rPr>
        <w:t>10000元/次</w:t>
      </w:r>
      <w:r>
        <w:rPr>
          <w:color w:val="000000" w:themeColor="text1"/>
          <w:szCs w:val="21"/>
          <w:highlight w:val="none"/>
          <w14:textFill>
            <w14:solidFill>
              <w14:schemeClr w14:val="tx1"/>
            </w14:solidFill>
          </w14:textFill>
        </w:rPr>
        <w:t>。</w:t>
      </w:r>
    </w:p>
    <w:p w14:paraId="042A08EB">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9.如乙方不接受甲方委托，应在2个工作日内向甲方书面说明不接受委托的原因，否则甲方</w:t>
      </w:r>
      <w:r>
        <w:rPr>
          <w:rFonts w:hint="eastAsia" w:ascii="宋体" w:hAnsi="宋体"/>
          <w:bCs/>
          <w:color w:val="000000" w:themeColor="text1"/>
          <w:szCs w:val="21"/>
          <w:highlight w:val="none"/>
          <w14:textFill>
            <w14:solidFill>
              <w14:schemeClr w14:val="tx1"/>
            </w14:solidFill>
          </w14:textFill>
        </w:rPr>
        <w:t>暂停委托乙方协审任务</w:t>
      </w:r>
      <w:r>
        <w:rPr>
          <w:rFonts w:hint="eastAsia" w:ascii="宋体" w:hAnsi="宋体"/>
          <w:color w:val="000000" w:themeColor="text1"/>
          <w:szCs w:val="21"/>
          <w:highlight w:val="none"/>
          <w14:textFill>
            <w14:solidFill>
              <w14:schemeClr w14:val="tx1"/>
            </w14:solidFill>
          </w14:textFill>
        </w:rPr>
        <w:t>，直到乙方提交书面说明。</w:t>
      </w:r>
    </w:p>
    <w:p w14:paraId="6C27D944">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10.乙方损坏或丢失甲方提供的审核资料或擅自接收项目相关单位补充资料的，乙方应承担由此造成的全部经济和法律责任。出现第1次，</w:t>
      </w:r>
      <w:r>
        <w:rPr>
          <w:color w:val="000000" w:themeColor="text1"/>
          <w:szCs w:val="21"/>
          <w:highlight w:val="none"/>
          <w14:textFill>
            <w14:solidFill>
              <w14:schemeClr w14:val="tx1"/>
            </w14:solidFill>
          </w14:textFill>
        </w:rPr>
        <w:t>甲方</w:t>
      </w:r>
      <w:r>
        <w:rPr>
          <w:rFonts w:hint="eastAsia"/>
          <w:color w:val="000000" w:themeColor="text1"/>
          <w:szCs w:val="21"/>
          <w:highlight w:val="none"/>
          <w14:textFill>
            <w14:solidFill>
              <w14:schemeClr w14:val="tx1"/>
            </w14:solidFill>
          </w14:textFill>
        </w:rPr>
        <w:t>对乙方处以违约金</w:t>
      </w:r>
      <w:r>
        <w:rPr>
          <w:rFonts w:hint="eastAsia" w:ascii="宋体" w:hAnsi="宋体"/>
          <w:color w:val="000000" w:themeColor="text1"/>
          <w:szCs w:val="21"/>
          <w:highlight w:val="none"/>
          <w14:textFill>
            <w14:solidFill>
              <w14:schemeClr w14:val="tx1"/>
            </w14:solidFill>
          </w14:textFill>
        </w:rPr>
        <w:t>10000元；出现第2次，</w:t>
      </w:r>
      <w:r>
        <w:rPr>
          <w:rFonts w:hint="eastAsia" w:ascii="宋体" w:hAnsi="宋体" w:cs="宋体"/>
          <w:color w:val="000000" w:themeColor="text1"/>
          <w:szCs w:val="21"/>
          <w:highlight w:val="none"/>
          <w14:textFill>
            <w14:solidFill>
              <w14:schemeClr w14:val="tx1"/>
            </w14:solidFill>
          </w14:textFill>
        </w:rPr>
        <w:t>甲方解除合同且</w:t>
      </w:r>
      <w:r>
        <w:rPr>
          <w:rFonts w:hint="eastAsia" w:ascii="宋体" w:hAnsi="宋体"/>
          <w:color w:val="000000" w:themeColor="text1"/>
          <w:szCs w:val="21"/>
          <w:highlight w:val="none"/>
          <w14:textFill>
            <w14:solidFill>
              <w14:schemeClr w14:val="tx1"/>
            </w14:solidFill>
          </w14:textFill>
        </w:rPr>
        <w:t>不支付给乙方任何服务费用</w:t>
      </w:r>
      <w:r>
        <w:rPr>
          <w:rFonts w:hint="eastAsia" w:ascii="宋体" w:hAnsi="宋体" w:cs="宋体"/>
          <w:color w:val="000000" w:themeColor="text1"/>
          <w:szCs w:val="21"/>
          <w:highlight w:val="none"/>
          <w14:textFill>
            <w14:solidFill>
              <w14:schemeClr w14:val="tx1"/>
            </w14:solidFill>
          </w14:textFill>
        </w:rPr>
        <w:t>。</w:t>
      </w:r>
    </w:p>
    <w:p w14:paraId="4FA2172D">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11.如乙方在未出具任何审核结论的情况下，因自身原因中途将委托项目退回给甲方的，合同解除，甲方不支付给乙方任何服务费用。</w:t>
      </w:r>
    </w:p>
    <w:p w14:paraId="25C29BE4">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12.乙方将甲方安排的协审项目转交第三方的，合同解除，甲方不支付给乙方任何服务费用。</w:t>
      </w:r>
    </w:p>
    <w:p w14:paraId="76BA7B0D">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13.乙方拒绝甲方约谈、询问的，甲方暂停委托乙方协审任务，直至乙方相关人员接受甲方约谈、询问为止。</w:t>
      </w:r>
    </w:p>
    <w:p w14:paraId="5E44511C">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乙方提供的服务如侵犯了第三方合法权益而引发的任何纠纷或诉讼，均由乙方负责交涉并承担全部责任。</w:t>
      </w:r>
    </w:p>
    <w:p w14:paraId="45BA33FF">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15.甲方将乙方的违约情况反馈给征集人；认为有必要的，可以给予乙方通报处理，并将乙方不良记录报送至行业主管部门。</w:t>
      </w:r>
    </w:p>
    <w:p w14:paraId="400D1646">
      <w:pPr>
        <w:shd w:val="clea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十、不可抗力事件处理</w:t>
      </w:r>
    </w:p>
    <w:p w14:paraId="44B98BF3">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1.不可抗力事件发生后，应立即通知对方，并附送有关权威机构出具的证明。</w:t>
      </w:r>
    </w:p>
    <w:p w14:paraId="08E30460">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2.不可抗力事件延续120天以上，双方应通过友好协商，确定是否继续履行合同。</w:t>
      </w:r>
    </w:p>
    <w:p w14:paraId="15A58548">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十一、诉讼</w:t>
      </w:r>
    </w:p>
    <w:p w14:paraId="01408140">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双方在执行合同中所发生的一切争议，应通过协商解决。如协商不成，双方可就争议共同提请自治区或</w:t>
      </w:r>
      <w:r>
        <w:rPr>
          <w:rFonts w:hint="eastAsia" w:ascii="宋体" w:hAnsi="宋体" w:cs="宋体"/>
          <w:color w:val="000000" w:themeColor="text1"/>
          <w:szCs w:val="21"/>
          <w:highlight w:val="none"/>
          <w:lang w:eastAsia="zh-CN"/>
          <w14:textFill>
            <w14:solidFill>
              <w14:schemeClr w14:val="tx1"/>
            </w14:solidFill>
          </w14:textFill>
        </w:rPr>
        <w:t>防城港</w:t>
      </w:r>
      <w:r>
        <w:rPr>
          <w:rFonts w:hint="eastAsia" w:ascii="宋体" w:hAnsi="宋体" w:cs="宋体"/>
          <w:color w:val="000000" w:themeColor="text1"/>
          <w:szCs w:val="21"/>
          <w:highlight w:val="none"/>
          <w14:textFill>
            <w14:solidFill>
              <w14:schemeClr w14:val="tx1"/>
            </w14:solidFill>
          </w14:textFill>
        </w:rPr>
        <w:t>市工程造价管理机构进行裁定，也可向合同签订地法院起诉，合同签订地在此约定为</w:t>
      </w:r>
      <w:r>
        <w:rPr>
          <w:rFonts w:hint="eastAsia" w:ascii="宋体" w:hAnsi="宋体" w:cs="宋体"/>
          <w:color w:val="000000" w:themeColor="text1"/>
          <w:szCs w:val="21"/>
          <w:highlight w:val="none"/>
          <w:lang w:val="en-US" w:eastAsia="zh-CN"/>
          <w14:textFill>
            <w14:solidFill>
              <w14:schemeClr w14:val="tx1"/>
            </w14:solidFill>
          </w14:textFill>
        </w:rPr>
        <w:t>上思县</w:t>
      </w:r>
      <w:r>
        <w:rPr>
          <w:rFonts w:hint="eastAsia" w:ascii="宋体" w:hAnsi="宋体" w:cs="宋体"/>
          <w:color w:val="000000" w:themeColor="text1"/>
          <w:szCs w:val="21"/>
          <w:highlight w:val="none"/>
          <w14:textFill>
            <w14:solidFill>
              <w14:schemeClr w14:val="tx1"/>
            </w14:solidFill>
          </w14:textFill>
        </w:rPr>
        <w:t>。</w:t>
      </w:r>
    </w:p>
    <w:p w14:paraId="3C61CECB">
      <w:pPr>
        <w:shd w:val="clea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十二、合同生效及其它</w:t>
      </w:r>
    </w:p>
    <w:p w14:paraId="3223B749">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1.合同经双方法定代表人或授权委托代理人签字并加盖单位公章后生效。</w:t>
      </w:r>
    </w:p>
    <w:p w14:paraId="3A196321">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2.合同执行中，如需修改或补充合同内容，由双方协商另签署书面修改或补充协议作为主合同不可分割的一部分。</w:t>
      </w:r>
    </w:p>
    <w:p w14:paraId="49B011BE">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14:paraId="0F9F7155">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4.本合同未尽事宜，遵照《中华人民共和国民法典》有关条文执行。</w:t>
      </w:r>
    </w:p>
    <w:p w14:paraId="1F991A32">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5.本合同一式肆份，具有同等法律效力，甲乙双方各执贰份。</w:t>
      </w:r>
    </w:p>
    <w:p w14:paraId="2042F136">
      <w:pPr>
        <w:pStyle w:val="26"/>
        <w:shd w:val="clear"/>
        <w:spacing w:line="360" w:lineRule="auto"/>
        <w:rPr>
          <w:rFonts w:hAnsi="宋体" w:cs="宋体"/>
          <w:color w:val="000000" w:themeColor="text1"/>
          <w:highlight w:val="none"/>
          <w14:textFill>
            <w14:solidFill>
              <w14:schemeClr w14:val="tx1"/>
            </w14:solidFill>
          </w14:textFill>
        </w:rPr>
      </w:pPr>
    </w:p>
    <w:p w14:paraId="4F39AE23">
      <w:pPr>
        <w:pStyle w:val="26"/>
        <w:shd w:val="clear"/>
        <w:spacing w:line="360" w:lineRule="auto"/>
        <w:rPr>
          <w:rFonts w:hAnsi="宋体" w:cs="宋体"/>
          <w:color w:val="000000" w:themeColor="text1"/>
          <w:sz w:val="21"/>
          <w:szCs w:val="22"/>
          <w:highlight w:val="none"/>
          <w14:textFill>
            <w14:solidFill>
              <w14:schemeClr w14:val="tx1"/>
            </w14:solidFill>
          </w14:textFill>
        </w:rPr>
      </w:pPr>
    </w:p>
    <w:p w14:paraId="0F7BCA44">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甲方：</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u w:val="single"/>
          <w:lang w:eastAsia="zh-CN"/>
          <w14:textFill>
            <w14:solidFill>
              <w14:schemeClr w14:val="tx1"/>
            </w14:solidFill>
          </w14:textFill>
        </w:rPr>
        <w:t>上思县财政局</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乙方：</w:t>
      </w:r>
      <w:r>
        <w:rPr>
          <w:rFonts w:hint="eastAsia" w:hAnsi="宋体" w:cs="宋体"/>
          <w:color w:val="000000" w:themeColor="text1"/>
          <w:sz w:val="21"/>
          <w:szCs w:val="22"/>
          <w:highlight w:val="none"/>
          <w:u w:val="single"/>
          <w14:textFill>
            <w14:solidFill>
              <w14:schemeClr w14:val="tx1"/>
            </w14:solidFill>
          </w14:textFill>
        </w:rPr>
        <w:t xml:space="preserve">                                    </w:t>
      </w:r>
    </w:p>
    <w:p w14:paraId="4541A912">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地址：</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地址：</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w:t>
      </w:r>
    </w:p>
    <w:p w14:paraId="125E3CCC">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法定代表人：</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法定代表人：</w:t>
      </w:r>
      <w:r>
        <w:rPr>
          <w:rFonts w:hint="eastAsia" w:hAnsi="宋体" w:cs="宋体"/>
          <w:color w:val="000000" w:themeColor="text1"/>
          <w:sz w:val="21"/>
          <w:szCs w:val="22"/>
          <w:highlight w:val="none"/>
          <w:u w:val="single"/>
          <w14:textFill>
            <w14:solidFill>
              <w14:schemeClr w14:val="tx1"/>
            </w14:solidFill>
          </w14:textFill>
        </w:rPr>
        <w:t xml:space="preserve">                              </w:t>
      </w:r>
    </w:p>
    <w:p w14:paraId="2FEAFE70">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委托代理人：</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委托代理人：</w:t>
      </w:r>
      <w:r>
        <w:rPr>
          <w:rFonts w:hint="eastAsia" w:hAnsi="宋体" w:cs="宋体"/>
          <w:color w:val="000000" w:themeColor="text1"/>
          <w:sz w:val="21"/>
          <w:szCs w:val="22"/>
          <w:highlight w:val="none"/>
          <w:u w:val="single"/>
          <w14:textFill>
            <w14:solidFill>
              <w14:schemeClr w14:val="tx1"/>
            </w14:solidFill>
          </w14:textFill>
        </w:rPr>
        <w:t xml:space="preserve">                              </w:t>
      </w:r>
    </w:p>
    <w:p w14:paraId="38D26489">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电话：</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电话：</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w:t>
      </w:r>
    </w:p>
    <w:p w14:paraId="0F0D93E3">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传真：</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传真：</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w:t>
      </w:r>
    </w:p>
    <w:p w14:paraId="45DB4632">
      <w:pPr>
        <w:pStyle w:val="26"/>
        <w:shd w:val="clear"/>
        <w:spacing w:line="360" w:lineRule="auto"/>
        <w:rPr>
          <w:rFonts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邮政编码：</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u w:val="single"/>
          <w:lang w:eastAsia="zh-CN"/>
          <w14:textFill>
            <w14:solidFill>
              <w14:schemeClr w14:val="tx1"/>
            </w14:solidFill>
          </w14:textFill>
        </w:rPr>
        <w:t xml:space="preserve">      </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 xml:space="preserve">    邮政编码：</w:t>
      </w:r>
      <w:r>
        <w:rPr>
          <w:rFonts w:hint="eastAsia" w:hAnsi="宋体" w:cs="宋体"/>
          <w:color w:val="000000" w:themeColor="text1"/>
          <w:sz w:val="21"/>
          <w:szCs w:val="22"/>
          <w:highlight w:val="none"/>
          <w:u w:val="single"/>
          <w14:textFill>
            <w14:solidFill>
              <w14:schemeClr w14:val="tx1"/>
            </w14:solidFill>
          </w14:textFill>
        </w:rPr>
        <w:t xml:space="preserve">                                </w:t>
      </w:r>
    </w:p>
    <w:p w14:paraId="4F994171">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 xml:space="preserve">                                              开户银行：</w:t>
      </w:r>
      <w:r>
        <w:rPr>
          <w:rFonts w:hint="eastAsia" w:hAnsi="宋体" w:cs="宋体"/>
          <w:color w:val="000000" w:themeColor="text1"/>
          <w:sz w:val="21"/>
          <w:szCs w:val="22"/>
          <w:highlight w:val="none"/>
          <w:u w:val="single"/>
          <w14:textFill>
            <w14:solidFill>
              <w14:schemeClr w14:val="tx1"/>
            </w14:solidFill>
          </w14:textFill>
        </w:rPr>
        <w:t xml:space="preserve">                                </w:t>
      </w:r>
    </w:p>
    <w:p w14:paraId="1171828C">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 xml:space="preserve">                                              开户名称：</w:t>
      </w:r>
      <w:r>
        <w:rPr>
          <w:rFonts w:hint="eastAsia" w:hAnsi="宋体" w:cs="宋体"/>
          <w:color w:val="000000" w:themeColor="text1"/>
          <w:sz w:val="21"/>
          <w:szCs w:val="22"/>
          <w:highlight w:val="none"/>
          <w:u w:val="single"/>
          <w14:textFill>
            <w14:solidFill>
              <w14:schemeClr w14:val="tx1"/>
            </w14:solidFill>
          </w14:textFill>
        </w:rPr>
        <w:t xml:space="preserve">                                </w:t>
      </w:r>
    </w:p>
    <w:p w14:paraId="428BF74D">
      <w:pPr>
        <w:pStyle w:val="26"/>
        <w:shd w:val="clear"/>
        <w:spacing w:line="360" w:lineRule="auto"/>
        <w:rPr>
          <w:rFonts w:hAnsi="宋体" w:cs="宋体"/>
          <w:color w:val="000000" w:themeColor="text1"/>
          <w:sz w:val="21"/>
          <w:szCs w:val="22"/>
          <w:highlight w:val="none"/>
          <w:u w:val="singl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 xml:space="preserve">                                              银行账号：</w:t>
      </w:r>
      <w:r>
        <w:rPr>
          <w:rFonts w:hint="eastAsia" w:hAnsi="宋体" w:cs="宋体"/>
          <w:color w:val="000000" w:themeColor="text1"/>
          <w:sz w:val="21"/>
          <w:szCs w:val="22"/>
          <w:highlight w:val="none"/>
          <w:u w:val="single"/>
          <w14:textFill>
            <w14:solidFill>
              <w14:schemeClr w14:val="tx1"/>
            </w14:solidFill>
          </w14:textFill>
        </w:rPr>
        <w:t xml:space="preserve">                                </w:t>
      </w:r>
    </w:p>
    <w:p w14:paraId="7D7C6A76">
      <w:pPr>
        <w:pStyle w:val="26"/>
        <w:shd w:val="clear"/>
        <w:spacing w:line="360" w:lineRule="auto"/>
        <w:ind w:left="0" w:leftChars="0"/>
        <w:rPr>
          <w:rFonts w:hint="eastAsia" w:hAnsi="宋体" w:cs="宋体"/>
          <w:color w:val="000000" w:themeColor="text1"/>
          <w:sz w:val="21"/>
          <w:szCs w:val="22"/>
          <w:highlight w:val="none"/>
          <w14:textFill>
            <w14:solidFill>
              <w14:schemeClr w14:val="tx1"/>
            </w14:solidFill>
          </w14:textFill>
        </w:rPr>
      </w:pPr>
      <w:r>
        <w:rPr>
          <w:rFonts w:hint="eastAsia" w:hAnsi="宋体" w:cs="宋体"/>
          <w:color w:val="000000" w:themeColor="text1"/>
          <w:sz w:val="21"/>
          <w:szCs w:val="22"/>
          <w:highlight w:val="none"/>
          <w14:textFill>
            <w14:solidFill>
              <w14:schemeClr w14:val="tx1"/>
            </w14:solidFill>
          </w14:textFill>
        </w:rPr>
        <w:t>合同签订日期：</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年</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月</w:t>
      </w:r>
      <w:r>
        <w:rPr>
          <w:rFonts w:hint="eastAsia" w:hAnsi="宋体" w:cs="宋体"/>
          <w:color w:val="000000" w:themeColor="text1"/>
          <w:sz w:val="21"/>
          <w:szCs w:val="22"/>
          <w:highlight w:val="none"/>
          <w:u w:val="single"/>
          <w14:textFill>
            <w14:solidFill>
              <w14:schemeClr w14:val="tx1"/>
            </w14:solidFill>
          </w14:textFill>
        </w:rPr>
        <w:t xml:space="preserve">    </w:t>
      </w:r>
      <w:r>
        <w:rPr>
          <w:rFonts w:hint="eastAsia" w:hAnsi="宋体" w:cs="宋体"/>
          <w:color w:val="000000" w:themeColor="text1"/>
          <w:sz w:val="21"/>
          <w:szCs w:val="22"/>
          <w:highlight w:val="none"/>
          <w14:textFill>
            <w14:solidFill>
              <w14:schemeClr w14:val="tx1"/>
            </w14:solidFill>
          </w14:textFill>
        </w:rPr>
        <w:t>日             合同签订地点：</w:t>
      </w:r>
      <w:r>
        <w:rPr>
          <w:rFonts w:hint="eastAsia" w:hAnsi="宋体" w:cs="宋体"/>
          <w:color w:val="000000" w:themeColor="text1"/>
          <w:sz w:val="21"/>
          <w:szCs w:val="22"/>
          <w:highlight w:val="none"/>
          <w:lang w:eastAsia="zh-CN"/>
          <w14:textFill>
            <w14:solidFill>
              <w14:schemeClr w14:val="tx1"/>
            </w14:solidFill>
          </w14:textFill>
        </w:rPr>
        <w:t>广西上思县</w:t>
      </w:r>
      <w:r>
        <w:rPr>
          <w:rFonts w:hint="eastAsia" w:hAnsi="宋体" w:cs="宋体"/>
          <w:color w:val="000000" w:themeColor="text1"/>
          <w:sz w:val="21"/>
          <w:szCs w:val="22"/>
          <w:highlight w:val="none"/>
          <w14:textFill>
            <w14:solidFill>
              <w14:schemeClr w14:val="tx1"/>
            </w14:solidFill>
          </w14:textFill>
        </w:rPr>
        <w:t xml:space="preserve">    </w:t>
      </w:r>
    </w:p>
    <w:p w14:paraId="12548F90">
      <w:pPr>
        <w:pStyle w:val="26"/>
        <w:shd w:val="clear"/>
        <w:spacing w:line="360" w:lineRule="auto"/>
        <w:ind w:left="0" w:leftChars="0"/>
        <w:rPr>
          <w:rFonts w:hint="eastAsia" w:hAnsi="宋体" w:cs="宋体"/>
          <w:color w:val="000000" w:themeColor="text1"/>
          <w:highlight w:val="none"/>
          <w14:textFill>
            <w14:solidFill>
              <w14:schemeClr w14:val="tx1"/>
            </w14:solidFill>
          </w14:textFill>
        </w:rPr>
      </w:pPr>
    </w:p>
    <w:p w14:paraId="1743CDD7">
      <w:pPr>
        <w:shd w:val="clear"/>
        <w:rPr>
          <w:color w:val="000000" w:themeColor="text1"/>
          <w:highlight w:val="none"/>
          <w14:textFill>
            <w14:solidFill>
              <w14:schemeClr w14:val="tx1"/>
            </w14:solidFill>
          </w14:textFill>
        </w:rPr>
      </w:pPr>
    </w:p>
    <w:p w14:paraId="6C1BF01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14:paraId="5C0D9E2E">
      <w:pPr>
        <w:shd w:val="clear"/>
        <w:rPr>
          <w:rFonts w:hint="eastAsia" w:ascii="宋体" w:hAnsi="宋体"/>
          <w:color w:val="000000" w:themeColor="text1"/>
          <w:highlight w:val="none"/>
          <w14:textFill>
            <w14:solidFill>
              <w14:schemeClr w14:val="tx1"/>
            </w14:solidFill>
          </w14:textFill>
        </w:rPr>
      </w:pPr>
    </w:p>
    <w:p w14:paraId="1B465BBB">
      <w:pPr>
        <w:pStyle w:val="2"/>
        <w:keepNext w:val="0"/>
        <w:keepLines w:val="0"/>
        <w:shd w:val="clear"/>
        <w:tabs>
          <w:tab w:val="left" w:pos="0"/>
          <w:tab w:val="left" w:pos="3165"/>
          <w:tab w:val="center" w:pos="4153"/>
        </w:tabs>
        <w:autoSpaceDE w:val="0"/>
        <w:autoSpaceDN w:val="0"/>
        <w:adjustRightInd w:val="0"/>
        <w:spacing w:before="0" w:after="0" w:line="360" w:lineRule="auto"/>
        <w:rPr>
          <w:rFonts w:ascii="宋体" w:hAnsi="宋体"/>
          <w:color w:val="000000" w:themeColor="text1"/>
          <w:highlight w:val="none"/>
          <w14:textFill>
            <w14:solidFill>
              <w14:schemeClr w14:val="tx1"/>
            </w14:solidFill>
          </w14:textFill>
        </w:rPr>
      </w:pPr>
      <w:bookmarkStart w:id="108" w:name="_Toc22189"/>
      <w:r>
        <w:rPr>
          <w:rFonts w:hint="eastAsia" w:ascii="宋体" w:hAnsi="宋体"/>
          <w:color w:val="000000" w:themeColor="text1"/>
          <w:highlight w:val="none"/>
          <w14:textFill>
            <w14:solidFill>
              <w14:schemeClr w14:val="tx1"/>
            </w14:solidFill>
          </w14:textFill>
        </w:rPr>
        <w:t>第六章 投标文件格式</w:t>
      </w:r>
      <w:bookmarkEnd w:id="108"/>
    </w:p>
    <w:p w14:paraId="77D90ABF">
      <w:pPr>
        <w:shd w:val="clear"/>
        <w:snapToGrid w:val="0"/>
        <w:spacing w:beforeLines="50" w:after="50"/>
        <w:jc w:val="center"/>
        <w:rPr>
          <w:rFonts w:ascii="宋体" w:hAnsi="宋体"/>
          <w:color w:val="000000" w:themeColor="text1"/>
          <w:highlight w:val="none"/>
          <w14:textFill>
            <w14:solidFill>
              <w14:schemeClr w14:val="tx1"/>
            </w14:solidFill>
          </w14:textFill>
        </w:rPr>
      </w:pPr>
    </w:p>
    <w:p w14:paraId="715777C9">
      <w:pPr>
        <w:shd w:val="clear"/>
        <w:spacing w:before="55" w:line="221"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第一节  响应文件封面参考格式</w:t>
      </w:r>
      <w:r>
        <w:rPr>
          <w:rFonts w:hint="eastAsia" w:ascii="宋体" w:hAnsi="宋体" w:cs="宋体"/>
          <w:color w:val="000000" w:themeColor="text1"/>
          <w:spacing w:val="-1"/>
          <w:sz w:val="28"/>
          <w:szCs w:val="28"/>
          <w:highlight w:val="none"/>
          <w:lang w:eastAsia="zh-CN"/>
          <w14:textFill>
            <w14:solidFill>
              <w14:schemeClr w14:val="tx1"/>
            </w14:solidFill>
          </w14:textFill>
        </w:rPr>
        <w:t>（</w:t>
      </w:r>
      <w:r>
        <w:rPr>
          <w:rFonts w:ascii="宋体" w:hAnsi="宋体" w:eastAsia="宋体" w:cs="宋体"/>
          <w:color w:val="000000" w:themeColor="text1"/>
          <w:spacing w:val="-1"/>
          <w:sz w:val="28"/>
          <w:szCs w:val="28"/>
          <w:highlight w:val="none"/>
          <w14:textFill>
            <w14:solidFill>
              <w14:schemeClr w14:val="tx1"/>
            </w14:solidFill>
          </w14:textFill>
        </w:rPr>
        <w:t>资格证明文件</w:t>
      </w:r>
      <w:r>
        <w:rPr>
          <w:rFonts w:hint="eastAsia" w:ascii="宋体" w:hAnsi="宋体" w:cs="宋体"/>
          <w:color w:val="000000" w:themeColor="text1"/>
          <w:spacing w:val="-1"/>
          <w:sz w:val="28"/>
          <w:szCs w:val="28"/>
          <w:highlight w:val="none"/>
          <w:lang w:eastAsia="zh-CN"/>
          <w14:textFill>
            <w14:solidFill>
              <w14:schemeClr w14:val="tx1"/>
            </w14:solidFill>
          </w14:textFill>
        </w:rPr>
        <w:t>）</w:t>
      </w:r>
      <w:r>
        <w:rPr>
          <w:rFonts w:ascii="宋体" w:hAnsi="宋体" w:eastAsia="宋体" w:cs="宋体"/>
          <w:color w:val="000000" w:themeColor="text1"/>
          <w:spacing w:val="-1"/>
          <w:sz w:val="28"/>
          <w:szCs w:val="28"/>
          <w:highlight w:val="none"/>
          <w14:textFill>
            <w14:solidFill>
              <w14:schemeClr w14:val="tx1"/>
            </w14:solidFill>
          </w14:textFill>
        </w:rPr>
        <w:t>：</w:t>
      </w:r>
    </w:p>
    <w:p w14:paraId="1B41EDAE">
      <w:pPr>
        <w:pStyle w:val="19"/>
        <w:shd w:val="clear"/>
        <w:spacing w:line="337" w:lineRule="auto"/>
        <w:rPr>
          <w:color w:val="000000" w:themeColor="text1"/>
          <w:highlight w:val="none"/>
          <w14:textFill>
            <w14:solidFill>
              <w14:schemeClr w14:val="tx1"/>
            </w14:solidFill>
          </w14:textFill>
        </w:rPr>
      </w:pPr>
    </w:p>
    <w:p w14:paraId="03A216F4">
      <w:pPr>
        <w:pStyle w:val="19"/>
        <w:shd w:val="clear"/>
        <w:spacing w:line="337" w:lineRule="auto"/>
        <w:rPr>
          <w:color w:val="000000" w:themeColor="text1"/>
          <w:highlight w:val="none"/>
          <w14:textFill>
            <w14:solidFill>
              <w14:schemeClr w14:val="tx1"/>
            </w14:solidFill>
          </w14:textFill>
        </w:rPr>
      </w:pPr>
    </w:p>
    <w:p w14:paraId="399C44D1">
      <w:pPr>
        <w:shd w:val="clear"/>
        <w:spacing w:before="231" w:line="223" w:lineRule="auto"/>
        <w:ind w:left="2635"/>
        <w:rPr>
          <w:rFonts w:ascii="宋体" w:hAnsi="宋体" w:eastAsia="宋体" w:cs="宋体"/>
          <w:color w:val="000000" w:themeColor="text1"/>
          <w:sz w:val="71"/>
          <w:szCs w:val="71"/>
          <w:highlight w:val="none"/>
          <w14:textFill>
            <w14:solidFill>
              <w14:schemeClr w14:val="tx1"/>
            </w14:solidFill>
          </w14:textFill>
        </w:rPr>
      </w:pPr>
      <w:r>
        <w:rPr>
          <w:rFonts w:ascii="宋体" w:hAnsi="宋体" w:eastAsia="宋体" w:cs="宋体"/>
          <w:color w:val="000000" w:themeColor="text1"/>
          <w:spacing w:val="-9"/>
          <w:sz w:val="71"/>
          <w:szCs w:val="71"/>
          <w:highlight w:val="none"/>
          <w14:textFill>
            <w14:solidFill>
              <w14:schemeClr w14:val="tx1"/>
            </w14:solidFill>
          </w14:textFill>
        </w:rPr>
        <w:t>电子响应文件</w:t>
      </w:r>
    </w:p>
    <w:p w14:paraId="72C9C8B1">
      <w:pPr>
        <w:pStyle w:val="19"/>
        <w:shd w:val="clear"/>
        <w:spacing w:line="276" w:lineRule="auto"/>
        <w:rPr>
          <w:color w:val="000000" w:themeColor="text1"/>
          <w:highlight w:val="none"/>
          <w14:textFill>
            <w14:solidFill>
              <w14:schemeClr w14:val="tx1"/>
            </w14:solidFill>
          </w14:textFill>
        </w:rPr>
      </w:pPr>
    </w:p>
    <w:p w14:paraId="789FA7EF">
      <w:pPr>
        <w:pStyle w:val="19"/>
        <w:shd w:val="clear"/>
        <w:spacing w:line="277" w:lineRule="auto"/>
        <w:rPr>
          <w:color w:val="000000" w:themeColor="text1"/>
          <w:highlight w:val="none"/>
          <w14:textFill>
            <w14:solidFill>
              <w14:schemeClr w14:val="tx1"/>
            </w14:solidFill>
          </w14:textFill>
        </w:rPr>
      </w:pPr>
    </w:p>
    <w:p w14:paraId="3726B231">
      <w:pPr>
        <w:pStyle w:val="19"/>
        <w:shd w:val="clear"/>
        <w:spacing w:line="277" w:lineRule="auto"/>
        <w:rPr>
          <w:color w:val="000000" w:themeColor="text1"/>
          <w:highlight w:val="none"/>
          <w14:textFill>
            <w14:solidFill>
              <w14:schemeClr w14:val="tx1"/>
            </w14:solidFill>
          </w14:textFill>
        </w:rPr>
      </w:pPr>
    </w:p>
    <w:p w14:paraId="68371D72">
      <w:pPr>
        <w:pStyle w:val="19"/>
        <w:shd w:val="clear"/>
        <w:spacing w:line="277" w:lineRule="auto"/>
        <w:rPr>
          <w:color w:val="000000" w:themeColor="text1"/>
          <w:highlight w:val="none"/>
          <w14:textFill>
            <w14:solidFill>
              <w14:schemeClr w14:val="tx1"/>
            </w14:solidFill>
          </w14:textFill>
        </w:rPr>
      </w:pPr>
    </w:p>
    <w:p w14:paraId="04505F6F">
      <w:pPr>
        <w:pStyle w:val="19"/>
        <w:shd w:val="clear"/>
        <w:spacing w:line="277" w:lineRule="auto"/>
        <w:rPr>
          <w:color w:val="000000" w:themeColor="text1"/>
          <w:highlight w:val="none"/>
          <w14:textFill>
            <w14:solidFill>
              <w14:schemeClr w14:val="tx1"/>
            </w14:solidFill>
          </w14:textFill>
        </w:rPr>
      </w:pPr>
    </w:p>
    <w:p w14:paraId="4F8A3829">
      <w:pPr>
        <w:shd w:val="clear"/>
        <w:spacing w:before="153" w:line="224" w:lineRule="auto"/>
        <w:ind w:left="3282"/>
        <w:rPr>
          <w:rFonts w:ascii="宋体" w:hAnsi="宋体" w:eastAsia="宋体" w:cs="宋体"/>
          <w:color w:val="000000" w:themeColor="text1"/>
          <w:sz w:val="47"/>
          <w:szCs w:val="47"/>
          <w:highlight w:val="none"/>
          <w14:textFill>
            <w14:solidFill>
              <w14:schemeClr w14:val="tx1"/>
            </w14:solidFill>
          </w14:textFill>
        </w:rPr>
      </w:pPr>
      <w:r>
        <w:rPr>
          <w:rFonts w:ascii="宋体" w:hAnsi="宋体" w:eastAsia="宋体" w:cs="宋体"/>
          <w:color w:val="000000" w:themeColor="text1"/>
          <w:spacing w:val="3"/>
          <w:sz w:val="47"/>
          <w:szCs w:val="47"/>
          <w:highlight w:val="none"/>
          <w14:textFill>
            <w14:solidFill>
              <w14:schemeClr w14:val="tx1"/>
            </w14:solidFill>
          </w14:textFill>
        </w:rPr>
        <w:t>资格证明文件</w:t>
      </w:r>
    </w:p>
    <w:p w14:paraId="5E043ECB">
      <w:pPr>
        <w:pStyle w:val="19"/>
        <w:shd w:val="clear"/>
        <w:spacing w:line="251" w:lineRule="auto"/>
        <w:rPr>
          <w:color w:val="000000" w:themeColor="text1"/>
          <w:highlight w:val="none"/>
          <w14:textFill>
            <w14:solidFill>
              <w14:schemeClr w14:val="tx1"/>
            </w14:solidFill>
          </w14:textFill>
        </w:rPr>
      </w:pPr>
    </w:p>
    <w:p w14:paraId="79658975">
      <w:pPr>
        <w:pStyle w:val="19"/>
        <w:shd w:val="clear"/>
        <w:spacing w:line="252" w:lineRule="auto"/>
        <w:rPr>
          <w:color w:val="000000" w:themeColor="text1"/>
          <w:highlight w:val="none"/>
          <w14:textFill>
            <w14:solidFill>
              <w14:schemeClr w14:val="tx1"/>
            </w14:solidFill>
          </w14:textFill>
        </w:rPr>
      </w:pPr>
    </w:p>
    <w:p w14:paraId="22DF0F7B">
      <w:pPr>
        <w:pStyle w:val="19"/>
        <w:shd w:val="clear"/>
        <w:spacing w:line="252" w:lineRule="auto"/>
        <w:rPr>
          <w:color w:val="000000" w:themeColor="text1"/>
          <w:highlight w:val="none"/>
          <w14:textFill>
            <w14:solidFill>
              <w14:schemeClr w14:val="tx1"/>
            </w14:solidFill>
          </w14:textFill>
        </w:rPr>
      </w:pPr>
    </w:p>
    <w:p w14:paraId="31C9CCEB">
      <w:pPr>
        <w:shd w:val="clear"/>
        <w:spacing w:before="91" w:line="545" w:lineRule="exact"/>
        <w:ind w:left="4"/>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position w:val="19"/>
          <w:sz w:val="28"/>
          <w:szCs w:val="28"/>
          <w:highlight w:val="none"/>
          <w14:textFill>
            <w14:solidFill>
              <w14:schemeClr w14:val="tx1"/>
            </w14:solidFill>
          </w14:textFill>
        </w:rPr>
        <w:t>项目名称：</w:t>
      </w:r>
    </w:p>
    <w:p w14:paraId="5923B667">
      <w:pPr>
        <w:shd w:val="clear"/>
        <w:spacing w:before="1" w:line="220" w:lineRule="auto"/>
        <w:ind w:left="4"/>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项目编号：</w:t>
      </w:r>
    </w:p>
    <w:p w14:paraId="2502EBB2">
      <w:pPr>
        <w:shd w:val="clear"/>
        <w:spacing w:before="210" w:line="544" w:lineRule="exact"/>
        <w:ind w:left="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position w:val="19"/>
          <w:sz w:val="28"/>
          <w:szCs w:val="28"/>
          <w:highlight w:val="none"/>
          <w14:textFill>
            <w14:solidFill>
              <w14:schemeClr w14:val="tx1"/>
            </w14:solidFill>
          </w14:textFill>
        </w:rPr>
        <w:t>标段：</w:t>
      </w:r>
      <w:r>
        <w:rPr>
          <w:rFonts w:ascii="宋体" w:hAnsi="宋体" w:eastAsia="宋体" w:cs="宋体"/>
          <w:color w:val="000000" w:themeColor="text1"/>
          <w:spacing w:val="-77"/>
          <w:position w:val="19"/>
          <w:sz w:val="28"/>
          <w:szCs w:val="28"/>
          <w:highlight w:val="none"/>
          <w14:textFill>
            <w14:solidFill>
              <w14:schemeClr w14:val="tx1"/>
            </w14:solidFill>
          </w14:textFill>
        </w:rPr>
        <w:t xml:space="preserve"> </w:t>
      </w:r>
      <w:r>
        <w:rPr>
          <w:rFonts w:hint="eastAsia" w:ascii="宋体" w:hAnsi="宋体" w:cs="宋体"/>
          <w:color w:val="000000" w:themeColor="text1"/>
          <w:spacing w:val="-77"/>
          <w:position w:val="19"/>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pacing w:val="-77"/>
          <w:position w:val="19"/>
          <w:sz w:val="28"/>
          <w:szCs w:val="28"/>
          <w:highlight w:val="none"/>
          <w:lang w:eastAsia="zh-CN"/>
          <w14:textFill>
            <w14:solidFill>
              <w14:schemeClr w14:val="tx1"/>
            </w14:solidFill>
          </w14:textFill>
        </w:rPr>
        <w:t>（</w:t>
      </w:r>
      <w:r>
        <w:rPr>
          <w:rFonts w:ascii="宋体" w:hAnsi="宋体" w:eastAsia="宋体" w:cs="宋体"/>
          <w:color w:val="000000" w:themeColor="text1"/>
          <w:spacing w:val="-8"/>
          <w:position w:val="19"/>
          <w:sz w:val="28"/>
          <w:szCs w:val="28"/>
          <w:highlight w:val="none"/>
          <w14:textFill>
            <w14:solidFill>
              <w14:schemeClr w14:val="tx1"/>
            </w14:solidFill>
          </w14:textFill>
        </w:rPr>
        <w:t>若无留空或写“/</w:t>
      </w:r>
      <w:r>
        <w:rPr>
          <w:rFonts w:ascii="宋体" w:hAnsi="宋体" w:eastAsia="宋体" w:cs="宋体"/>
          <w:color w:val="000000" w:themeColor="text1"/>
          <w:spacing w:val="-104"/>
          <w:position w:val="19"/>
          <w:sz w:val="28"/>
          <w:szCs w:val="28"/>
          <w:highlight w:val="none"/>
          <w14:textFill>
            <w14:solidFill>
              <w14:schemeClr w14:val="tx1"/>
            </w14:solidFill>
          </w14:textFill>
        </w:rPr>
        <w:t xml:space="preserve"> </w:t>
      </w:r>
      <w:r>
        <w:rPr>
          <w:rFonts w:ascii="宋体" w:hAnsi="宋体" w:eastAsia="宋体" w:cs="宋体"/>
          <w:color w:val="000000" w:themeColor="text1"/>
          <w:spacing w:val="-8"/>
          <w:position w:val="19"/>
          <w:sz w:val="28"/>
          <w:szCs w:val="28"/>
          <w:highlight w:val="none"/>
          <w14:textFill>
            <w14:solidFill>
              <w14:schemeClr w14:val="tx1"/>
            </w14:solidFill>
          </w14:textFill>
        </w:rPr>
        <w:t>”</w:t>
      </w:r>
      <w:r>
        <w:rPr>
          <w:rFonts w:hint="eastAsia" w:ascii="宋体" w:hAnsi="宋体" w:cs="宋体"/>
          <w:color w:val="000000" w:themeColor="text1"/>
          <w:spacing w:val="-8"/>
          <w:position w:val="19"/>
          <w:sz w:val="28"/>
          <w:szCs w:val="28"/>
          <w:highlight w:val="none"/>
          <w:lang w:eastAsia="zh-CN"/>
          <w14:textFill>
            <w14:solidFill>
              <w14:schemeClr w14:val="tx1"/>
            </w14:solidFill>
          </w14:textFill>
        </w:rPr>
        <w:t>）</w:t>
      </w:r>
    </w:p>
    <w:p w14:paraId="0652F3AE">
      <w:pPr>
        <w:shd w:val="clear"/>
        <w:spacing w:line="220"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供应商名称：</w:t>
      </w:r>
    </w:p>
    <w:p w14:paraId="5D67A003">
      <w:pPr>
        <w:shd w:val="clear"/>
        <w:spacing w:before="211" w:line="220"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供应商地址：</w:t>
      </w:r>
    </w:p>
    <w:p w14:paraId="55D1CB9B">
      <w:pPr>
        <w:shd w:val="clear"/>
        <w:spacing w:before="211" w:line="221" w:lineRule="auto"/>
        <w:ind w:left="413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8"/>
          <w:szCs w:val="28"/>
          <w:highlight w:val="none"/>
          <w14:textFill>
            <w14:solidFill>
              <w14:schemeClr w14:val="tx1"/>
            </w14:solidFill>
          </w14:textFill>
        </w:rPr>
        <w:t>年</w:t>
      </w:r>
      <w:r>
        <w:rPr>
          <w:rFonts w:ascii="宋体" w:hAnsi="宋体" w:eastAsia="宋体" w:cs="宋体"/>
          <w:color w:val="000000" w:themeColor="text1"/>
          <w:spacing w:val="17"/>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月</w:t>
      </w:r>
      <w:r>
        <w:rPr>
          <w:rFonts w:ascii="宋体" w:hAnsi="宋体" w:eastAsia="宋体" w:cs="宋体"/>
          <w:color w:val="000000" w:themeColor="text1"/>
          <w:spacing w:val="59"/>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日</w:t>
      </w:r>
    </w:p>
    <w:p w14:paraId="2A29A671">
      <w:pPr>
        <w:shd w:val="clear"/>
        <w:spacing w:line="221" w:lineRule="auto"/>
        <w:rPr>
          <w:rFonts w:ascii="宋体" w:hAnsi="宋体" w:eastAsia="宋体" w:cs="宋体"/>
          <w:color w:val="000000" w:themeColor="text1"/>
          <w:sz w:val="28"/>
          <w:szCs w:val="28"/>
          <w:highlight w:val="none"/>
          <w14:textFill>
            <w14:solidFill>
              <w14:schemeClr w14:val="tx1"/>
            </w14:solidFill>
          </w14:textFill>
        </w:rPr>
        <w:sectPr>
          <w:footerReference r:id="rId13" w:type="default"/>
          <w:pgSz w:w="11910" w:h="16840"/>
          <w:pgMar w:top="1325" w:right="1786" w:bottom="1080" w:left="1311" w:header="0" w:footer="876" w:gutter="0"/>
          <w:pgNumType w:fmt="decimal"/>
          <w:cols w:space="720" w:num="1"/>
        </w:sectPr>
      </w:pPr>
    </w:p>
    <w:p w14:paraId="0345B582">
      <w:pPr>
        <w:shd w:val="clear"/>
        <w:spacing w:before="71" w:line="228" w:lineRule="auto"/>
        <w:ind w:left="3929"/>
        <w:rPr>
          <w:rFonts w:ascii="宋体" w:hAnsi="宋体" w:eastAsia="宋体" w:cs="宋体"/>
          <w:color w:val="000000" w:themeColor="text1"/>
          <w:sz w:val="35"/>
          <w:szCs w:val="35"/>
          <w:highlight w:val="none"/>
          <w14:textFill>
            <w14:solidFill>
              <w14:schemeClr w14:val="tx1"/>
            </w14:solidFill>
          </w14:textFill>
        </w:rPr>
      </w:pPr>
      <w:r>
        <w:rPr>
          <w:rFonts w:ascii="宋体" w:hAnsi="宋体" w:eastAsia="宋体" w:cs="宋体"/>
          <w:b/>
          <w:bCs/>
          <w:color w:val="000000" w:themeColor="text1"/>
          <w:spacing w:val="-34"/>
          <w:sz w:val="35"/>
          <w:szCs w:val="35"/>
          <w:highlight w:val="none"/>
          <w14:textFill>
            <w14:solidFill>
              <w14:schemeClr w14:val="tx1"/>
            </w14:solidFill>
          </w14:textFill>
        </w:rPr>
        <w:t>目录</w:t>
      </w:r>
    </w:p>
    <w:p w14:paraId="5EE0A179">
      <w:pPr>
        <w:pStyle w:val="19"/>
        <w:shd w:val="clear"/>
        <w:spacing w:line="345" w:lineRule="auto"/>
        <w:rPr>
          <w:color w:val="000000" w:themeColor="text1"/>
          <w:highlight w:val="none"/>
          <w14:textFill>
            <w14:solidFill>
              <w14:schemeClr w14:val="tx1"/>
            </w14:solidFill>
          </w14:textFill>
        </w:rPr>
      </w:pPr>
    </w:p>
    <w:p w14:paraId="5268FB87">
      <w:pPr>
        <w:shd w:val="clear"/>
        <w:spacing w:before="91" w:line="221" w:lineRule="auto"/>
        <w:ind w:left="338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（应有页码）</w:t>
      </w:r>
    </w:p>
    <w:p w14:paraId="6338C261">
      <w:pPr>
        <w:shd w:val="clear"/>
        <w:spacing w:line="221" w:lineRule="auto"/>
        <w:rPr>
          <w:rFonts w:ascii="宋体" w:hAnsi="宋体" w:eastAsia="宋体" w:cs="宋体"/>
          <w:color w:val="000000" w:themeColor="text1"/>
          <w:sz w:val="28"/>
          <w:szCs w:val="28"/>
          <w:highlight w:val="none"/>
          <w14:textFill>
            <w14:solidFill>
              <w14:schemeClr w14:val="tx1"/>
            </w14:solidFill>
          </w14:textFill>
        </w:rPr>
        <w:sectPr>
          <w:footerReference r:id="rId14" w:type="default"/>
          <w:pgSz w:w="11910" w:h="16840"/>
          <w:pgMar w:top="1321" w:right="1786" w:bottom="1080" w:left="1786" w:header="0" w:footer="876" w:gutter="0"/>
          <w:pgNumType w:fmt="decimal"/>
          <w:cols w:space="720" w:num="1"/>
        </w:sectPr>
      </w:pPr>
    </w:p>
    <w:p w14:paraId="25ED50A1">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1.响应声明书格式：</w:t>
      </w:r>
    </w:p>
    <w:p w14:paraId="7E5A1670">
      <w:pPr>
        <w:pStyle w:val="19"/>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响应声明书</w:t>
      </w:r>
    </w:p>
    <w:p w14:paraId="0E52368D">
      <w:pPr>
        <w:pStyle w:val="19"/>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p>
    <w:p w14:paraId="44558430">
      <w:pPr>
        <w:pStyle w:val="19"/>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征集人名称</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14:paraId="6233F830">
      <w:pPr>
        <w:pStyle w:val="19"/>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供应商名称</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系中华人民共和国合法企业，</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经营地址</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14:paraId="2CF8A361">
      <w:pPr>
        <w:pStyle w:val="19"/>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姓名</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供应商名称</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的法定代表人，我方愿意参加贵方组织的</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项目名称</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项目的响应，为便于贵方公正、择优地确定入围供应商及其响应产品和服务，我方就本次响应有关事项郑重声明如下：</w:t>
      </w:r>
    </w:p>
    <w:p w14:paraId="60A47F9B">
      <w:pPr>
        <w:pStyle w:val="19"/>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（1）我方向贵方提交的所有响应文件、资料都是真实、有效和合法的。</w:t>
      </w:r>
    </w:p>
    <w:p w14:paraId="04BAA1BF">
      <w:pPr>
        <w:pStyle w:val="19"/>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（2）我方不是征集人的附属机构；也不是为本项目提供整体设计、规范编制或者项目管理、监理、检测等服务的供应商或其附属机构。</w:t>
      </w:r>
    </w:p>
    <w:p w14:paraId="5E53C11A">
      <w:pPr>
        <w:pStyle w:val="19"/>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（3）我方承诺在参加本政府采购项目活动前，没有被纳入政府部门或银行认定的失信名单，我方具有良好的商业信誉。</w:t>
      </w:r>
    </w:p>
    <w:p w14:paraId="4BA0F8EA">
      <w:pPr>
        <w:pStyle w:val="19"/>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（4）我方及本人承诺在参加本政府采购项目活动前三年内，在经营活动中没有重大违法记录及不良信用记录。重大违法记录是指供供应商因违法经营受到刑事处罚或者责令停产停业、吊销许可 证或者执照、较大数额罚款等行政处罚。如我方提供的声明不实，则自愿承担《政府采购法》有关提供虚假材料的规定给予的处罚。</w:t>
      </w:r>
    </w:p>
    <w:p w14:paraId="013CC580">
      <w:pPr>
        <w:pStyle w:val="19"/>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（5）我方承诺具有履行本项目合同所必需的设备和专业技术能力。</w:t>
      </w:r>
    </w:p>
    <w:p w14:paraId="535C9EB1">
      <w:pPr>
        <w:pStyle w:val="19"/>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（6）我方承诺未被列入失信被执行人、重大税收违法案件当事人名单、政府采购严重违法失信 行为记录名单，如我方提供的声明不实，则接受本次响应作为否决响应的处理，并根据财库〔2016〕 125 号《财政部关于在政府采购活动中查询及使用信用记录有关问题的通知》规定接受失信联合惩戒。</w:t>
      </w:r>
    </w:p>
    <w:p w14:paraId="0E4EE245">
      <w:pPr>
        <w:pStyle w:val="19"/>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（7）我方承诺自觉回避原则，入围后我方及其控股股东所属企业</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单位</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不参与征集人评审项目的施工、系统集成等相关业务，不参与所评审项目的咨询、设计等相关业务，不参与有长期合作关 系的建设单位的项目评审工作。若有违反前述规定行为，一经发现，则自愿终止协议，且不参与后续年度采购事项。</w:t>
      </w:r>
    </w:p>
    <w:p w14:paraId="3D42456A">
      <w:pPr>
        <w:pStyle w:val="19"/>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（8）我方承诺入围后按规定缴纳代理服务费。</w:t>
      </w:r>
    </w:p>
    <w:p w14:paraId="04D6F81D">
      <w:pPr>
        <w:pStyle w:val="19"/>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我方对以上声明负全部法律责任。如有虚假或隐瞒，我方愿意承担一切后果，并不再寻求任何旨在减轻或免除法律责任的辩解。</w:t>
      </w:r>
    </w:p>
    <w:p w14:paraId="6B200CE5">
      <w:pPr>
        <w:pStyle w:val="19"/>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highlight w:val="none"/>
          <w14:textFill>
            <w14:solidFill>
              <w14:schemeClr w14:val="tx1"/>
            </w14:solidFill>
          </w14:textFill>
        </w:rPr>
      </w:pPr>
    </w:p>
    <w:p w14:paraId="711F180E">
      <w:pPr>
        <w:pStyle w:val="19"/>
        <w:keepNext w:val="0"/>
        <w:keepLines w:val="0"/>
        <w:pageBreakBefore w:val="0"/>
        <w:widowControl w:val="0"/>
        <w:shd w:val="clear"/>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供应商名称</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电子签章</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14:paraId="047DECAD">
      <w:pPr>
        <w:pStyle w:val="19"/>
        <w:keepNext w:val="0"/>
        <w:keepLines w:val="0"/>
        <w:pageBreakBefore w:val="0"/>
        <w:widowControl w:val="0"/>
        <w:shd w:val="clear"/>
        <w:kinsoku/>
        <w:wordWrap/>
        <w:overflowPunct/>
        <w:topLinePunct w:val="0"/>
        <w:autoSpaceDE/>
        <w:autoSpaceDN/>
        <w:bidi w:val="0"/>
        <w:adjustRightInd/>
        <w:snapToGrid/>
        <w:spacing w:line="440" w:lineRule="exact"/>
        <w:ind w:firstLine="4800" w:firstLineChars="2000"/>
        <w:textAlignment w:val="auto"/>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年  月  日</w:t>
      </w:r>
    </w:p>
    <w:p w14:paraId="2722BCD3">
      <w:pPr>
        <w:shd w:val="clear"/>
        <w:spacing w:line="220" w:lineRule="auto"/>
        <w:rPr>
          <w:rFonts w:ascii="宋体" w:hAnsi="宋体" w:eastAsia="宋体" w:cs="宋体"/>
          <w:color w:val="000000" w:themeColor="text1"/>
          <w:sz w:val="22"/>
          <w:szCs w:val="22"/>
          <w:highlight w:val="none"/>
          <w14:textFill>
            <w14:solidFill>
              <w14:schemeClr w14:val="tx1"/>
            </w14:solidFill>
          </w14:textFill>
        </w:rPr>
        <w:sectPr>
          <w:footerReference r:id="rId15" w:type="default"/>
          <w:pgSz w:w="11910" w:h="16840"/>
          <w:pgMar w:top="1307" w:right="1146" w:bottom="1081" w:left="1309" w:header="0" w:footer="876" w:gutter="0"/>
          <w:pgNumType w:fmt="decimal"/>
          <w:cols w:space="720" w:num="1"/>
        </w:sectPr>
      </w:pPr>
    </w:p>
    <w:p w14:paraId="4FB84303">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r>
        <w:rPr>
          <w:rFonts w:hint="eastAsia" w:ascii="宋体" w:hAnsi="宋体" w:eastAsia="宋体" w:cs="宋体"/>
          <w:b/>
          <w:bCs/>
          <w:color w:val="000000" w:themeColor="text1"/>
          <w:sz w:val="22"/>
          <w:szCs w:val="28"/>
          <w:highlight w:val="none"/>
          <w14:textFill>
            <w14:solidFill>
              <w14:schemeClr w14:val="tx1"/>
            </w14:solidFill>
          </w14:textFill>
        </w:rPr>
        <w:t>2．法人或者其他组织的营业执照等证明文件、自然人的身份证明。即供应商是企业则提供营业执 照（副本）复印件；供应商是事业单位，则提供事业单位法人证书（副本）复印件；供应商是非企业专业 服务机构的，则提供执业许可证等证明文件复印件；供应商是个体工商户，则提供个体工商户营业 执照复印件；供应商是自然人，则提供有效的自然人身份证明复印件；如供应商不是以上所列的法 人、组织、自然人的，则提供国家规定的相关证明材料。（加盖供应商电子签章）。</w:t>
      </w:r>
    </w:p>
    <w:p w14:paraId="3504DC51">
      <w:pPr>
        <w:pStyle w:val="48"/>
        <w:shd w:val="clear"/>
        <w:rPr>
          <w:rFonts w:hint="eastAsia"/>
          <w:b/>
          <w:bCs/>
          <w:color w:val="000000" w:themeColor="text1"/>
          <w:highlight w:val="none"/>
          <w14:textFill>
            <w14:solidFill>
              <w14:schemeClr w14:val="tx1"/>
            </w14:solidFill>
          </w14:textFill>
        </w:rPr>
      </w:pPr>
    </w:p>
    <w:p w14:paraId="387AEBBE">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p>
    <w:p w14:paraId="73AC2FDC">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r>
        <w:rPr>
          <w:rFonts w:hint="eastAsia" w:ascii="宋体" w:hAnsi="宋体" w:eastAsia="宋体" w:cs="宋体"/>
          <w:b/>
          <w:bCs/>
          <w:color w:val="000000" w:themeColor="text1"/>
          <w:sz w:val="22"/>
          <w:szCs w:val="28"/>
          <w:highlight w:val="none"/>
          <w14:textFill>
            <w14:solidFill>
              <w14:schemeClr w14:val="tx1"/>
            </w14:solidFill>
          </w14:textFill>
        </w:rPr>
        <w:t>3.2022年</w:t>
      </w:r>
      <w:r>
        <w:rPr>
          <w:rFonts w:hint="eastAsia" w:ascii="宋体" w:hAnsi="宋体" w:cs="宋体"/>
          <w:b/>
          <w:bCs/>
          <w:color w:val="000000" w:themeColor="text1"/>
          <w:sz w:val="22"/>
          <w:szCs w:val="28"/>
          <w:highlight w:val="none"/>
          <w:lang w:val="en-US" w:eastAsia="zh-CN"/>
          <w14:textFill>
            <w14:solidFill>
              <w14:schemeClr w14:val="tx1"/>
            </w14:solidFill>
          </w14:textFill>
        </w:rPr>
        <w:t>或2023年</w:t>
      </w:r>
      <w:r>
        <w:rPr>
          <w:rFonts w:hint="eastAsia" w:ascii="宋体" w:hAnsi="宋体" w:eastAsia="宋体" w:cs="宋体"/>
          <w:b/>
          <w:bCs/>
          <w:color w:val="000000" w:themeColor="text1"/>
          <w:sz w:val="22"/>
          <w:szCs w:val="28"/>
          <w:highlight w:val="none"/>
          <w14:textFill>
            <w14:solidFill>
              <w14:schemeClr w14:val="tx1"/>
            </w14:solidFill>
          </w14:textFill>
        </w:rPr>
        <w:t>财务状况报告（表）复印件或银行出具的资信证明复印件。对于从取得营业执照时间起到截标时间为止不足1年的供应商，只需提交截标时间前一个月的财务状况报告（表）复印件。（加盖供应商电子签章）。</w:t>
      </w:r>
    </w:p>
    <w:p w14:paraId="05BCE716">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p>
    <w:p w14:paraId="7E5DA902">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p>
    <w:p w14:paraId="3E9B2304">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r>
        <w:rPr>
          <w:rFonts w:hint="eastAsia" w:ascii="宋体" w:hAnsi="宋体" w:eastAsia="宋体" w:cs="宋体"/>
          <w:b/>
          <w:bCs/>
          <w:color w:val="000000" w:themeColor="text1"/>
          <w:sz w:val="22"/>
          <w:szCs w:val="28"/>
          <w:highlight w:val="none"/>
          <w14:textFill>
            <w14:solidFill>
              <w14:schemeClr w14:val="tx1"/>
            </w14:solidFill>
          </w14:textFill>
        </w:rPr>
        <w:t>4.供应商依法缴纳税收的相关材料（</w:t>
      </w:r>
      <w:r>
        <w:rPr>
          <w:rFonts w:hint="eastAsia" w:ascii="宋体" w:hAnsi="宋体" w:cs="宋体"/>
          <w:b/>
          <w:bCs/>
          <w:color w:val="000000" w:themeColor="text1"/>
          <w:sz w:val="22"/>
          <w:szCs w:val="28"/>
          <w:highlight w:val="none"/>
          <w:lang w:val="en-US" w:eastAsia="zh-CN"/>
          <w14:textFill>
            <w14:solidFill>
              <w14:schemeClr w14:val="tx1"/>
            </w14:solidFill>
          </w14:textFill>
        </w:rPr>
        <w:t>投标文件截止之日前半年内任意连续三个月</w:t>
      </w:r>
      <w:r>
        <w:rPr>
          <w:rFonts w:hint="eastAsia" w:ascii="宋体" w:hAnsi="宋体" w:eastAsia="宋体" w:cs="宋体"/>
          <w:b/>
          <w:bCs/>
          <w:color w:val="000000" w:themeColor="text1"/>
          <w:sz w:val="22"/>
          <w:szCs w:val="28"/>
          <w:highlight w:val="none"/>
          <w14:textFill>
            <w14:solidFill>
              <w14:schemeClr w14:val="tx1"/>
            </w14:solidFill>
          </w14:textFill>
        </w:rPr>
        <w:t>的依法缴纳税收的凭据复印件；依法 免税的供应商，必须提供相应文件证明其依法免税。从成立之日起到响应文件提交截止时间止不足 要求月数的，只需提供从成立之日起的依法缴纳税收相应证明文件（加盖供应商电子签章）。</w:t>
      </w:r>
    </w:p>
    <w:p w14:paraId="2697FCA1">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p>
    <w:p w14:paraId="0E312F4D">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p>
    <w:p w14:paraId="3E42D90E">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r>
        <w:rPr>
          <w:rFonts w:hint="eastAsia" w:ascii="宋体" w:hAnsi="宋体" w:eastAsia="宋体" w:cs="宋体"/>
          <w:b/>
          <w:bCs/>
          <w:color w:val="000000" w:themeColor="text1"/>
          <w:sz w:val="22"/>
          <w:szCs w:val="28"/>
          <w:highlight w:val="none"/>
          <w14:textFill>
            <w14:solidFill>
              <w14:schemeClr w14:val="tx1"/>
            </w14:solidFill>
          </w14:textFill>
        </w:rPr>
        <w:t>5.供应商依法缴纳社会保障资金的相关材料[</w:t>
      </w:r>
      <w:r>
        <w:rPr>
          <w:rFonts w:hint="eastAsia" w:ascii="宋体" w:hAnsi="宋体" w:cs="宋体"/>
          <w:b/>
          <w:bCs/>
          <w:color w:val="000000" w:themeColor="text1"/>
          <w:sz w:val="22"/>
          <w:szCs w:val="28"/>
          <w:highlight w:val="none"/>
          <w:lang w:val="en-US" w:eastAsia="zh-CN"/>
          <w14:textFill>
            <w14:solidFill>
              <w14:schemeClr w14:val="tx1"/>
            </w14:solidFill>
          </w14:textFill>
        </w:rPr>
        <w:t>投标文件截止之日前半年内任意连续三个月</w:t>
      </w:r>
      <w:r>
        <w:rPr>
          <w:rFonts w:hint="eastAsia" w:ascii="宋体" w:hAnsi="宋体" w:eastAsia="宋体" w:cs="宋体"/>
          <w:b/>
          <w:bCs/>
          <w:color w:val="000000" w:themeColor="text1"/>
          <w:sz w:val="22"/>
          <w:szCs w:val="28"/>
          <w:highlight w:val="none"/>
          <w14:textFill>
            <w14:solidFill>
              <w14:schemeClr w14:val="tx1"/>
            </w14:solidFill>
          </w14:textFill>
        </w:rPr>
        <w:t>的依法缴纳社会保障资金的缴费凭证（专用收据或者社会保险缴纳清单）复印件；依法不需要缴纳社会保障资金的供应商，必须提供相应文件证明不需要缴纳社会保障资金。从成立之日起到响应文件提交截止时间止不足要求月数的只需提供从成立之日起的依法缴纳社会保障资金的相应证明文件]（加盖供应商电子签章）</w:t>
      </w:r>
    </w:p>
    <w:p w14:paraId="1EFA2680">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p>
    <w:p w14:paraId="069A0838">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p>
    <w:p w14:paraId="2FA810BD">
      <w:pPr>
        <w:shd w:val="clear"/>
        <w:bidi w:val="0"/>
        <w:rPr>
          <w:rFonts w:hint="eastAsia" w:ascii="宋体" w:hAnsi="宋体" w:eastAsia="宋体" w:cs="宋体"/>
          <w:b/>
          <w:bCs/>
          <w:color w:val="000000" w:themeColor="text1"/>
          <w:sz w:val="22"/>
          <w:szCs w:val="28"/>
          <w:highlight w:val="none"/>
          <w14:textFill>
            <w14:solidFill>
              <w14:schemeClr w14:val="tx1"/>
            </w14:solidFill>
          </w14:textFill>
        </w:rPr>
      </w:pPr>
      <w:r>
        <w:rPr>
          <w:rFonts w:hint="eastAsia" w:ascii="宋体" w:hAnsi="宋体" w:eastAsia="宋体" w:cs="宋体"/>
          <w:b/>
          <w:bCs/>
          <w:color w:val="000000" w:themeColor="text1"/>
          <w:sz w:val="22"/>
          <w:szCs w:val="28"/>
          <w:highlight w:val="none"/>
          <w14:textFill>
            <w14:solidFill>
              <w14:schemeClr w14:val="tx1"/>
            </w14:solidFill>
          </w14:textFill>
        </w:rPr>
        <w:t>6.具备法律、行政法规规定的其他要求的证明材料。（必须提供，否则作无效响应处理）</w:t>
      </w:r>
    </w:p>
    <w:p w14:paraId="52A35AEB">
      <w:pPr>
        <w:keepNext w:val="0"/>
        <w:keepLines w:val="0"/>
        <w:pageBreakBefore w:val="0"/>
        <w:widowControl w:val="0"/>
        <w:shd w:val="clear"/>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snapToGrid/>
          <w:color w:val="000000" w:themeColor="text1"/>
          <w:kern w:val="2"/>
          <w:sz w:val="21"/>
          <w:szCs w:val="21"/>
          <w:highlight w:val="none"/>
          <w:lang w:eastAsia="zh-CN"/>
          <w14:textFill>
            <w14:solidFill>
              <w14:schemeClr w14:val="tx1"/>
            </w14:solidFill>
          </w14:textFill>
        </w:rPr>
        <w:t>（1）供应商“信用中国 ”网站（www.creditchina.gov.cn)、“ 中国政府采购 网 ”网站（www.ccgp.gov.cn）的失信被执行人名单、重大税收违法失信主体、政府采购严重违法失信行为记录名单的查询截图。</w:t>
      </w:r>
    </w:p>
    <w:p w14:paraId="663513A1">
      <w:pPr>
        <w:keepNext w:val="0"/>
        <w:keepLines w:val="0"/>
        <w:snapToGrid w:val="0"/>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2</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符合《中华人民共和国政府采购法》第二十二条规定条件的承诺函（格式自拟）。</w:t>
      </w:r>
    </w:p>
    <w:p w14:paraId="7379C398">
      <w:pPr>
        <w:snapToGrid w:val="0"/>
        <w:spacing w:line="400" w:lineRule="exact"/>
        <w:jc w:val="left"/>
        <w:rPr>
          <w:rFonts w:ascii="宋体" w:hAnsi="宋体" w:eastAsia="宋体" w:cs="宋体"/>
          <w:color w:val="000000" w:themeColor="text1"/>
          <w:sz w:val="22"/>
          <w:szCs w:val="22"/>
          <w:highlight w:val="none"/>
          <w14:textFill>
            <w14:solidFill>
              <w14:schemeClr w14:val="tx1"/>
            </w14:solidFill>
          </w14:textFill>
        </w:rPr>
        <w:sectPr>
          <w:footerReference r:id="rId16" w:type="default"/>
          <w:pgSz w:w="11910" w:h="16840"/>
          <w:pgMar w:top="1326" w:right="1220" w:bottom="1080" w:left="1307" w:header="0" w:footer="876" w:gutter="0"/>
          <w:pgNumType w:fmt="decimal"/>
          <w:cols w:space="720" w:num="1"/>
        </w:sectPr>
      </w:pP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hint="eastAsia" w:ascii="宋体" w:hAnsi="宋体" w:cs="宋体"/>
          <w:b w:val="0"/>
          <w:bCs/>
          <w:snapToGrid/>
          <w:color w:val="000000" w:themeColor="text1"/>
          <w:kern w:val="2"/>
          <w:sz w:val="21"/>
          <w:szCs w:val="21"/>
          <w:highlight w:val="none"/>
          <w:lang w:val="en-US" w:eastAsia="zh-CN"/>
          <w14:textFill>
            <w14:solidFill>
              <w14:schemeClr w14:val="tx1"/>
            </w14:solidFill>
          </w14:textFill>
        </w:rPr>
        <w:t>3</w:t>
      </w:r>
      <w:r>
        <w:rPr>
          <w:rFonts w:hint="eastAsia" w:ascii="宋体" w:hAnsi="宋体" w:cs="宋体"/>
          <w:b w:val="0"/>
          <w:bCs/>
          <w:snapToGrid/>
          <w:color w:val="000000" w:themeColor="text1"/>
          <w:kern w:val="2"/>
          <w:sz w:val="21"/>
          <w:szCs w:val="21"/>
          <w:highlight w:val="none"/>
          <w:lang w:eastAsia="zh-CN"/>
          <w14:textFill>
            <w14:solidFill>
              <w14:schemeClr w14:val="tx1"/>
            </w14:solidFill>
          </w14:textFill>
        </w:rPr>
        <w:t>）</w:t>
      </w:r>
      <w:r>
        <w:rPr>
          <w:rFonts w:ascii="宋体" w:hAnsi="宋体" w:eastAsia="宋体" w:cs="宋体"/>
          <w:color w:val="000000" w:themeColor="text1"/>
          <w:spacing w:val="-1"/>
          <w:sz w:val="22"/>
          <w:szCs w:val="22"/>
          <w:highlight w:val="none"/>
          <w14:textFill>
            <w14:solidFill>
              <w14:schemeClr w14:val="tx1"/>
            </w14:solidFill>
          </w14:textFill>
        </w:rPr>
        <w:t>供应商</w:t>
      </w:r>
      <w:r>
        <w:rPr>
          <w:rFonts w:hint="eastAsia" w:ascii="宋体" w:hAnsi="宋体" w:eastAsia="宋体" w:cs="宋体"/>
          <w:color w:val="000000" w:themeColor="text1"/>
          <w:spacing w:val="-1"/>
          <w:sz w:val="22"/>
          <w:szCs w:val="22"/>
          <w:highlight w:val="none"/>
          <w:lang w:val="en-US" w:eastAsia="zh-CN"/>
          <w14:textFill>
            <w14:solidFill>
              <w14:schemeClr w14:val="tx1"/>
            </w14:solidFill>
          </w14:textFill>
        </w:rPr>
        <w:t>直接控股、管理关系表</w:t>
      </w:r>
    </w:p>
    <w:p w14:paraId="312FFF11">
      <w:pPr>
        <w:shd w:val="clear"/>
        <w:spacing w:before="44" w:line="220" w:lineRule="auto"/>
        <w:ind w:left="135"/>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6.1 供应商直接控股股东信息表</w:t>
      </w:r>
    </w:p>
    <w:p w14:paraId="1D645547">
      <w:pPr>
        <w:shd w:val="clear"/>
        <w:spacing w:before="12"/>
        <w:rPr>
          <w:color w:val="000000" w:themeColor="text1"/>
          <w:highlight w:val="none"/>
          <w14:textFill>
            <w14:solidFill>
              <w14:schemeClr w14:val="tx1"/>
            </w14:solidFill>
          </w14:textFill>
        </w:rPr>
      </w:pPr>
    </w:p>
    <w:tbl>
      <w:tblPr>
        <w:tblStyle w:val="123"/>
        <w:tblW w:w="94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4145"/>
        <w:gridCol w:w="997"/>
      </w:tblGrid>
      <w:tr w14:paraId="37168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vAlign w:val="center"/>
          </w:tcPr>
          <w:p w14:paraId="69D295E0">
            <w:pPr>
              <w:pStyle w:val="154"/>
              <w:shd w:val="clear"/>
              <w:spacing w:before="78" w:line="222" w:lineRule="auto"/>
              <w:ind w:left="181"/>
              <w:jc w:val="center"/>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序号</w:t>
            </w:r>
          </w:p>
        </w:tc>
        <w:tc>
          <w:tcPr>
            <w:tcW w:w="2268" w:type="dxa"/>
            <w:shd w:val="clear" w:color="auto" w:fill="EAE3D8"/>
            <w:vAlign w:val="center"/>
          </w:tcPr>
          <w:p w14:paraId="7C68D9A3">
            <w:pPr>
              <w:pStyle w:val="154"/>
              <w:shd w:val="clear"/>
              <w:spacing w:before="78" w:line="220" w:lineRule="auto"/>
              <w:ind w:left="175"/>
              <w:jc w:val="center"/>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直接控股股东名称</w:t>
            </w:r>
          </w:p>
        </w:tc>
        <w:tc>
          <w:tcPr>
            <w:tcW w:w="1238" w:type="dxa"/>
            <w:shd w:val="clear" w:color="auto" w:fill="EAE3D8"/>
            <w:vAlign w:val="center"/>
          </w:tcPr>
          <w:p w14:paraId="7C6750B5">
            <w:pPr>
              <w:pStyle w:val="154"/>
              <w:shd w:val="clear"/>
              <w:spacing w:before="78" w:line="220" w:lineRule="auto"/>
              <w:ind w:left="175"/>
              <w:jc w:val="center"/>
              <w:rPr>
                <w:rFonts w:ascii="宋体" w:hAnsi="宋体" w:eastAsia="宋体" w:cs="宋体"/>
                <w:b/>
                <w:bCs/>
                <w:color w:val="000000" w:themeColor="text1"/>
                <w:spacing w:val="-4"/>
                <w:sz w:val="24"/>
                <w:szCs w:val="24"/>
                <w:highlight w:val="none"/>
                <w14:textFill>
                  <w14:solidFill>
                    <w14:schemeClr w14:val="tx1"/>
                  </w14:solidFill>
                </w14:textFill>
              </w:rPr>
            </w:pPr>
            <w:r>
              <w:rPr>
                <w:rFonts w:ascii="宋体" w:hAnsi="宋体" w:eastAsia="宋体" w:cs="宋体"/>
                <w:b/>
                <w:bCs/>
                <w:color w:val="000000" w:themeColor="text1"/>
                <w:spacing w:val="-4"/>
                <w:sz w:val="24"/>
                <w:szCs w:val="24"/>
                <w:highlight w:val="none"/>
                <w14:textFill>
                  <w14:solidFill>
                    <w14:schemeClr w14:val="tx1"/>
                  </w14:solidFill>
                </w14:textFill>
              </w:rPr>
              <w:t>出资比例</w:t>
            </w:r>
          </w:p>
        </w:tc>
        <w:tc>
          <w:tcPr>
            <w:tcW w:w="4145" w:type="dxa"/>
            <w:shd w:val="clear" w:color="auto" w:fill="EAE3D8"/>
            <w:vAlign w:val="center"/>
          </w:tcPr>
          <w:p w14:paraId="6356A00E">
            <w:pPr>
              <w:pStyle w:val="154"/>
              <w:shd w:val="clear"/>
              <w:spacing w:before="78" w:line="220" w:lineRule="auto"/>
              <w:ind w:left="175"/>
              <w:jc w:val="center"/>
              <w:rPr>
                <w:rFonts w:ascii="宋体" w:hAnsi="宋体" w:eastAsia="宋体" w:cs="宋体"/>
                <w:b/>
                <w:bCs/>
                <w:color w:val="000000" w:themeColor="text1"/>
                <w:spacing w:val="-4"/>
                <w:sz w:val="24"/>
                <w:szCs w:val="24"/>
                <w:highlight w:val="none"/>
                <w14:textFill>
                  <w14:solidFill>
                    <w14:schemeClr w14:val="tx1"/>
                  </w14:solidFill>
                </w14:textFill>
              </w:rPr>
            </w:pPr>
            <w:r>
              <w:rPr>
                <w:rFonts w:ascii="宋体" w:hAnsi="宋体" w:eastAsia="宋体" w:cs="宋体"/>
                <w:b/>
                <w:bCs/>
                <w:color w:val="000000" w:themeColor="text1"/>
                <w:spacing w:val="-4"/>
                <w:position w:val="0"/>
                <w:sz w:val="24"/>
                <w:szCs w:val="24"/>
                <w:highlight w:val="none"/>
                <w14:textFill>
                  <w14:solidFill>
                    <w14:schemeClr w14:val="tx1"/>
                  </w14:solidFill>
                </w14:textFill>
              </w:rPr>
              <w:t>身份证号码或者统一社会信用代</w:t>
            </w:r>
            <w:r>
              <w:rPr>
                <w:rFonts w:ascii="宋体" w:hAnsi="宋体" w:eastAsia="宋体" w:cs="宋体"/>
                <w:b/>
                <w:bCs/>
                <w:color w:val="000000" w:themeColor="text1"/>
                <w:spacing w:val="-4"/>
                <w:sz w:val="24"/>
                <w:szCs w:val="24"/>
                <w:highlight w:val="none"/>
                <w14:textFill>
                  <w14:solidFill>
                    <w14:schemeClr w14:val="tx1"/>
                  </w14:solidFill>
                </w14:textFill>
              </w:rPr>
              <w:t>码</w:t>
            </w:r>
          </w:p>
        </w:tc>
        <w:tc>
          <w:tcPr>
            <w:tcW w:w="997" w:type="dxa"/>
            <w:shd w:val="clear" w:color="auto" w:fill="EAE3D8"/>
            <w:vAlign w:val="center"/>
          </w:tcPr>
          <w:p w14:paraId="3B23E5AF">
            <w:pPr>
              <w:pStyle w:val="154"/>
              <w:shd w:val="clear"/>
              <w:spacing w:before="78" w:line="222" w:lineRule="auto"/>
              <w:ind w:left="479"/>
              <w:jc w:val="center"/>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备注</w:t>
            </w:r>
          </w:p>
        </w:tc>
      </w:tr>
      <w:tr w14:paraId="0FB60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center"/>
          </w:tcPr>
          <w:p w14:paraId="44E4D975">
            <w:pPr>
              <w:pStyle w:val="154"/>
              <w:shd w:val="clear"/>
              <w:spacing w:before="193" w:line="184" w:lineRule="auto"/>
              <w:ind w:left="38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2268" w:type="dxa"/>
            <w:vAlign w:val="center"/>
          </w:tcPr>
          <w:p w14:paraId="378B0DDF">
            <w:pPr>
              <w:shd w:val="clear"/>
              <w:jc w:val="center"/>
              <w:rPr>
                <w:rFonts w:ascii="Arial"/>
                <w:color w:val="000000" w:themeColor="text1"/>
                <w:sz w:val="21"/>
                <w:highlight w:val="none"/>
                <w14:textFill>
                  <w14:solidFill>
                    <w14:schemeClr w14:val="tx1"/>
                  </w14:solidFill>
                </w14:textFill>
              </w:rPr>
            </w:pPr>
          </w:p>
        </w:tc>
        <w:tc>
          <w:tcPr>
            <w:tcW w:w="1238" w:type="dxa"/>
            <w:vAlign w:val="center"/>
          </w:tcPr>
          <w:p w14:paraId="1FB1EFC7">
            <w:pPr>
              <w:shd w:val="clear"/>
              <w:jc w:val="center"/>
              <w:rPr>
                <w:rFonts w:ascii="Arial"/>
                <w:color w:val="000000" w:themeColor="text1"/>
                <w:sz w:val="21"/>
                <w:highlight w:val="none"/>
                <w14:textFill>
                  <w14:solidFill>
                    <w14:schemeClr w14:val="tx1"/>
                  </w14:solidFill>
                </w14:textFill>
              </w:rPr>
            </w:pPr>
          </w:p>
        </w:tc>
        <w:tc>
          <w:tcPr>
            <w:tcW w:w="4145" w:type="dxa"/>
            <w:vAlign w:val="center"/>
          </w:tcPr>
          <w:p w14:paraId="103530CD">
            <w:pPr>
              <w:shd w:val="clear"/>
              <w:jc w:val="center"/>
              <w:rPr>
                <w:rFonts w:ascii="Arial"/>
                <w:color w:val="000000" w:themeColor="text1"/>
                <w:sz w:val="21"/>
                <w:highlight w:val="none"/>
                <w14:textFill>
                  <w14:solidFill>
                    <w14:schemeClr w14:val="tx1"/>
                  </w14:solidFill>
                </w14:textFill>
              </w:rPr>
            </w:pPr>
          </w:p>
        </w:tc>
        <w:tc>
          <w:tcPr>
            <w:tcW w:w="997" w:type="dxa"/>
            <w:vAlign w:val="center"/>
          </w:tcPr>
          <w:p w14:paraId="35196429">
            <w:pPr>
              <w:shd w:val="clear"/>
              <w:jc w:val="center"/>
              <w:rPr>
                <w:rFonts w:ascii="Arial"/>
                <w:color w:val="000000" w:themeColor="text1"/>
                <w:sz w:val="21"/>
                <w:highlight w:val="none"/>
                <w14:textFill>
                  <w14:solidFill>
                    <w14:schemeClr w14:val="tx1"/>
                  </w14:solidFill>
                </w14:textFill>
              </w:rPr>
            </w:pPr>
          </w:p>
        </w:tc>
      </w:tr>
      <w:tr w14:paraId="06574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vAlign w:val="center"/>
          </w:tcPr>
          <w:p w14:paraId="1BE307E0">
            <w:pPr>
              <w:pStyle w:val="154"/>
              <w:shd w:val="clear"/>
              <w:spacing w:before="195" w:line="183" w:lineRule="auto"/>
              <w:ind w:left="365"/>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2268" w:type="dxa"/>
            <w:vAlign w:val="center"/>
          </w:tcPr>
          <w:p w14:paraId="4B57316D">
            <w:pPr>
              <w:shd w:val="clear"/>
              <w:jc w:val="center"/>
              <w:rPr>
                <w:rFonts w:ascii="Arial"/>
                <w:color w:val="000000" w:themeColor="text1"/>
                <w:sz w:val="21"/>
                <w:highlight w:val="none"/>
                <w14:textFill>
                  <w14:solidFill>
                    <w14:schemeClr w14:val="tx1"/>
                  </w14:solidFill>
                </w14:textFill>
              </w:rPr>
            </w:pPr>
          </w:p>
        </w:tc>
        <w:tc>
          <w:tcPr>
            <w:tcW w:w="1238" w:type="dxa"/>
            <w:vAlign w:val="center"/>
          </w:tcPr>
          <w:p w14:paraId="244ACBFC">
            <w:pPr>
              <w:shd w:val="clear"/>
              <w:jc w:val="center"/>
              <w:rPr>
                <w:rFonts w:ascii="Arial"/>
                <w:color w:val="000000" w:themeColor="text1"/>
                <w:sz w:val="21"/>
                <w:highlight w:val="none"/>
                <w14:textFill>
                  <w14:solidFill>
                    <w14:schemeClr w14:val="tx1"/>
                  </w14:solidFill>
                </w14:textFill>
              </w:rPr>
            </w:pPr>
          </w:p>
        </w:tc>
        <w:tc>
          <w:tcPr>
            <w:tcW w:w="4145" w:type="dxa"/>
            <w:vAlign w:val="center"/>
          </w:tcPr>
          <w:p w14:paraId="0BEAFB45">
            <w:pPr>
              <w:shd w:val="clear"/>
              <w:jc w:val="center"/>
              <w:rPr>
                <w:rFonts w:ascii="Arial"/>
                <w:color w:val="000000" w:themeColor="text1"/>
                <w:sz w:val="21"/>
                <w:highlight w:val="none"/>
                <w14:textFill>
                  <w14:solidFill>
                    <w14:schemeClr w14:val="tx1"/>
                  </w14:solidFill>
                </w14:textFill>
              </w:rPr>
            </w:pPr>
          </w:p>
        </w:tc>
        <w:tc>
          <w:tcPr>
            <w:tcW w:w="997" w:type="dxa"/>
            <w:vAlign w:val="center"/>
          </w:tcPr>
          <w:p w14:paraId="0D1D03B3">
            <w:pPr>
              <w:shd w:val="clear"/>
              <w:jc w:val="center"/>
              <w:rPr>
                <w:rFonts w:ascii="Arial"/>
                <w:color w:val="000000" w:themeColor="text1"/>
                <w:sz w:val="21"/>
                <w:highlight w:val="none"/>
                <w14:textFill>
                  <w14:solidFill>
                    <w14:schemeClr w14:val="tx1"/>
                  </w14:solidFill>
                </w14:textFill>
              </w:rPr>
            </w:pPr>
          </w:p>
        </w:tc>
      </w:tr>
      <w:tr w14:paraId="67115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center"/>
          </w:tcPr>
          <w:p w14:paraId="2F090598">
            <w:pPr>
              <w:pStyle w:val="154"/>
              <w:shd w:val="clear"/>
              <w:spacing w:before="198" w:line="183" w:lineRule="auto"/>
              <w:ind w:left="367"/>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2268" w:type="dxa"/>
            <w:vAlign w:val="center"/>
          </w:tcPr>
          <w:p w14:paraId="2E1FF239">
            <w:pPr>
              <w:shd w:val="clear"/>
              <w:jc w:val="center"/>
              <w:rPr>
                <w:rFonts w:ascii="Arial"/>
                <w:color w:val="000000" w:themeColor="text1"/>
                <w:sz w:val="21"/>
                <w:highlight w:val="none"/>
                <w14:textFill>
                  <w14:solidFill>
                    <w14:schemeClr w14:val="tx1"/>
                  </w14:solidFill>
                </w14:textFill>
              </w:rPr>
            </w:pPr>
          </w:p>
        </w:tc>
        <w:tc>
          <w:tcPr>
            <w:tcW w:w="1238" w:type="dxa"/>
            <w:vAlign w:val="center"/>
          </w:tcPr>
          <w:p w14:paraId="5B5CD148">
            <w:pPr>
              <w:shd w:val="clear"/>
              <w:jc w:val="center"/>
              <w:rPr>
                <w:rFonts w:ascii="Arial"/>
                <w:color w:val="000000" w:themeColor="text1"/>
                <w:sz w:val="21"/>
                <w:highlight w:val="none"/>
                <w14:textFill>
                  <w14:solidFill>
                    <w14:schemeClr w14:val="tx1"/>
                  </w14:solidFill>
                </w14:textFill>
              </w:rPr>
            </w:pPr>
          </w:p>
        </w:tc>
        <w:tc>
          <w:tcPr>
            <w:tcW w:w="4145" w:type="dxa"/>
            <w:vAlign w:val="center"/>
          </w:tcPr>
          <w:p w14:paraId="07A0A2DB">
            <w:pPr>
              <w:shd w:val="clear"/>
              <w:jc w:val="center"/>
              <w:rPr>
                <w:rFonts w:ascii="Arial"/>
                <w:color w:val="000000" w:themeColor="text1"/>
                <w:sz w:val="21"/>
                <w:highlight w:val="none"/>
                <w14:textFill>
                  <w14:solidFill>
                    <w14:schemeClr w14:val="tx1"/>
                  </w14:solidFill>
                </w14:textFill>
              </w:rPr>
            </w:pPr>
          </w:p>
        </w:tc>
        <w:tc>
          <w:tcPr>
            <w:tcW w:w="997" w:type="dxa"/>
            <w:vAlign w:val="center"/>
          </w:tcPr>
          <w:p w14:paraId="5B4234C2">
            <w:pPr>
              <w:shd w:val="clear"/>
              <w:jc w:val="center"/>
              <w:rPr>
                <w:rFonts w:ascii="Arial"/>
                <w:color w:val="000000" w:themeColor="text1"/>
                <w:sz w:val="21"/>
                <w:highlight w:val="none"/>
                <w14:textFill>
                  <w14:solidFill>
                    <w14:schemeClr w14:val="tx1"/>
                  </w14:solidFill>
                </w14:textFill>
              </w:rPr>
            </w:pPr>
          </w:p>
        </w:tc>
      </w:tr>
      <w:tr w14:paraId="4ECDD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vAlign w:val="center"/>
          </w:tcPr>
          <w:p w14:paraId="2B44E215">
            <w:pPr>
              <w:pStyle w:val="154"/>
              <w:shd w:val="clear"/>
              <w:spacing w:before="159" w:line="379" w:lineRule="exact"/>
              <w:ind w:left="197"/>
              <w:jc w:val="center"/>
              <w:rPr>
                <w:color w:val="000000" w:themeColor="text1"/>
                <w:sz w:val="24"/>
                <w:szCs w:val="24"/>
                <w:highlight w:val="none"/>
                <w14:textFill>
                  <w14:solidFill>
                    <w14:schemeClr w14:val="tx1"/>
                  </w14:solidFill>
                </w14:textFill>
              </w:rPr>
            </w:pPr>
            <w:r>
              <w:rPr>
                <w:color w:val="000000" w:themeColor="text1"/>
                <w:spacing w:val="-13"/>
                <w:position w:val="3"/>
                <w:sz w:val="24"/>
                <w:szCs w:val="24"/>
                <w:highlight w:val="none"/>
                <w14:textFill>
                  <w14:solidFill>
                    <w14:schemeClr w14:val="tx1"/>
                  </w14:solidFill>
                </w14:textFill>
              </w:rPr>
              <w:t>……</w:t>
            </w:r>
          </w:p>
        </w:tc>
        <w:tc>
          <w:tcPr>
            <w:tcW w:w="2268" w:type="dxa"/>
            <w:vAlign w:val="center"/>
          </w:tcPr>
          <w:p w14:paraId="5FE3FA8E">
            <w:pPr>
              <w:shd w:val="clear"/>
              <w:jc w:val="center"/>
              <w:rPr>
                <w:rFonts w:ascii="Arial"/>
                <w:color w:val="000000" w:themeColor="text1"/>
                <w:sz w:val="21"/>
                <w:highlight w:val="none"/>
                <w14:textFill>
                  <w14:solidFill>
                    <w14:schemeClr w14:val="tx1"/>
                  </w14:solidFill>
                </w14:textFill>
              </w:rPr>
            </w:pPr>
          </w:p>
        </w:tc>
        <w:tc>
          <w:tcPr>
            <w:tcW w:w="1238" w:type="dxa"/>
            <w:vAlign w:val="center"/>
          </w:tcPr>
          <w:p w14:paraId="17681D86">
            <w:pPr>
              <w:shd w:val="clear"/>
              <w:jc w:val="center"/>
              <w:rPr>
                <w:rFonts w:ascii="Arial"/>
                <w:color w:val="000000" w:themeColor="text1"/>
                <w:sz w:val="21"/>
                <w:highlight w:val="none"/>
                <w14:textFill>
                  <w14:solidFill>
                    <w14:schemeClr w14:val="tx1"/>
                  </w14:solidFill>
                </w14:textFill>
              </w:rPr>
            </w:pPr>
          </w:p>
        </w:tc>
        <w:tc>
          <w:tcPr>
            <w:tcW w:w="4145" w:type="dxa"/>
            <w:vAlign w:val="center"/>
          </w:tcPr>
          <w:p w14:paraId="7F56CD1A">
            <w:pPr>
              <w:shd w:val="clear"/>
              <w:jc w:val="center"/>
              <w:rPr>
                <w:rFonts w:ascii="Arial"/>
                <w:color w:val="000000" w:themeColor="text1"/>
                <w:sz w:val="21"/>
                <w:highlight w:val="none"/>
                <w14:textFill>
                  <w14:solidFill>
                    <w14:schemeClr w14:val="tx1"/>
                  </w14:solidFill>
                </w14:textFill>
              </w:rPr>
            </w:pPr>
          </w:p>
        </w:tc>
        <w:tc>
          <w:tcPr>
            <w:tcW w:w="997" w:type="dxa"/>
            <w:vAlign w:val="center"/>
          </w:tcPr>
          <w:p w14:paraId="22550BEF">
            <w:pPr>
              <w:shd w:val="clear"/>
              <w:jc w:val="center"/>
              <w:rPr>
                <w:rFonts w:ascii="Arial"/>
                <w:color w:val="000000" w:themeColor="text1"/>
                <w:sz w:val="21"/>
                <w:highlight w:val="none"/>
                <w14:textFill>
                  <w14:solidFill>
                    <w14:schemeClr w14:val="tx1"/>
                  </w14:solidFill>
                </w14:textFill>
              </w:rPr>
            </w:pPr>
          </w:p>
        </w:tc>
      </w:tr>
    </w:tbl>
    <w:p w14:paraId="5357366C">
      <w:pPr>
        <w:shd w:val="clear"/>
        <w:spacing w:before="36" w:line="224" w:lineRule="auto"/>
        <w:ind w:left="134"/>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注：</w:t>
      </w:r>
    </w:p>
    <w:p w14:paraId="64C3DAFB">
      <w:pPr>
        <w:shd w:val="clear"/>
        <w:spacing w:before="175" w:line="359" w:lineRule="auto"/>
        <w:ind w:left="134" w:firstLine="17"/>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1.直接控股股东：是指其出资额占有限责任公司资本总额百分之五十以上或者其持有的股</w:t>
      </w:r>
      <w:r>
        <w:rPr>
          <w:rFonts w:ascii="宋体" w:hAnsi="宋体" w:eastAsia="宋体" w:cs="宋体"/>
          <w:color w:val="000000" w:themeColor="text1"/>
          <w:spacing w:val="1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份占股份有限公司股份总额百分之五十以上的股东；出资额或者</w:t>
      </w:r>
      <w:r>
        <w:rPr>
          <w:rFonts w:ascii="宋体" w:hAnsi="宋体" w:eastAsia="宋体" w:cs="宋体"/>
          <w:color w:val="000000" w:themeColor="text1"/>
          <w:spacing w:val="-1"/>
          <w:sz w:val="24"/>
          <w:szCs w:val="24"/>
          <w:highlight w:val="none"/>
          <w14:textFill>
            <w14:solidFill>
              <w14:schemeClr w14:val="tx1"/>
            </w14:solidFill>
          </w14:textFill>
        </w:rPr>
        <w:t>持有股份的比例虽然不足</w:t>
      </w:r>
      <w:r>
        <w:rPr>
          <w:rFonts w:ascii="宋体" w:hAnsi="宋体" w:eastAsia="宋体" w:cs="宋体"/>
          <w:color w:val="000000" w:themeColor="text1"/>
          <w:sz w:val="24"/>
          <w:szCs w:val="24"/>
          <w:highlight w:val="none"/>
          <w14:textFill>
            <w14:solidFill>
              <w14:schemeClr w14:val="tx1"/>
            </w14:solidFill>
          </w14:textFill>
        </w:rPr>
        <w:t xml:space="preserve"> 百分之五十，但依其出资额或者持有的股份所享有的表决权已足</w:t>
      </w:r>
      <w:r>
        <w:rPr>
          <w:rFonts w:ascii="宋体" w:hAnsi="宋体" w:eastAsia="宋体" w:cs="宋体"/>
          <w:color w:val="000000" w:themeColor="text1"/>
          <w:spacing w:val="-1"/>
          <w:sz w:val="24"/>
          <w:szCs w:val="24"/>
          <w:highlight w:val="none"/>
          <w14:textFill>
            <w14:solidFill>
              <w14:schemeClr w14:val="tx1"/>
            </w14:solidFill>
          </w14:textFill>
        </w:rPr>
        <w:t>以对股东会、股东大会的</w:t>
      </w:r>
    </w:p>
    <w:p w14:paraId="2484CDDE">
      <w:pPr>
        <w:shd w:val="clear"/>
        <w:spacing w:line="220" w:lineRule="auto"/>
        <w:ind w:left="14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决议产生重大影响的股东。</w:t>
      </w:r>
    </w:p>
    <w:p w14:paraId="2FA0F30D">
      <w:pPr>
        <w:shd w:val="clear"/>
        <w:spacing w:before="182" w:line="465" w:lineRule="exact"/>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position w:val="17"/>
          <w:sz w:val="24"/>
          <w:szCs w:val="24"/>
          <w:highlight w:val="none"/>
          <w14:textFill>
            <w14:solidFill>
              <w14:schemeClr w14:val="tx1"/>
            </w14:solidFill>
          </w14:textFill>
        </w:rPr>
        <w:t>2.本表所指的控股关系仅限于直接控股关系，不包括间接</w:t>
      </w:r>
      <w:r>
        <w:rPr>
          <w:rFonts w:ascii="宋体" w:hAnsi="宋体" w:eastAsia="宋体" w:cs="宋体"/>
          <w:color w:val="000000" w:themeColor="text1"/>
          <w:spacing w:val="-1"/>
          <w:position w:val="17"/>
          <w:sz w:val="24"/>
          <w:szCs w:val="24"/>
          <w:highlight w:val="none"/>
          <w14:textFill>
            <w14:solidFill>
              <w14:schemeClr w14:val="tx1"/>
            </w14:solidFill>
          </w14:textFill>
        </w:rPr>
        <w:t>的控股关系。公司实际控制人与</w:t>
      </w:r>
    </w:p>
    <w:p w14:paraId="51ED6C1A">
      <w:pPr>
        <w:shd w:val="clear"/>
        <w:spacing w:before="1" w:line="219" w:lineRule="auto"/>
        <w:ind w:left="14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公司之间的关系不属于本表所指的直接控股关系。</w:t>
      </w:r>
    </w:p>
    <w:p w14:paraId="5FA98942">
      <w:pPr>
        <w:shd w:val="clear"/>
        <w:spacing w:before="183" w:line="219" w:lineRule="auto"/>
        <w:ind w:left="139"/>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3.供应商不存在直接控股股东的，则填“无</w:t>
      </w:r>
      <w:r>
        <w:rPr>
          <w:rFonts w:ascii="宋体" w:hAnsi="宋体" w:eastAsia="宋体" w:cs="宋体"/>
          <w:color w:val="000000" w:themeColor="text1"/>
          <w:spacing w:val="-81"/>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w:t>
      </w:r>
    </w:p>
    <w:p w14:paraId="3915CF49">
      <w:pPr>
        <w:pStyle w:val="19"/>
        <w:shd w:val="clear"/>
        <w:spacing w:line="242" w:lineRule="auto"/>
        <w:rPr>
          <w:color w:val="000000" w:themeColor="text1"/>
          <w:highlight w:val="none"/>
          <w14:textFill>
            <w14:solidFill>
              <w14:schemeClr w14:val="tx1"/>
            </w14:solidFill>
          </w14:textFill>
        </w:rPr>
      </w:pPr>
    </w:p>
    <w:p w14:paraId="5F547715">
      <w:pPr>
        <w:pStyle w:val="19"/>
        <w:shd w:val="clear"/>
        <w:spacing w:line="242" w:lineRule="auto"/>
        <w:rPr>
          <w:color w:val="000000" w:themeColor="text1"/>
          <w:highlight w:val="none"/>
          <w14:textFill>
            <w14:solidFill>
              <w14:schemeClr w14:val="tx1"/>
            </w14:solidFill>
          </w14:textFill>
        </w:rPr>
      </w:pPr>
    </w:p>
    <w:p w14:paraId="224C5C54">
      <w:pPr>
        <w:pStyle w:val="19"/>
        <w:shd w:val="clear"/>
        <w:spacing w:line="242" w:lineRule="auto"/>
        <w:rPr>
          <w:color w:val="000000" w:themeColor="text1"/>
          <w:highlight w:val="none"/>
          <w14:textFill>
            <w14:solidFill>
              <w14:schemeClr w14:val="tx1"/>
            </w14:solidFill>
          </w14:textFill>
        </w:rPr>
      </w:pPr>
    </w:p>
    <w:p w14:paraId="4F52DD31">
      <w:pPr>
        <w:pStyle w:val="19"/>
        <w:shd w:val="clear"/>
        <w:spacing w:line="242" w:lineRule="auto"/>
        <w:rPr>
          <w:color w:val="000000" w:themeColor="text1"/>
          <w:highlight w:val="none"/>
          <w14:textFill>
            <w14:solidFill>
              <w14:schemeClr w14:val="tx1"/>
            </w14:solidFill>
          </w14:textFill>
        </w:rPr>
      </w:pPr>
    </w:p>
    <w:p w14:paraId="0A5AF632">
      <w:pPr>
        <w:pStyle w:val="19"/>
        <w:shd w:val="clear"/>
        <w:spacing w:line="242" w:lineRule="auto"/>
        <w:rPr>
          <w:color w:val="000000" w:themeColor="text1"/>
          <w:highlight w:val="none"/>
          <w14:textFill>
            <w14:solidFill>
              <w14:schemeClr w14:val="tx1"/>
            </w14:solidFill>
          </w14:textFill>
        </w:rPr>
      </w:pPr>
    </w:p>
    <w:p w14:paraId="5EB16834">
      <w:pPr>
        <w:pStyle w:val="19"/>
        <w:shd w:val="clear"/>
        <w:spacing w:line="242" w:lineRule="auto"/>
        <w:rPr>
          <w:color w:val="000000" w:themeColor="text1"/>
          <w:highlight w:val="none"/>
          <w14:textFill>
            <w14:solidFill>
              <w14:schemeClr w14:val="tx1"/>
            </w14:solidFill>
          </w14:textFill>
        </w:rPr>
      </w:pPr>
    </w:p>
    <w:p w14:paraId="1F2E205E">
      <w:pPr>
        <w:pStyle w:val="19"/>
        <w:shd w:val="clear"/>
        <w:spacing w:line="242" w:lineRule="auto"/>
        <w:rPr>
          <w:color w:val="000000" w:themeColor="text1"/>
          <w:highlight w:val="none"/>
          <w14:textFill>
            <w14:solidFill>
              <w14:schemeClr w14:val="tx1"/>
            </w14:solidFill>
          </w14:textFill>
        </w:rPr>
      </w:pPr>
    </w:p>
    <w:p w14:paraId="62758D31">
      <w:pPr>
        <w:pStyle w:val="19"/>
        <w:shd w:val="clear"/>
        <w:spacing w:line="242" w:lineRule="auto"/>
        <w:rPr>
          <w:color w:val="000000" w:themeColor="text1"/>
          <w:highlight w:val="none"/>
          <w14:textFill>
            <w14:solidFill>
              <w14:schemeClr w14:val="tx1"/>
            </w14:solidFill>
          </w14:textFill>
        </w:rPr>
      </w:pPr>
    </w:p>
    <w:p w14:paraId="5CA49A60">
      <w:pPr>
        <w:pStyle w:val="19"/>
        <w:shd w:val="clear"/>
        <w:spacing w:line="243" w:lineRule="auto"/>
        <w:rPr>
          <w:color w:val="000000" w:themeColor="text1"/>
          <w:highlight w:val="none"/>
          <w14:textFill>
            <w14:solidFill>
              <w14:schemeClr w14:val="tx1"/>
            </w14:solidFill>
          </w14:textFill>
        </w:rPr>
      </w:pPr>
    </w:p>
    <w:p w14:paraId="21D4CCD5">
      <w:pPr>
        <w:pStyle w:val="19"/>
        <w:shd w:val="clear"/>
        <w:spacing w:line="243" w:lineRule="auto"/>
        <w:rPr>
          <w:color w:val="000000" w:themeColor="text1"/>
          <w:highlight w:val="none"/>
          <w14:textFill>
            <w14:solidFill>
              <w14:schemeClr w14:val="tx1"/>
            </w14:solidFill>
          </w14:textFill>
        </w:rPr>
      </w:pPr>
    </w:p>
    <w:p w14:paraId="1224CED5">
      <w:pPr>
        <w:shd w:val="clear"/>
        <w:spacing w:before="79" w:line="465" w:lineRule="exact"/>
        <w:ind w:left="5174"/>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position w:val="17"/>
          <w:sz w:val="24"/>
          <w:szCs w:val="24"/>
          <w:highlight w:val="none"/>
          <w14:textFill>
            <w14:solidFill>
              <w14:schemeClr w14:val="tx1"/>
            </w14:solidFill>
          </w14:textFill>
        </w:rPr>
        <w:t>供应商名称</w:t>
      </w:r>
      <w:r>
        <w:rPr>
          <w:rFonts w:hint="eastAsia" w:ascii="宋体" w:hAnsi="宋体" w:cs="宋体"/>
          <w:color w:val="000000" w:themeColor="text1"/>
          <w:spacing w:val="-1"/>
          <w:position w:val="17"/>
          <w:sz w:val="24"/>
          <w:szCs w:val="24"/>
          <w:highlight w:val="none"/>
          <w:lang w:eastAsia="zh-CN"/>
          <w14:textFill>
            <w14:solidFill>
              <w14:schemeClr w14:val="tx1"/>
            </w14:solidFill>
          </w14:textFill>
        </w:rPr>
        <w:t>（</w:t>
      </w:r>
      <w:r>
        <w:rPr>
          <w:rFonts w:ascii="宋体" w:hAnsi="宋体" w:eastAsia="宋体" w:cs="宋体"/>
          <w:color w:val="000000" w:themeColor="text1"/>
          <w:spacing w:val="-1"/>
          <w:position w:val="17"/>
          <w:sz w:val="24"/>
          <w:szCs w:val="24"/>
          <w:highlight w:val="none"/>
          <w14:textFill>
            <w14:solidFill>
              <w14:schemeClr w14:val="tx1"/>
            </w14:solidFill>
          </w14:textFill>
        </w:rPr>
        <w:t>电子签章</w:t>
      </w:r>
      <w:r>
        <w:rPr>
          <w:rFonts w:hint="eastAsia" w:ascii="宋体" w:hAnsi="宋体" w:cs="宋体"/>
          <w:color w:val="000000" w:themeColor="text1"/>
          <w:spacing w:val="-1"/>
          <w:position w:val="17"/>
          <w:sz w:val="24"/>
          <w:szCs w:val="24"/>
          <w:highlight w:val="none"/>
          <w:lang w:eastAsia="zh-CN"/>
          <w14:textFill>
            <w14:solidFill>
              <w14:schemeClr w14:val="tx1"/>
            </w14:solidFill>
          </w14:textFill>
        </w:rPr>
        <w:t>）</w:t>
      </w:r>
      <w:r>
        <w:rPr>
          <w:rFonts w:ascii="宋体" w:hAnsi="宋体" w:eastAsia="宋体" w:cs="宋体"/>
          <w:color w:val="000000" w:themeColor="text1"/>
          <w:spacing w:val="-1"/>
          <w:position w:val="17"/>
          <w:sz w:val="24"/>
          <w:szCs w:val="24"/>
          <w:highlight w:val="none"/>
          <w14:textFill>
            <w14:solidFill>
              <w14:schemeClr w14:val="tx1"/>
            </w14:solidFill>
          </w14:textFill>
        </w:rPr>
        <w:t>：</w:t>
      </w:r>
    </w:p>
    <w:p w14:paraId="23B6D18A">
      <w:pPr>
        <w:shd w:val="clear"/>
        <w:spacing w:before="1" w:line="220" w:lineRule="auto"/>
        <w:ind w:left="5336"/>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3"/>
          <w:sz w:val="24"/>
          <w:szCs w:val="24"/>
          <w:highlight w:val="none"/>
          <w14:textFill>
            <w14:solidFill>
              <w14:schemeClr w14:val="tx1"/>
            </w14:solidFill>
          </w14:textFill>
        </w:rPr>
        <w:t>日期：</w:t>
      </w:r>
      <w:r>
        <w:rPr>
          <w:rFonts w:ascii="宋体" w:hAnsi="宋体" w:eastAsia="宋体" w:cs="宋体"/>
          <w:color w:val="000000" w:themeColor="text1"/>
          <w:spacing w:val="5"/>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年</w:t>
      </w:r>
      <w:r>
        <w:rPr>
          <w:rFonts w:ascii="宋体" w:hAnsi="宋体" w:eastAsia="宋体" w:cs="宋体"/>
          <w:color w:val="000000" w:themeColor="text1"/>
          <w:spacing w:val="8"/>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月</w:t>
      </w:r>
      <w:r>
        <w:rPr>
          <w:rFonts w:ascii="宋体" w:hAnsi="宋体" w:eastAsia="宋体" w:cs="宋体"/>
          <w:color w:val="000000" w:themeColor="text1"/>
          <w:spacing w:val="17"/>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日</w:t>
      </w:r>
    </w:p>
    <w:p w14:paraId="066E4887">
      <w:pPr>
        <w:shd w:val="clear"/>
        <w:spacing w:line="220" w:lineRule="auto"/>
        <w:rPr>
          <w:rFonts w:ascii="宋体" w:hAnsi="宋体" w:eastAsia="宋体" w:cs="宋体"/>
          <w:color w:val="000000" w:themeColor="text1"/>
          <w:sz w:val="24"/>
          <w:szCs w:val="24"/>
          <w:highlight w:val="none"/>
          <w14:textFill>
            <w14:solidFill>
              <w14:schemeClr w14:val="tx1"/>
            </w14:solidFill>
          </w14:textFill>
        </w:rPr>
        <w:sectPr>
          <w:footerReference r:id="rId17" w:type="default"/>
          <w:pgSz w:w="11910" w:h="16840"/>
          <w:pgMar w:top="1326" w:right="1249" w:bottom="1080" w:left="1175" w:header="0" w:footer="876" w:gutter="0"/>
          <w:pgNumType w:fmt="decimal"/>
          <w:cols w:space="720" w:num="1"/>
        </w:sectPr>
      </w:pPr>
    </w:p>
    <w:p w14:paraId="0CEF99E9">
      <w:pPr>
        <w:shd w:val="clear"/>
        <w:spacing w:before="44" w:line="220" w:lineRule="auto"/>
        <w:ind w:left="135"/>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6.2 供应商直接管理关系信息表</w:t>
      </w:r>
    </w:p>
    <w:p w14:paraId="0B15FD8B">
      <w:pPr>
        <w:shd w:val="clear"/>
        <w:spacing w:before="12"/>
        <w:rPr>
          <w:color w:val="000000" w:themeColor="text1"/>
          <w:highlight w:val="none"/>
          <w14:textFill>
            <w14:solidFill>
              <w14:schemeClr w14:val="tx1"/>
            </w14:solidFill>
          </w14:textFill>
        </w:rPr>
      </w:pPr>
    </w:p>
    <w:tbl>
      <w:tblPr>
        <w:tblStyle w:val="123"/>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3B128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shd w:val="clear" w:color="auto" w:fill="EAE3D8"/>
            <w:vAlign w:val="top"/>
          </w:tcPr>
          <w:p w14:paraId="20E85E6E">
            <w:pPr>
              <w:pStyle w:val="154"/>
              <w:shd w:val="clear"/>
              <w:spacing w:before="159" w:line="222" w:lineRule="auto"/>
              <w:ind w:left="268"/>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序号</w:t>
            </w:r>
          </w:p>
        </w:tc>
        <w:tc>
          <w:tcPr>
            <w:tcW w:w="2657" w:type="dxa"/>
            <w:shd w:val="clear" w:color="auto" w:fill="EAE3D8"/>
            <w:vAlign w:val="top"/>
          </w:tcPr>
          <w:p w14:paraId="087BE006">
            <w:pPr>
              <w:pStyle w:val="154"/>
              <w:shd w:val="clear"/>
              <w:spacing w:before="160" w:line="220" w:lineRule="auto"/>
              <w:ind w:left="130"/>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直接管理关系单位名称</w:t>
            </w:r>
          </w:p>
        </w:tc>
        <w:tc>
          <w:tcPr>
            <w:tcW w:w="3922" w:type="dxa"/>
            <w:shd w:val="clear" w:color="auto" w:fill="EAE3D8"/>
            <w:vAlign w:val="top"/>
          </w:tcPr>
          <w:p w14:paraId="188E6F54">
            <w:pPr>
              <w:pStyle w:val="154"/>
              <w:shd w:val="clear"/>
              <w:spacing w:before="160" w:line="219" w:lineRule="auto"/>
              <w:ind w:left="1010"/>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统一社会信用代码</w:t>
            </w:r>
          </w:p>
        </w:tc>
        <w:tc>
          <w:tcPr>
            <w:tcW w:w="2068" w:type="dxa"/>
            <w:shd w:val="clear" w:color="auto" w:fill="EAE3D8"/>
            <w:vAlign w:val="top"/>
          </w:tcPr>
          <w:p w14:paraId="425C056C">
            <w:pPr>
              <w:pStyle w:val="154"/>
              <w:shd w:val="clear"/>
              <w:spacing w:before="159" w:line="222" w:lineRule="auto"/>
              <w:ind w:left="803"/>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备注</w:t>
            </w:r>
          </w:p>
        </w:tc>
      </w:tr>
      <w:tr w14:paraId="6AC2A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02CEAB01">
            <w:pPr>
              <w:pStyle w:val="154"/>
              <w:shd w:val="clear"/>
              <w:spacing w:before="194" w:line="184" w:lineRule="auto"/>
              <w:ind w:left="469"/>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2657" w:type="dxa"/>
            <w:vAlign w:val="top"/>
          </w:tcPr>
          <w:p w14:paraId="5CFEEE0E">
            <w:pPr>
              <w:shd w:val="clear"/>
              <w:rPr>
                <w:rFonts w:ascii="Arial"/>
                <w:color w:val="000000" w:themeColor="text1"/>
                <w:sz w:val="21"/>
                <w:highlight w:val="none"/>
                <w14:textFill>
                  <w14:solidFill>
                    <w14:schemeClr w14:val="tx1"/>
                  </w14:solidFill>
                </w14:textFill>
              </w:rPr>
            </w:pPr>
          </w:p>
        </w:tc>
        <w:tc>
          <w:tcPr>
            <w:tcW w:w="3922" w:type="dxa"/>
            <w:vAlign w:val="top"/>
          </w:tcPr>
          <w:p w14:paraId="1B5A1F91">
            <w:pPr>
              <w:shd w:val="clear"/>
              <w:rPr>
                <w:rFonts w:ascii="Arial"/>
                <w:color w:val="000000" w:themeColor="text1"/>
                <w:sz w:val="21"/>
                <w:highlight w:val="none"/>
                <w14:textFill>
                  <w14:solidFill>
                    <w14:schemeClr w14:val="tx1"/>
                  </w14:solidFill>
                </w14:textFill>
              </w:rPr>
            </w:pPr>
          </w:p>
        </w:tc>
        <w:tc>
          <w:tcPr>
            <w:tcW w:w="2068" w:type="dxa"/>
            <w:vAlign w:val="top"/>
          </w:tcPr>
          <w:p w14:paraId="1450D0C9">
            <w:pPr>
              <w:shd w:val="clear"/>
              <w:rPr>
                <w:rFonts w:ascii="Arial"/>
                <w:color w:val="000000" w:themeColor="text1"/>
                <w:sz w:val="21"/>
                <w:highlight w:val="none"/>
                <w14:textFill>
                  <w14:solidFill>
                    <w14:schemeClr w14:val="tx1"/>
                  </w14:solidFill>
                </w14:textFill>
              </w:rPr>
            </w:pPr>
          </w:p>
        </w:tc>
      </w:tr>
      <w:tr w14:paraId="7DE32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10A2B891">
            <w:pPr>
              <w:pStyle w:val="154"/>
              <w:shd w:val="clear"/>
              <w:spacing w:before="194" w:line="183" w:lineRule="auto"/>
              <w:ind w:left="45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2657" w:type="dxa"/>
            <w:vAlign w:val="top"/>
          </w:tcPr>
          <w:p w14:paraId="267BA1A8">
            <w:pPr>
              <w:shd w:val="clear"/>
              <w:rPr>
                <w:rFonts w:ascii="Arial"/>
                <w:color w:val="000000" w:themeColor="text1"/>
                <w:sz w:val="21"/>
                <w:highlight w:val="none"/>
                <w14:textFill>
                  <w14:solidFill>
                    <w14:schemeClr w14:val="tx1"/>
                  </w14:solidFill>
                </w14:textFill>
              </w:rPr>
            </w:pPr>
          </w:p>
        </w:tc>
        <w:tc>
          <w:tcPr>
            <w:tcW w:w="3922" w:type="dxa"/>
            <w:vAlign w:val="top"/>
          </w:tcPr>
          <w:p w14:paraId="240FCB3D">
            <w:pPr>
              <w:shd w:val="clear"/>
              <w:rPr>
                <w:rFonts w:ascii="Arial"/>
                <w:color w:val="000000" w:themeColor="text1"/>
                <w:sz w:val="21"/>
                <w:highlight w:val="none"/>
                <w14:textFill>
                  <w14:solidFill>
                    <w14:schemeClr w14:val="tx1"/>
                  </w14:solidFill>
                </w14:textFill>
              </w:rPr>
            </w:pPr>
          </w:p>
        </w:tc>
        <w:tc>
          <w:tcPr>
            <w:tcW w:w="2068" w:type="dxa"/>
            <w:vAlign w:val="top"/>
          </w:tcPr>
          <w:p w14:paraId="37FDC6E0">
            <w:pPr>
              <w:shd w:val="clear"/>
              <w:rPr>
                <w:rFonts w:ascii="Arial"/>
                <w:color w:val="000000" w:themeColor="text1"/>
                <w:sz w:val="21"/>
                <w:highlight w:val="none"/>
                <w14:textFill>
                  <w14:solidFill>
                    <w14:schemeClr w14:val="tx1"/>
                  </w14:solidFill>
                </w14:textFill>
              </w:rPr>
            </w:pPr>
          </w:p>
        </w:tc>
      </w:tr>
      <w:tr w14:paraId="1A021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009" w:type="dxa"/>
            <w:vAlign w:val="top"/>
          </w:tcPr>
          <w:p w14:paraId="7D0D7B6F">
            <w:pPr>
              <w:pStyle w:val="154"/>
              <w:shd w:val="clear"/>
              <w:spacing w:before="196" w:line="183" w:lineRule="auto"/>
              <w:ind w:left="456"/>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2657" w:type="dxa"/>
            <w:vAlign w:val="top"/>
          </w:tcPr>
          <w:p w14:paraId="72444FEC">
            <w:pPr>
              <w:shd w:val="clear"/>
              <w:rPr>
                <w:rFonts w:ascii="Arial"/>
                <w:color w:val="000000" w:themeColor="text1"/>
                <w:sz w:val="21"/>
                <w:highlight w:val="none"/>
                <w14:textFill>
                  <w14:solidFill>
                    <w14:schemeClr w14:val="tx1"/>
                  </w14:solidFill>
                </w14:textFill>
              </w:rPr>
            </w:pPr>
          </w:p>
        </w:tc>
        <w:tc>
          <w:tcPr>
            <w:tcW w:w="3922" w:type="dxa"/>
            <w:vAlign w:val="top"/>
          </w:tcPr>
          <w:p w14:paraId="1B4D14DA">
            <w:pPr>
              <w:shd w:val="clear"/>
              <w:rPr>
                <w:rFonts w:ascii="Arial"/>
                <w:color w:val="000000" w:themeColor="text1"/>
                <w:sz w:val="21"/>
                <w:highlight w:val="none"/>
                <w14:textFill>
                  <w14:solidFill>
                    <w14:schemeClr w14:val="tx1"/>
                  </w14:solidFill>
                </w14:textFill>
              </w:rPr>
            </w:pPr>
          </w:p>
        </w:tc>
        <w:tc>
          <w:tcPr>
            <w:tcW w:w="2068" w:type="dxa"/>
            <w:vAlign w:val="top"/>
          </w:tcPr>
          <w:p w14:paraId="41705655">
            <w:pPr>
              <w:shd w:val="clear"/>
              <w:rPr>
                <w:rFonts w:ascii="Arial"/>
                <w:color w:val="000000" w:themeColor="text1"/>
                <w:sz w:val="21"/>
                <w:highlight w:val="none"/>
                <w14:textFill>
                  <w14:solidFill>
                    <w14:schemeClr w14:val="tx1"/>
                  </w14:solidFill>
                </w14:textFill>
              </w:rPr>
            </w:pPr>
          </w:p>
        </w:tc>
      </w:tr>
      <w:tr w14:paraId="7D760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09" w:type="dxa"/>
            <w:vAlign w:val="top"/>
          </w:tcPr>
          <w:p w14:paraId="492CF3E5">
            <w:pPr>
              <w:pStyle w:val="154"/>
              <w:shd w:val="clear"/>
              <w:spacing w:before="161" w:line="379" w:lineRule="exact"/>
              <w:ind w:left="286"/>
              <w:rPr>
                <w:color w:val="000000" w:themeColor="text1"/>
                <w:sz w:val="24"/>
                <w:szCs w:val="24"/>
                <w:highlight w:val="none"/>
                <w14:textFill>
                  <w14:solidFill>
                    <w14:schemeClr w14:val="tx1"/>
                  </w14:solidFill>
                </w14:textFill>
              </w:rPr>
            </w:pPr>
            <w:r>
              <w:rPr>
                <w:color w:val="000000" w:themeColor="text1"/>
                <w:spacing w:val="-13"/>
                <w:position w:val="3"/>
                <w:sz w:val="24"/>
                <w:szCs w:val="24"/>
                <w:highlight w:val="none"/>
                <w14:textFill>
                  <w14:solidFill>
                    <w14:schemeClr w14:val="tx1"/>
                  </w14:solidFill>
                </w14:textFill>
              </w:rPr>
              <w:t>……</w:t>
            </w:r>
          </w:p>
        </w:tc>
        <w:tc>
          <w:tcPr>
            <w:tcW w:w="2657" w:type="dxa"/>
            <w:vAlign w:val="top"/>
          </w:tcPr>
          <w:p w14:paraId="71A88A94">
            <w:pPr>
              <w:shd w:val="clear"/>
              <w:rPr>
                <w:rFonts w:ascii="Arial"/>
                <w:color w:val="000000" w:themeColor="text1"/>
                <w:sz w:val="21"/>
                <w:highlight w:val="none"/>
                <w14:textFill>
                  <w14:solidFill>
                    <w14:schemeClr w14:val="tx1"/>
                  </w14:solidFill>
                </w14:textFill>
              </w:rPr>
            </w:pPr>
          </w:p>
        </w:tc>
        <w:tc>
          <w:tcPr>
            <w:tcW w:w="3922" w:type="dxa"/>
            <w:vAlign w:val="top"/>
          </w:tcPr>
          <w:p w14:paraId="369AA029">
            <w:pPr>
              <w:shd w:val="clear"/>
              <w:rPr>
                <w:rFonts w:ascii="Arial"/>
                <w:color w:val="000000" w:themeColor="text1"/>
                <w:sz w:val="21"/>
                <w:highlight w:val="none"/>
                <w14:textFill>
                  <w14:solidFill>
                    <w14:schemeClr w14:val="tx1"/>
                  </w14:solidFill>
                </w14:textFill>
              </w:rPr>
            </w:pPr>
          </w:p>
        </w:tc>
        <w:tc>
          <w:tcPr>
            <w:tcW w:w="2068" w:type="dxa"/>
            <w:vAlign w:val="top"/>
          </w:tcPr>
          <w:p w14:paraId="09E31E76">
            <w:pPr>
              <w:shd w:val="clear"/>
              <w:rPr>
                <w:rFonts w:ascii="Arial"/>
                <w:color w:val="000000" w:themeColor="text1"/>
                <w:sz w:val="21"/>
                <w:highlight w:val="none"/>
                <w14:textFill>
                  <w14:solidFill>
                    <w14:schemeClr w14:val="tx1"/>
                  </w14:solidFill>
                </w14:textFill>
              </w:rPr>
            </w:pPr>
          </w:p>
        </w:tc>
      </w:tr>
    </w:tbl>
    <w:p w14:paraId="7A708F29">
      <w:pPr>
        <w:shd w:val="clear"/>
        <w:spacing w:before="37" w:line="224" w:lineRule="auto"/>
        <w:ind w:left="134"/>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注：</w:t>
      </w:r>
    </w:p>
    <w:p w14:paraId="10C6849F">
      <w:pPr>
        <w:shd w:val="clear"/>
        <w:spacing w:before="174" w:line="468" w:lineRule="exact"/>
        <w:ind w:left="63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position w:val="17"/>
          <w:sz w:val="24"/>
          <w:szCs w:val="24"/>
          <w:highlight w:val="none"/>
          <w14:textFill>
            <w14:solidFill>
              <w14:schemeClr w14:val="tx1"/>
            </w14:solidFill>
          </w14:textFill>
        </w:rPr>
        <w:t>1.管理关系：是指不具有出资持股关系的其他单位</w:t>
      </w:r>
      <w:r>
        <w:rPr>
          <w:rFonts w:ascii="宋体" w:hAnsi="宋体" w:eastAsia="宋体" w:cs="宋体"/>
          <w:color w:val="000000" w:themeColor="text1"/>
          <w:spacing w:val="-1"/>
          <w:position w:val="17"/>
          <w:sz w:val="24"/>
          <w:szCs w:val="24"/>
          <w:highlight w:val="none"/>
          <w14:textFill>
            <w14:solidFill>
              <w14:schemeClr w14:val="tx1"/>
            </w14:solidFill>
          </w14:textFill>
        </w:rPr>
        <w:t>之间存在的管理与被管理关系，如</w:t>
      </w:r>
    </w:p>
    <w:p w14:paraId="2867A108">
      <w:pPr>
        <w:shd w:val="clear"/>
        <w:spacing w:before="1" w:line="220" w:lineRule="auto"/>
        <w:ind w:left="138"/>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一些上下级关系的事业单位和团体组织。</w:t>
      </w:r>
    </w:p>
    <w:p w14:paraId="6EAE507B">
      <w:pPr>
        <w:shd w:val="clear"/>
        <w:spacing w:before="178" w:line="466" w:lineRule="exact"/>
        <w:ind w:left="617"/>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1"/>
          <w:position w:val="17"/>
          <w:sz w:val="24"/>
          <w:szCs w:val="24"/>
          <w:highlight w:val="none"/>
          <w14:textFill>
            <w14:solidFill>
              <w14:schemeClr w14:val="tx1"/>
            </w14:solidFill>
          </w14:textFill>
        </w:rPr>
        <w:t>2.本表所指的管理关系仅限于直接管理关系，不包括间接的管理关系。</w:t>
      </w:r>
    </w:p>
    <w:p w14:paraId="0D2E3A16">
      <w:pPr>
        <w:shd w:val="clear"/>
        <w:spacing w:line="219" w:lineRule="auto"/>
        <w:ind w:left="619"/>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3.供应商不存在直接管理关系的，则填“无</w:t>
      </w:r>
      <w:r>
        <w:rPr>
          <w:rFonts w:ascii="宋体" w:hAnsi="宋体" w:eastAsia="宋体" w:cs="宋体"/>
          <w:color w:val="000000" w:themeColor="text1"/>
          <w:spacing w:val="-81"/>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w:t>
      </w:r>
    </w:p>
    <w:p w14:paraId="361C5FEC">
      <w:pPr>
        <w:pStyle w:val="19"/>
        <w:shd w:val="clear"/>
        <w:spacing w:line="254" w:lineRule="auto"/>
        <w:rPr>
          <w:color w:val="000000" w:themeColor="text1"/>
          <w:highlight w:val="none"/>
          <w14:textFill>
            <w14:solidFill>
              <w14:schemeClr w14:val="tx1"/>
            </w14:solidFill>
          </w14:textFill>
        </w:rPr>
      </w:pPr>
    </w:p>
    <w:p w14:paraId="318E0533">
      <w:pPr>
        <w:pStyle w:val="19"/>
        <w:shd w:val="clear"/>
        <w:spacing w:line="254" w:lineRule="auto"/>
        <w:rPr>
          <w:color w:val="000000" w:themeColor="text1"/>
          <w:highlight w:val="none"/>
          <w14:textFill>
            <w14:solidFill>
              <w14:schemeClr w14:val="tx1"/>
            </w14:solidFill>
          </w14:textFill>
        </w:rPr>
      </w:pPr>
    </w:p>
    <w:p w14:paraId="4299D05C">
      <w:pPr>
        <w:pStyle w:val="19"/>
        <w:shd w:val="clear"/>
        <w:spacing w:line="254" w:lineRule="auto"/>
        <w:rPr>
          <w:color w:val="000000" w:themeColor="text1"/>
          <w:highlight w:val="none"/>
          <w14:textFill>
            <w14:solidFill>
              <w14:schemeClr w14:val="tx1"/>
            </w14:solidFill>
          </w14:textFill>
        </w:rPr>
      </w:pPr>
    </w:p>
    <w:p w14:paraId="3A74AFDD">
      <w:pPr>
        <w:pStyle w:val="19"/>
        <w:shd w:val="clear"/>
        <w:spacing w:line="254" w:lineRule="auto"/>
        <w:rPr>
          <w:color w:val="000000" w:themeColor="text1"/>
          <w:highlight w:val="none"/>
          <w14:textFill>
            <w14:solidFill>
              <w14:schemeClr w14:val="tx1"/>
            </w14:solidFill>
          </w14:textFill>
        </w:rPr>
      </w:pPr>
    </w:p>
    <w:p w14:paraId="3A47A38C">
      <w:pPr>
        <w:pStyle w:val="19"/>
        <w:shd w:val="clear"/>
        <w:spacing w:line="254" w:lineRule="auto"/>
        <w:rPr>
          <w:color w:val="000000" w:themeColor="text1"/>
          <w:highlight w:val="none"/>
          <w14:textFill>
            <w14:solidFill>
              <w14:schemeClr w14:val="tx1"/>
            </w14:solidFill>
          </w14:textFill>
        </w:rPr>
      </w:pPr>
    </w:p>
    <w:p w14:paraId="6B105A8A">
      <w:pPr>
        <w:pStyle w:val="19"/>
        <w:shd w:val="clear"/>
        <w:spacing w:line="254" w:lineRule="auto"/>
        <w:rPr>
          <w:color w:val="000000" w:themeColor="text1"/>
          <w:highlight w:val="none"/>
          <w14:textFill>
            <w14:solidFill>
              <w14:schemeClr w14:val="tx1"/>
            </w14:solidFill>
          </w14:textFill>
        </w:rPr>
      </w:pPr>
    </w:p>
    <w:p w14:paraId="2A5065FB">
      <w:pPr>
        <w:pStyle w:val="19"/>
        <w:shd w:val="clear"/>
        <w:spacing w:line="254" w:lineRule="auto"/>
        <w:rPr>
          <w:color w:val="000000" w:themeColor="text1"/>
          <w:highlight w:val="none"/>
          <w14:textFill>
            <w14:solidFill>
              <w14:schemeClr w14:val="tx1"/>
            </w14:solidFill>
          </w14:textFill>
        </w:rPr>
      </w:pPr>
    </w:p>
    <w:p w14:paraId="53D65475">
      <w:pPr>
        <w:pStyle w:val="19"/>
        <w:shd w:val="clear"/>
        <w:spacing w:line="254" w:lineRule="auto"/>
        <w:rPr>
          <w:color w:val="000000" w:themeColor="text1"/>
          <w:highlight w:val="none"/>
          <w14:textFill>
            <w14:solidFill>
              <w14:schemeClr w14:val="tx1"/>
            </w14:solidFill>
          </w14:textFill>
        </w:rPr>
      </w:pPr>
    </w:p>
    <w:p w14:paraId="78BB4475">
      <w:pPr>
        <w:pStyle w:val="19"/>
        <w:shd w:val="clear"/>
        <w:spacing w:line="254" w:lineRule="auto"/>
        <w:rPr>
          <w:color w:val="000000" w:themeColor="text1"/>
          <w:highlight w:val="none"/>
          <w14:textFill>
            <w14:solidFill>
              <w14:schemeClr w14:val="tx1"/>
            </w14:solidFill>
          </w14:textFill>
        </w:rPr>
      </w:pPr>
    </w:p>
    <w:p w14:paraId="2C01DE89">
      <w:pPr>
        <w:pStyle w:val="19"/>
        <w:shd w:val="clear"/>
        <w:spacing w:line="254" w:lineRule="auto"/>
        <w:rPr>
          <w:color w:val="000000" w:themeColor="text1"/>
          <w:highlight w:val="none"/>
          <w14:textFill>
            <w14:solidFill>
              <w14:schemeClr w14:val="tx1"/>
            </w14:solidFill>
          </w14:textFill>
        </w:rPr>
      </w:pPr>
    </w:p>
    <w:p w14:paraId="56D99F6B">
      <w:pPr>
        <w:pStyle w:val="19"/>
        <w:shd w:val="clear"/>
        <w:spacing w:line="255" w:lineRule="auto"/>
        <w:rPr>
          <w:color w:val="000000" w:themeColor="text1"/>
          <w:highlight w:val="none"/>
          <w14:textFill>
            <w14:solidFill>
              <w14:schemeClr w14:val="tx1"/>
            </w14:solidFill>
          </w14:textFill>
        </w:rPr>
      </w:pPr>
    </w:p>
    <w:p w14:paraId="7952F7B1">
      <w:pPr>
        <w:pStyle w:val="19"/>
        <w:shd w:val="clear"/>
        <w:spacing w:line="255" w:lineRule="auto"/>
        <w:rPr>
          <w:color w:val="000000" w:themeColor="text1"/>
          <w:highlight w:val="none"/>
          <w14:textFill>
            <w14:solidFill>
              <w14:schemeClr w14:val="tx1"/>
            </w14:solidFill>
          </w14:textFill>
        </w:rPr>
      </w:pPr>
    </w:p>
    <w:p w14:paraId="1F9B7F95">
      <w:pPr>
        <w:pStyle w:val="19"/>
        <w:shd w:val="clear"/>
        <w:spacing w:line="255" w:lineRule="auto"/>
        <w:rPr>
          <w:color w:val="000000" w:themeColor="text1"/>
          <w:highlight w:val="none"/>
          <w14:textFill>
            <w14:solidFill>
              <w14:schemeClr w14:val="tx1"/>
            </w14:solidFill>
          </w14:textFill>
        </w:rPr>
      </w:pPr>
    </w:p>
    <w:p w14:paraId="068486C3">
      <w:pPr>
        <w:pStyle w:val="19"/>
        <w:shd w:val="clear"/>
        <w:spacing w:line="255" w:lineRule="auto"/>
        <w:rPr>
          <w:color w:val="000000" w:themeColor="text1"/>
          <w:highlight w:val="none"/>
          <w14:textFill>
            <w14:solidFill>
              <w14:schemeClr w14:val="tx1"/>
            </w14:solidFill>
          </w14:textFill>
        </w:rPr>
      </w:pPr>
    </w:p>
    <w:p w14:paraId="3514460E">
      <w:pPr>
        <w:pStyle w:val="19"/>
        <w:shd w:val="clear"/>
        <w:spacing w:line="255" w:lineRule="auto"/>
        <w:rPr>
          <w:color w:val="000000" w:themeColor="text1"/>
          <w:highlight w:val="none"/>
          <w14:textFill>
            <w14:solidFill>
              <w14:schemeClr w14:val="tx1"/>
            </w14:solidFill>
          </w14:textFill>
        </w:rPr>
      </w:pPr>
    </w:p>
    <w:p w14:paraId="5003C699">
      <w:pPr>
        <w:shd w:val="clear"/>
        <w:spacing w:before="79" w:line="468" w:lineRule="exact"/>
        <w:ind w:left="5174"/>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position w:val="17"/>
          <w:sz w:val="24"/>
          <w:szCs w:val="24"/>
          <w:highlight w:val="none"/>
          <w14:textFill>
            <w14:solidFill>
              <w14:schemeClr w14:val="tx1"/>
            </w14:solidFill>
          </w14:textFill>
        </w:rPr>
        <w:t>供应商名称</w:t>
      </w:r>
      <w:r>
        <w:rPr>
          <w:rFonts w:hint="eastAsia" w:ascii="宋体" w:hAnsi="宋体" w:cs="宋体"/>
          <w:color w:val="000000" w:themeColor="text1"/>
          <w:spacing w:val="-1"/>
          <w:position w:val="17"/>
          <w:sz w:val="24"/>
          <w:szCs w:val="24"/>
          <w:highlight w:val="none"/>
          <w:lang w:eastAsia="zh-CN"/>
          <w14:textFill>
            <w14:solidFill>
              <w14:schemeClr w14:val="tx1"/>
            </w14:solidFill>
          </w14:textFill>
        </w:rPr>
        <w:t>（</w:t>
      </w:r>
      <w:r>
        <w:rPr>
          <w:rFonts w:ascii="宋体" w:hAnsi="宋体" w:eastAsia="宋体" w:cs="宋体"/>
          <w:color w:val="000000" w:themeColor="text1"/>
          <w:spacing w:val="-1"/>
          <w:position w:val="17"/>
          <w:sz w:val="24"/>
          <w:szCs w:val="24"/>
          <w:highlight w:val="none"/>
          <w14:textFill>
            <w14:solidFill>
              <w14:schemeClr w14:val="tx1"/>
            </w14:solidFill>
          </w14:textFill>
        </w:rPr>
        <w:t>电子签章</w:t>
      </w:r>
      <w:r>
        <w:rPr>
          <w:rFonts w:hint="eastAsia" w:ascii="宋体" w:hAnsi="宋体" w:cs="宋体"/>
          <w:color w:val="000000" w:themeColor="text1"/>
          <w:spacing w:val="-1"/>
          <w:position w:val="17"/>
          <w:sz w:val="24"/>
          <w:szCs w:val="24"/>
          <w:highlight w:val="none"/>
          <w:lang w:eastAsia="zh-CN"/>
          <w14:textFill>
            <w14:solidFill>
              <w14:schemeClr w14:val="tx1"/>
            </w14:solidFill>
          </w14:textFill>
        </w:rPr>
        <w:t>）</w:t>
      </w:r>
      <w:r>
        <w:rPr>
          <w:rFonts w:ascii="宋体" w:hAnsi="宋体" w:eastAsia="宋体" w:cs="宋体"/>
          <w:color w:val="000000" w:themeColor="text1"/>
          <w:spacing w:val="-1"/>
          <w:position w:val="17"/>
          <w:sz w:val="24"/>
          <w:szCs w:val="24"/>
          <w:highlight w:val="none"/>
          <w14:textFill>
            <w14:solidFill>
              <w14:schemeClr w14:val="tx1"/>
            </w14:solidFill>
          </w14:textFill>
        </w:rPr>
        <w:t>：</w:t>
      </w:r>
    </w:p>
    <w:p w14:paraId="38964979">
      <w:pPr>
        <w:shd w:val="clear"/>
        <w:spacing w:line="220" w:lineRule="auto"/>
        <w:ind w:left="5336"/>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3"/>
          <w:sz w:val="24"/>
          <w:szCs w:val="24"/>
          <w:highlight w:val="none"/>
          <w14:textFill>
            <w14:solidFill>
              <w14:schemeClr w14:val="tx1"/>
            </w14:solidFill>
          </w14:textFill>
        </w:rPr>
        <w:t>日期：</w:t>
      </w:r>
      <w:r>
        <w:rPr>
          <w:rFonts w:ascii="宋体" w:hAnsi="宋体" w:eastAsia="宋体" w:cs="宋体"/>
          <w:color w:val="000000" w:themeColor="text1"/>
          <w:spacing w:val="5"/>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年</w:t>
      </w:r>
      <w:r>
        <w:rPr>
          <w:rFonts w:ascii="宋体" w:hAnsi="宋体" w:eastAsia="宋体" w:cs="宋体"/>
          <w:color w:val="000000" w:themeColor="text1"/>
          <w:spacing w:val="8"/>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月</w:t>
      </w:r>
      <w:r>
        <w:rPr>
          <w:rFonts w:ascii="宋体" w:hAnsi="宋体" w:eastAsia="宋体" w:cs="宋体"/>
          <w:color w:val="000000" w:themeColor="text1"/>
          <w:spacing w:val="17"/>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日</w:t>
      </w:r>
    </w:p>
    <w:p w14:paraId="0FECC0A5">
      <w:pPr>
        <w:shd w:val="clear"/>
        <w:spacing w:line="220" w:lineRule="auto"/>
        <w:rPr>
          <w:rFonts w:ascii="宋体" w:hAnsi="宋体" w:eastAsia="宋体" w:cs="宋体"/>
          <w:color w:val="000000" w:themeColor="text1"/>
          <w:sz w:val="24"/>
          <w:szCs w:val="24"/>
          <w:highlight w:val="none"/>
          <w14:textFill>
            <w14:solidFill>
              <w14:schemeClr w14:val="tx1"/>
            </w14:solidFill>
          </w14:textFill>
        </w:rPr>
        <w:sectPr>
          <w:footerReference r:id="rId18" w:type="default"/>
          <w:pgSz w:w="11910" w:h="16840"/>
          <w:pgMar w:top="1326" w:right="1073" w:bottom="1080" w:left="1175" w:header="0" w:footer="876" w:gutter="0"/>
          <w:pgNumType w:fmt="decimal"/>
          <w:cols w:space="720" w:num="1"/>
        </w:sectPr>
      </w:pPr>
    </w:p>
    <w:p w14:paraId="6EE52301">
      <w:pPr>
        <w:shd w:val="clear"/>
        <w:bidi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7.满足供应商特定资格条件的</w:t>
      </w:r>
      <w:r>
        <w:rPr>
          <w:rFonts w:hint="eastAsia" w:ascii="宋体" w:hAnsi="宋体" w:cs="宋体"/>
          <w:b/>
          <w:bCs/>
          <w:color w:val="000000" w:themeColor="text1"/>
          <w:sz w:val="24"/>
          <w:szCs w:val="24"/>
          <w:highlight w:val="none"/>
          <w:lang w:val="en-US" w:eastAsia="zh-CN"/>
          <w14:textFill>
            <w14:solidFill>
              <w14:schemeClr w14:val="tx1"/>
            </w14:solidFill>
          </w14:textFill>
        </w:rPr>
        <w:t>有关</w:t>
      </w:r>
      <w:r>
        <w:rPr>
          <w:rFonts w:hint="eastAsia" w:ascii="宋体" w:hAnsi="宋体" w:eastAsia="宋体" w:cs="宋体"/>
          <w:b/>
          <w:bCs/>
          <w:color w:val="000000" w:themeColor="text1"/>
          <w:sz w:val="24"/>
          <w:szCs w:val="24"/>
          <w:highlight w:val="none"/>
          <w14:textFill>
            <w14:solidFill>
              <w14:schemeClr w14:val="tx1"/>
            </w14:solidFill>
          </w14:textFill>
        </w:rPr>
        <w:t>证明材料。（必须提供，否则作无效响应处理）</w:t>
      </w:r>
    </w:p>
    <w:p w14:paraId="29FF283E">
      <w:pPr>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1C62A0EC">
      <w:pPr>
        <w:pStyle w:val="26"/>
        <w:shd w:val="clear"/>
        <w:spacing w:line="600" w:lineRule="exact"/>
        <w:ind w:firstLine="151"/>
        <w:jc w:val="center"/>
        <w:rPr>
          <w:rFonts w:hAnsi="宋体" w:cs="宋体"/>
          <w:b/>
          <w:bCs/>
          <w:color w:val="000000" w:themeColor="text1"/>
          <w:sz w:val="30"/>
          <w:szCs w:val="30"/>
          <w:highlight w:val="none"/>
          <w14:textFill>
            <w14:solidFill>
              <w14:schemeClr w14:val="tx1"/>
            </w14:solidFill>
          </w14:textFill>
        </w:rPr>
      </w:pPr>
    </w:p>
    <w:p w14:paraId="1C4E6144">
      <w:pPr>
        <w:shd w:val="clear"/>
        <w:rPr>
          <w:rFonts w:hAnsi="宋体" w:cs="宋体"/>
          <w:b/>
          <w:bCs/>
          <w:color w:val="000000" w:themeColor="text1"/>
          <w:sz w:val="30"/>
          <w:szCs w:val="30"/>
          <w:highlight w:val="none"/>
          <w14:textFill>
            <w14:solidFill>
              <w14:schemeClr w14:val="tx1"/>
            </w14:solidFill>
          </w14:textFill>
        </w:rPr>
      </w:pPr>
    </w:p>
    <w:p w14:paraId="03C5BF03">
      <w:pPr>
        <w:shd w:val="clear"/>
        <w:rPr>
          <w:rFonts w:hAnsi="宋体" w:cs="宋体"/>
          <w:b/>
          <w:bCs/>
          <w:color w:val="000000" w:themeColor="text1"/>
          <w:sz w:val="30"/>
          <w:szCs w:val="30"/>
          <w:highlight w:val="none"/>
          <w14:textFill>
            <w14:solidFill>
              <w14:schemeClr w14:val="tx1"/>
            </w14:solidFill>
          </w14:textFill>
        </w:rPr>
      </w:pPr>
    </w:p>
    <w:p w14:paraId="1C25980F">
      <w:pPr>
        <w:shd w:val="clear"/>
        <w:snapToGrid w:val="0"/>
        <w:spacing w:line="360" w:lineRule="auto"/>
        <w:ind w:firstLine="5040" w:firstLineChars="2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供应商名称(电子签章)：</w:t>
      </w:r>
    </w:p>
    <w:p w14:paraId="1290D092">
      <w:pPr>
        <w:shd w:val="clear"/>
        <w:snapToGrid w:val="0"/>
        <w:spacing w:line="360" w:lineRule="auto"/>
        <w:ind w:firstLine="5160" w:firstLineChars="21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30E541E">
      <w:pPr>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39F7E7D3">
      <w:pPr>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160CA4AB">
      <w:pPr>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50D577C7">
      <w:pPr>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7AFBD54D">
      <w:pPr>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447FC19A">
      <w:pPr>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6DAF1727">
      <w:pPr>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03795B0D">
      <w:pPr>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4C4E85F2">
      <w:pPr>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21E3A031">
      <w:pPr>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71A0C3FE">
      <w:pPr>
        <w:shd w:val="clear"/>
        <w:bidi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8.供应商认为应当要提交的其他资格证明材料。</w:t>
      </w:r>
    </w:p>
    <w:p w14:paraId="4F6B04D5">
      <w:pPr>
        <w:shd w:val="clear"/>
        <w:spacing w:line="220" w:lineRule="auto"/>
        <w:rPr>
          <w:rFonts w:ascii="宋体" w:hAnsi="宋体" w:eastAsia="宋体" w:cs="宋体"/>
          <w:b/>
          <w:bCs/>
          <w:color w:val="000000" w:themeColor="text1"/>
          <w:sz w:val="22"/>
          <w:szCs w:val="22"/>
          <w:highlight w:val="none"/>
          <w14:textFill>
            <w14:solidFill>
              <w14:schemeClr w14:val="tx1"/>
            </w14:solidFill>
          </w14:textFill>
        </w:rPr>
        <w:sectPr>
          <w:footerReference r:id="rId19" w:type="default"/>
          <w:pgSz w:w="11910" w:h="16840"/>
          <w:pgMar w:top="1326" w:right="1221" w:bottom="1080" w:left="1310" w:header="0" w:footer="876" w:gutter="0"/>
          <w:pgNumType w:fmt="decimal"/>
          <w:cols w:space="720" w:num="1"/>
        </w:sectPr>
      </w:pPr>
    </w:p>
    <w:p w14:paraId="5D5820A9">
      <w:pPr>
        <w:shd w:val="clear"/>
        <w:spacing w:before="55" w:line="221"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第二节、响应文件封面参考格式（商务技术文件</w:t>
      </w:r>
      <w:r>
        <w:rPr>
          <w:rFonts w:ascii="宋体" w:hAnsi="宋体" w:eastAsia="宋体" w:cs="宋体"/>
          <w:color w:val="000000" w:themeColor="text1"/>
          <w:spacing w:val="4"/>
          <w:sz w:val="28"/>
          <w:szCs w:val="28"/>
          <w:highlight w:val="none"/>
          <w14:textFill>
            <w14:solidFill>
              <w14:schemeClr w14:val="tx1"/>
            </w14:solidFill>
          </w14:textFill>
        </w:rPr>
        <w:t>）：</w:t>
      </w:r>
    </w:p>
    <w:p w14:paraId="462EDF38">
      <w:pPr>
        <w:pStyle w:val="19"/>
        <w:shd w:val="clear"/>
        <w:spacing w:line="256" w:lineRule="auto"/>
        <w:rPr>
          <w:color w:val="000000" w:themeColor="text1"/>
          <w:highlight w:val="none"/>
          <w14:textFill>
            <w14:solidFill>
              <w14:schemeClr w14:val="tx1"/>
            </w14:solidFill>
          </w14:textFill>
        </w:rPr>
      </w:pPr>
    </w:p>
    <w:p w14:paraId="2DBE1986">
      <w:pPr>
        <w:pStyle w:val="19"/>
        <w:shd w:val="clear"/>
        <w:spacing w:line="257" w:lineRule="auto"/>
        <w:rPr>
          <w:color w:val="000000" w:themeColor="text1"/>
          <w:highlight w:val="none"/>
          <w14:textFill>
            <w14:solidFill>
              <w14:schemeClr w14:val="tx1"/>
            </w14:solidFill>
          </w14:textFill>
        </w:rPr>
      </w:pPr>
    </w:p>
    <w:p w14:paraId="1BD4B2BE">
      <w:pPr>
        <w:pStyle w:val="19"/>
        <w:shd w:val="clear"/>
        <w:spacing w:line="257" w:lineRule="auto"/>
        <w:rPr>
          <w:color w:val="000000" w:themeColor="text1"/>
          <w:highlight w:val="none"/>
          <w14:textFill>
            <w14:solidFill>
              <w14:schemeClr w14:val="tx1"/>
            </w14:solidFill>
          </w14:textFill>
        </w:rPr>
      </w:pPr>
    </w:p>
    <w:p w14:paraId="3FDE8E80">
      <w:pPr>
        <w:pStyle w:val="19"/>
        <w:shd w:val="clear"/>
        <w:spacing w:line="257" w:lineRule="auto"/>
        <w:rPr>
          <w:color w:val="000000" w:themeColor="text1"/>
          <w:highlight w:val="none"/>
          <w14:textFill>
            <w14:solidFill>
              <w14:schemeClr w14:val="tx1"/>
            </w14:solidFill>
          </w14:textFill>
        </w:rPr>
      </w:pPr>
    </w:p>
    <w:p w14:paraId="6DCE4C40">
      <w:pPr>
        <w:shd w:val="clear"/>
        <w:spacing w:before="231" w:line="223" w:lineRule="auto"/>
        <w:ind w:left="2760"/>
        <w:rPr>
          <w:rFonts w:ascii="宋体" w:hAnsi="宋体" w:eastAsia="宋体" w:cs="宋体"/>
          <w:color w:val="000000" w:themeColor="text1"/>
          <w:sz w:val="71"/>
          <w:szCs w:val="71"/>
          <w:highlight w:val="none"/>
          <w14:textFill>
            <w14:solidFill>
              <w14:schemeClr w14:val="tx1"/>
            </w14:solidFill>
          </w14:textFill>
        </w:rPr>
      </w:pPr>
      <w:r>
        <w:rPr>
          <w:rFonts w:ascii="宋体" w:hAnsi="宋体" w:eastAsia="宋体" w:cs="宋体"/>
          <w:color w:val="000000" w:themeColor="text1"/>
          <w:spacing w:val="-9"/>
          <w:sz w:val="71"/>
          <w:szCs w:val="71"/>
          <w:highlight w:val="none"/>
          <w14:textFill>
            <w14:solidFill>
              <w14:schemeClr w14:val="tx1"/>
            </w14:solidFill>
          </w14:textFill>
        </w:rPr>
        <w:t>电子响应文件</w:t>
      </w:r>
    </w:p>
    <w:p w14:paraId="2E476FF4">
      <w:pPr>
        <w:pStyle w:val="19"/>
        <w:shd w:val="clear"/>
        <w:spacing w:line="250" w:lineRule="auto"/>
        <w:rPr>
          <w:color w:val="000000" w:themeColor="text1"/>
          <w:highlight w:val="none"/>
          <w14:textFill>
            <w14:solidFill>
              <w14:schemeClr w14:val="tx1"/>
            </w14:solidFill>
          </w14:textFill>
        </w:rPr>
      </w:pPr>
    </w:p>
    <w:p w14:paraId="6704DF24">
      <w:pPr>
        <w:pStyle w:val="19"/>
        <w:shd w:val="clear"/>
        <w:spacing w:line="250" w:lineRule="auto"/>
        <w:rPr>
          <w:color w:val="000000" w:themeColor="text1"/>
          <w:highlight w:val="none"/>
          <w14:textFill>
            <w14:solidFill>
              <w14:schemeClr w14:val="tx1"/>
            </w14:solidFill>
          </w14:textFill>
        </w:rPr>
      </w:pPr>
    </w:p>
    <w:p w14:paraId="00B9B9EC">
      <w:pPr>
        <w:pStyle w:val="19"/>
        <w:shd w:val="clear"/>
        <w:spacing w:line="251" w:lineRule="auto"/>
        <w:rPr>
          <w:color w:val="000000" w:themeColor="text1"/>
          <w:highlight w:val="none"/>
          <w14:textFill>
            <w14:solidFill>
              <w14:schemeClr w14:val="tx1"/>
            </w14:solidFill>
          </w14:textFill>
        </w:rPr>
      </w:pPr>
    </w:p>
    <w:p w14:paraId="77886A1E">
      <w:pPr>
        <w:pStyle w:val="19"/>
        <w:shd w:val="clear"/>
        <w:spacing w:line="251" w:lineRule="auto"/>
        <w:rPr>
          <w:color w:val="000000" w:themeColor="text1"/>
          <w:highlight w:val="none"/>
          <w14:textFill>
            <w14:solidFill>
              <w14:schemeClr w14:val="tx1"/>
            </w14:solidFill>
          </w14:textFill>
        </w:rPr>
      </w:pPr>
    </w:p>
    <w:p w14:paraId="0A414500">
      <w:pPr>
        <w:pStyle w:val="19"/>
        <w:shd w:val="clear"/>
        <w:spacing w:line="251" w:lineRule="auto"/>
        <w:rPr>
          <w:color w:val="000000" w:themeColor="text1"/>
          <w:highlight w:val="none"/>
          <w14:textFill>
            <w14:solidFill>
              <w14:schemeClr w14:val="tx1"/>
            </w14:solidFill>
          </w14:textFill>
        </w:rPr>
      </w:pPr>
    </w:p>
    <w:p w14:paraId="3A75DE19">
      <w:pPr>
        <w:shd w:val="clear"/>
        <w:spacing w:before="153" w:line="224" w:lineRule="auto"/>
        <w:ind w:left="3396"/>
        <w:rPr>
          <w:rFonts w:ascii="宋体" w:hAnsi="宋体" w:eastAsia="宋体" w:cs="宋体"/>
          <w:color w:val="000000" w:themeColor="text1"/>
          <w:sz w:val="47"/>
          <w:szCs w:val="47"/>
          <w:highlight w:val="none"/>
          <w14:textFill>
            <w14:solidFill>
              <w14:schemeClr w14:val="tx1"/>
            </w14:solidFill>
          </w14:textFill>
        </w:rPr>
      </w:pPr>
      <w:r>
        <w:rPr>
          <w:rFonts w:ascii="宋体" w:hAnsi="宋体" w:eastAsia="宋体" w:cs="宋体"/>
          <w:color w:val="000000" w:themeColor="text1"/>
          <w:spacing w:val="5"/>
          <w:sz w:val="47"/>
          <w:szCs w:val="47"/>
          <w:highlight w:val="none"/>
          <w14:textFill>
            <w14:solidFill>
              <w14:schemeClr w14:val="tx1"/>
            </w14:solidFill>
          </w14:textFill>
        </w:rPr>
        <w:t>商务技术文件</w:t>
      </w:r>
    </w:p>
    <w:p w14:paraId="1C9E7F45">
      <w:pPr>
        <w:pStyle w:val="19"/>
        <w:shd w:val="clear"/>
        <w:spacing w:line="271" w:lineRule="auto"/>
        <w:rPr>
          <w:color w:val="000000" w:themeColor="text1"/>
          <w:highlight w:val="none"/>
          <w14:textFill>
            <w14:solidFill>
              <w14:schemeClr w14:val="tx1"/>
            </w14:solidFill>
          </w14:textFill>
        </w:rPr>
      </w:pPr>
    </w:p>
    <w:p w14:paraId="58E76D43">
      <w:pPr>
        <w:pStyle w:val="19"/>
        <w:shd w:val="clear"/>
        <w:spacing w:line="271" w:lineRule="auto"/>
        <w:rPr>
          <w:color w:val="000000" w:themeColor="text1"/>
          <w:highlight w:val="none"/>
          <w14:textFill>
            <w14:solidFill>
              <w14:schemeClr w14:val="tx1"/>
            </w14:solidFill>
          </w14:textFill>
        </w:rPr>
      </w:pPr>
    </w:p>
    <w:p w14:paraId="73C2B6B2">
      <w:pPr>
        <w:pStyle w:val="19"/>
        <w:shd w:val="clear"/>
        <w:spacing w:line="272" w:lineRule="auto"/>
        <w:rPr>
          <w:color w:val="000000" w:themeColor="text1"/>
          <w:highlight w:val="none"/>
          <w14:textFill>
            <w14:solidFill>
              <w14:schemeClr w14:val="tx1"/>
            </w14:solidFill>
          </w14:textFill>
        </w:rPr>
      </w:pPr>
    </w:p>
    <w:p w14:paraId="44B88F36">
      <w:pPr>
        <w:pStyle w:val="19"/>
        <w:shd w:val="clear"/>
        <w:spacing w:line="272" w:lineRule="auto"/>
        <w:rPr>
          <w:color w:val="000000" w:themeColor="text1"/>
          <w:highlight w:val="none"/>
          <w14:textFill>
            <w14:solidFill>
              <w14:schemeClr w14:val="tx1"/>
            </w14:solidFill>
          </w14:textFill>
        </w:rPr>
      </w:pPr>
    </w:p>
    <w:p w14:paraId="0CF8DA3A">
      <w:pPr>
        <w:shd w:val="clear"/>
        <w:spacing w:before="91" w:line="663" w:lineRule="exact"/>
        <w:ind w:left="4"/>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position w:val="29"/>
          <w:sz w:val="28"/>
          <w:szCs w:val="28"/>
          <w:highlight w:val="none"/>
          <w14:textFill>
            <w14:solidFill>
              <w14:schemeClr w14:val="tx1"/>
            </w14:solidFill>
          </w14:textFill>
        </w:rPr>
        <w:t>项目名称：</w:t>
      </w:r>
    </w:p>
    <w:p w14:paraId="58DDF850">
      <w:pPr>
        <w:shd w:val="clear"/>
        <w:spacing w:before="1" w:line="220" w:lineRule="auto"/>
        <w:ind w:left="4"/>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项目编号：</w:t>
      </w:r>
    </w:p>
    <w:p w14:paraId="5D404477">
      <w:pPr>
        <w:shd w:val="clear"/>
        <w:spacing w:before="327" w:line="663" w:lineRule="exact"/>
        <w:ind w:left="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position w:val="29"/>
          <w:sz w:val="28"/>
          <w:szCs w:val="28"/>
          <w:highlight w:val="none"/>
          <w14:textFill>
            <w14:solidFill>
              <w14:schemeClr w14:val="tx1"/>
            </w14:solidFill>
          </w14:textFill>
        </w:rPr>
        <w:t>标段：</w:t>
      </w:r>
      <w:r>
        <w:rPr>
          <w:rFonts w:ascii="宋体" w:hAnsi="宋体" w:eastAsia="宋体" w:cs="宋体"/>
          <w:color w:val="000000" w:themeColor="text1"/>
          <w:spacing w:val="-77"/>
          <w:position w:val="29"/>
          <w:sz w:val="28"/>
          <w:szCs w:val="28"/>
          <w:highlight w:val="none"/>
          <w14:textFill>
            <w14:solidFill>
              <w14:schemeClr w14:val="tx1"/>
            </w14:solidFill>
          </w14:textFill>
        </w:rPr>
        <w:t xml:space="preserve"> </w:t>
      </w:r>
      <w:r>
        <w:rPr>
          <w:rFonts w:hint="eastAsia" w:ascii="宋体" w:hAnsi="宋体" w:cs="宋体"/>
          <w:color w:val="000000" w:themeColor="text1"/>
          <w:spacing w:val="-77"/>
          <w:position w:val="29"/>
          <w:sz w:val="28"/>
          <w:szCs w:val="28"/>
          <w:highlight w:val="none"/>
          <w:lang w:eastAsia="zh-CN"/>
          <w14:textFill>
            <w14:solidFill>
              <w14:schemeClr w14:val="tx1"/>
            </w14:solidFill>
          </w14:textFill>
        </w:rPr>
        <w:t>（</w:t>
      </w:r>
      <w:r>
        <w:rPr>
          <w:rFonts w:ascii="宋体" w:hAnsi="宋体" w:eastAsia="宋体" w:cs="宋体"/>
          <w:color w:val="000000" w:themeColor="text1"/>
          <w:spacing w:val="-8"/>
          <w:position w:val="29"/>
          <w:sz w:val="28"/>
          <w:szCs w:val="28"/>
          <w:highlight w:val="none"/>
          <w14:textFill>
            <w14:solidFill>
              <w14:schemeClr w14:val="tx1"/>
            </w14:solidFill>
          </w14:textFill>
        </w:rPr>
        <w:t>若无留空或写“/</w:t>
      </w:r>
      <w:r>
        <w:rPr>
          <w:rFonts w:ascii="宋体" w:hAnsi="宋体" w:eastAsia="宋体" w:cs="宋体"/>
          <w:color w:val="000000" w:themeColor="text1"/>
          <w:spacing w:val="-102"/>
          <w:position w:val="29"/>
          <w:sz w:val="28"/>
          <w:szCs w:val="28"/>
          <w:highlight w:val="none"/>
          <w14:textFill>
            <w14:solidFill>
              <w14:schemeClr w14:val="tx1"/>
            </w14:solidFill>
          </w14:textFill>
        </w:rPr>
        <w:t xml:space="preserve"> </w:t>
      </w:r>
      <w:r>
        <w:rPr>
          <w:rFonts w:ascii="宋体" w:hAnsi="宋体" w:eastAsia="宋体" w:cs="宋体"/>
          <w:color w:val="000000" w:themeColor="text1"/>
          <w:spacing w:val="-8"/>
          <w:position w:val="29"/>
          <w:sz w:val="28"/>
          <w:szCs w:val="28"/>
          <w:highlight w:val="none"/>
          <w14:textFill>
            <w14:solidFill>
              <w14:schemeClr w14:val="tx1"/>
            </w14:solidFill>
          </w14:textFill>
        </w:rPr>
        <w:t>”</w:t>
      </w:r>
      <w:r>
        <w:rPr>
          <w:rFonts w:hint="eastAsia" w:ascii="宋体" w:hAnsi="宋体" w:cs="宋体"/>
          <w:color w:val="000000" w:themeColor="text1"/>
          <w:spacing w:val="-8"/>
          <w:position w:val="29"/>
          <w:sz w:val="28"/>
          <w:szCs w:val="28"/>
          <w:highlight w:val="none"/>
          <w:lang w:eastAsia="zh-CN"/>
          <w14:textFill>
            <w14:solidFill>
              <w14:schemeClr w14:val="tx1"/>
            </w14:solidFill>
          </w14:textFill>
        </w:rPr>
        <w:t>）</w:t>
      </w:r>
    </w:p>
    <w:p w14:paraId="0BFFAC2B">
      <w:pPr>
        <w:shd w:val="clear"/>
        <w:spacing w:line="220"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供应商名称：</w:t>
      </w:r>
    </w:p>
    <w:p w14:paraId="09D0AC89">
      <w:pPr>
        <w:shd w:val="clear"/>
        <w:spacing w:before="326" w:line="220"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供应商地址：</w:t>
      </w:r>
    </w:p>
    <w:p w14:paraId="3E2D7C5A">
      <w:pPr>
        <w:shd w:val="clear"/>
        <w:spacing w:before="328" w:line="221" w:lineRule="auto"/>
        <w:ind w:left="426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8"/>
          <w:szCs w:val="28"/>
          <w:highlight w:val="none"/>
          <w14:textFill>
            <w14:solidFill>
              <w14:schemeClr w14:val="tx1"/>
            </w14:solidFill>
          </w14:textFill>
        </w:rPr>
        <w:t>年</w:t>
      </w:r>
      <w:r>
        <w:rPr>
          <w:rFonts w:ascii="宋体" w:hAnsi="宋体" w:eastAsia="宋体" w:cs="宋体"/>
          <w:color w:val="000000" w:themeColor="text1"/>
          <w:spacing w:val="17"/>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月</w:t>
      </w:r>
      <w:r>
        <w:rPr>
          <w:rFonts w:ascii="宋体" w:hAnsi="宋体" w:eastAsia="宋体" w:cs="宋体"/>
          <w:color w:val="000000" w:themeColor="text1"/>
          <w:spacing w:val="59"/>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日</w:t>
      </w:r>
    </w:p>
    <w:p w14:paraId="25E3C4B8">
      <w:pPr>
        <w:shd w:val="clear"/>
        <w:spacing w:line="221" w:lineRule="auto"/>
        <w:rPr>
          <w:rFonts w:ascii="宋体" w:hAnsi="宋体" w:eastAsia="宋体" w:cs="宋体"/>
          <w:color w:val="000000" w:themeColor="text1"/>
          <w:sz w:val="28"/>
          <w:szCs w:val="28"/>
          <w:highlight w:val="none"/>
          <w14:textFill>
            <w14:solidFill>
              <w14:schemeClr w14:val="tx1"/>
            </w14:solidFill>
          </w14:textFill>
        </w:rPr>
        <w:sectPr>
          <w:footerReference r:id="rId20" w:type="default"/>
          <w:pgSz w:w="11906" w:h="16839"/>
          <w:pgMar w:top="1383" w:right="1785" w:bottom="884" w:left="1143" w:header="0" w:footer="679" w:gutter="0"/>
          <w:pgNumType w:fmt="decimal"/>
          <w:cols w:space="720" w:num="1"/>
        </w:sectPr>
      </w:pPr>
    </w:p>
    <w:p w14:paraId="709E385C">
      <w:pPr>
        <w:shd w:val="clear"/>
        <w:spacing w:before="71" w:line="228" w:lineRule="auto"/>
        <w:ind w:left="3888"/>
        <w:rPr>
          <w:rFonts w:ascii="宋体" w:hAnsi="宋体" w:eastAsia="宋体" w:cs="宋体"/>
          <w:color w:val="000000" w:themeColor="text1"/>
          <w:sz w:val="35"/>
          <w:szCs w:val="35"/>
          <w:highlight w:val="none"/>
          <w14:textFill>
            <w14:solidFill>
              <w14:schemeClr w14:val="tx1"/>
            </w14:solidFill>
          </w14:textFill>
        </w:rPr>
      </w:pPr>
      <w:r>
        <w:rPr>
          <w:rFonts w:ascii="宋体" w:hAnsi="宋体" w:eastAsia="宋体" w:cs="宋体"/>
          <w:b/>
          <w:bCs/>
          <w:color w:val="000000" w:themeColor="text1"/>
          <w:spacing w:val="-34"/>
          <w:sz w:val="35"/>
          <w:szCs w:val="35"/>
          <w:highlight w:val="none"/>
          <w14:textFill>
            <w14:solidFill>
              <w14:schemeClr w14:val="tx1"/>
            </w14:solidFill>
          </w14:textFill>
        </w:rPr>
        <w:t>目录</w:t>
      </w:r>
    </w:p>
    <w:p w14:paraId="6F57E895">
      <w:pPr>
        <w:pStyle w:val="19"/>
        <w:shd w:val="clear"/>
        <w:spacing w:line="284" w:lineRule="auto"/>
        <w:rPr>
          <w:color w:val="000000" w:themeColor="text1"/>
          <w:highlight w:val="none"/>
          <w14:textFill>
            <w14:solidFill>
              <w14:schemeClr w14:val="tx1"/>
            </w14:solidFill>
          </w14:textFill>
        </w:rPr>
      </w:pPr>
    </w:p>
    <w:p w14:paraId="6963660B">
      <w:pPr>
        <w:pStyle w:val="19"/>
        <w:shd w:val="clear"/>
        <w:spacing w:line="284" w:lineRule="auto"/>
        <w:rPr>
          <w:color w:val="000000" w:themeColor="text1"/>
          <w:highlight w:val="none"/>
          <w14:textFill>
            <w14:solidFill>
              <w14:schemeClr w14:val="tx1"/>
            </w14:solidFill>
          </w14:textFill>
        </w:rPr>
      </w:pPr>
    </w:p>
    <w:p w14:paraId="750AECF0">
      <w:pPr>
        <w:pStyle w:val="19"/>
        <w:shd w:val="clear"/>
        <w:spacing w:line="285" w:lineRule="auto"/>
        <w:rPr>
          <w:color w:val="000000" w:themeColor="text1"/>
          <w:highlight w:val="none"/>
          <w14:textFill>
            <w14:solidFill>
              <w14:schemeClr w14:val="tx1"/>
            </w14:solidFill>
          </w14:textFill>
        </w:rPr>
      </w:pPr>
    </w:p>
    <w:p w14:paraId="0898C0B6">
      <w:pPr>
        <w:shd w:val="clear"/>
        <w:spacing w:before="91" w:line="221" w:lineRule="auto"/>
        <w:ind w:left="3345"/>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（应有页码）</w:t>
      </w:r>
    </w:p>
    <w:p w14:paraId="01380DEF">
      <w:pPr>
        <w:shd w:val="clear"/>
        <w:spacing w:line="221" w:lineRule="auto"/>
        <w:rPr>
          <w:rFonts w:ascii="宋体" w:hAnsi="宋体" w:eastAsia="宋体" w:cs="宋体"/>
          <w:color w:val="000000" w:themeColor="text1"/>
          <w:sz w:val="28"/>
          <w:szCs w:val="28"/>
          <w:highlight w:val="none"/>
          <w14:textFill>
            <w14:solidFill>
              <w14:schemeClr w14:val="tx1"/>
            </w14:solidFill>
          </w14:textFill>
        </w:rPr>
        <w:sectPr>
          <w:footerReference r:id="rId21" w:type="default"/>
          <w:pgSz w:w="11906" w:h="16839"/>
          <w:pgMar w:top="1213" w:right="1785" w:bottom="884" w:left="1785" w:header="0" w:footer="679" w:gutter="0"/>
          <w:pgNumType w:fmt="decimal"/>
          <w:cols w:space="720" w:num="1"/>
        </w:sectPr>
      </w:pPr>
    </w:p>
    <w:p w14:paraId="4D7EBC0F">
      <w:pPr>
        <w:shd w:val="clear"/>
        <w:spacing w:before="41" w:line="228" w:lineRule="auto"/>
        <w:ind w:left="15"/>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22"/>
          <w:sz w:val="24"/>
          <w:szCs w:val="24"/>
          <w:highlight w:val="none"/>
          <w14:textFill>
            <w14:solidFill>
              <w14:schemeClr w14:val="tx1"/>
            </w14:solidFill>
          </w14:textFill>
        </w:rPr>
        <w:t>1.法定代表人身份证</w:t>
      </w:r>
      <w:r>
        <w:rPr>
          <w:rFonts w:hint="eastAsia" w:ascii="宋体" w:hAnsi="宋体" w:eastAsia="宋体" w:cs="宋体"/>
          <w:b/>
          <w:bCs/>
          <w:color w:val="000000" w:themeColor="text1"/>
          <w:spacing w:val="-49"/>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22"/>
          <w:sz w:val="24"/>
          <w:szCs w:val="24"/>
          <w:highlight w:val="none"/>
          <w14:textFill>
            <w14:solidFill>
              <w14:schemeClr w14:val="tx1"/>
            </w14:solidFill>
          </w14:textFill>
        </w:rPr>
        <w:t>明</w:t>
      </w:r>
      <w:r>
        <w:rPr>
          <w:rFonts w:hint="eastAsia" w:ascii="宋体" w:hAnsi="宋体" w:cs="宋体"/>
          <w:b/>
          <w:bCs/>
          <w:color w:val="000000" w:themeColor="text1"/>
          <w:spacing w:val="22"/>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22"/>
          <w:sz w:val="24"/>
          <w:szCs w:val="24"/>
          <w:highlight w:val="none"/>
          <w14:textFill>
            <w14:solidFill>
              <w14:schemeClr w14:val="tx1"/>
            </w14:solidFill>
          </w14:textFill>
        </w:rPr>
        <w:t>无授权代表时提供</w:t>
      </w:r>
      <w:r>
        <w:rPr>
          <w:rFonts w:hint="eastAsia" w:ascii="宋体" w:hAnsi="宋体" w:cs="宋体"/>
          <w:b/>
          <w:bCs/>
          <w:color w:val="000000" w:themeColor="text1"/>
          <w:spacing w:val="22"/>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22"/>
          <w:sz w:val="24"/>
          <w:szCs w:val="24"/>
          <w:highlight w:val="none"/>
          <w14:textFill>
            <w14:solidFill>
              <w14:schemeClr w14:val="tx1"/>
            </w14:solidFill>
          </w14:textFill>
        </w:rPr>
        <w:t>：</w:t>
      </w:r>
    </w:p>
    <w:p w14:paraId="47E6F55A">
      <w:pPr>
        <w:pStyle w:val="19"/>
        <w:shd w:val="clear"/>
        <w:spacing w:line="248" w:lineRule="auto"/>
        <w:rPr>
          <w:rFonts w:hint="eastAsia" w:ascii="宋体" w:hAnsi="宋体" w:eastAsia="宋体" w:cs="宋体"/>
          <w:color w:val="000000" w:themeColor="text1"/>
          <w:sz w:val="24"/>
          <w:szCs w:val="24"/>
          <w:highlight w:val="none"/>
          <w14:textFill>
            <w14:solidFill>
              <w14:schemeClr w14:val="tx1"/>
            </w14:solidFill>
          </w14:textFill>
        </w:rPr>
      </w:pPr>
    </w:p>
    <w:p w14:paraId="35B2F83B">
      <w:pPr>
        <w:pStyle w:val="19"/>
        <w:shd w:val="clear"/>
        <w:spacing w:line="249" w:lineRule="auto"/>
        <w:rPr>
          <w:rFonts w:hint="eastAsia" w:ascii="宋体" w:hAnsi="宋体" w:eastAsia="宋体" w:cs="宋体"/>
          <w:color w:val="000000" w:themeColor="text1"/>
          <w:sz w:val="24"/>
          <w:szCs w:val="24"/>
          <w:highlight w:val="none"/>
          <w14:textFill>
            <w14:solidFill>
              <w14:schemeClr w14:val="tx1"/>
            </w14:solidFill>
          </w14:textFill>
        </w:rPr>
      </w:pPr>
    </w:p>
    <w:p w14:paraId="4290C412">
      <w:pPr>
        <w:pStyle w:val="19"/>
        <w:shd w:val="clear"/>
        <w:spacing w:line="249" w:lineRule="auto"/>
        <w:rPr>
          <w:rFonts w:hint="eastAsia" w:ascii="宋体" w:hAnsi="宋体" w:eastAsia="宋体" w:cs="宋体"/>
          <w:color w:val="000000" w:themeColor="text1"/>
          <w:sz w:val="28"/>
          <w:szCs w:val="28"/>
          <w:highlight w:val="none"/>
          <w14:textFill>
            <w14:solidFill>
              <w14:schemeClr w14:val="tx1"/>
            </w14:solidFill>
          </w14:textFill>
        </w:rPr>
      </w:pPr>
    </w:p>
    <w:p w14:paraId="38E9C466">
      <w:pPr>
        <w:shd w:val="clear"/>
        <w:spacing w:before="65" w:line="523" w:lineRule="exact"/>
        <w:ind w:left="3634"/>
        <w:rPr>
          <w:rFonts w:hint="eastAsia" w:ascii="宋体" w:hAnsi="宋体" w:eastAsia="宋体" w:cs="宋体"/>
          <w:b/>
          <w:bCs/>
          <w:color w:val="000000" w:themeColor="text1"/>
          <w:spacing w:val="23"/>
          <w:position w:val="24"/>
          <w:sz w:val="28"/>
          <w:szCs w:val="28"/>
          <w:highlight w:val="none"/>
          <w14:textFill>
            <w14:solidFill>
              <w14:schemeClr w14:val="tx1"/>
            </w14:solidFill>
          </w14:textFill>
        </w:rPr>
      </w:pPr>
      <w:r>
        <w:rPr>
          <w:rFonts w:hint="eastAsia" w:ascii="宋体" w:hAnsi="宋体" w:eastAsia="宋体" w:cs="宋体"/>
          <w:b/>
          <w:bCs/>
          <w:color w:val="000000" w:themeColor="text1"/>
          <w:spacing w:val="23"/>
          <w:position w:val="24"/>
          <w:sz w:val="28"/>
          <w:szCs w:val="28"/>
          <w:highlight w:val="none"/>
          <w14:textFill>
            <w14:solidFill>
              <w14:schemeClr w14:val="tx1"/>
            </w14:solidFill>
          </w14:textFill>
        </w:rPr>
        <w:t>法定代表人身份证</w:t>
      </w:r>
      <w:r>
        <w:rPr>
          <w:rFonts w:hint="eastAsia" w:ascii="宋体" w:hAnsi="宋体" w:eastAsia="宋体" w:cs="宋体"/>
          <w:b/>
          <w:bCs/>
          <w:color w:val="000000" w:themeColor="text1"/>
          <w:spacing w:val="-49"/>
          <w:position w:val="24"/>
          <w:sz w:val="28"/>
          <w:szCs w:val="28"/>
          <w:highlight w:val="none"/>
          <w14:textFill>
            <w14:solidFill>
              <w14:schemeClr w14:val="tx1"/>
            </w14:solidFill>
          </w14:textFill>
        </w:rPr>
        <w:t xml:space="preserve"> </w:t>
      </w:r>
      <w:r>
        <w:rPr>
          <w:rFonts w:hint="eastAsia" w:ascii="宋体" w:hAnsi="宋体" w:eastAsia="宋体" w:cs="宋体"/>
          <w:b/>
          <w:bCs/>
          <w:color w:val="000000" w:themeColor="text1"/>
          <w:spacing w:val="23"/>
          <w:position w:val="24"/>
          <w:sz w:val="28"/>
          <w:szCs w:val="28"/>
          <w:highlight w:val="none"/>
          <w14:textFill>
            <w14:solidFill>
              <w14:schemeClr w14:val="tx1"/>
            </w14:solidFill>
          </w14:textFill>
        </w:rPr>
        <w:t>明</w:t>
      </w:r>
    </w:p>
    <w:p w14:paraId="251FDAD7">
      <w:pPr>
        <w:pStyle w:val="48"/>
        <w:shd w:val="clear"/>
        <w:rPr>
          <w:rFonts w:hint="eastAsia"/>
          <w:color w:val="000000" w:themeColor="text1"/>
          <w:highlight w:val="none"/>
          <w14:textFill>
            <w14:solidFill>
              <w14:schemeClr w14:val="tx1"/>
            </w14:solidFill>
          </w14:textFill>
        </w:rPr>
      </w:pPr>
    </w:p>
    <w:p w14:paraId="23785191">
      <w:pPr>
        <w:shd w:val="clear"/>
        <w:spacing w:line="227"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供应商名称</w:t>
      </w:r>
      <w:r>
        <w:rPr>
          <w:rFonts w:hint="eastAsia" w:ascii="宋体" w:hAnsi="宋体" w:eastAsia="宋体" w:cs="宋体"/>
          <w:color w:val="000000" w:themeColor="text1"/>
          <w:spacing w:val="-5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6"/>
          <w:sz w:val="24"/>
          <w:szCs w:val="24"/>
          <w:highlight w:val="none"/>
          <w14:textFill>
            <w14:solidFill>
              <w14:schemeClr w14:val="tx1"/>
            </w14:solidFill>
          </w14:textFill>
        </w:rPr>
        <w:t>：</w:t>
      </w:r>
      <w:r>
        <w:rPr>
          <w:rFonts w:hint="eastAsia" w:ascii="宋体" w:hAnsi="宋体" w:eastAsia="宋体" w:cs="宋体"/>
          <w:color w:val="000000" w:themeColor="text1"/>
          <w:spacing w:val="-73"/>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p>
    <w:p w14:paraId="56234DE4">
      <w:pPr>
        <w:shd w:val="clear"/>
        <w:spacing w:before="274" w:line="229" w:lineRule="auto"/>
        <w:ind w:left="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单位性质</w:t>
      </w:r>
      <w:r>
        <w:rPr>
          <w:rFonts w:hint="eastAsia" w:ascii="宋体" w:hAnsi="宋体" w:eastAsia="宋体" w:cs="宋体"/>
          <w:color w:val="000000" w:themeColor="text1"/>
          <w:spacing w:val="-5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cs="宋体"/>
          <w:color w:val="000000" w:themeColor="text1"/>
          <w:spacing w:val="-73"/>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p>
    <w:p w14:paraId="47A71925">
      <w:pPr>
        <w:shd w:val="clear"/>
        <w:spacing w:before="272" w:line="23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地址</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75"/>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p>
    <w:p w14:paraId="570AFE05">
      <w:pPr>
        <w:shd w:val="clear"/>
        <w:spacing w:before="263" w:line="483" w:lineRule="auto"/>
        <w:ind w:left="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成立时间</w:t>
      </w:r>
      <w:r>
        <w:rPr>
          <w:rFonts w:hint="eastAsia" w:ascii="宋体" w:hAnsi="宋体" w:eastAsia="宋体" w:cs="宋体"/>
          <w:color w:val="000000" w:themeColor="text1"/>
          <w:spacing w:val="-5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7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年</w:t>
      </w:r>
      <w:r>
        <w:rPr>
          <w:rFonts w:hint="eastAsia" w:ascii="宋体" w:hAnsi="宋体" w:eastAsia="宋体" w:cs="宋体"/>
          <w:color w:val="000000" w:themeColor="text1"/>
          <w:spacing w:val="-8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7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月</w:t>
      </w:r>
      <w:r>
        <w:rPr>
          <w:rFonts w:hint="eastAsia" w:ascii="宋体" w:hAnsi="宋体" w:eastAsia="宋体" w:cs="宋体"/>
          <w:color w:val="000000" w:themeColor="text1"/>
          <w:spacing w:val="-8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日</w:t>
      </w:r>
    </w:p>
    <w:p w14:paraId="129B0FE0">
      <w:pPr>
        <w:shd w:val="clear"/>
        <w:spacing w:line="229" w:lineRule="auto"/>
        <w:ind w:left="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经营期限</w:t>
      </w:r>
      <w:r>
        <w:rPr>
          <w:rFonts w:hint="eastAsia" w:ascii="宋体" w:hAnsi="宋体" w:eastAsia="宋体" w:cs="宋体"/>
          <w:color w:val="000000" w:themeColor="text1"/>
          <w:spacing w:val="-5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cs="宋体"/>
          <w:color w:val="000000" w:themeColor="text1"/>
          <w:spacing w:val="-73"/>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p>
    <w:p w14:paraId="4F98CCD6">
      <w:pPr>
        <w:shd w:val="clear"/>
        <w:spacing w:before="273" w:line="22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姓名</w:t>
      </w: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eastAsia="宋体" w:cs="宋体"/>
          <w:color w:val="000000" w:themeColor="text1"/>
          <w:spacing w:val="-4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eastAsia="宋体" w:cs="宋体"/>
          <w:color w:val="000000" w:themeColor="text1"/>
          <w:spacing w:val="12"/>
          <w:sz w:val="24"/>
          <w:szCs w:val="24"/>
          <w:highlight w:val="none"/>
          <w14:textFill>
            <w14:solidFill>
              <w14:schemeClr w14:val="tx1"/>
            </w14:solidFill>
          </w14:textFill>
        </w:rPr>
        <w:t>性别：</w:t>
      </w:r>
      <w:r>
        <w:rPr>
          <w:rFonts w:hint="eastAsia" w:ascii="宋体" w:hAnsi="宋体" w:eastAsia="宋体" w:cs="宋体"/>
          <w:color w:val="000000" w:themeColor="text1"/>
          <w:spacing w:val="-49"/>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p>
    <w:p w14:paraId="3589EB1F">
      <w:pPr>
        <w:shd w:val="clear"/>
        <w:spacing w:before="276" w:line="481"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年龄</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w:t>
      </w:r>
      <w:r>
        <w:rPr>
          <w:rFonts w:hint="eastAsia" w:ascii="宋体" w:hAnsi="宋体" w:eastAsia="宋体" w:cs="宋体"/>
          <w:color w:val="000000" w:themeColor="text1"/>
          <w:spacing w:val="-7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职务</w:t>
      </w:r>
      <w:r>
        <w:rPr>
          <w:rFonts w:hint="eastAsia" w:ascii="宋体" w:hAnsi="宋体" w:eastAsia="宋体" w:cs="宋体"/>
          <w:color w:val="000000" w:themeColor="text1"/>
          <w:spacing w:val="-8"/>
          <w:sz w:val="24"/>
          <w:szCs w:val="24"/>
          <w:highlight w:val="none"/>
          <w14:textFill>
            <w14:solidFill>
              <w14:schemeClr w14:val="tx1"/>
            </w14:solidFill>
          </w14:textFill>
        </w:rPr>
        <w:t>：</w:t>
      </w:r>
      <w:r>
        <w:rPr>
          <w:rFonts w:hint="eastAsia" w:ascii="宋体" w:hAnsi="宋体" w:eastAsia="宋体" w:cs="宋体"/>
          <w:color w:val="000000" w:themeColor="text1"/>
          <w:spacing w:val="-5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6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w:t>
      </w:r>
      <w:r>
        <w:rPr>
          <w:rFonts w:hint="eastAsia" w:ascii="宋体" w:hAnsi="宋体" w:eastAsia="宋体" w:cs="宋体"/>
          <w:color w:val="000000" w:themeColor="text1"/>
          <w:spacing w:val="-5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14:textFill>
            <w14:solidFill>
              <w14:schemeClr w14:val="tx1"/>
            </w14:solidFill>
          </w14:textFill>
        </w:rPr>
        <w:t>身份证</w:t>
      </w:r>
      <w:r>
        <w:rPr>
          <w:rFonts w:hint="eastAsia" w:ascii="宋体" w:hAnsi="宋体" w:eastAsia="宋体" w:cs="宋体"/>
          <w:color w:val="000000" w:themeColor="text1"/>
          <w:spacing w:val="-5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14:textFill>
            <w14:solidFill>
              <w14:schemeClr w14:val="tx1"/>
            </w14:solidFill>
          </w14:textFill>
        </w:rPr>
        <w:t>：</w:t>
      </w:r>
      <w:r>
        <w:rPr>
          <w:rFonts w:hint="eastAsia" w:ascii="宋体" w:hAnsi="宋体" w:eastAsia="宋体" w:cs="宋体"/>
          <w:color w:val="000000" w:themeColor="text1"/>
          <w:spacing w:val="-73"/>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p>
    <w:p w14:paraId="07A8CDDA">
      <w:pPr>
        <w:shd w:val="clear"/>
        <w:spacing w:line="227" w:lineRule="auto"/>
        <w:ind w:left="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系</w:t>
      </w:r>
      <w:r>
        <w:rPr>
          <w:rFonts w:hint="eastAsia" w:ascii="宋体" w:hAnsi="宋体" w:eastAsia="宋体" w:cs="宋体"/>
          <w:color w:val="000000" w:themeColor="text1"/>
          <w:spacing w:val="-69"/>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6"/>
          <w:sz w:val="24"/>
          <w:szCs w:val="24"/>
          <w:highlight w:val="none"/>
          <w:u w:val="single" w:color="auto"/>
          <w14:textFill>
            <w14:solidFill>
              <w14:schemeClr w14:val="tx1"/>
            </w14:solidFill>
          </w14:textFill>
        </w:rPr>
        <w:t xml:space="preserve">                </w:t>
      </w:r>
      <w:r>
        <w:rPr>
          <w:rFonts w:hint="eastAsia" w:ascii="宋体" w:hAnsi="宋体" w:cs="宋体"/>
          <w:color w:val="000000" w:themeColor="text1"/>
          <w:spacing w:val="16"/>
          <w:sz w:val="24"/>
          <w:szCs w:val="24"/>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6"/>
          <w:sz w:val="24"/>
          <w:szCs w:val="24"/>
          <w:highlight w:val="none"/>
          <w:u w:val="single" w:color="auto"/>
          <w14:textFill>
            <w14:solidFill>
              <w14:schemeClr w14:val="tx1"/>
            </w14:solidFill>
          </w14:textFill>
        </w:rPr>
        <w:t>供应商名称</w:t>
      </w:r>
      <w:r>
        <w:rPr>
          <w:rFonts w:hint="eastAsia" w:ascii="宋体" w:hAnsi="宋体" w:cs="宋体"/>
          <w:color w:val="000000" w:themeColor="text1"/>
          <w:spacing w:val="16"/>
          <w:sz w:val="24"/>
          <w:szCs w:val="24"/>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16"/>
          <w:sz w:val="24"/>
          <w:szCs w:val="24"/>
          <w:highlight w:val="none"/>
          <w14:textFill>
            <w14:solidFill>
              <w14:schemeClr w14:val="tx1"/>
            </w14:solidFill>
          </w14:textFill>
        </w:rPr>
        <w:t>的法定代表人。</w:t>
      </w:r>
    </w:p>
    <w:p w14:paraId="314A4502">
      <w:pPr>
        <w:pStyle w:val="19"/>
        <w:shd w:val="clear"/>
        <w:spacing w:line="241" w:lineRule="auto"/>
        <w:rPr>
          <w:rFonts w:hint="eastAsia" w:ascii="宋体" w:hAnsi="宋体" w:eastAsia="宋体" w:cs="宋体"/>
          <w:color w:val="000000" w:themeColor="text1"/>
          <w:sz w:val="24"/>
          <w:szCs w:val="24"/>
          <w:highlight w:val="none"/>
          <w14:textFill>
            <w14:solidFill>
              <w14:schemeClr w14:val="tx1"/>
            </w14:solidFill>
          </w14:textFill>
        </w:rPr>
      </w:pPr>
    </w:p>
    <w:p w14:paraId="7DD96433">
      <w:pPr>
        <w:pStyle w:val="19"/>
        <w:shd w:val="clear"/>
        <w:spacing w:line="242" w:lineRule="auto"/>
        <w:rPr>
          <w:rFonts w:hint="eastAsia" w:ascii="宋体" w:hAnsi="宋体" w:eastAsia="宋体" w:cs="宋体"/>
          <w:color w:val="000000" w:themeColor="text1"/>
          <w:sz w:val="24"/>
          <w:szCs w:val="24"/>
          <w:highlight w:val="none"/>
          <w14:textFill>
            <w14:solidFill>
              <w14:schemeClr w14:val="tx1"/>
            </w14:solidFill>
          </w14:textFill>
        </w:rPr>
      </w:pPr>
    </w:p>
    <w:p w14:paraId="1A135451">
      <w:pPr>
        <w:pStyle w:val="19"/>
        <w:shd w:val="clear"/>
        <w:spacing w:line="242" w:lineRule="auto"/>
        <w:rPr>
          <w:rFonts w:hint="eastAsia" w:ascii="宋体" w:hAnsi="宋体" w:eastAsia="宋体" w:cs="宋体"/>
          <w:color w:val="000000" w:themeColor="text1"/>
          <w:sz w:val="24"/>
          <w:szCs w:val="24"/>
          <w:highlight w:val="none"/>
          <w14:textFill>
            <w14:solidFill>
              <w14:schemeClr w14:val="tx1"/>
            </w14:solidFill>
          </w14:textFill>
        </w:rPr>
      </w:pPr>
    </w:p>
    <w:p w14:paraId="76934493">
      <w:pPr>
        <w:shd w:val="clear"/>
        <w:spacing w:before="66" w:line="22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2"/>
          <w:sz w:val="24"/>
          <w:szCs w:val="24"/>
          <w:highlight w:val="none"/>
          <w14:textFill>
            <w14:solidFill>
              <w14:schemeClr w14:val="tx1"/>
            </w14:solidFill>
          </w14:textFill>
        </w:rPr>
        <w:t>特此证明。</w:t>
      </w:r>
    </w:p>
    <w:p w14:paraId="3BACA6DB">
      <w:pPr>
        <w:pStyle w:val="19"/>
        <w:shd w:val="clear"/>
        <w:spacing w:line="248" w:lineRule="auto"/>
        <w:rPr>
          <w:rFonts w:hint="eastAsia" w:ascii="宋体" w:hAnsi="宋体" w:eastAsia="宋体" w:cs="宋体"/>
          <w:color w:val="000000" w:themeColor="text1"/>
          <w:sz w:val="24"/>
          <w:szCs w:val="24"/>
          <w:highlight w:val="none"/>
          <w14:textFill>
            <w14:solidFill>
              <w14:schemeClr w14:val="tx1"/>
            </w14:solidFill>
          </w14:textFill>
        </w:rPr>
      </w:pPr>
    </w:p>
    <w:p w14:paraId="142CFCE6">
      <w:pPr>
        <w:pStyle w:val="19"/>
        <w:shd w:val="clear"/>
        <w:spacing w:line="249" w:lineRule="auto"/>
        <w:rPr>
          <w:rFonts w:hint="eastAsia" w:ascii="宋体" w:hAnsi="宋体" w:eastAsia="宋体" w:cs="宋体"/>
          <w:color w:val="000000" w:themeColor="text1"/>
          <w:sz w:val="24"/>
          <w:szCs w:val="24"/>
          <w:highlight w:val="none"/>
          <w14:textFill>
            <w14:solidFill>
              <w14:schemeClr w14:val="tx1"/>
            </w14:solidFill>
          </w14:textFill>
        </w:rPr>
      </w:pPr>
    </w:p>
    <w:p w14:paraId="46AAEDB3">
      <w:pPr>
        <w:pStyle w:val="19"/>
        <w:shd w:val="clear"/>
        <w:spacing w:line="249" w:lineRule="auto"/>
        <w:rPr>
          <w:rFonts w:hint="eastAsia" w:ascii="宋体" w:hAnsi="宋体" w:eastAsia="宋体" w:cs="宋体"/>
          <w:color w:val="000000" w:themeColor="text1"/>
          <w:sz w:val="24"/>
          <w:szCs w:val="24"/>
          <w:highlight w:val="none"/>
          <w14:textFill>
            <w14:solidFill>
              <w14:schemeClr w14:val="tx1"/>
            </w14:solidFill>
          </w14:textFill>
        </w:rPr>
      </w:pPr>
    </w:p>
    <w:p w14:paraId="14F8307E">
      <w:pPr>
        <w:pStyle w:val="19"/>
        <w:shd w:val="clear"/>
        <w:spacing w:line="249" w:lineRule="auto"/>
        <w:rPr>
          <w:rFonts w:hint="eastAsia" w:ascii="宋体" w:hAnsi="宋体" w:eastAsia="宋体" w:cs="宋体"/>
          <w:color w:val="000000" w:themeColor="text1"/>
          <w:sz w:val="24"/>
          <w:szCs w:val="24"/>
          <w:highlight w:val="none"/>
          <w14:textFill>
            <w14:solidFill>
              <w14:schemeClr w14:val="tx1"/>
            </w14:solidFill>
          </w14:textFill>
        </w:rPr>
      </w:pPr>
    </w:p>
    <w:p w14:paraId="5A36747B">
      <w:pPr>
        <w:pStyle w:val="19"/>
        <w:shd w:val="clear"/>
        <w:spacing w:line="249" w:lineRule="auto"/>
        <w:rPr>
          <w:rFonts w:hint="eastAsia" w:ascii="宋体" w:hAnsi="宋体" w:eastAsia="宋体" w:cs="宋体"/>
          <w:color w:val="000000" w:themeColor="text1"/>
          <w:sz w:val="24"/>
          <w:szCs w:val="24"/>
          <w:highlight w:val="none"/>
          <w14:textFill>
            <w14:solidFill>
              <w14:schemeClr w14:val="tx1"/>
            </w14:solidFill>
          </w14:textFill>
        </w:rPr>
      </w:pPr>
    </w:p>
    <w:p w14:paraId="7AB06A02">
      <w:pPr>
        <w:shd w:val="clear"/>
        <w:spacing w:before="66" w:line="521" w:lineRule="exact"/>
        <w:ind w:right="17"/>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8"/>
          <w:position w:val="24"/>
          <w:sz w:val="24"/>
          <w:szCs w:val="24"/>
          <w:highlight w:val="none"/>
          <w14:textFill>
            <w14:solidFill>
              <w14:schemeClr w14:val="tx1"/>
            </w14:solidFill>
          </w14:textFill>
        </w:rPr>
        <w:t>供应商名称</w:t>
      </w:r>
      <w:r>
        <w:rPr>
          <w:rFonts w:hint="eastAsia" w:ascii="宋体" w:hAnsi="宋体" w:eastAsia="宋体" w:cs="宋体"/>
          <w:color w:val="000000" w:themeColor="text1"/>
          <w:spacing w:val="-34"/>
          <w:position w:val="24"/>
          <w:sz w:val="24"/>
          <w:szCs w:val="24"/>
          <w:highlight w:val="none"/>
          <w14:textFill>
            <w14:solidFill>
              <w14:schemeClr w14:val="tx1"/>
            </w14:solidFill>
          </w14:textFill>
        </w:rPr>
        <w:t xml:space="preserve"> </w:t>
      </w:r>
      <w:r>
        <w:rPr>
          <w:rFonts w:hint="eastAsia" w:ascii="宋体" w:hAnsi="宋体" w:cs="宋体"/>
          <w:color w:val="000000" w:themeColor="text1"/>
          <w:spacing w:val="-34"/>
          <w:position w:val="2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8"/>
          <w:position w:val="24"/>
          <w:sz w:val="24"/>
          <w:szCs w:val="24"/>
          <w:highlight w:val="none"/>
          <w14:textFill>
            <w14:solidFill>
              <w14:schemeClr w14:val="tx1"/>
            </w14:solidFill>
          </w14:textFill>
        </w:rPr>
        <w:t>电子签章</w:t>
      </w:r>
      <w:r>
        <w:rPr>
          <w:rFonts w:hint="eastAsia" w:ascii="宋体" w:hAnsi="宋体" w:cs="宋体"/>
          <w:color w:val="000000" w:themeColor="text1"/>
          <w:spacing w:val="18"/>
          <w:position w:val="2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8"/>
          <w:position w:val="24"/>
          <w:sz w:val="24"/>
          <w:szCs w:val="24"/>
          <w:highlight w:val="none"/>
          <w14:textFill>
            <w14:solidFill>
              <w14:schemeClr w14:val="tx1"/>
            </w14:solidFill>
          </w14:textFill>
        </w:rPr>
        <w:t>：</w:t>
      </w:r>
    </w:p>
    <w:p w14:paraId="632C925D">
      <w:pPr>
        <w:shd w:val="clear"/>
        <w:spacing w:line="228"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年   月</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日</w:t>
      </w:r>
    </w:p>
    <w:p w14:paraId="08FCE859">
      <w:pPr>
        <w:pStyle w:val="19"/>
        <w:shd w:val="clear"/>
        <w:spacing w:line="248" w:lineRule="auto"/>
        <w:rPr>
          <w:rFonts w:hint="eastAsia" w:ascii="宋体" w:hAnsi="宋体" w:eastAsia="宋体" w:cs="宋体"/>
          <w:color w:val="000000" w:themeColor="text1"/>
          <w:sz w:val="24"/>
          <w:szCs w:val="24"/>
          <w:highlight w:val="none"/>
          <w14:textFill>
            <w14:solidFill>
              <w14:schemeClr w14:val="tx1"/>
            </w14:solidFill>
          </w14:textFill>
        </w:rPr>
      </w:pPr>
    </w:p>
    <w:p w14:paraId="1A7D2102">
      <w:pPr>
        <w:pStyle w:val="19"/>
        <w:shd w:val="clear"/>
        <w:spacing w:line="249" w:lineRule="auto"/>
        <w:rPr>
          <w:rFonts w:hint="eastAsia" w:ascii="宋体" w:hAnsi="宋体" w:eastAsia="宋体" w:cs="宋体"/>
          <w:color w:val="000000" w:themeColor="text1"/>
          <w:sz w:val="24"/>
          <w:szCs w:val="24"/>
          <w:highlight w:val="none"/>
          <w14:textFill>
            <w14:solidFill>
              <w14:schemeClr w14:val="tx1"/>
            </w14:solidFill>
          </w14:textFill>
        </w:rPr>
      </w:pPr>
    </w:p>
    <w:p w14:paraId="394A93B4">
      <w:pPr>
        <w:pStyle w:val="19"/>
        <w:shd w:val="clear"/>
        <w:spacing w:line="249" w:lineRule="auto"/>
        <w:rPr>
          <w:rFonts w:hint="eastAsia" w:ascii="宋体" w:hAnsi="宋体" w:eastAsia="宋体" w:cs="宋体"/>
          <w:color w:val="000000" w:themeColor="text1"/>
          <w:sz w:val="24"/>
          <w:szCs w:val="24"/>
          <w:highlight w:val="none"/>
          <w14:textFill>
            <w14:solidFill>
              <w14:schemeClr w14:val="tx1"/>
            </w14:solidFill>
          </w14:textFill>
        </w:rPr>
      </w:pPr>
    </w:p>
    <w:p w14:paraId="33D12C25">
      <w:pPr>
        <w:pStyle w:val="19"/>
        <w:shd w:val="clear"/>
        <w:spacing w:line="249" w:lineRule="auto"/>
        <w:rPr>
          <w:rFonts w:hint="eastAsia" w:ascii="宋体" w:hAnsi="宋体" w:eastAsia="宋体" w:cs="宋体"/>
          <w:color w:val="000000" w:themeColor="text1"/>
          <w:sz w:val="24"/>
          <w:szCs w:val="24"/>
          <w:highlight w:val="none"/>
          <w14:textFill>
            <w14:solidFill>
              <w14:schemeClr w14:val="tx1"/>
            </w14:solidFill>
          </w14:textFill>
        </w:rPr>
      </w:pPr>
    </w:p>
    <w:p w14:paraId="76CD522C">
      <w:pPr>
        <w:pStyle w:val="19"/>
        <w:shd w:val="clear"/>
        <w:spacing w:line="249" w:lineRule="auto"/>
        <w:rPr>
          <w:rFonts w:hint="eastAsia" w:ascii="宋体" w:hAnsi="宋体" w:eastAsia="宋体" w:cs="宋体"/>
          <w:color w:val="000000" w:themeColor="text1"/>
          <w:sz w:val="24"/>
          <w:szCs w:val="24"/>
          <w:highlight w:val="none"/>
          <w14:textFill>
            <w14:solidFill>
              <w14:schemeClr w14:val="tx1"/>
            </w14:solidFill>
          </w14:textFill>
        </w:rPr>
      </w:pPr>
    </w:p>
    <w:p w14:paraId="5F2C2CEE">
      <w:pPr>
        <w:shd w:val="clear"/>
        <w:spacing w:before="65" w:line="228" w:lineRule="auto"/>
        <w:ind w:left="1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附件</w:t>
      </w:r>
      <w:r>
        <w:rPr>
          <w:rFonts w:hint="eastAsia" w:ascii="宋体" w:hAnsi="宋体" w:eastAsia="宋体" w:cs="宋体"/>
          <w:color w:val="000000" w:themeColor="text1"/>
          <w:spacing w:val="-5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：法定代表人身份证复</w:t>
      </w:r>
      <w:r>
        <w:rPr>
          <w:rFonts w:hint="eastAsia" w:ascii="宋体" w:hAnsi="宋体" w:eastAsia="宋体" w:cs="宋体"/>
          <w:color w:val="000000" w:themeColor="text1"/>
          <w:spacing w:val="-5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印件</w:t>
      </w:r>
    </w:p>
    <w:p w14:paraId="1D4EEB5A">
      <w:pPr>
        <w:shd w:val="clear"/>
        <w:spacing w:line="228"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22" w:type="default"/>
          <w:pgSz w:w="11906" w:h="16839"/>
          <w:pgMar w:top="1236" w:right="1156" w:bottom="884" w:left="1443" w:header="0" w:footer="679" w:gutter="0"/>
          <w:pgNumType w:fmt="decimal"/>
          <w:cols w:space="720" w:num="1"/>
        </w:sectPr>
      </w:pPr>
    </w:p>
    <w:p w14:paraId="5454E0D8">
      <w:pPr>
        <w:keepNext w:val="0"/>
        <w:keepLines w:val="0"/>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授权委托书</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有授权代表时提供</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w:t>
      </w:r>
    </w:p>
    <w:p w14:paraId="71277E38">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p>
    <w:p w14:paraId="770D430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p>
    <w:p w14:paraId="6BC37AA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p>
    <w:p w14:paraId="63296C73">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法定代表人授权委托书</w:t>
      </w:r>
    </w:p>
    <w:p w14:paraId="25108206">
      <w:pPr>
        <w:keepNext w:val="0"/>
        <w:keepLines w:val="0"/>
        <w:pageBreakBefore w:val="0"/>
        <w:widowControl w:val="0"/>
        <w:shd w:val="clear"/>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致：</w:t>
      </w:r>
      <w:r>
        <w:rPr>
          <w:rFonts w:hint="eastAsia" w:ascii="宋体" w:hAnsi="宋体" w:eastAsia="宋体" w:cs="宋体"/>
          <w:color w:val="000000" w:themeColor="text1"/>
          <w:sz w:val="22"/>
          <w:szCs w:val="28"/>
          <w:highlight w:val="none"/>
          <w:u w:val="single"/>
          <w14:textFill>
            <w14:solidFill>
              <w14:schemeClr w14:val="tx1"/>
            </w14:solidFill>
          </w14:textFill>
        </w:rPr>
        <w:t xml:space="preserve"> </w:t>
      </w:r>
      <w:r>
        <w:rPr>
          <w:rFonts w:hint="eastAsia" w:ascii="宋体" w:hAnsi="宋体" w:cs="宋体"/>
          <w:color w:val="000000" w:themeColor="text1"/>
          <w:sz w:val="22"/>
          <w:szCs w:val="28"/>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8"/>
          <w:highlight w:val="none"/>
          <w:u w:val="single"/>
          <w14:textFill>
            <w14:solidFill>
              <w14:schemeClr w14:val="tx1"/>
            </w14:solidFill>
          </w14:textFill>
        </w:rPr>
        <w:t>征集人名称</w:t>
      </w:r>
      <w:r>
        <w:rPr>
          <w:rFonts w:hint="eastAsia" w:ascii="宋体" w:hAnsi="宋体" w:cs="宋体"/>
          <w:color w:val="000000" w:themeColor="text1"/>
          <w:sz w:val="22"/>
          <w:szCs w:val="28"/>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8"/>
          <w:highlight w:val="none"/>
          <w14:textFill>
            <w14:solidFill>
              <w14:schemeClr w14:val="tx1"/>
            </w14:solidFill>
          </w14:textFill>
        </w:rPr>
        <w:t>：</w:t>
      </w:r>
    </w:p>
    <w:p w14:paraId="7C73418C">
      <w:pPr>
        <w:keepNext w:val="0"/>
        <w:keepLines w:val="0"/>
        <w:pageBreakBefore w:val="0"/>
        <w:widowControl w:val="0"/>
        <w:shd w:val="clear"/>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我</w:t>
      </w:r>
      <w:r>
        <w:rPr>
          <w:rFonts w:hint="eastAsia" w:ascii="宋体" w:hAnsi="宋体" w:eastAsia="宋体" w:cs="宋体"/>
          <w:color w:val="000000" w:themeColor="text1"/>
          <w:sz w:val="22"/>
          <w:szCs w:val="28"/>
          <w:highlight w:val="none"/>
          <w:u w:val="single"/>
          <w14:textFill>
            <w14:solidFill>
              <w14:schemeClr w14:val="tx1"/>
            </w14:solidFill>
          </w14:textFill>
        </w:rPr>
        <w:t xml:space="preserve">     </w:t>
      </w:r>
      <w:r>
        <w:rPr>
          <w:rFonts w:hint="eastAsia" w:ascii="宋体" w:hAnsi="宋体" w:cs="宋体"/>
          <w:color w:val="000000" w:themeColor="text1"/>
          <w:sz w:val="22"/>
          <w:szCs w:val="28"/>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8"/>
          <w:highlight w:val="none"/>
          <w:u w:val="single"/>
          <w14:textFill>
            <w14:solidFill>
              <w14:schemeClr w14:val="tx1"/>
            </w14:solidFill>
          </w14:textFill>
        </w:rPr>
        <w:t>法定代表人姓名</w:t>
      </w:r>
      <w:r>
        <w:rPr>
          <w:rFonts w:hint="eastAsia" w:ascii="宋体" w:hAnsi="宋体" w:cs="宋体"/>
          <w:color w:val="000000" w:themeColor="text1"/>
          <w:sz w:val="22"/>
          <w:szCs w:val="28"/>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8"/>
          <w:highlight w:val="none"/>
          <w14:textFill>
            <w14:solidFill>
              <w14:schemeClr w14:val="tx1"/>
            </w14:solidFill>
          </w14:textFill>
        </w:rPr>
        <w:t>系</w:t>
      </w:r>
      <w:r>
        <w:rPr>
          <w:rFonts w:hint="eastAsia" w:ascii="宋体" w:hAnsi="宋体" w:eastAsia="宋体" w:cs="宋体"/>
          <w:color w:val="000000" w:themeColor="text1"/>
          <w:sz w:val="22"/>
          <w:szCs w:val="28"/>
          <w:highlight w:val="none"/>
          <w:u w:val="single"/>
          <w14:textFill>
            <w14:solidFill>
              <w14:schemeClr w14:val="tx1"/>
            </w14:solidFill>
          </w14:textFill>
        </w:rPr>
        <w:t xml:space="preserve">      </w:t>
      </w:r>
      <w:r>
        <w:rPr>
          <w:rFonts w:hint="eastAsia" w:ascii="宋体" w:hAnsi="宋体" w:cs="宋体"/>
          <w:color w:val="000000" w:themeColor="text1"/>
          <w:sz w:val="22"/>
          <w:szCs w:val="28"/>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8"/>
          <w:highlight w:val="none"/>
          <w:u w:val="single"/>
          <w14:textFill>
            <w14:solidFill>
              <w14:schemeClr w14:val="tx1"/>
            </w14:solidFill>
          </w14:textFill>
        </w:rPr>
        <w:t>供应商名称</w:t>
      </w:r>
      <w:r>
        <w:rPr>
          <w:rFonts w:hint="eastAsia" w:ascii="宋体" w:hAnsi="宋体" w:cs="宋体"/>
          <w:color w:val="000000" w:themeColor="text1"/>
          <w:sz w:val="22"/>
          <w:szCs w:val="28"/>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8"/>
          <w:highlight w:val="none"/>
          <w:u w:val="single"/>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的法定代表人，现授权委托本单位在职职工</w:t>
      </w:r>
      <w:r>
        <w:rPr>
          <w:rFonts w:hint="eastAsia" w:ascii="宋体" w:hAnsi="宋体" w:cs="宋体"/>
          <w:color w:val="000000" w:themeColor="text1"/>
          <w:sz w:val="22"/>
          <w:szCs w:val="28"/>
          <w:highlight w:val="none"/>
          <w:lang w:eastAsia="zh-CN"/>
          <w14:textFill>
            <w14:solidFill>
              <w14:schemeClr w14:val="tx1"/>
            </w14:solidFill>
          </w14:textFill>
        </w:rPr>
        <w:t>（</w:t>
      </w:r>
      <w:r>
        <w:rPr>
          <w:rFonts w:hint="eastAsia" w:ascii="宋体" w:hAnsi="宋体" w:eastAsia="宋体" w:cs="宋体"/>
          <w:color w:val="000000" w:themeColor="text1"/>
          <w:sz w:val="22"/>
          <w:szCs w:val="28"/>
          <w:highlight w:val="none"/>
          <w14:textFill>
            <w14:solidFill>
              <w14:schemeClr w14:val="tx1"/>
            </w14:solidFill>
          </w14:textFill>
        </w:rPr>
        <w:t>姓名</w:t>
      </w:r>
      <w:r>
        <w:rPr>
          <w:rFonts w:hint="eastAsia" w:ascii="宋体" w:hAnsi="宋体" w:cs="宋体"/>
          <w:color w:val="000000" w:themeColor="text1"/>
          <w:sz w:val="22"/>
          <w:szCs w:val="28"/>
          <w:highlight w:val="none"/>
          <w:lang w:eastAsia="zh-CN"/>
          <w14:textFill>
            <w14:solidFill>
              <w14:schemeClr w14:val="tx1"/>
            </w14:solidFill>
          </w14:textFill>
        </w:rPr>
        <w:t>）</w:t>
      </w:r>
      <w:r>
        <w:rPr>
          <w:rFonts w:hint="eastAsia" w:ascii="宋体" w:hAnsi="宋体" w:eastAsia="宋体" w:cs="宋体"/>
          <w:color w:val="000000" w:themeColor="text1"/>
          <w:sz w:val="22"/>
          <w:szCs w:val="28"/>
          <w:highlight w:val="none"/>
          <w14:textFill>
            <w14:solidFill>
              <w14:schemeClr w14:val="tx1"/>
            </w14:solidFill>
          </w14:textFill>
        </w:rPr>
        <w:t xml:space="preserve">  以我方的名义参加</w:t>
      </w:r>
      <w:r>
        <w:rPr>
          <w:rFonts w:hint="eastAsia" w:ascii="宋体" w:hAnsi="宋体" w:cs="宋体"/>
          <w:color w:val="000000" w:themeColor="text1"/>
          <w:sz w:val="22"/>
          <w:szCs w:val="28"/>
          <w:highlight w:val="none"/>
          <w:lang w:eastAsia="zh-CN"/>
          <w14:textFill>
            <w14:solidFill>
              <w14:schemeClr w14:val="tx1"/>
            </w14:solidFill>
          </w14:textFill>
        </w:rPr>
        <w:t>（</w:t>
      </w:r>
      <w:r>
        <w:rPr>
          <w:rFonts w:hint="eastAsia" w:ascii="宋体" w:hAnsi="宋体" w:eastAsia="宋体" w:cs="宋体"/>
          <w:color w:val="000000" w:themeColor="text1"/>
          <w:sz w:val="22"/>
          <w:szCs w:val="28"/>
          <w:highlight w:val="none"/>
          <w14:textFill>
            <w14:solidFill>
              <w14:schemeClr w14:val="tx1"/>
            </w14:solidFill>
          </w14:textFill>
        </w:rPr>
        <w:t>项目名称</w:t>
      </w:r>
      <w:r>
        <w:rPr>
          <w:rFonts w:hint="eastAsia" w:ascii="宋体" w:hAnsi="宋体" w:cs="宋体"/>
          <w:color w:val="000000" w:themeColor="text1"/>
          <w:sz w:val="22"/>
          <w:szCs w:val="28"/>
          <w:highlight w:val="none"/>
          <w:lang w:eastAsia="zh-CN"/>
          <w14:textFill>
            <w14:solidFill>
              <w14:schemeClr w14:val="tx1"/>
            </w14:solidFill>
          </w14:textFill>
        </w:rPr>
        <w:t>）</w:t>
      </w:r>
      <w:r>
        <w:rPr>
          <w:rFonts w:hint="eastAsia" w:ascii="宋体" w:hAnsi="宋体" w:eastAsia="宋体" w:cs="宋体"/>
          <w:color w:val="000000" w:themeColor="text1"/>
          <w:sz w:val="22"/>
          <w:szCs w:val="28"/>
          <w:highlight w:val="none"/>
          <w14:textFill>
            <w14:solidFill>
              <w14:schemeClr w14:val="tx1"/>
            </w14:solidFill>
          </w14:textFill>
        </w:rPr>
        <w:t>项目的响应活动，并代表我方全权办理针对上述项目的响应、截标、评审、签约等具体事务和签署相关文件。</w:t>
      </w:r>
    </w:p>
    <w:p w14:paraId="366051CB">
      <w:pPr>
        <w:keepNext w:val="0"/>
        <w:keepLines w:val="0"/>
        <w:pageBreakBefore w:val="0"/>
        <w:widowControl w:val="0"/>
        <w:shd w:val="clear"/>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我方对被授权人的签名事项负全部责任。</w:t>
      </w:r>
    </w:p>
    <w:p w14:paraId="3CF836A1">
      <w:pPr>
        <w:keepNext w:val="0"/>
        <w:keepLines w:val="0"/>
        <w:pageBreakBefore w:val="0"/>
        <w:widowControl w:val="0"/>
        <w:shd w:val="clear"/>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在撤销授权的书面通知以前，本授权书一直有效。被授权人在授权书有效期内签署的所有文件不因授权的撤销而失效。</w:t>
      </w:r>
    </w:p>
    <w:p w14:paraId="6001037E">
      <w:pPr>
        <w:keepNext w:val="0"/>
        <w:keepLines w:val="0"/>
        <w:pageBreakBefore w:val="0"/>
        <w:widowControl w:val="0"/>
        <w:shd w:val="clear"/>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被授权人无转委托权，特此委托。</w:t>
      </w:r>
    </w:p>
    <w:p w14:paraId="1C82DB1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p>
    <w:p w14:paraId="35028C6B">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p>
    <w:p w14:paraId="72F25C6E">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被授权人签字：</w:t>
      </w:r>
    </w:p>
    <w:p w14:paraId="7FB1247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职务：</w:t>
      </w:r>
    </w:p>
    <w:p w14:paraId="47D4B01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被授权人身份证号码：</w:t>
      </w:r>
    </w:p>
    <w:p w14:paraId="1B42313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被授权人邮箱：</w:t>
      </w:r>
    </w:p>
    <w:p w14:paraId="6CCEAB4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32"/>
          <w:highlight w:val="none"/>
          <w14:textFill>
            <w14:solidFill>
              <w14:schemeClr w14:val="tx1"/>
            </w14:solidFill>
          </w14:textFill>
        </w:rPr>
      </w:pPr>
    </w:p>
    <w:p w14:paraId="1CB2121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32"/>
          <w:highlight w:val="none"/>
          <w14:textFill>
            <w14:solidFill>
              <w14:schemeClr w14:val="tx1"/>
            </w14:solidFill>
          </w14:textFill>
        </w:rPr>
      </w:pPr>
    </w:p>
    <w:p w14:paraId="3028E4D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w:t>
      </w:r>
    </w:p>
    <w:p w14:paraId="38A2AC68">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职务：</w:t>
      </w:r>
    </w:p>
    <w:p w14:paraId="3D59F390">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授权人身份证号码：</w:t>
      </w:r>
    </w:p>
    <w:p w14:paraId="6B97C6C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p>
    <w:p w14:paraId="5B0B4FD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p>
    <w:p w14:paraId="01C7F61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p>
    <w:p w14:paraId="66C0C6E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电子签章</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6C49B98E">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51B17A8D">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9A0E740">
      <w:pPr>
        <w:shd w:val="clear"/>
        <w:spacing w:before="66" w:line="228" w:lineRule="auto"/>
        <w:ind w:left="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附件：法定代表人身份证复印件及授权代表身份证复</w:t>
      </w:r>
      <w:r>
        <w:rPr>
          <w:rFonts w:hint="eastAsia" w:ascii="宋体" w:hAnsi="宋体" w:eastAsia="宋体" w:cs="宋体"/>
          <w:color w:val="000000" w:themeColor="text1"/>
          <w:spacing w:val="8"/>
          <w:sz w:val="24"/>
          <w:szCs w:val="24"/>
          <w:highlight w:val="none"/>
          <w14:textFill>
            <w14:solidFill>
              <w14:schemeClr w14:val="tx1"/>
            </w14:solidFill>
          </w14:textFill>
        </w:rPr>
        <w:t>印件</w:t>
      </w:r>
    </w:p>
    <w:p w14:paraId="1CBB9DFE">
      <w:pPr>
        <w:shd w:val="clear"/>
        <w:spacing w:line="228"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23" w:type="default"/>
          <w:pgSz w:w="11906" w:h="16839"/>
          <w:pgMar w:top="1431" w:right="1063" w:bottom="884" w:left="1140" w:header="0" w:footer="679" w:gutter="0"/>
          <w:pgNumType w:fmt="decimal"/>
          <w:cols w:space="720" w:num="1"/>
        </w:sectPr>
      </w:pPr>
    </w:p>
    <w:p w14:paraId="34FE4910">
      <w:pPr>
        <w:shd w:val="clear"/>
        <w:spacing w:before="48" w:line="220" w:lineRule="auto"/>
        <w:ind w:left="4300"/>
        <w:rPr>
          <w:rFonts w:ascii="宋体" w:hAnsi="宋体" w:eastAsia="宋体" w:cs="宋体"/>
          <w:b/>
          <w:bCs/>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2"/>
          <w:sz w:val="28"/>
          <w:szCs w:val="28"/>
          <w:highlight w:val="none"/>
          <w14:textFill>
            <w14:solidFill>
              <w14:schemeClr w14:val="tx1"/>
            </w14:solidFill>
          </w14:textFill>
        </w:rPr>
        <w:t>第一部分 商务文件</w:t>
      </w:r>
    </w:p>
    <w:p w14:paraId="6C8FE768">
      <w:pPr>
        <w:shd w:val="clear"/>
        <w:spacing w:before="129" w:line="662" w:lineRule="exact"/>
        <w:ind w:left="263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position w:val="35"/>
          <w:sz w:val="24"/>
          <w:szCs w:val="24"/>
          <w:highlight w:val="none"/>
          <w14:textFill>
            <w14:solidFill>
              <w14:schemeClr w14:val="tx1"/>
            </w14:solidFill>
          </w14:textFill>
        </w:rPr>
        <w:t>（本商务文件供应商可自行编写，也可参照下述</w:t>
      </w:r>
      <w:r>
        <w:rPr>
          <w:rFonts w:hint="eastAsia" w:ascii="宋体" w:hAnsi="宋体" w:eastAsia="宋体" w:cs="宋体"/>
          <w:color w:val="000000" w:themeColor="text1"/>
          <w:spacing w:val="8"/>
          <w:position w:val="35"/>
          <w:sz w:val="24"/>
          <w:szCs w:val="24"/>
          <w:highlight w:val="none"/>
          <w14:textFill>
            <w14:solidFill>
              <w14:schemeClr w14:val="tx1"/>
            </w14:solidFill>
          </w14:textFill>
        </w:rPr>
        <w:t>提纲编写）</w:t>
      </w:r>
    </w:p>
    <w:p w14:paraId="02E9F874">
      <w:pPr>
        <w:shd w:val="clear"/>
        <w:spacing w:line="227" w:lineRule="auto"/>
        <w:ind w:left="54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1．对本项目第二章《采购需求》</w:t>
      </w:r>
      <w:r>
        <w:rPr>
          <w:rFonts w:hint="eastAsia" w:ascii="宋体" w:hAnsi="宋体" w:eastAsia="宋体" w:cs="宋体"/>
          <w:b/>
          <w:bCs/>
          <w:color w:val="000000" w:themeColor="text1"/>
          <w:spacing w:val="-68"/>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14:textFill>
            <w14:solidFill>
              <w14:schemeClr w14:val="tx1"/>
            </w14:solidFill>
          </w14:textFill>
        </w:rPr>
        <w:t>“商务要求</w:t>
      </w:r>
      <w:r>
        <w:rPr>
          <w:rFonts w:hint="eastAsia" w:ascii="宋体" w:hAnsi="宋体" w:eastAsia="宋体" w:cs="宋体"/>
          <w:b/>
          <w:bCs/>
          <w:color w:val="000000" w:themeColor="text1"/>
          <w:spacing w:val="-70"/>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14:textFill>
            <w14:solidFill>
              <w14:schemeClr w14:val="tx1"/>
            </w14:solidFill>
          </w14:textFill>
        </w:rPr>
        <w:t>”的响应表：</w:t>
      </w:r>
    </w:p>
    <w:p w14:paraId="6FB69661">
      <w:pPr>
        <w:shd w:val="clear"/>
        <w:spacing w:before="120"/>
        <w:rPr>
          <w:rFonts w:hint="eastAsia" w:ascii="宋体" w:hAnsi="宋体" w:eastAsia="宋体" w:cs="宋体"/>
          <w:color w:val="000000" w:themeColor="text1"/>
          <w:sz w:val="24"/>
          <w:szCs w:val="24"/>
          <w:highlight w:val="none"/>
          <w14:textFill>
            <w14:solidFill>
              <w14:schemeClr w14:val="tx1"/>
            </w14:solidFill>
          </w14:textFill>
        </w:rPr>
      </w:pPr>
    </w:p>
    <w:tbl>
      <w:tblPr>
        <w:tblStyle w:val="123"/>
        <w:tblW w:w="9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3022"/>
        <w:gridCol w:w="3851"/>
        <w:gridCol w:w="2031"/>
      </w:tblGrid>
      <w:tr w14:paraId="222E4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38" w:type="dxa"/>
            <w:vAlign w:val="top"/>
          </w:tcPr>
          <w:p w14:paraId="1A85B747">
            <w:pPr>
              <w:pStyle w:val="154"/>
              <w:shd w:val="clear"/>
              <w:spacing w:before="147" w:line="230" w:lineRule="auto"/>
              <w:ind w:left="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序号</w:t>
            </w:r>
          </w:p>
        </w:tc>
        <w:tc>
          <w:tcPr>
            <w:tcW w:w="3022" w:type="dxa"/>
            <w:vAlign w:val="top"/>
          </w:tcPr>
          <w:p w14:paraId="06B4A4D8">
            <w:pPr>
              <w:pStyle w:val="154"/>
              <w:shd w:val="clear"/>
              <w:spacing w:before="147" w:line="228" w:lineRule="auto"/>
              <w:ind w:left="5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征集文件的商务要求</w:t>
            </w:r>
          </w:p>
        </w:tc>
        <w:tc>
          <w:tcPr>
            <w:tcW w:w="3851" w:type="dxa"/>
            <w:vAlign w:val="top"/>
          </w:tcPr>
          <w:p w14:paraId="5DF82545">
            <w:pPr>
              <w:pStyle w:val="154"/>
              <w:shd w:val="clear"/>
              <w:spacing w:before="147" w:line="228" w:lineRule="auto"/>
              <w:ind w:left="16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响应文件响应内容</w:t>
            </w:r>
          </w:p>
        </w:tc>
        <w:tc>
          <w:tcPr>
            <w:tcW w:w="2031" w:type="dxa"/>
            <w:vAlign w:val="top"/>
          </w:tcPr>
          <w:p w14:paraId="2A2E2AB5">
            <w:pPr>
              <w:pStyle w:val="154"/>
              <w:shd w:val="clear"/>
              <w:spacing w:before="147" w:line="228" w:lineRule="auto"/>
              <w:ind w:left="1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偏离说明</w:t>
            </w:r>
          </w:p>
        </w:tc>
      </w:tr>
      <w:tr w14:paraId="1624F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38" w:type="dxa"/>
            <w:vAlign w:val="top"/>
          </w:tcPr>
          <w:p w14:paraId="4F965960">
            <w:pPr>
              <w:shd w:val="clear"/>
              <w:rPr>
                <w:rFonts w:hint="eastAsia" w:ascii="宋体" w:hAnsi="宋体" w:eastAsia="宋体" w:cs="宋体"/>
                <w:color w:val="000000" w:themeColor="text1"/>
                <w:sz w:val="24"/>
                <w:szCs w:val="24"/>
                <w:highlight w:val="none"/>
                <w14:textFill>
                  <w14:solidFill>
                    <w14:schemeClr w14:val="tx1"/>
                  </w14:solidFill>
                </w14:textFill>
              </w:rPr>
            </w:pPr>
          </w:p>
        </w:tc>
        <w:tc>
          <w:tcPr>
            <w:tcW w:w="3022" w:type="dxa"/>
            <w:vAlign w:val="top"/>
          </w:tcPr>
          <w:p w14:paraId="6B4EF670">
            <w:pPr>
              <w:shd w:val="clear"/>
              <w:rPr>
                <w:rFonts w:hint="eastAsia" w:ascii="宋体" w:hAnsi="宋体" w:eastAsia="宋体" w:cs="宋体"/>
                <w:color w:val="000000" w:themeColor="text1"/>
                <w:sz w:val="24"/>
                <w:szCs w:val="24"/>
                <w:highlight w:val="none"/>
                <w14:textFill>
                  <w14:solidFill>
                    <w14:schemeClr w14:val="tx1"/>
                  </w14:solidFill>
                </w14:textFill>
              </w:rPr>
            </w:pPr>
          </w:p>
        </w:tc>
        <w:tc>
          <w:tcPr>
            <w:tcW w:w="3851" w:type="dxa"/>
            <w:vAlign w:val="top"/>
          </w:tcPr>
          <w:p w14:paraId="744836CD">
            <w:pPr>
              <w:shd w:val="clear"/>
              <w:rPr>
                <w:rFonts w:hint="eastAsia" w:ascii="宋体" w:hAnsi="宋体" w:eastAsia="宋体" w:cs="宋体"/>
                <w:color w:val="000000" w:themeColor="text1"/>
                <w:sz w:val="24"/>
                <w:szCs w:val="24"/>
                <w:highlight w:val="none"/>
                <w14:textFill>
                  <w14:solidFill>
                    <w14:schemeClr w14:val="tx1"/>
                  </w14:solidFill>
                </w14:textFill>
              </w:rPr>
            </w:pPr>
          </w:p>
        </w:tc>
        <w:tc>
          <w:tcPr>
            <w:tcW w:w="2031" w:type="dxa"/>
            <w:vAlign w:val="top"/>
          </w:tcPr>
          <w:p w14:paraId="4BF5E43F">
            <w:pPr>
              <w:shd w:val="clear"/>
              <w:rPr>
                <w:rFonts w:hint="eastAsia" w:ascii="宋体" w:hAnsi="宋体" w:eastAsia="宋体" w:cs="宋体"/>
                <w:color w:val="000000" w:themeColor="text1"/>
                <w:sz w:val="24"/>
                <w:szCs w:val="24"/>
                <w:highlight w:val="none"/>
                <w14:textFill>
                  <w14:solidFill>
                    <w14:schemeClr w14:val="tx1"/>
                  </w14:solidFill>
                </w14:textFill>
              </w:rPr>
            </w:pPr>
          </w:p>
        </w:tc>
      </w:tr>
      <w:tr w14:paraId="4786F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38" w:type="dxa"/>
            <w:vAlign w:val="top"/>
          </w:tcPr>
          <w:p w14:paraId="0C41FD9A">
            <w:pPr>
              <w:shd w:val="clear"/>
              <w:rPr>
                <w:rFonts w:hint="eastAsia" w:ascii="宋体" w:hAnsi="宋体" w:eastAsia="宋体" w:cs="宋体"/>
                <w:color w:val="000000" w:themeColor="text1"/>
                <w:sz w:val="24"/>
                <w:szCs w:val="24"/>
                <w:highlight w:val="none"/>
                <w14:textFill>
                  <w14:solidFill>
                    <w14:schemeClr w14:val="tx1"/>
                  </w14:solidFill>
                </w14:textFill>
              </w:rPr>
            </w:pPr>
          </w:p>
        </w:tc>
        <w:tc>
          <w:tcPr>
            <w:tcW w:w="3022" w:type="dxa"/>
            <w:vAlign w:val="top"/>
          </w:tcPr>
          <w:p w14:paraId="6FB9B5FD">
            <w:pPr>
              <w:shd w:val="clear"/>
              <w:rPr>
                <w:rFonts w:hint="eastAsia" w:ascii="宋体" w:hAnsi="宋体" w:eastAsia="宋体" w:cs="宋体"/>
                <w:color w:val="000000" w:themeColor="text1"/>
                <w:sz w:val="24"/>
                <w:szCs w:val="24"/>
                <w:highlight w:val="none"/>
                <w14:textFill>
                  <w14:solidFill>
                    <w14:schemeClr w14:val="tx1"/>
                  </w14:solidFill>
                </w14:textFill>
              </w:rPr>
            </w:pPr>
          </w:p>
        </w:tc>
        <w:tc>
          <w:tcPr>
            <w:tcW w:w="3851" w:type="dxa"/>
            <w:vAlign w:val="top"/>
          </w:tcPr>
          <w:p w14:paraId="31561B80">
            <w:pPr>
              <w:shd w:val="clear"/>
              <w:rPr>
                <w:rFonts w:hint="eastAsia" w:ascii="宋体" w:hAnsi="宋体" w:eastAsia="宋体" w:cs="宋体"/>
                <w:color w:val="000000" w:themeColor="text1"/>
                <w:sz w:val="24"/>
                <w:szCs w:val="24"/>
                <w:highlight w:val="none"/>
                <w14:textFill>
                  <w14:solidFill>
                    <w14:schemeClr w14:val="tx1"/>
                  </w14:solidFill>
                </w14:textFill>
              </w:rPr>
            </w:pPr>
          </w:p>
        </w:tc>
        <w:tc>
          <w:tcPr>
            <w:tcW w:w="2031" w:type="dxa"/>
            <w:vAlign w:val="top"/>
          </w:tcPr>
          <w:p w14:paraId="03FDFE23">
            <w:pPr>
              <w:shd w:val="clear"/>
              <w:rPr>
                <w:rFonts w:hint="eastAsia" w:ascii="宋体" w:hAnsi="宋体" w:eastAsia="宋体" w:cs="宋体"/>
                <w:color w:val="000000" w:themeColor="text1"/>
                <w:sz w:val="24"/>
                <w:szCs w:val="24"/>
                <w:highlight w:val="none"/>
                <w14:textFill>
                  <w14:solidFill>
                    <w14:schemeClr w14:val="tx1"/>
                  </w14:solidFill>
                </w14:textFill>
              </w:rPr>
            </w:pPr>
          </w:p>
        </w:tc>
      </w:tr>
      <w:tr w14:paraId="2EEA7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038" w:type="dxa"/>
            <w:vAlign w:val="top"/>
          </w:tcPr>
          <w:p w14:paraId="3DFBD5FF">
            <w:pPr>
              <w:shd w:val="clear"/>
              <w:rPr>
                <w:rFonts w:hint="eastAsia" w:ascii="宋体" w:hAnsi="宋体" w:eastAsia="宋体" w:cs="宋体"/>
                <w:color w:val="000000" w:themeColor="text1"/>
                <w:sz w:val="24"/>
                <w:szCs w:val="24"/>
                <w:highlight w:val="none"/>
                <w14:textFill>
                  <w14:solidFill>
                    <w14:schemeClr w14:val="tx1"/>
                  </w14:solidFill>
                </w14:textFill>
              </w:rPr>
            </w:pPr>
          </w:p>
        </w:tc>
        <w:tc>
          <w:tcPr>
            <w:tcW w:w="3022" w:type="dxa"/>
            <w:vAlign w:val="top"/>
          </w:tcPr>
          <w:p w14:paraId="502B88F8">
            <w:pPr>
              <w:shd w:val="clear"/>
              <w:spacing w:line="304" w:lineRule="auto"/>
              <w:rPr>
                <w:rFonts w:hint="eastAsia" w:ascii="宋体" w:hAnsi="宋体" w:eastAsia="宋体" w:cs="宋体"/>
                <w:color w:val="000000" w:themeColor="text1"/>
                <w:sz w:val="24"/>
                <w:szCs w:val="24"/>
                <w:highlight w:val="none"/>
                <w14:textFill>
                  <w14:solidFill>
                    <w14:schemeClr w14:val="tx1"/>
                  </w14:solidFill>
                </w14:textFill>
              </w:rPr>
            </w:pPr>
          </w:p>
          <w:p w14:paraId="6FC82AFF">
            <w:pPr>
              <w:shd w:val="clear"/>
              <w:spacing w:before="57" w:line="63" w:lineRule="exact"/>
              <w:ind w:left="13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position w:val="1"/>
                <w:sz w:val="24"/>
                <w:szCs w:val="24"/>
                <w:highlight w:val="none"/>
                <w14:textFill>
                  <w14:solidFill>
                    <w14:schemeClr w14:val="tx1"/>
                  </w14:solidFill>
                </w14:textFill>
              </w:rPr>
              <w:t>……</w:t>
            </w:r>
          </w:p>
        </w:tc>
        <w:tc>
          <w:tcPr>
            <w:tcW w:w="3851" w:type="dxa"/>
            <w:vAlign w:val="top"/>
          </w:tcPr>
          <w:p w14:paraId="32442601">
            <w:pPr>
              <w:shd w:val="clear"/>
              <w:rPr>
                <w:rFonts w:hint="eastAsia" w:ascii="宋体" w:hAnsi="宋体" w:eastAsia="宋体" w:cs="宋体"/>
                <w:color w:val="000000" w:themeColor="text1"/>
                <w:sz w:val="24"/>
                <w:szCs w:val="24"/>
                <w:highlight w:val="none"/>
                <w14:textFill>
                  <w14:solidFill>
                    <w14:schemeClr w14:val="tx1"/>
                  </w14:solidFill>
                </w14:textFill>
              </w:rPr>
            </w:pPr>
          </w:p>
        </w:tc>
        <w:tc>
          <w:tcPr>
            <w:tcW w:w="2031" w:type="dxa"/>
            <w:vAlign w:val="top"/>
          </w:tcPr>
          <w:p w14:paraId="481DF0E2">
            <w:pPr>
              <w:shd w:val="clear"/>
              <w:rPr>
                <w:rFonts w:hint="eastAsia" w:ascii="宋体" w:hAnsi="宋体" w:eastAsia="宋体" w:cs="宋体"/>
                <w:color w:val="000000" w:themeColor="text1"/>
                <w:sz w:val="24"/>
                <w:szCs w:val="24"/>
                <w:highlight w:val="none"/>
                <w14:textFill>
                  <w14:solidFill>
                    <w14:schemeClr w14:val="tx1"/>
                  </w14:solidFill>
                </w14:textFill>
              </w:rPr>
            </w:pPr>
          </w:p>
        </w:tc>
      </w:tr>
    </w:tbl>
    <w:p w14:paraId="7D7FCC72">
      <w:pPr>
        <w:pStyle w:val="19"/>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5AF93B16">
      <w:pPr>
        <w:pStyle w:val="19"/>
        <w:shd w:val="clear"/>
        <w:bidi w:val="0"/>
        <w:rPr>
          <w:rFonts w:hint="eastAsia" w:ascii="宋体" w:hAnsi="宋体" w:eastAsia="宋体" w:cs="宋体"/>
          <w:color w:val="000000" w:themeColor="text1"/>
          <w:sz w:val="24"/>
          <w:szCs w:val="24"/>
          <w:highlight w:val="none"/>
          <w14:textFill>
            <w14:solidFill>
              <w14:schemeClr w14:val="tx1"/>
            </w14:solidFill>
          </w14:textFill>
        </w:rPr>
      </w:pPr>
    </w:p>
    <w:p w14:paraId="70B76537">
      <w:pPr>
        <w:pStyle w:val="19"/>
        <w:shd w:val="clear"/>
        <w:bidi w:val="0"/>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57983E98">
      <w:pPr>
        <w:pStyle w:val="19"/>
        <w:shd w:val="clear"/>
        <w:bidi w:val="0"/>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本表应对征集文件第二章《采购需求》中所列商务要求进行响应，并根据响应情况在“偏离说明 ”栏填写正偏离或负偏离及原因，完全符合的填写“无偏离 ”。</w:t>
      </w:r>
    </w:p>
    <w:p w14:paraId="7B84FCA4">
      <w:pPr>
        <w:pStyle w:val="19"/>
        <w:shd w:val="clear"/>
        <w:bidi w:val="0"/>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第二章《采购需求》中的总体要求无需响应。</w:t>
      </w:r>
    </w:p>
    <w:p w14:paraId="61381782">
      <w:pPr>
        <w:pStyle w:val="19"/>
        <w:shd w:val="clear"/>
        <w:bidi w:val="0"/>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（3）供应商响应的服务的商务等条件不得低于采购需求所有要求。</w:t>
      </w:r>
    </w:p>
    <w:p w14:paraId="7E1FADFC">
      <w:pPr>
        <w:pStyle w:val="19"/>
        <w:shd w:val="clear"/>
        <w:bidi w:val="0"/>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本表可扩展。</w:t>
      </w:r>
    </w:p>
    <w:p w14:paraId="1EECF8EC">
      <w:pPr>
        <w:pStyle w:val="19"/>
        <w:shd w:val="clear"/>
        <w:spacing w:line="283" w:lineRule="auto"/>
        <w:rPr>
          <w:rFonts w:hint="eastAsia" w:ascii="宋体" w:hAnsi="宋体" w:eastAsia="宋体" w:cs="宋体"/>
          <w:color w:val="000000" w:themeColor="text1"/>
          <w:sz w:val="24"/>
          <w:szCs w:val="24"/>
          <w:highlight w:val="none"/>
          <w14:textFill>
            <w14:solidFill>
              <w14:schemeClr w14:val="tx1"/>
            </w14:solidFill>
          </w14:textFill>
        </w:rPr>
      </w:pPr>
    </w:p>
    <w:p w14:paraId="3A49C4B7">
      <w:pPr>
        <w:pStyle w:val="19"/>
        <w:shd w:val="clear"/>
        <w:spacing w:line="284" w:lineRule="auto"/>
        <w:rPr>
          <w:rFonts w:hint="eastAsia" w:ascii="宋体" w:hAnsi="宋体" w:eastAsia="宋体" w:cs="宋体"/>
          <w:color w:val="000000" w:themeColor="text1"/>
          <w:sz w:val="24"/>
          <w:szCs w:val="24"/>
          <w:highlight w:val="none"/>
          <w14:textFill>
            <w14:solidFill>
              <w14:schemeClr w14:val="tx1"/>
            </w14:solidFill>
          </w14:textFill>
        </w:rPr>
      </w:pPr>
    </w:p>
    <w:p w14:paraId="151FE211">
      <w:pPr>
        <w:pStyle w:val="19"/>
        <w:shd w:val="clear"/>
        <w:spacing w:line="284" w:lineRule="auto"/>
        <w:rPr>
          <w:rFonts w:hint="eastAsia" w:ascii="宋体" w:hAnsi="宋体" w:eastAsia="宋体" w:cs="宋体"/>
          <w:color w:val="000000" w:themeColor="text1"/>
          <w:sz w:val="24"/>
          <w:szCs w:val="24"/>
          <w:highlight w:val="none"/>
          <w14:textFill>
            <w14:solidFill>
              <w14:schemeClr w14:val="tx1"/>
            </w14:solidFill>
          </w14:textFill>
        </w:rPr>
      </w:pPr>
    </w:p>
    <w:p w14:paraId="56D714E5">
      <w:pPr>
        <w:pStyle w:val="19"/>
        <w:shd w:val="clear"/>
        <w:spacing w:line="284" w:lineRule="auto"/>
        <w:rPr>
          <w:rFonts w:hint="eastAsia" w:ascii="宋体" w:hAnsi="宋体" w:eastAsia="宋体" w:cs="宋体"/>
          <w:color w:val="000000" w:themeColor="text1"/>
          <w:sz w:val="24"/>
          <w:szCs w:val="24"/>
          <w:highlight w:val="none"/>
          <w14:textFill>
            <w14:solidFill>
              <w14:schemeClr w14:val="tx1"/>
            </w14:solidFill>
          </w14:textFill>
        </w:rPr>
      </w:pPr>
    </w:p>
    <w:p w14:paraId="2AAD3AE0">
      <w:pPr>
        <w:pStyle w:val="19"/>
        <w:shd w:val="clear"/>
        <w:spacing w:line="284" w:lineRule="auto"/>
        <w:rPr>
          <w:rFonts w:hint="eastAsia" w:ascii="宋体" w:hAnsi="宋体" w:eastAsia="宋体" w:cs="宋体"/>
          <w:color w:val="000000" w:themeColor="text1"/>
          <w:sz w:val="24"/>
          <w:szCs w:val="24"/>
          <w:highlight w:val="none"/>
          <w14:textFill>
            <w14:solidFill>
              <w14:schemeClr w14:val="tx1"/>
            </w14:solidFill>
          </w14:textFill>
        </w:rPr>
      </w:pPr>
    </w:p>
    <w:p w14:paraId="57C72812">
      <w:pPr>
        <w:shd w:val="clear"/>
        <w:spacing w:before="65" w:line="497" w:lineRule="exact"/>
        <w:ind w:firstLine="5334" w:firstLineChars="2100"/>
        <w:rPr>
          <w:rFonts w:hint="eastAsia" w:ascii="宋体" w:hAnsi="宋体" w:eastAsia="宋体" w:cs="宋体"/>
          <w:color w:val="000000" w:themeColor="text1"/>
          <w:spacing w:val="7"/>
          <w:position w:val="22"/>
          <w:sz w:val="24"/>
          <w:szCs w:val="24"/>
          <w:highlight w:val="none"/>
          <w14:textFill>
            <w14:solidFill>
              <w14:schemeClr w14:val="tx1"/>
            </w14:solidFill>
          </w14:textFill>
        </w:rPr>
      </w:pPr>
      <w:r>
        <w:rPr>
          <w:rFonts w:hint="eastAsia" w:ascii="宋体" w:hAnsi="宋体" w:eastAsia="宋体" w:cs="宋体"/>
          <w:color w:val="000000" w:themeColor="text1"/>
          <w:spacing w:val="7"/>
          <w:position w:val="22"/>
          <w:sz w:val="24"/>
          <w:szCs w:val="24"/>
          <w:highlight w:val="none"/>
          <w14:textFill>
            <w14:solidFill>
              <w14:schemeClr w14:val="tx1"/>
            </w14:solidFill>
          </w14:textFill>
        </w:rPr>
        <w:t>供应商名称</w:t>
      </w:r>
      <w:r>
        <w:rPr>
          <w:rFonts w:hint="eastAsia" w:ascii="宋体" w:hAnsi="宋体" w:cs="宋体"/>
          <w:color w:val="000000" w:themeColor="text1"/>
          <w:spacing w:val="7"/>
          <w:position w:val="2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7"/>
          <w:position w:val="22"/>
          <w:sz w:val="24"/>
          <w:szCs w:val="24"/>
          <w:highlight w:val="none"/>
          <w14:textFill>
            <w14:solidFill>
              <w14:schemeClr w14:val="tx1"/>
            </w14:solidFill>
          </w14:textFill>
        </w:rPr>
        <w:t>电子签章</w:t>
      </w:r>
      <w:r>
        <w:rPr>
          <w:rFonts w:hint="eastAsia" w:ascii="宋体" w:hAnsi="宋体" w:cs="宋体"/>
          <w:color w:val="000000" w:themeColor="text1"/>
          <w:spacing w:val="7"/>
          <w:position w:val="2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7"/>
          <w:position w:val="22"/>
          <w:sz w:val="24"/>
          <w:szCs w:val="24"/>
          <w:highlight w:val="none"/>
          <w14:textFill>
            <w14:solidFill>
              <w14:schemeClr w14:val="tx1"/>
            </w14:solidFill>
          </w14:textFill>
        </w:rPr>
        <w:t>：</w:t>
      </w:r>
    </w:p>
    <w:p w14:paraId="1EA8F730">
      <w:pPr>
        <w:shd w:val="clear"/>
        <w:spacing w:before="65" w:line="497" w:lineRule="exact"/>
        <w:ind w:firstLine="5428" w:firstLineChars="2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年</w:t>
      </w:r>
      <w:r>
        <w:rPr>
          <w:rFonts w:hint="eastAsia" w:ascii="宋体" w:hAnsi="宋体" w:eastAsia="宋体" w:cs="宋体"/>
          <w:color w:val="000000" w:themeColor="text1"/>
          <w:spacing w:val="1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月</w:t>
      </w:r>
      <w:r>
        <w:rPr>
          <w:rFonts w:hint="eastAsia" w:ascii="宋体" w:hAnsi="宋体" w:eastAsia="宋体" w:cs="宋体"/>
          <w:color w:val="000000" w:themeColor="text1"/>
          <w:spacing w:val="2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日</w:t>
      </w:r>
    </w:p>
    <w:p w14:paraId="3F82AC65">
      <w:pPr>
        <w:shd w:val="clea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24" w:type="default"/>
          <w:pgSz w:w="11906" w:h="16839"/>
          <w:pgMar w:top="1198" w:right="928" w:bottom="884" w:left="607" w:header="0" w:footer="679" w:gutter="0"/>
          <w:pgNumType w:fmt="decimal"/>
          <w:cols w:space="720" w:num="1"/>
        </w:sectPr>
      </w:pPr>
    </w:p>
    <w:p w14:paraId="4E93CFCA">
      <w:pPr>
        <w:shd w:val="clear"/>
        <w:spacing w:before="44" w:line="220" w:lineRule="auto"/>
        <w:ind w:left="44"/>
        <w:rPr>
          <w:rFonts w:ascii="宋体" w:hAnsi="宋体" w:eastAsia="宋体" w:cs="宋体"/>
          <w:b/>
          <w:bCs/>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1"/>
          <w:sz w:val="24"/>
          <w:szCs w:val="24"/>
          <w:highlight w:val="none"/>
          <w14:textFill>
            <w14:solidFill>
              <w14:schemeClr w14:val="tx1"/>
            </w14:solidFill>
          </w14:textFill>
        </w:rPr>
        <w:t>2.服务便利性（格式自拟）</w:t>
      </w:r>
    </w:p>
    <w:p w14:paraId="78108BE1">
      <w:pPr>
        <w:pStyle w:val="19"/>
        <w:shd w:val="clear"/>
        <w:spacing w:line="262" w:lineRule="auto"/>
        <w:rPr>
          <w:color w:val="000000" w:themeColor="text1"/>
          <w:sz w:val="24"/>
          <w:szCs w:val="24"/>
          <w:highlight w:val="none"/>
          <w14:textFill>
            <w14:solidFill>
              <w14:schemeClr w14:val="tx1"/>
            </w14:solidFill>
          </w14:textFill>
        </w:rPr>
      </w:pPr>
    </w:p>
    <w:p w14:paraId="05130FF2">
      <w:pPr>
        <w:pStyle w:val="19"/>
        <w:shd w:val="clear"/>
        <w:spacing w:line="262" w:lineRule="auto"/>
        <w:rPr>
          <w:color w:val="000000" w:themeColor="text1"/>
          <w:sz w:val="24"/>
          <w:szCs w:val="24"/>
          <w:highlight w:val="none"/>
          <w14:textFill>
            <w14:solidFill>
              <w14:schemeClr w14:val="tx1"/>
            </w14:solidFill>
          </w14:textFill>
        </w:rPr>
      </w:pPr>
    </w:p>
    <w:p w14:paraId="4C9314A2">
      <w:pPr>
        <w:pStyle w:val="19"/>
        <w:shd w:val="clear"/>
        <w:spacing w:line="263" w:lineRule="auto"/>
        <w:rPr>
          <w:color w:val="000000" w:themeColor="text1"/>
          <w:sz w:val="24"/>
          <w:szCs w:val="24"/>
          <w:highlight w:val="none"/>
          <w14:textFill>
            <w14:solidFill>
              <w14:schemeClr w14:val="tx1"/>
            </w14:solidFill>
          </w14:textFill>
        </w:rPr>
      </w:pPr>
    </w:p>
    <w:p w14:paraId="05FA9493">
      <w:pPr>
        <w:shd w:val="clear"/>
        <w:spacing w:before="71" w:line="220" w:lineRule="auto"/>
        <w:ind w:left="12"/>
        <w:rPr>
          <w:rFonts w:ascii="宋体" w:hAnsi="宋体" w:eastAsia="宋体" w:cs="宋体"/>
          <w:b/>
          <w:bCs/>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1"/>
          <w:sz w:val="24"/>
          <w:szCs w:val="24"/>
          <w:highlight w:val="none"/>
          <w14:textFill>
            <w14:solidFill>
              <w14:schemeClr w14:val="tx1"/>
            </w14:solidFill>
          </w14:textFill>
        </w:rPr>
        <w:t>3.近年供应商类似成功案例的业绩证明。</w:t>
      </w:r>
    </w:p>
    <w:p w14:paraId="162BA62A">
      <w:pPr>
        <w:shd w:val="clear"/>
        <w:spacing w:before="215" w:line="221" w:lineRule="auto"/>
        <w:ind w:left="3504"/>
        <w:rPr>
          <w:rFonts w:ascii="宋体" w:hAnsi="宋体" w:eastAsia="宋体" w:cs="宋体"/>
          <w:b/>
          <w:bCs/>
          <w:color w:val="000000" w:themeColor="text1"/>
          <w:sz w:val="22"/>
          <w:szCs w:val="22"/>
          <w:highlight w:val="none"/>
          <w14:textFill>
            <w14:solidFill>
              <w14:schemeClr w14:val="tx1"/>
            </w14:solidFill>
          </w14:textFill>
        </w:rPr>
      </w:pPr>
      <w:r>
        <w:rPr>
          <w:rFonts w:ascii="宋体" w:hAnsi="宋体" w:eastAsia="宋体" w:cs="宋体"/>
          <w:b/>
          <w:bCs/>
          <w:color w:val="000000" w:themeColor="text1"/>
          <w:spacing w:val="-1"/>
          <w:sz w:val="22"/>
          <w:szCs w:val="22"/>
          <w:highlight w:val="none"/>
          <w14:textFill>
            <w14:solidFill>
              <w14:schemeClr w14:val="tx1"/>
            </w14:solidFill>
          </w14:textFill>
        </w:rPr>
        <w:t>类似成功案例业绩一览表</w:t>
      </w:r>
    </w:p>
    <w:p w14:paraId="60E5CBC2">
      <w:pPr>
        <w:shd w:val="clear"/>
        <w:spacing w:line="125" w:lineRule="exact"/>
        <w:rPr>
          <w:color w:val="000000" w:themeColor="text1"/>
          <w:highlight w:val="none"/>
          <w14:textFill>
            <w14:solidFill>
              <w14:schemeClr w14:val="tx1"/>
            </w14:solidFill>
          </w14:textFill>
        </w:rPr>
      </w:pPr>
    </w:p>
    <w:tbl>
      <w:tblPr>
        <w:tblStyle w:val="123"/>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4"/>
        <w:gridCol w:w="2045"/>
        <w:gridCol w:w="2012"/>
        <w:gridCol w:w="1762"/>
        <w:gridCol w:w="2174"/>
      </w:tblGrid>
      <w:tr w14:paraId="4FB7C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1504" w:type="dxa"/>
            <w:vAlign w:val="top"/>
          </w:tcPr>
          <w:p w14:paraId="6F1AB784">
            <w:pPr>
              <w:shd w:val="clear"/>
              <w:spacing w:line="294" w:lineRule="auto"/>
              <w:rPr>
                <w:rFonts w:ascii="Arial"/>
                <w:color w:val="000000" w:themeColor="text1"/>
                <w:sz w:val="21"/>
                <w:highlight w:val="none"/>
                <w14:textFill>
                  <w14:solidFill>
                    <w14:schemeClr w14:val="tx1"/>
                  </w14:solidFill>
                </w14:textFill>
              </w:rPr>
            </w:pPr>
          </w:p>
          <w:p w14:paraId="651F8696">
            <w:pPr>
              <w:shd w:val="clear"/>
              <w:spacing w:line="294" w:lineRule="auto"/>
              <w:rPr>
                <w:rFonts w:ascii="Arial"/>
                <w:color w:val="000000" w:themeColor="text1"/>
                <w:sz w:val="21"/>
                <w:highlight w:val="none"/>
                <w14:textFill>
                  <w14:solidFill>
                    <w14:schemeClr w14:val="tx1"/>
                  </w14:solidFill>
                </w14:textFill>
              </w:rPr>
            </w:pPr>
          </w:p>
          <w:p w14:paraId="0D418982">
            <w:pPr>
              <w:pStyle w:val="154"/>
              <w:shd w:val="clear"/>
              <w:spacing w:before="71" w:line="250" w:lineRule="auto"/>
              <w:ind w:left="0" w:right="128" w:firstLine="0"/>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甲方单位</w:t>
            </w:r>
            <w:r>
              <w:rPr>
                <w:color w:val="000000" w:themeColor="text1"/>
                <w:spacing w:val="-5"/>
                <w:highlight w:val="none"/>
                <w14:textFill>
                  <w14:solidFill>
                    <w14:schemeClr w14:val="tx1"/>
                  </w14:solidFill>
                </w14:textFill>
              </w:rPr>
              <w:t>名称</w:t>
            </w:r>
          </w:p>
        </w:tc>
        <w:tc>
          <w:tcPr>
            <w:tcW w:w="2045" w:type="dxa"/>
            <w:vAlign w:val="top"/>
          </w:tcPr>
          <w:p w14:paraId="17242E98">
            <w:pPr>
              <w:shd w:val="clear"/>
              <w:spacing w:line="294" w:lineRule="auto"/>
              <w:rPr>
                <w:rFonts w:ascii="Arial"/>
                <w:color w:val="000000" w:themeColor="text1"/>
                <w:sz w:val="21"/>
                <w:highlight w:val="none"/>
                <w14:textFill>
                  <w14:solidFill>
                    <w14:schemeClr w14:val="tx1"/>
                  </w14:solidFill>
                </w14:textFill>
              </w:rPr>
            </w:pPr>
          </w:p>
          <w:p w14:paraId="0D90929F">
            <w:pPr>
              <w:shd w:val="clear"/>
              <w:spacing w:line="294" w:lineRule="auto"/>
              <w:rPr>
                <w:rFonts w:ascii="Arial"/>
                <w:color w:val="000000" w:themeColor="text1"/>
                <w:sz w:val="21"/>
                <w:highlight w:val="none"/>
                <w14:textFill>
                  <w14:solidFill>
                    <w14:schemeClr w14:val="tx1"/>
                  </w14:solidFill>
                </w14:textFill>
              </w:rPr>
            </w:pPr>
          </w:p>
          <w:p w14:paraId="773D969C">
            <w:pPr>
              <w:pStyle w:val="154"/>
              <w:shd w:val="clear"/>
              <w:spacing w:before="71" w:line="249" w:lineRule="auto"/>
              <w:ind w:left="675" w:right="254" w:hanging="54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项目名称或服</w:t>
            </w:r>
            <w:r>
              <w:rPr>
                <w:color w:val="000000" w:themeColor="text1"/>
                <w:spacing w:val="-3"/>
                <w:highlight w:val="none"/>
                <w14:textFill>
                  <w14:solidFill>
                    <w14:schemeClr w14:val="tx1"/>
                  </w14:solidFill>
                </w14:textFill>
              </w:rPr>
              <w:t>务内容</w:t>
            </w:r>
          </w:p>
        </w:tc>
        <w:tc>
          <w:tcPr>
            <w:tcW w:w="2012" w:type="dxa"/>
            <w:vAlign w:val="top"/>
          </w:tcPr>
          <w:p w14:paraId="405A6163">
            <w:pPr>
              <w:pStyle w:val="154"/>
              <w:shd w:val="clear"/>
              <w:spacing w:before="71" w:line="249" w:lineRule="auto"/>
              <w:ind w:left="138" w:right="126" w:firstLine="54"/>
              <w:rPr>
                <w:rFonts w:ascii="Arial"/>
                <w:color w:val="000000" w:themeColor="text1"/>
                <w:sz w:val="21"/>
                <w:highlight w:val="none"/>
                <w14:textFill>
                  <w14:solidFill>
                    <w14:schemeClr w14:val="tx1"/>
                  </w14:solidFill>
                </w14:textFill>
              </w:rPr>
            </w:pPr>
          </w:p>
          <w:p w14:paraId="6D1C8F34">
            <w:pPr>
              <w:pStyle w:val="154"/>
              <w:shd w:val="clear"/>
              <w:spacing w:before="71" w:line="249" w:lineRule="auto"/>
              <w:ind w:left="138" w:right="126" w:firstLine="54"/>
              <w:rPr>
                <w:rFonts w:ascii="Arial"/>
                <w:color w:val="000000" w:themeColor="text1"/>
                <w:sz w:val="21"/>
                <w:highlight w:val="none"/>
                <w14:textFill>
                  <w14:solidFill>
                    <w14:schemeClr w14:val="tx1"/>
                  </w14:solidFill>
                </w14:textFill>
              </w:rPr>
            </w:pPr>
          </w:p>
          <w:p w14:paraId="76A31119">
            <w:pPr>
              <w:pStyle w:val="154"/>
              <w:shd w:val="clear"/>
              <w:spacing w:before="71" w:line="249" w:lineRule="auto"/>
              <w:ind w:left="138" w:right="126" w:firstLine="5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服务周期或</w:t>
            </w:r>
            <w:r>
              <w:rPr>
                <w:color w:val="000000" w:themeColor="text1"/>
                <w:spacing w:val="-4"/>
                <w:highlight w:val="none"/>
                <w14:textFill>
                  <w14:solidFill>
                    <w14:schemeClr w14:val="tx1"/>
                  </w14:solidFill>
                </w14:textFill>
              </w:rPr>
              <w:t>时间</w:t>
            </w:r>
            <w:r>
              <w:rPr>
                <w:rFonts w:hint="eastAsia"/>
                <w:color w:val="000000" w:themeColor="text1"/>
                <w:spacing w:val="-4"/>
                <w:highlight w:val="none"/>
                <w:lang w:eastAsia="zh-CN"/>
                <w14:textFill>
                  <w14:solidFill>
                    <w14:schemeClr w14:val="tx1"/>
                  </w14:solidFill>
                </w14:textFill>
              </w:rPr>
              <w:t>（</w:t>
            </w:r>
            <w:r>
              <w:rPr>
                <w:color w:val="000000" w:themeColor="text1"/>
                <w:spacing w:val="-4"/>
                <w:highlight w:val="none"/>
                <w14:textFill>
                  <w14:solidFill>
                    <w14:schemeClr w14:val="tx1"/>
                  </w14:solidFill>
                </w14:textFill>
              </w:rPr>
              <w:t>年/</w:t>
            </w:r>
            <w:r>
              <w:rPr>
                <w:color w:val="000000" w:themeColor="text1"/>
                <w:spacing w:val="-7"/>
                <w:highlight w:val="none"/>
                <w14:textFill>
                  <w14:solidFill>
                    <w14:schemeClr w14:val="tx1"/>
                  </w14:solidFill>
                </w14:textFill>
              </w:rPr>
              <w:t>月</w:t>
            </w:r>
            <w:r>
              <w:rPr>
                <w:rFonts w:hint="eastAsia"/>
                <w:color w:val="000000" w:themeColor="text1"/>
                <w:spacing w:val="-7"/>
                <w:highlight w:val="none"/>
                <w:lang w:eastAsia="zh-CN"/>
                <w14:textFill>
                  <w14:solidFill>
                    <w14:schemeClr w14:val="tx1"/>
                  </w14:solidFill>
                </w14:textFill>
              </w:rPr>
              <w:t>）</w:t>
            </w:r>
          </w:p>
        </w:tc>
        <w:tc>
          <w:tcPr>
            <w:tcW w:w="1762" w:type="dxa"/>
            <w:vAlign w:val="top"/>
          </w:tcPr>
          <w:p w14:paraId="6A1D02F3">
            <w:pPr>
              <w:shd w:val="clear"/>
              <w:spacing w:line="249" w:lineRule="auto"/>
              <w:rPr>
                <w:rFonts w:ascii="Arial"/>
                <w:color w:val="000000" w:themeColor="text1"/>
                <w:sz w:val="21"/>
                <w:highlight w:val="none"/>
                <w14:textFill>
                  <w14:solidFill>
                    <w14:schemeClr w14:val="tx1"/>
                  </w14:solidFill>
                </w14:textFill>
              </w:rPr>
            </w:pPr>
          </w:p>
          <w:p w14:paraId="6035B867">
            <w:pPr>
              <w:shd w:val="clear"/>
              <w:spacing w:line="250" w:lineRule="auto"/>
              <w:rPr>
                <w:rFonts w:ascii="Arial"/>
                <w:color w:val="000000" w:themeColor="text1"/>
                <w:sz w:val="21"/>
                <w:highlight w:val="none"/>
                <w14:textFill>
                  <w14:solidFill>
                    <w14:schemeClr w14:val="tx1"/>
                  </w14:solidFill>
                </w14:textFill>
              </w:rPr>
            </w:pPr>
          </w:p>
          <w:p w14:paraId="0340ECCE">
            <w:pPr>
              <w:shd w:val="clear"/>
              <w:spacing w:line="250" w:lineRule="auto"/>
              <w:rPr>
                <w:rFonts w:ascii="Arial"/>
                <w:color w:val="000000" w:themeColor="text1"/>
                <w:sz w:val="21"/>
                <w:highlight w:val="none"/>
                <w14:textFill>
                  <w14:solidFill>
                    <w14:schemeClr w14:val="tx1"/>
                  </w14:solidFill>
                </w14:textFill>
              </w:rPr>
            </w:pPr>
          </w:p>
          <w:p w14:paraId="7A481078">
            <w:pPr>
              <w:pStyle w:val="154"/>
              <w:shd w:val="clear"/>
              <w:spacing w:before="72" w:line="219" w:lineRule="auto"/>
              <w:ind w:left="13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合同总价</w:t>
            </w:r>
            <w:r>
              <w:rPr>
                <w:rFonts w:hint="eastAsia"/>
                <w:color w:val="000000" w:themeColor="text1"/>
                <w:spacing w:val="-2"/>
                <w:highlight w:val="none"/>
                <w:lang w:eastAsia="zh-CN"/>
                <w14:textFill>
                  <w14:solidFill>
                    <w14:schemeClr w14:val="tx1"/>
                  </w14:solidFill>
                </w14:textFill>
              </w:rPr>
              <w:t>（</w:t>
            </w:r>
            <w:r>
              <w:rPr>
                <w:color w:val="000000" w:themeColor="text1"/>
                <w:spacing w:val="-2"/>
                <w:highlight w:val="none"/>
                <w14:textFill>
                  <w14:solidFill>
                    <w14:schemeClr w14:val="tx1"/>
                  </w14:solidFill>
                </w14:textFill>
              </w:rPr>
              <w:t>元</w:t>
            </w:r>
            <w:r>
              <w:rPr>
                <w:rFonts w:hint="eastAsia"/>
                <w:color w:val="000000" w:themeColor="text1"/>
                <w:spacing w:val="-2"/>
                <w:highlight w:val="none"/>
                <w:lang w:eastAsia="zh-CN"/>
                <w14:textFill>
                  <w14:solidFill>
                    <w14:schemeClr w14:val="tx1"/>
                  </w14:solidFill>
                </w14:textFill>
              </w:rPr>
              <w:t>）</w:t>
            </w:r>
          </w:p>
        </w:tc>
        <w:tc>
          <w:tcPr>
            <w:tcW w:w="2174" w:type="dxa"/>
            <w:vAlign w:val="top"/>
          </w:tcPr>
          <w:p w14:paraId="50532646">
            <w:pPr>
              <w:shd w:val="clear"/>
              <w:spacing w:line="289" w:lineRule="auto"/>
              <w:rPr>
                <w:rFonts w:ascii="Arial"/>
                <w:color w:val="000000" w:themeColor="text1"/>
                <w:sz w:val="21"/>
                <w:highlight w:val="none"/>
                <w14:textFill>
                  <w14:solidFill>
                    <w14:schemeClr w14:val="tx1"/>
                  </w14:solidFill>
                </w14:textFill>
              </w:rPr>
            </w:pPr>
          </w:p>
          <w:p w14:paraId="1C976709">
            <w:pPr>
              <w:shd w:val="clear"/>
              <w:spacing w:line="289" w:lineRule="auto"/>
              <w:rPr>
                <w:rFonts w:ascii="Arial"/>
                <w:color w:val="000000" w:themeColor="text1"/>
                <w:sz w:val="21"/>
                <w:highlight w:val="none"/>
                <w14:textFill>
                  <w14:solidFill>
                    <w14:schemeClr w14:val="tx1"/>
                  </w14:solidFill>
                </w14:textFill>
              </w:rPr>
            </w:pPr>
          </w:p>
          <w:p w14:paraId="701292F5">
            <w:pPr>
              <w:pStyle w:val="154"/>
              <w:shd w:val="clear"/>
              <w:spacing w:before="72" w:line="259" w:lineRule="auto"/>
              <w:ind w:left="385" w:right="89" w:hanging="20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采购单位联系人</w:t>
            </w:r>
            <w:r>
              <w:rPr>
                <w:color w:val="000000" w:themeColor="text1"/>
                <w:spacing w:val="-2"/>
                <w:highlight w:val="none"/>
                <w14:textFill>
                  <w14:solidFill>
                    <w14:schemeClr w14:val="tx1"/>
                  </w14:solidFill>
                </w14:textFill>
              </w:rPr>
              <w:t>及联系电话</w:t>
            </w:r>
          </w:p>
        </w:tc>
      </w:tr>
      <w:tr w14:paraId="2AFD9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504" w:type="dxa"/>
            <w:vAlign w:val="top"/>
          </w:tcPr>
          <w:p w14:paraId="3EDA6379">
            <w:pPr>
              <w:shd w:val="clear"/>
              <w:rPr>
                <w:rFonts w:ascii="Arial"/>
                <w:color w:val="000000" w:themeColor="text1"/>
                <w:sz w:val="21"/>
                <w:highlight w:val="none"/>
                <w14:textFill>
                  <w14:solidFill>
                    <w14:schemeClr w14:val="tx1"/>
                  </w14:solidFill>
                </w14:textFill>
              </w:rPr>
            </w:pPr>
          </w:p>
        </w:tc>
        <w:tc>
          <w:tcPr>
            <w:tcW w:w="2045" w:type="dxa"/>
            <w:vAlign w:val="top"/>
          </w:tcPr>
          <w:p w14:paraId="1F0D4008">
            <w:pPr>
              <w:shd w:val="clear"/>
              <w:rPr>
                <w:rFonts w:ascii="Arial"/>
                <w:color w:val="000000" w:themeColor="text1"/>
                <w:sz w:val="21"/>
                <w:highlight w:val="none"/>
                <w14:textFill>
                  <w14:solidFill>
                    <w14:schemeClr w14:val="tx1"/>
                  </w14:solidFill>
                </w14:textFill>
              </w:rPr>
            </w:pPr>
          </w:p>
        </w:tc>
        <w:tc>
          <w:tcPr>
            <w:tcW w:w="2012" w:type="dxa"/>
            <w:vAlign w:val="top"/>
          </w:tcPr>
          <w:p w14:paraId="5B86A10D">
            <w:pPr>
              <w:shd w:val="clear"/>
              <w:rPr>
                <w:rFonts w:ascii="Arial"/>
                <w:color w:val="000000" w:themeColor="text1"/>
                <w:sz w:val="21"/>
                <w:highlight w:val="none"/>
                <w14:textFill>
                  <w14:solidFill>
                    <w14:schemeClr w14:val="tx1"/>
                  </w14:solidFill>
                </w14:textFill>
              </w:rPr>
            </w:pPr>
          </w:p>
        </w:tc>
        <w:tc>
          <w:tcPr>
            <w:tcW w:w="1762" w:type="dxa"/>
            <w:vAlign w:val="top"/>
          </w:tcPr>
          <w:p w14:paraId="5BBC4979">
            <w:pPr>
              <w:shd w:val="clear"/>
              <w:rPr>
                <w:rFonts w:ascii="Arial"/>
                <w:color w:val="000000" w:themeColor="text1"/>
                <w:sz w:val="21"/>
                <w:highlight w:val="none"/>
                <w14:textFill>
                  <w14:solidFill>
                    <w14:schemeClr w14:val="tx1"/>
                  </w14:solidFill>
                </w14:textFill>
              </w:rPr>
            </w:pPr>
          </w:p>
        </w:tc>
        <w:tc>
          <w:tcPr>
            <w:tcW w:w="2174" w:type="dxa"/>
            <w:vAlign w:val="top"/>
          </w:tcPr>
          <w:p w14:paraId="07C254BC">
            <w:pPr>
              <w:shd w:val="clear"/>
              <w:rPr>
                <w:rFonts w:ascii="Arial"/>
                <w:color w:val="000000" w:themeColor="text1"/>
                <w:sz w:val="21"/>
                <w:highlight w:val="none"/>
                <w14:textFill>
                  <w14:solidFill>
                    <w14:schemeClr w14:val="tx1"/>
                  </w14:solidFill>
                </w14:textFill>
              </w:rPr>
            </w:pPr>
          </w:p>
        </w:tc>
      </w:tr>
      <w:tr w14:paraId="059D7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504" w:type="dxa"/>
            <w:vAlign w:val="top"/>
          </w:tcPr>
          <w:p w14:paraId="6F205892">
            <w:pPr>
              <w:shd w:val="clear"/>
              <w:rPr>
                <w:rFonts w:ascii="Arial"/>
                <w:color w:val="000000" w:themeColor="text1"/>
                <w:sz w:val="21"/>
                <w:highlight w:val="none"/>
                <w14:textFill>
                  <w14:solidFill>
                    <w14:schemeClr w14:val="tx1"/>
                  </w14:solidFill>
                </w14:textFill>
              </w:rPr>
            </w:pPr>
          </w:p>
        </w:tc>
        <w:tc>
          <w:tcPr>
            <w:tcW w:w="2045" w:type="dxa"/>
            <w:vAlign w:val="top"/>
          </w:tcPr>
          <w:p w14:paraId="0558E87B">
            <w:pPr>
              <w:shd w:val="clear"/>
              <w:rPr>
                <w:rFonts w:ascii="Arial"/>
                <w:color w:val="000000" w:themeColor="text1"/>
                <w:sz w:val="21"/>
                <w:highlight w:val="none"/>
                <w14:textFill>
                  <w14:solidFill>
                    <w14:schemeClr w14:val="tx1"/>
                  </w14:solidFill>
                </w14:textFill>
              </w:rPr>
            </w:pPr>
          </w:p>
        </w:tc>
        <w:tc>
          <w:tcPr>
            <w:tcW w:w="2012" w:type="dxa"/>
            <w:vAlign w:val="top"/>
          </w:tcPr>
          <w:p w14:paraId="19C7F904">
            <w:pPr>
              <w:shd w:val="clear"/>
              <w:rPr>
                <w:rFonts w:ascii="Arial"/>
                <w:color w:val="000000" w:themeColor="text1"/>
                <w:sz w:val="21"/>
                <w:highlight w:val="none"/>
                <w14:textFill>
                  <w14:solidFill>
                    <w14:schemeClr w14:val="tx1"/>
                  </w14:solidFill>
                </w14:textFill>
              </w:rPr>
            </w:pPr>
          </w:p>
        </w:tc>
        <w:tc>
          <w:tcPr>
            <w:tcW w:w="1762" w:type="dxa"/>
            <w:vAlign w:val="top"/>
          </w:tcPr>
          <w:p w14:paraId="5AFBEFEF">
            <w:pPr>
              <w:shd w:val="clear"/>
              <w:rPr>
                <w:rFonts w:ascii="Arial"/>
                <w:color w:val="000000" w:themeColor="text1"/>
                <w:sz w:val="21"/>
                <w:highlight w:val="none"/>
                <w14:textFill>
                  <w14:solidFill>
                    <w14:schemeClr w14:val="tx1"/>
                  </w14:solidFill>
                </w14:textFill>
              </w:rPr>
            </w:pPr>
          </w:p>
        </w:tc>
        <w:tc>
          <w:tcPr>
            <w:tcW w:w="2174" w:type="dxa"/>
            <w:vAlign w:val="top"/>
          </w:tcPr>
          <w:p w14:paraId="007498FE">
            <w:pPr>
              <w:shd w:val="clear"/>
              <w:rPr>
                <w:rFonts w:ascii="Arial"/>
                <w:color w:val="000000" w:themeColor="text1"/>
                <w:sz w:val="21"/>
                <w:highlight w:val="none"/>
                <w14:textFill>
                  <w14:solidFill>
                    <w14:schemeClr w14:val="tx1"/>
                  </w14:solidFill>
                </w14:textFill>
              </w:rPr>
            </w:pPr>
          </w:p>
        </w:tc>
      </w:tr>
      <w:tr w14:paraId="41BB8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504" w:type="dxa"/>
            <w:vAlign w:val="top"/>
          </w:tcPr>
          <w:p w14:paraId="7FB19F02">
            <w:pPr>
              <w:shd w:val="clear"/>
              <w:rPr>
                <w:rFonts w:ascii="Arial"/>
                <w:color w:val="000000" w:themeColor="text1"/>
                <w:sz w:val="21"/>
                <w:highlight w:val="none"/>
                <w14:textFill>
                  <w14:solidFill>
                    <w14:schemeClr w14:val="tx1"/>
                  </w14:solidFill>
                </w14:textFill>
              </w:rPr>
            </w:pPr>
          </w:p>
        </w:tc>
        <w:tc>
          <w:tcPr>
            <w:tcW w:w="2045" w:type="dxa"/>
            <w:vAlign w:val="top"/>
          </w:tcPr>
          <w:p w14:paraId="48BC7911">
            <w:pPr>
              <w:shd w:val="clear"/>
              <w:rPr>
                <w:rFonts w:ascii="Arial"/>
                <w:color w:val="000000" w:themeColor="text1"/>
                <w:sz w:val="21"/>
                <w:highlight w:val="none"/>
                <w14:textFill>
                  <w14:solidFill>
                    <w14:schemeClr w14:val="tx1"/>
                  </w14:solidFill>
                </w14:textFill>
              </w:rPr>
            </w:pPr>
          </w:p>
        </w:tc>
        <w:tc>
          <w:tcPr>
            <w:tcW w:w="2012" w:type="dxa"/>
            <w:vAlign w:val="top"/>
          </w:tcPr>
          <w:p w14:paraId="49812978">
            <w:pPr>
              <w:shd w:val="clear"/>
              <w:rPr>
                <w:rFonts w:ascii="Arial"/>
                <w:color w:val="000000" w:themeColor="text1"/>
                <w:sz w:val="21"/>
                <w:highlight w:val="none"/>
                <w14:textFill>
                  <w14:solidFill>
                    <w14:schemeClr w14:val="tx1"/>
                  </w14:solidFill>
                </w14:textFill>
              </w:rPr>
            </w:pPr>
          </w:p>
        </w:tc>
        <w:tc>
          <w:tcPr>
            <w:tcW w:w="1762" w:type="dxa"/>
            <w:vAlign w:val="top"/>
          </w:tcPr>
          <w:p w14:paraId="6F96659B">
            <w:pPr>
              <w:shd w:val="clear"/>
              <w:rPr>
                <w:rFonts w:ascii="Arial"/>
                <w:color w:val="000000" w:themeColor="text1"/>
                <w:sz w:val="21"/>
                <w:highlight w:val="none"/>
                <w14:textFill>
                  <w14:solidFill>
                    <w14:schemeClr w14:val="tx1"/>
                  </w14:solidFill>
                </w14:textFill>
              </w:rPr>
            </w:pPr>
          </w:p>
        </w:tc>
        <w:tc>
          <w:tcPr>
            <w:tcW w:w="2174" w:type="dxa"/>
            <w:vAlign w:val="top"/>
          </w:tcPr>
          <w:p w14:paraId="3BEDEEEC">
            <w:pPr>
              <w:shd w:val="clear"/>
              <w:rPr>
                <w:rFonts w:ascii="Arial"/>
                <w:color w:val="000000" w:themeColor="text1"/>
                <w:sz w:val="21"/>
                <w:highlight w:val="none"/>
                <w14:textFill>
                  <w14:solidFill>
                    <w14:schemeClr w14:val="tx1"/>
                  </w14:solidFill>
                </w14:textFill>
              </w:rPr>
            </w:pPr>
          </w:p>
        </w:tc>
      </w:tr>
      <w:tr w14:paraId="01BD2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504" w:type="dxa"/>
            <w:vAlign w:val="top"/>
          </w:tcPr>
          <w:p w14:paraId="749BF357">
            <w:pPr>
              <w:shd w:val="clear"/>
              <w:rPr>
                <w:rFonts w:ascii="Arial"/>
                <w:color w:val="000000" w:themeColor="text1"/>
                <w:sz w:val="21"/>
                <w:highlight w:val="none"/>
                <w14:textFill>
                  <w14:solidFill>
                    <w14:schemeClr w14:val="tx1"/>
                  </w14:solidFill>
                </w14:textFill>
              </w:rPr>
            </w:pPr>
          </w:p>
        </w:tc>
        <w:tc>
          <w:tcPr>
            <w:tcW w:w="2045" w:type="dxa"/>
            <w:vAlign w:val="top"/>
          </w:tcPr>
          <w:p w14:paraId="45537647">
            <w:pPr>
              <w:shd w:val="clear"/>
              <w:rPr>
                <w:rFonts w:ascii="Arial"/>
                <w:color w:val="000000" w:themeColor="text1"/>
                <w:sz w:val="21"/>
                <w:highlight w:val="none"/>
                <w14:textFill>
                  <w14:solidFill>
                    <w14:schemeClr w14:val="tx1"/>
                  </w14:solidFill>
                </w14:textFill>
              </w:rPr>
            </w:pPr>
          </w:p>
        </w:tc>
        <w:tc>
          <w:tcPr>
            <w:tcW w:w="2012" w:type="dxa"/>
            <w:vAlign w:val="top"/>
          </w:tcPr>
          <w:p w14:paraId="7C275A89">
            <w:pPr>
              <w:shd w:val="clear"/>
              <w:rPr>
                <w:rFonts w:ascii="Arial"/>
                <w:color w:val="000000" w:themeColor="text1"/>
                <w:sz w:val="21"/>
                <w:highlight w:val="none"/>
                <w14:textFill>
                  <w14:solidFill>
                    <w14:schemeClr w14:val="tx1"/>
                  </w14:solidFill>
                </w14:textFill>
              </w:rPr>
            </w:pPr>
          </w:p>
        </w:tc>
        <w:tc>
          <w:tcPr>
            <w:tcW w:w="1762" w:type="dxa"/>
            <w:vAlign w:val="top"/>
          </w:tcPr>
          <w:p w14:paraId="70870BB1">
            <w:pPr>
              <w:shd w:val="clear"/>
              <w:rPr>
                <w:rFonts w:ascii="Arial"/>
                <w:color w:val="000000" w:themeColor="text1"/>
                <w:sz w:val="21"/>
                <w:highlight w:val="none"/>
                <w14:textFill>
                  <w14:solidFill>
                    <w14:schemeClr w14:val="tx1"/>
                  </w14:solidFill>
                </w14:textFill>
              </w:rPr>
            </w:pPr>
          </w:p>
        </w:tc>
        <w:tc>
          <w:tcPr>
            <w:tcW w:w="2174" w:type="dxa"/>
            <w:vAlign w:val="top"/>
          </w:tcPr>
          <w:p w14:paraId="20DA7A7D">
            <w:pPr>
              <w:shd w:val="clear"/>
              <w:rPr>
                <w:rFonts w:ascii="Arial"/>
                <w:color w:val="000000" w:themeColor="text1"/>
                <w:sz w:val="21"/>
                <w:highlight w:val="none"/>
                <w14:textFill>
                  <w14:solidFill>
                    <w14:schemeClr w14:val="tx1"/>
                  </w14:solidFill>
                </w14:textFill>
              </w:rPr>
            </w:pPr>
          </w:p>
        </w:tc>
      </w:tr>
      <w:tr w14:paraId="5154E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04" w:type="dxa"/>
            <w:vAlign w:val="top"/>
          </w:tcPr>
          <w:p w14:paraId="34C33298">
            <w:pPr>
              <w:shd w:val="clear"/>
              <w:rPr>
                <w:rFonts w:ascii="Arial"/>
                <w:color w:val="000000" w:themeColor="text1"/>
                <w:sz w:val="21"/>
                <w:highlight w:val="none"/>
                <w14:textFill>
                  <w14:solidFill>
                    <w14:schemeClr w14:val="tx1"/>
                  </w14:solidFill>
                </w14:textFill>
              </w:rPr>
            </w:pPr>
          </w:p>
        </w:tc>
        <w:tc>
          <w:tcPr>
            <w:tcW w:w="2045" w:type="dxa"/>
            <w:vAlign w:val="top"/>
          </w:tcPr>
          <w:p w14:paraId="0A7120DA">
            <w:pPr>
              <w:shd w:val="clear"/>
              <w:rPr>
                <w:rFonts w:ascii="Arial"/>
                <w:color w:val="000000" w:themeColor="text1"/>
                <w:sz w:val="21"/>
                <w:highlight w:val="none"/>
                <w14:textFill>
                  <w14:solidFill>
                    <w14:schemeClr w14:val="tx1"/>
                  </w14:solidFill>
                </w14:textFill>
              </w:rPr>
            </w:pPr>
          </w:p>
        </w:tc>
        <w:tc>
          <w:tcPr>
            <w:tcW w:w="2012" w:type="dxa"/>
            <w:vAlign w:val="top"/>
          </w:tcPr>
          <w:p w14:paraId="3582B93B">
            <w:pPr>
              <w:shd w:val="clear"/>
              <w:rPr>
                <w:rFonts w:ascii="Arial"/>
                <w:color w:val="000000" w:themeColor="text1"/>
                <w:sz w:val="21"/>
                <w:highlight w:val="none"/>
                <w14:textFill>
                  <w14:solidFill>
                    <w14:schemeClr w14:val="tx1"/>
                  </w14:solidFill>
                </w14:textFill>
              </w:rPr>
            </w:pPr>
          </w:p>
        </w:tc>
        <w:tc>
          <w:tcPr>
            <w:tcW w:w="1762" w:type="dxa"/>
            <w:vAlign w:val="top"/>
          </w:tcPr>
          <w:p w14:paraId="461C759C">
            <w:pPr>
              <w:shd w:val="clear"/>
              <w:rPr>
                <w:rFonts w:ascii="Arial"/>
                <w:color w:val="000000" w:themeColor="text1"/>
                <w:sz w:val="21"/>
                <w:highlight w:val="none"/>
                <w14:textFill>
                  <w14:solidFill>
                    <w14:schemeClr w14:val="tx1"/>
                  </w14:solidFill>
                </w14:textFill>
              </w:rPr>
            </w:pPr>
          </w:p>
        </w:tc>
        <w:tc>
          <w:tcPr>
            <w:tcW w:w="2174" w:type="dxa"/>
            <w:vAlign w:val="top"/>
          </w:tcPr>
          <w:p w14:paraId="315F5B69">
            <w:pPr>
              <w:shd w:val="clear"/>
              <w:rPr>
                <w:rFonts w:ascii="Arial"/>
                <w:color w:val="000000" w:themeColor="text1"/>
                <w:sz w:val="21"/>
                <w:highlight w:val="none"/>
                <w14:textFill>
                  <w14:solidFill>
                    <w14:schemeClr w14:val="tx1"/>
                  </w14:solidFill>
                </w14:textFill>
              </w:rPr>
            </w:pPr>
          </w:p>
        </w:tc>
      </w:tr>
    </w:tbl>
    <w:p w14:paraId="2AE4B9B5">
      <w:pPr>
        <w:shd w:val="clear"/>
        <w:spacing w:before="235" w:line="225" w:lineRule="auto"/>
        <w:ind w:left="130"/>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4"/>
          <w:sz w:val="22"/>
          <w:szCs w:val="22"/>
          <w:highlight w:val="none"/>
          <w14:textFill>
            <w14:solidFill>
              <w14:schemeClr w14:val="tx1"/>
            </w14:solidFill>
          </w14:textFill>
        </w:rPr>
        <w:t>注：</w:t>
      </w:r>
    </w:p>
    <w:p w14:paraId="5615ABA8">
      <w:pPr>
        <w:shd w:val="clear"/>
        <w:spacing w:before="243" w:line="516" w:lineRule="exact"/>
        <w:ind w:left="172"/>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1"/>
          <w:position w:val="22"/>
          <w:sz w:val="18"/>
          <w:szCs w:val="18"/>
          <w:highlight w:val="none"/>
          <w:lang w:eastAsia="zh-CN"/>
          <w14:textFill>
            <w14:solidFill>
              <w14:schemeClr w14:val="tx1"/>
            </w14:solidFill>
          </w14:textFill>
        </w:rPr>
        <w:t>（</w:t>
      </w:r>
      <w:r>
        <w:rPr>
          <w:rFonts w:ascii="宋体" w:hAnsi="宋体" w:eastAsia="宋体" w:cs="宋体"/>
          <w:color w:val="000000" w:themeColor="text1"/>
          <w:spacing w:val="-1"/>
          <w:position w:val="22"/>
          <w:sz w:val="18"/>
          <w:szCs w:val="18"/>
          <w:highlight w:val="none"/>
          <w14:textFill>
            <w14:solidFill>
              <w14:schemeClr w14:val="tx1"/>
            </w14:solidFill>
          </w14:textFill>
        </w:rPr>
        <w:t>1</w:t>
      </w:r>
      <w:r>
        <w:rPr>
          <w:rFonts w:hint="eastAsia" w:ascii="宋体" w:hAnsi="宋体" w:cs="宋体"/>
          <w:color w:val="000000" w:themeColor="text1"/>
          <w:spacing w:val="-1"/>
          <w:position w:val="22"/>
          <w:sz w:val="18"/>
          <w:szCs w:val="18"/>
          <w:highlight w:val="none"/>
          <w:lang w:eastAsia="zh-CN"/>
          <w14:textFill>
            <w14:solidFill>
              <w14:schemeClr w14:val="tx1"/>
            </w14:solidFill>
          </w14:textFill>
        </w:rPr>
        <w:t>）</w:t>
      </w:r>
      <w:r>
        <w:rPr>
          <w:rFonts w:ascii="宋体" w:hAnsi="宋体" w:eastAsia="宋体" w:cs="宋体"/>
          <w:color w:val="000000" w:themeColor="text1"/>
          <w:spacing w:val="-1"/>
          <w:position w:val="22"/>
          <w:sz w:val="22"/>
          <w:szCs w:val="22"/>
          <w:highlight w:val="none"/>
          <w14:textFill>
            <w14:solidFill>
              <w14:schemeClr w14:val="tx1"/>
            </w14:solidFill>
          </w14:textFill>
        </w:rPr>
        <w:t>未附证明材料的业绩无效，证明材料见第四章《评审方法及标准》规定。</w:t>
      </w:r>
    </w:p>
    <w:p w14:paraId="2B774B67">
      <w:pPr>
        <w:shd w:val="clear"/>
        <w:spacing w:line="220" w:lineRule="auto"/>
        <w:ind w:left="172"/>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1"/>
          <w:sz w:val="18"/>
          <w:szCs w:val="18"/>
          <w:highlight w:val="none"/>
          <w:lang w:eastAsia="zh-CN"/>
          <w14:textFill>
            <w14:solidFill>
              <w14:schemeClr w14:val="tx1"/>
            </w14:solidFill>
          </w14:textFill>
        </w:rPr>
        <w:t>（</w:t>
      </w:r>
      <w:r>
        <w:rPr>
          <w:rFonts w:ascii="宋体" w:hAnsi="宋体" w:eastAsia="宋体" w:cs="宋体"/>
          <w:color w:val="000000" w:themeColor="text1"/>
          <w:spacing w:val="-1"/>
          <w:sz w:val="18"/>
          <w:szCs w:val="18"/>
          <w:highlight w:val="none"/>
          <w14:textFill>
            <w14:solidFill>
              <w14:schemeClr w14:val="tx1"/>
            </w14:solidFill>
          </w14:textFill>
        </w:rPr>
        <w:t>2</w:t>
      </w:r>
      <w:r>
        <w:rPr>
          <w:rFonts w:hint="eastAsia" w:ascii="宋体" w:hAnsi="宋体" w:cs="宋体"/>
          <w:color w:val="000000" w:themeColor="text1"/>
          <w:spacing w:val="-1"/>
          <w:sz w:val="18"/>
          <w:szCs w:val="18"/>
          <w:highlight w:val="none"/>
          <w:lang w:eastAsia="zh-CN"/>
          <w14:textFill>
            <w14:solidFill>
              <w14:schemeClr w14:val="tx1"/>
            </w14:solidFill>
          </w14:textFill>
        </w:rPr>
        <w:t>）</w:t>
      </w:r>
      <w:r>
        <w:rPr>
          <w:rFonts w:ascii="宋体" w:hAnsi="宋体" w:eastAsia="宋体" w:cs="宋体"/>
          <w:color w:val="000000" w:themeColor="text1"/>
          <w:spacing w:val="-1"/>
          <w:sz w:val="22"/>
          <w:szCs w:val="22"/>
          <w:highlight w:val="none"/>
          <w14:textFill>
            <w14:solidFill>
              <w14:schemeClr w14:val="tx1"/>
            </w14:solidFill>
          </w14:textFill>
        </w:rPr>
        <w:t>类似项目的定义见第四章《评审方法及标准》规</w:t>
      </w:r>
      <w:r>
        <w:rPr>
          <w:rFonts w:ascii="宋体" w:hAnsi="宋体" w:eastAsia="宋体" w:cs="宋体"/>
          <w:color w:val="000000" w:themeColor="text1"/>
          <w:spacing w:val="-2"/>
          <w:sz w:val="22"/>
          <w:szCs w:val="22"/>
          <w:highlight w:val="none"/>
          <w14:textFill>
            <w14:solidFill>
              <w14:schemeClr w14:val="tx1"/>
            </w14:solidFill>
          </w14:textFill>
        </w:rPr>
        <w:t>定。</w:t>
      </w:r>
    </w:p>
    <w:p w14:paraId="10B192EA">
      <w:pPr>
        <w:shd w:val="clear"/>
        <w:spacing w:before="249" w:line="220" w:lineRule="auto"/>
        <w:ind w:left="173"/>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5"/>
          <w:sz w:val="22"/>
          <w:szCs w:val="22"/>
          <w:highlight w:val="none"/>
          <w:lang w:eastAsia="zh-CN"/>
          <w14:textFill>
            <w14:solidFill>
              <w14:schemeClr w14:val="tx1"/>
            </w14:solidFill>
          </w14:textFill>
        </w:rPr>
        <w:t>（</w:t>
      </w:r>
      <w:r>
        <w:rPr>
          <w:rFonts w:ascii="宋体" w:hAnsi="宋体" w:eastAsia="宋体" w:cs="宋体"/>
          <w:color w:val="000000" w:themeColor="text1"/>
          <w:spacing w:val="-5"/>
          <w:sz w:val="22"/>
          <w:szCs w:val="22"/>
          <w:highlight w:val="none"/>
          <w14:textFill>
            <w14:solidFill>
              <w14:schemeClr w14:val="tx1"/>
            </w14:solidFill>
          </w14:textFill>
        </w:rPr>
        <w:t>3</w:t>
      </w:r>
      <w:r>
        <w:rPr>
          <w:rFonts w:hint="eastAsia" w:ascii="宋体" w:hAnsi="宋体" w:cs="宋体"/>
          <w:color w:val="000000" w:themeColor="text1"/>
          <w:spacing w:val="-5"/>
          <w:sz w:val="22"/>
          <w:szCs w:val="22"/>
          <w:highlight w:val="none"/>
          <w:lang w:eastAsia="zh-CN"/>
          <w14:textFill>
            <w14:solidFill>
              <w14:schemeClr w14:val="tx1"/>
            </w14:solidFill>
          </w14:textFill>
        </w:rPr>
        <w:t>）</w:t>
      </w:r>
      <w:r>
        <w:rPr>
          <w:rFonts w:ascii="宋体" w:hAnsi="宋体" w:eastAsia="宋体" w:cs="宋体"/>
          <w:color w:val="000000" w:themeColor="text1"/>
          <w:spacing w:val="-5"/>
          <w:sz w:val="22"/>
          <w:szCs w:val="22"/>
          <w:highlight w:val="none"/>
          <w14:textFill>
            <w14:solidFill>
              <w14:schemeClr w14:val="tx1"/>
            </w14:solidFill>
          </w14:textFill>
        </w:rPr>
        <w:t>本表可拓展。</w:t>
      </w:r>
    </w:p>
    <w:p w14:paraId="568684C4">
      <w:pPr>
        <w:pStyle w:val="19"/>
        <w:shd w:val="clear"/>
        <w:spacing w:line="469" w:lineRule="auto"/>
        <w:rPr>
          <w:color w:val="000000" w:themeColor="text1"/>
          <w:highlight w:val="none"/>
          <w14:textFill>
            <w14:solidFill>
              <w14:schemeClr w14:val="tx1"/>
            </w14:solidFill>
          </w14:textFill>
        </w:rPr>
      </w:pPr>
    </w:p>
    <w:p w14:paraId="07C80825">
      <w:pPr>
        <w:shd w:val="clear"/>
        <w:spacing w:before="72" w:line="398" w:lineRule="exact"/>
        <w:ind w:left="130"/>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position w:val="13"/>
          <w:sz w:val="22"/>
          <w:szCs w:val="22"/>
          <w:highlight w:val="none"/>
          <w14:textFill>
            <w14:solidFill>
              <w14:schemeClr w14:val="tx1"/>
            </w14:solidFill>
          </w14:textFill>
        </w:rPr>
        <w:t>供应商名称</w:t>
      </w:r>
      <w:r>
        <w:rPr>
          <w:rFonts w:hint="eastAsia" w:ascii="宋体" w:hAnsi="宋体" w:cs="宋体"/>
          <w:color w:val="000000" w:themeColor="text1"/>
          <w:spacing w:val="-1"/>
          <w:position w:val="13"/>
          <w:sz w:val="22"/>
          <w:szCs w:val="22"/>
          <w:highlight w:val="none"/>
          <w:lang w:eastAsia="zh-CN"/>
          <w14:textFill>
            <w14:solidFill>
              <w14:schemeClr w14:val="tx1"/>
            </w14:solidFill>
          </w14:textFill>
        </w:rPr>
        <w:t>（</w:t>
      </w:r>
      <w:r>
        <w:rPr>
          <w:rFonts w:ascii="宋体" w:hAnsi="宋体" w:eastAsia="宋体" w:cs="宋体"/>
          <w:color w:val="000000" w:themeColor="text1"/>
          <w:spacing w:val="-1"/>
          <w:position w:val="13"/>
          <w:sz w:val="22"/>
          <w:szCs w:val="22"/>
          <w:highlight w:val="none"/>
          <w14:textFill>
            <w14:solidFill>
              <w14:schemeClr w14:val="tx1"/>
            </w14:solidFill>
          </w14:textFill>
        </w:rPr>
        <w:t>电子签章</w:t>
      </w:r>
      <w:r>
        <w:rPr>
          <w:rFonts w:hint="eastAsia" w:ascii="宋体" w:hAnsi="宋体" w:cs="宋体"/>
          <w:color w:val="000000" w:themeColor="text1"/>
          <w:spacing w:val="-1"/>
          <w:position w:val="13"/>
          <w:sz w:val="22"/>
          <w:szCs w:val="22"/>
          <w:highlight w:val="none"/>
          <w:lang w:eastAsia="zh-CN"/>
          <w14:textFill>
            <w14:solidFill>
              <w14:schemeClr w14:val="tx1"/>
            </w14:solidFill>
          </w14:textFill>
        </w:rPr>
        <w:t>）</w:t>
      </w:r>
      <w:r>
        <w:rPr>
          <w:rFonts w:ascii="宋体" w:hAnsi="宋体" w:eastAsia="宋体" w:cs="宋体"/>
          <w:color w:val="000000" w:themeColor="text1"/>
          <w:spacing w:val="-1"/>
          <w:position w:val="13"/>
          <w:sz w:val="22"/>
          <w:szCs w:val="22"/>
          <w:highlight w:val="none"/>
          <w14:textFill>
            <w14:solidFill>
              <w14:schemeClr w14:val="tx1"/>
            </w14:solidFill>
          </w14:textFill>
        </w:rPr>
        <w:t>：</w:t>
      </w:r>
    </w:p>
    <w:p w14:paraId="01F21F26">
      <w:pPr>
        <w:shd w:val="clear"/>
        <w:spacing w:before="1" w:line="220" w:lineRule="auto"/>
        <w:ind w:left="459"/>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8"/>
          <w:sz w:val="22"/>
          <w:szCs w:val="22"/>
          <w:highlight w:val="none"/>
          <w14:textFill>
            <w14:solidFill>
              <w14:schemeClr w14:val="tx1"/>
            </w14:solidFill>
          </w14:textFill>
        </w:rPr>
        <w:t>年</w:t>
      </w:r>
      <w:r>
        <w:rPr>
          <w:rFonts w:ascii="宋体" w:hAnsi="宋体" w:eastAsia="宋体" w:cs="宋体"/>
          <w:color w:val="000000" w:themeColor="text1"/>
          <w:spacing w:val="8"/>
          <w:sz w:val="22"/>
          <w:szCs w:val="22"/>
          <w:highlight w:val="none"/>
          <w14:textFill>
            <w14:solidFill>
              <w14:schemeClr w14:val="tx1"/>
            </w14:solidFill>
          </w14:textFill>
        </w:rPr>
        <w:t xml:space="preserve">  </w:t>
      </w:r>
      <w:r>
        <w:rPr>
          <w:rFonts w:ascii="宋体" w:hAnsi="宋体" w:eastAsia="宋体" w:cs="宋体"/>
          <w:color w:val="000000" w:themeColor="text1"/>
          <w:spacing w:val="-8"/>
          <w:sz w:val="22"/>
          <w:szCs w:val="22"/>
          <w:highlight w:val="none"/>
          <w14:textFill>
            <w14:solidFill>
              <w14:schemeClr w14:val="tx1"/>
            </w14:solidFill>
          </w14:textFill>
        </w:rPr>
        <w:t>月</w:t>
      </w:r>
      <w:r>
        <w:rPr>
          <w:rFonts w:ascii="宋体" w:hAnsi="宋体" w:eastAsia="宋体" w:cs="宋体"/>
          <w:color w:val="000000" w:themeColor="text1"/>
          <w:spacing w:val="22"/>
          <w:sz w:val="22"/>
          <w:szCs w:val="22"/>
          <w:highlight w:val="none"/>
          <w14:textFill>
            <w14:solidFill>
              <w14:schemeClr w14:val="tx1"/>
            </w14:solidFill>
          </w14:textFill>
        </w:rPr>
        <w:t xml:space="preserve">  </w:t>
      </w:r>
      <w:r>
        <w:rPr>
          <w:rFonts w:ascii="宋体" w:hAnsi="宋体" w:eastAsia="宋体" w:cs="宋体"/>
          <w:color w:val="000000" w:themeColor="text1"/>
          <w:spacing w:val="-8"/>
          <w:sz w:val="22"/>
          <w:szCs w:val="22"/>
          <w:highlight w:val="none"/>
          <w14:textFill>
            <w14:solidFill>
              <w14:schemeClr w14:val="tx1"/>
            </w14:solidFill>
          </w14:textFill>
        </w:rPr>
        <w:t>日</w:t>
      </w:r>
    </w:p>
    <w:p w14:paraId="2FAC216D">
      <w:pPr>
        <w:pStyle w:val="19"/>
        <w:shd w:val="clear"/>
        <w:spacing w:line="270" w:lineRule="auto"/>
        <w:rPr>
          <w:color w:val="000000" w:themeColor="text1"/>
          <w:highlight w:val="none"/>
          <w14:textFill>
            <w14:solidFill>
              <w14:schemeClr w14:val="tx1"/>
            </w14:solidFill>
          </w14:textFill>
        </w:rPr>
      </w:pPr>
    </w:p>
    <w:p w14:paraId="149EC892">
      <w:pPr>
        <w:pStyle w:val="19"/>
        <w:shd w:val="clear"/>
        <w:spacing w:line="270" w:lineRule="auto"/>
        <w:rPr>
          <w:color w:val="000000" w:themeColor="text1"/>
          <w:highlight w:val="none"/>
          <w14:textFill>
            <w14:solidFill>
              <w14:schemeClr w14:val="tx1"/>
            </w14:solidFill>
          </w14:textFill>
        </w:rPr>
      </w:pPr>
    </w:p>
    <w:p w14:paraId="141F4205">
      <w:pPr>
        <w:shd w:val="clear"/>
        <w:spacing w:before="72" w:line="220" w:lineRule="auto"/>
        <w:ind w:left="40"/>
        <w:rPr>
          <w:rFonts w:hint="eastAsia" w:ascii="宋体" w:hAnsi="宋体" w:eastAsia="宋体" w:cs="宋体"/>
          <w:b/>
          <w:bCs/>
          <w:color w:val="000000" w:themeColor="text1"/>
          <w:spacing w:val="-1"/>
          <w:sz w:val="24"/>
          <w:szCs w:val="24"/>
          <w:highlight w:val="none"/>
          <w14:textFill>
            <w14:solidFill>
              <w14:schemeClr w14:val="tx1"/>
            </w14:solidFill>
          </w14:textFill>
        </w:rPr>
      </w:pPr>
      <w:r>
        <w:rPr>
          <w:rFonts w:ascii="宋体" w:hAnsi="宋体" w:eastAsia="宋体" w:cs="宋体"/>
          <w:b/>
          <w:bCs/>
          <w:color w:val="000000" w:themeColor="text1"/>
          <w:spacing w:val="-1"/>
          <w:sz w:val="24"/>
          <w:szCs w:val="24"/>
          <w:highlight w:val="none"/>
          <w14:textFill>
            <w14:solidFill>
              <w14:schemeClr w14:val="tx1"/>
            </w14:solidFill>
          </w14:textFill>
        </w:rPr>
        <w:t>4.</w:t>
      </w:r>
      <w:r>
        <w:rPr>
          <w:rFonts w:hint="eastAsia" w:ascii="宋体" w:hAnsi="宋体" w:eastAsia="宋体" w:cs="宋体"/>
          <w:b/>
          <w:bCs/>
          <w:color w:val="000000" w:themeColor="text1"/>
          <w:spacing w:val="-1"/>
          <w:sz w:val="24"/>
          <w:szCs w:val="24"/>
          <w:highlight w:val="none"/>
          <w14:textFill>
            <w14:solidFill>
              <w14:schemeClr w14:val="tx1"/>
            </w14:solidFill>
          </w14:textFill>
        </w:rPr>
        <w:t>服务承诺（格式自拟）</w:t>
      </w:r>
    </w:p>
    <w:p w14:paraId="3BCA4B8B">
      <w:pPr>
        <w:shd w:val="clear"/>
        <w:spacing w:before="72" w:line="220" w:lineRule="auto"/>
        <w:ind w:left="40"/>
        <w:rPr>
          <w:rFonts w:hint="eastAsia" w:ascii="宋体" w:hAnsi="宋体" w:eastAsia="宋体" w:cs="宋体"/>
          <w:b/>
          <w:bCs/>
          <w:color w:val="000000" w:themeColor="text1"/>
          <w:spacing w:val="-1"/>
          <w:sz w:val="24"/>
          <w:szCs w:val="24"/>
          <w:highlight w:val="none"/>
          <w14:textFill>
            <w14:solidFill>
              <w14:schemeClr w14:val="tx1"/>
            </w14:solidFill>
          </w14:textFill>
        </w:rPr>
      </w:pPr>
    </w:p>
    <w:p w14:paraId="58DBABA4">
      <w:pPr>
        <w:shd w:val="clear"/>
        <w:spacing w:before="72" w:line="220" w:lineRule="auto"/>
        <w:ind w:left="4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pacing w:val="-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pacing w:val="-1"/>
          <w:sz w:val="24"/>
          <w:szCs w:val="24"/>
          <w:highlight w:val="none"/>
          <w14:textFill>
            <w14:solidFill>
              <w14:schemeClr w14:val="tx1"/>
            </w14:solidFill>
          </w14:textFill>
        </w:rPr>
        <w:t>.</w:t>
      </w:r>
      <w:r>
        <w:rPr>
          <w:rFonts w:ascii="宋体" w:hAnsi="宋体" w:eastAsia="宋体" w:cs="宋体"/>
          <w:b/>
          <w:bCs/>
          <w:color w:val="000000" w:themeColor="text1"/>
          <w:spacing w:val="-1"/>
          <w:sz w:val="24"/>
          <w:szCs w:val="24"/>
          <w:highlight w:val="none"/>
          <w14:textFill>
            <w14:solidFill>
              <w14:schemeClr w14:val="tx1"/>
            </w14:solidFill>
          </w14:textFill>
        </w:rPr>
        <w:t>供应商认为需提供的其他材料（根据征集文件编写）</w:t>
      </w:r>
    </w:p>
    <w:p w14:paraId="7CAAF49E">
      <w:pPr>
        <w:shd w:val="clear"/>
        <w:spacing w:line="220" w:lineRule="auto"/>
        <w:rPr>
          <w:rFonts w:ascii="宋体" w:hAnsi="宋体" w:eastAsia="宋体" w:cs="宋体"/>
          <w:b/>
          <w:bCs/>
          <w:color w:val="000000" w:themeColor="text1"/>
          <w:sz w:val="22"/>
          <w:szCs w:val="22"/>
          <w:highlight w:val="none"/>
          <w14:textFill>
            <w14:solidFill>
              <w14:schemeClr w14:val="tx1"/>
            </w14:solidFill>
          </w14:textFill>
        </w:rPr>
        <w:sectPr>
          <w:footerReference r:id="rId25" w:type="default"/>
          <w:pgSz w:w="11906" w:h="16839"/>
          <w:pgMar w:top="1163" w:right="1593" w:bottom="885" w:left="1133" w:header="0" w:footer="679" w:gutter="0"/>
          <w:pgNumType w:fmt="decimal"/>
          <w:cols w:space="720" w:num="1"/>
        </w:sectPr>
      </w:pPr>
    </w:p>
    <w:p w14:paraId="25E544D2">
      <w:pPr>
        <w:shd w:val="clear"/>
        <w:spacing w:before="44" w:line="221" w:lineRule="auto"/>
        <w:ind w:left="4"/>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cs="宋体"/>
          <w:b/>
          <w:bCs/>
          <w:color w:val="000000" w:themeColor="text1"/>
          <w:spacing w:val="-2"/>
          <w:sz w:val="22"/>
          <w:szCs w:val="22"/>
          <w:highlight w:val="none"/>
          <w:lang w:val="en-US" w:eastAsia="zh-CN"/>
          <w14:textFill>
            <w14:solidFill>
              <w14:schemeClr w14:val="tx1"/>
            </w14:solidFill>
          </w14:textFill>
        </w:rPr>
        <w:t>6</w:t>
      </w:r>
      <w:r>
        <w:rPr>
          <w:rFonts w:ascii="宋体" w:hAnsi="宋体" w:eastAsia="宋体" w:cs="宋体"/>
          <w:b/>
          <w:bCs/>
          <w:color w:val="000000" w:themeColor="text1"/>
          <w:spacing w:val="-2"/>
          <w:sz w:val="22"/>
          <w:szCs w:val="22"/>
          <w:highlight w:val="none"/>
          <w14:textFill>
            <w14:solidFill>
              <w14:schemeClr w14:val="tx1"/>
            </w14:solidFill>
          </w14:textFill>
        </w:rPr>
        <w:t>.</w:t>
      </w:r>
      <w:r>
        <w:rPr>
          <w:rFonts w:hint="eastAsia" w:ascii="宋体" w:hAnsi="宋体" w:cs="宋体"/>
          <w:b/>
          <w:bCs/>
          <w:color w:val="000000" w:themeColor="text1"/>
          <w:spacing w:val="-2"/>
          <w:sz w:val="22"/>
          <w:szCs w:val="22"/>
          <w:highlight w:val="none"/>
          <w:lang w:eastAsia="zh-CN"/>
          <w14:textFill>
            <w14:solidFill>
              <w14:schemeClr w14:val="tx1"/>
            </w14:solidFill>
          </w14:textFill>
        </w:rPr>
        <w:t>供应商参加本项目无围标串标行为的承诺函</w:t>
      </w:r>
    </w:p>
    <w:p w14:paraId="25944230">
      <w:pPr>
        <w:shd w:val="clear"/>
        <w:spacing w:before="191" w:line="219" w:lineRule="auto"/>
        <w:jc w:val="center"/>
        <w:rPr>
          <w:rFonts w:ascii="宋体" w:hAnsi="宋体" w:eastAsia="宋体" w:cs="宋体"/>
          <w:b/>
          <w:bCs/>
          <w:color w:val="000000" w:themeColor="text1"/>
          <w:spacing w:val="-1"/>
          <w:sz w:val="32"/>
          <w:szCs w:val="32"/>
          <w:highlight w:val="none"/>
          <w14:textFill>
            <w14:solidFill>
              <w14:schemeClr w14:val="tx1"/>
            </w14:solidFill>
          </w14:textFill>
        </w:rPr>
      </w:pPr>
    </w:p>
    <w:p w14:paraId="5BD6DB63">
      <w:pPr>
        <w:shd w:val="clear"/>
        <w:spacing w:before="191" w:line="219" w:lineRule="auto"/>
        <w:jc w:val="center"/>
        <w:rPr>
          <w:rFonts w:ascii="宋体" w:hAnsi="宋体" w:eastAsia="宋体" w:cs="宋体"/>
          <w:b/>
          <w:bCs/>
          <w:color w:val="000000" w:themeColor="text1"/>
          <w:sz w:val="32"/>
          <w:szCs w:val="32"/>
          <w:highlight w:val="none"/>
          <w14:textFill>
            <w14:solidFill>
              <w14:schemeClr w14:val="tx1"/>
            </w14:solidFill>
          </w14:textFill>
        </w:rPr>
      </w:pPr>
      <w:r>
        <w:rPr>
          <w:rFonts w:ascii="宋体" w:hAnsi="宋体" w:eastAsia="宋体" w:cs="宋体"/>
          <w:b/>
          <w:bCs/>
          <w:color w:val="000000" w:themeColor="text1"/>
          <w:spacing w:val="-1"/>
          <w:sz w:val="32"/>
          <w:szCs w:val="32"/>
          <w:highlight w:val="none"/>
          <w14:textFill>
            <w14:solidFill>
              <w14:schemeClr w14:val="tx1"/>
            </w14:solidFill>
          </w14:textFill>
        </w:rPr>
        <w:t>供应商参加本项目无围标串标行为的承诺函</w:t>
      </w:r>
    </w:p>
    <w:p w14:paraId="44A6A1ED">
      <w:pPr>
        <w:shd w:val="clear"/>
        <w:spacing w:before="187" w:line="221" w:lineRule="auto"/>
        <w:ind w:left="3"/>
        <w:outlineLvl w:val="9"/>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b/>
          <w:bCs/>
          <w:color w:val="000000" w:themeColor="text1"/>
          <w:spacing w:val="-3"/>
          <w:sz w:val="22"/>
          <w:szCs w:val="22"/>
          <w:highlight w:val="none"/>
          <w14:textFill>
            <w14:solidFill>
              <w14:schemeClr w14:val="tx1"/>
            </w14:solidFill>
          </w14:textFill>
        </w:rPr>
        <w:t>一、我方承诺无下列相互串通响应的情形：</w:t>
      </w:r>
    </w:p>
    <w:p w14:paraId="5B9325D5">
      <w:pPr>
        <w:pStyle w:val="19"/>
        <w:shd w:val="clear"/>
        <w:spacing w:line="258" w:lineRule="auto"/>
        <w:rPr>
          <w:color w:val="000000" w:themeColor="text1"/>
          <w:highlight w:val="none"/>
          <w14:textFill>
            <w14:solidFill>
              <w14:schemeClr w14:val="tx1"/>
            </w14:solidFill>
          </w14:textFill>
        </w:rPr>
      </w:pPr>
    </w:p>
    <w:p w14:paraId="15F1871F">
      <w:pPr>
        <w:shd w:val="clear"/>
        <w:spacing w:before="72" w:line="593" w:lineRule="exact"/>
        <w:ind w:left="448"/>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position w:val="28"/>
          <w:sz w:val="22"/>
          <w:szCs w:val="22"/>
          <w:highlight w:val="none"/>
          <w14:textFill>
            <w14:solidFill>
              <w14:schemeClr w14:val="tx1"/>
            </w14:solidFill>
          </w14:textFill>
        </w:rPr>
        <w:t>1.不同供应商的响应文件由同一单位或者个人编制；或者不同供应商报名的IP地址一致的；</w:t>
      </w:r>
    </w:p>
    <w:p w14:paraId="28E572BC">
      <w:pPr>
        <w:shd w:val="clear"/>
        <w:spacing w:line="220" w:lineRule="auto"/>
        <w:ind w:left="434"/>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2.不同供应商委托同一单位或者个人办理响应事宜；</w:t>
      </w:r>
    </w:p>
    <w:p w14:paraId="21C257F5">
      <w:pPr>
        <w:pStyle w:val="19"/>
        <w:shd w:val="clear"/>
        <w:spacing w:line="259" w:lineRule="auto"/>
        <w:rPr>
          <w:color w:val="000000" w:themeColor="text1"/>
          <w:highlight w:val="none"/>
          <w14:textFill>
            <w14:solidFill>
              <w14:schemeClr w14:val="tx1"/>
            </w14:solidFill>
          </w14:textFill>
        </w:rPr>
      </w:pPr>
    </w:p>
    <w:p w14:paraId="171A9492">
      <w:pPr>
        <w:shd w:val="clear"/>
        <w:spacing w:before="72" w:line="220" w:lineRule="auto"/>
        <w:ind w:left="436"/>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3.不同的供应商的响应文件载明的项目管理员为同一个人；</w:t>
      </w:r>
    </w:p>
    <w:p w14:paraId="2B67B8D9">
      <w:pPr>
        <w:pStyle w:val="19"/>
        <w:shd w:val="clear"/>
        <w:spacing w:line="257" w:lineRule="auto"/>
        <w:rPr>
          <w:color w:val="000000" w:themeColor="text1"/>
          <w:highlight w:val="none"/>
          <w14:textFill>
            <w14:solidFill>
              <w14:schemeClr w14:val="tx1"/>
            </w14:solidFill>
          </w14:textFill>
        </w:rPr>
      </w:pPr>
    </w:p>
    <w:p w14:paraId="3DD36B53">
      <w:pPr>
        <w:shd w:val="clear"/>
        <w:spacing w:before="71" w:line="596" w:lineRule="exact"/>
        <w:ind w:left="431"/>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position w:val="29"/>
          <w:sz w:val="22"/>
          <w:szCs w:val="22"/>
          <w:highlight w:val="none"/>
          <w14:textFill>
            <w14:solidFill>
              <w14:schemeClr w14:val="tx1"/>
            </w14:solidFill>
          </w14:textFill>
        </w:rPr>
        <w:t>4.不同供应商的响应文件异常一致或者响应报价</w:t>
      </w:r>
      <w:r>
        <w:rPr>
          <w:rFonts w:ascii="宋体" w:hAnsi="宋体" w:eastAsia="宋体" w:cs="宋体"/>
          <w:color w:val="000000" w:themeColor="text1"/>
          <w:spacing w:val="-1"/>
          <w:position w:val="29"/>
          <w:sz w:val="22"/>
          <w:szCs w:val="22"/>
          <w:highlight w:val="none"/>
          <w14:textFill>
            <w14:solidFill>
              <w14:schemeClr w14:val="tx1"/>
            </w14:solidFill>
          </w14:textFill>
        </w:rPr>
        <w:t>呈规律性差异；</w:t>
      </w:r>
    </w:p>
    <w:p w14:paraId="0ADC91EF">
      <w:pPr>
        <w:shd w:val="clear"/>
        <w:spacing w:line="220" w:lineRule="auto"/>
        <w:ind w:left="436"/>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5.不同供应商的响应文件相互混装。</w:t>
      </w:r>
    </w:p>
    <w:p w14:paraId="298594C7">
      <w:pPr>
        <w:pStyle w:val="19"/>
        <w:shd w:val="clear"/>
        <w:spacing w:line="257" w:lineRule="auto"/>
        <w:rPr>
          <w:color w:val="000000" w:themeColor="text1"/>
          <w:highlight w:val="none"/>
          <w14:textFill>
            <w14:solidFill>
              <w14:schemeClr w14:val="tx1"/>
            </w14:solidFill>
          </w14:textFill>
        </w:rPr>
      </w:pPr>
    </w:p>
    <w:p w14:paraId="49B9E8D7">
      <w:pPr>
        <w:shd w:val="clear"/>
        <w:spacing w:before="71" w:line="221" w:lineRule="auto"/>
        <w:ind w:left="3"/>
        <w:outlineLvl w:val="9"/>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b/>
          <w:bCs/>
          <w:color w:val="000000" w:themeColor="text1"/>
          <w:spacing w:val="-3"/>
          <w:sz w:val="22"/>
          <w:szCs w:val="22"/>
          <w:highlight w:val="none"/>
          <w14:textFill>
            <w14:solidFill>
              <w14:schemeClr w14:val="tx1"/>
            </w14:solidFill>
          </w14:textFill>
        </w:rPr>
        <w:t>二、我方承诺无下列恶意串通的情形：</w:t>
      </w:r>
    </w:p>
    <w:p w14:paraId="5897D096">
      <w:pPr>
        <w:pStyle w:val="19"/>
        <w:shd w:val="clear"/>
        <w:spacing w:line="258" w:lineRule="auto"/>
        <w:rPr>
          <w:color w:val="000000" w:themeColor="text1"/>
          <w:highlight w:val="none"/>
          <w14:textFill>
            <w14:solidFill>
              <w14:schemeClr w14:val="tx1"/>
            </w14:solidFill>
          </w14:textFill>
        </w:rPr>
      </w:pPr>
    </w:p>
    <w:p w14:paraId="1353EDA6">
      <w:pPr>
        <w:shd w:val="clear"/>
        <w:spacing w:before="72" w:line="427" w:lineRule="exact"/>
        <w:ind w:left="448"/>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position w:val="15"/>
          <w:sz w:val="22"/>
          <w:szCs w:val="22"/>
          <w:highlight w:val="none"/>
          <w14:textFill>
            <w14:solidFill>
              <w14:schemeClr w14:val="tx1"/>
            </w14:solidFill>
          </w14:textFill>
        </w:rPr>
        <w:t>1.供应商直接或者间接从采购人或者采购代理机构处获得其他供应商的相关信息并修改其响应</w:t>
      </w:r>
    </w:p>
    <w:p w14:paraId="2B5E63F2">
      <w:pPr>
        <w:shd w:val="clear"/>
        <w:spacing w:before="1" w:line="220" w:lineRule="auto"/>
        <w:ind w:left="1"/>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文件或者响应文件；</w:t>
      </w:r>
    </w:p>
    <w:p w14:paraId="418111E6">
      <w:pPr>
        <w:pStyle w:val="19"/>
        <w:shd w:val="clear"/>
        <w:spacing w:line="258" w:lineRule="auto"/>
        <w:rPr>
          <w:color w:val="000000" w:themeColor="text1"/>
          <w:highlight w:val="none"/>
          <w14:textFill>
            <w14:solidFill>
              <w14:schemeClr w14:val="tx1"/>
            </w14:solidFill>
          </w14:textFill>
        </w:rPr>
      </w:pPr>
    </w:p>
    <w:p w14:paraId="2E060080">
      <w:pPr>
        <w:shd w:val="clear"/>
        <w:spacing w:before="73" w:line="593" w:lineRule="exact"/>
        <w:ind w:left="434"/>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position w:val="28"/>
          <w:sz w:val="22"/>
          <w:szCs w:val="22"/>
          <w:highlight w:val="none"/>
          <w14:textFill>
            <w14:solidFill>
              <w14:schemeClr w14:val="tx1"/>
            </w14:solidFill>
          </w14:textFill>
        </w:rPr>
        <w:t>2.供应商按照采购人或者采购代理机构的授意撤换、修改</w:t>
      </w:r>
      <w:r>
        <w:rPr>
          <w:rFonts w:ascii="宋体" w:hAnsi="宋体" w:eastAsia="宋体" w:cs="宋体"/>
          <w:color w:val="000000" w:themeColor="text1"/>
          <w:spacing w:val="-1"/>
          <w:position w:val="28"/>
          <w:sz w:val="22"/>
          <w:szCs w:val="22"/>
          <w:highlight w:val="none"/>
          <w14:textFill>
            <w14:solidFill>
              <w14:schemeClr w14:val="tx1"/>
            </w14:solidFill>
          </w14:textFill>
        </w:rPr>
        <w:t>响应文件或者响应文件；</w:t>
      </w:r>
    </w:p>
    <w:p w14:paraId="25FF6441">
      <w:pPr>
        <w:shd w:val="clear"/>
        <w:spacing w:line="219" w:lineRule="auto"/>
        <w:ind w:left="436"/>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3.供应商之间协商报价、技术方案等响应文件</w:t>
      </w:r>
      <w:r>
        <w:rPr>
          <w:rFonts w:ascii="宋体" w:hAnsi="宋体" w:eastAsia="宋体" w:cs="宋体"/>
          <w:color w:val="000000" w:themeColor="text1"/>
          <w:spacing w:val="-1"/>
          <w:sz w:val="22"/>
          <w:szCs w:val="22"/>
          <w:highlight w:val="none"/>
          <w14:textFill>
            <w14:solidFill>
              <w14:schemeClr w14:val="tx1"/>
            </w14:solidFill>
          </w14:textFill>
        </w:rPr>
        <w:t>或者响应文件的实质性内容；</w:t>
      </w:r>
    </w:p>
    <w:p w14:paraId="6B611610">
      <w:pPr>
        <w:pStyle w:val="19"/>
        <w:shd w:val="clear"/>
        <w:spacing w:line="260" w:lineRule="auto"/>
        <w:rPr>
          <w:color w:val="000000" w:themeColor="text1"/>
          <w:highlight w:val="none"/>
          <w14:textFill>
            <w14:solidFill>
              <w14:schemeClr w14:val="tx1"/>
            </w14:solidFill>
          </w14:textFill>
        </w:rPr>
      </w:pPr>
    </w:p>
    <w:p w14:paraId="412B43BA">
      <w:pPr>
        <w:shd w:val="clear"/>
        <w:spacing w:before="73" w:line="220" w:lineRule="auto"/>
        <w:ind w:left="431"/>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4.属于同一集团、协会、商会等组织成员的供应商按照该组织要求协同参加</w:t>
      </w:r>
      <w:r>
        <w:rPr>
          <w:rFonts w:ascii="宋体" w:hAnsi="宋体" w:eastAsia="宋体" w:cs="宋体"/>
          <w:color w:val="000000" w:themeColor="text1"/>
          <w:spacing w:val="-1"/>
          <w:sz w:val="22"/>
          <w:szCs w:val="22"/>
          <w:highlight w:val="none"/>
          <w14:textFill>
            <w14:solidFill>
              <w14:schemeClr w14:val="tx1"/>
            </w14:solidFill>
          </w14:textFill>
        </w:rPr>
        <w:t>政府采购活动；</w:t>
      </w:r>
    </w:p>
    <w:p w14:paraId="61CD7ADD">
      <w:pPr>
        <w:pStyle w:val="19"/>
        <w:shd w:val="clear"/>
        <w:spacing w:line="257" w:lineRule="auto"/>
        <w:rPr>
          <w:color w:val="000000" w:themeColor="text1"/>
          <w:highlight w:val="none"/>
          <w14:textFill>
            <w14:solidFill>
              <w14:schemeClr w14:val="tx1"/>
            </w14:solidFill>
          </w14:textFill>
        </w:rPr>
      </w:pPr>
    </w:p>
    <w:p w14:paraId="50F12B92">
      <w:pPr>
        <w:shd w:val="clear"/>
        <w:spacing w:before="71" w:line="430" w:lineRule="exact"/>
        <w:jc w:val="righ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position w:val="15"/>
          <w:sz w:val="22"/>
          <w:szCs w:val="22"/>
          <w:highlight w:val="none"/>
          <w14:textFill>
            <w14:solidFill>
              <w14:schemeClr w14:val="tx1"/>
            </w14:solidFill>
          </w14:textFill>
        </w:rPr>
        <w:t>5.供应商之间事先约定一致抬高或者压低响应报价，或者在征集项目中事先约定轮流以高</w:t>
      </w:r>
      <w:r>
        <w:rPr>
          <w:rFonts w:ascii="宋体" w:hAnsi="宋体" w:eastAsia="宋体" w:cs="宋体"/>
          <w:color w:val="000000" w:themeColor="text1"/>
          <w:spacing w:val="-2"/>
          <w:position w:val="15"/>
          <w:sz w:val="22"/>
          <w:szCs w:val="22"/>
          <w:highlight w:val="none"/>
          <w14:textFill>
            <w14:solidFill>
              <w14:schemeClr w14:val="tx1"/>
            </w14:solidFill>
          </w14:textFill>
        </w:rPr>
        <w:t>价位或</w:t>
      </w:r>
    </w:p>
    <w:p w14:paraId="19E68A2C">
      <w:pPr>
        <w:shd w:val="clear"/>
        <w:spacing w:line="219" w:lineRule="auto"/>
        <w:ind w:left="1"/>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者低价位入围，或者事先约定由某一特定供应商</w:t>
      </w:r>
      <w:r>
        <w:rPr>
          <w:rFonts w:ascii="宋体" w:hAnsi="宋体" w:eastAsia="宋体" w:cs="宋体"/>
          <w:color w:val="000000" w:themeColor="text1"/>
          <w:spacing w:val="-1"/>
          <w:sz w:val="22"/>
          <w:szCs w:val="22"/>
          <w:highlight w:val="none"/>
          <w14:textFill>
            <w14:solidFill>
              <w14:schemeClr w14:val="tx1"/>
            </w14:solidFill>
          </w14:textFill>
        </w:rPr>
        <w:t>入围，然后再参加响应；</w:t>
      </w:r>
    </w:p>
    <w:p w14:paraId="37E4413E">
      <w:pPr>
        <w:pStyle w:val="19"/>
        <w:shd w:val="clear"/>
        <w:spacing w:line="258" w:lineRule="auto"/>
        <w:rPr>
          <w:color w:val="000000" w:themeColor="text1"/>
          <w:highlight w:val="none"/>
          <w14:textFill>
            <w14:solidFill>
              <w14:schemeClr w14:val="tx1"/>
            </w14:solidFill>
          </w14:textFill>
        </w:rPr>
      </w:pPr>
    </w:p>
    <w:p w14:paraId="49219CC0">
      <w:pPr>
        <w:shd w:val="clear"/>
        <w:spacing w:before="72" w:line="220" w:lineRule="auto"/>
        <w:ind w:left="433"/>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6.供应商之间商定部分供应商放弃参加政府采</w:t>
      </w:r>
      <w:r>
        <w:rPr>
          <w:rFonts w:ascii="宋体" w:hAnsi="宋体" w:eastAsia="宋体" w:cs="宋体"/>
          <w:color w:val="000000" w:themeColor="text1"/>
          <w:spacing w:val="-1"/>
          <w:sz w:val="22"/>
          <w:szCs w:val="22"/>
          <w:highlight w:val="none"/>
          <w14:textFill>
            <w14:solidFill>
              <w14:schemeClr w14:val="tx1"/>
            </w14:solidFill>
          </w14:textFill>
        </w:rPr>
        <w:t>购活动或者放弃入围；</w:t>
      </w:r>
    </w:p>
    <w:p w14:paraId="11C09A10">
      <w:pPr>
        <w:pStyle w:val="19"/>
        <w:shd w:val="clear"/>
        <w:spacing w:line="259" w:lineRule="auto"/>
        <w:rPr>
          <w:color w:val="000000" w:themeColor="text1"/>
          <w:highlight w:val="none"/>
          <w14:textFill>
            <w14:solidFill>
              <w14:schemeClr w14:val="tx1"/>
            </w14:solidFill>
          </w14:textFill>
        </w:rPr>
      </w:pPr>
    </w:p>
    <w:p w14:paraId="770C15D0">
      <w:pPr>
        <w:shd w:val="clear"/>
        <w:spacing w:before="73" w:line="427" w:lineRule="exact"/>
        <w:jc w:val="righ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position w:val="15"/>
          <w:sz w:val="22"/>
          <w:szCs w:val="22"/>
          <w:highlight w:val="none"/>
          <w14:textFill>
            <w14:solidFill>
              <w14:schemeClr w14:val="tx1"/>
            </w14:solidFill>
          </w14:textFill>
        </w:rPr>
        <w:t>7.供应商与采购人或者采购代理机构之间、供应商相互之间，为谋求特定供应商入围或</w:t>
      </w:r>
      <w:r>
        <w:rPr>
          <w:rFonts w:ascii="宋体" w:hAnsi="宋体" w:eastAsia="宋体" w:cs="宋体"/>
          <w:color w:val="000000" w:themeColor="text1"/>
          <w:spacing w:val="-2"/>
          <w:position w:val="15"/>
          <w:sz w:val="22"/>
          <w:szCs w:val="22"/>
          <w:highlight w:val="none"/>
          <w14:textFill>
            <w14:solidFill>
              <w14:schemeClr w14:val="tx1"/>
            </w14:solidFill>
          </w14:textFill>
        </w:rPr>
        <w:t>者排斥其</w:t>
      </w:r>
    </w:p>
    <w:p w14:paraId="3EE2200E">
      <w:pPr>
        <w:shd w:val="clear"/>
        <w:spacing w:line="220" w:lineRule="auto"/>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他供应商的其他串通行为。</w:t>
      </w:r>
    </w:p>
    <w:p w14:paraId="765F59F4">
      <w:pPr>
        <w:pStyle w:val="19"/>
        <w:shd w:val="clear"/>
        <w:spacing w:line="257" w:lineRule="auto"/>
        <w:rPr>
          <w:color w:val="000000" w:themeColor="text1"/>
          <w:highlight w:val="none"/>
          <w14:textFill>
            <w14:solidFill>
              <w14:schemeClr w14:val="tx1"/>
            </w14:solidFill>
          </w14:textFill>
        </w:rPr>
      </w:pPr>
    </w:p>
    <w:p w14:paraId="44E11A3E">
      <w:pPr>
        <w:shd w:val="clear"/>
        <w:spacing w:before="72" w:line="429" w:lineRule="exact"/>
        <w:ind w:right="4"/>
        <w:jc w:val="righ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b/>
          <w:bCs/>
          <w:color w:val="000000" w:themeColor="text1"/>
          <w:spacing w:val="-4"/>
          <w:position w:val="15"/>
          <w:sz w:val="22"/>
          <w:szCs w:val="22"/>
          <w:highlight w:val="none"/>
          <w14:textFill>
            <w14:solidFill>
              <w14:schemeClr w14:val="tx1"/>
            </w14:solidFill>
          </w14:textFill>
        </w:rPr>
        <w:t>以上情形一经核查属实，我方愿意承担一切后果，并不再寻求任何旨在减轻或者免除法律责任的</w:t>
      </w:r>
    </w:p>
    <w:p w14:paraId="0D2B66CC">
      <w:pPr>
        <w:shd w:val="clear"/>
        <w:spacing w:before="2" w:line="220" w:lineRule="auto"/>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b/>
          <w:bCs/>
          <w:color w:val="000000" w:themeColor="text1"/>
          <w:spacing w:val="-5"/>
          <w:sz w:val="22"/>
          <w:szCs w:val="22"/>
          <w:highlight w:val="none"/>
          <w14:textFill>
            <w14:solidFill>
              <w14:schemeClr w14:val="tx1"/>
            </w14:solidFill>
          </w14:textFill>
        </w:rPr>
        <w:t>辩解。</w:t>
      </w:r>
    </w:p>
    <w:p w14:paraId="523A9DFA">
      <w:pPr>
        <w:shd w:val="clear"/>
        <w:spacing w:before="217" w:line="465" w:lineRule="exact"/>
        <w:ind w:left="539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position w:val="17"/>
          <w:sz w:val="24"/>
          <w:szCs w:val="24"/>
          <w:highlight w:val="none"/>
          <w14:textFill>
            <w14:solidFill>
              <w14:schemeClr w14:val="tx1"/>
            </w14:solidFill>
          </w14:textFill>
        </w:rPr>
        <w:t>供应商名称</w:t>
      </w:r>
      <w:r>
        <w:rPr>
          <w:rFonts w:hint="eastAsia" w:ascii="宋体" w:hAnsi="宋体" w:cs="宋体"/>
          <w:color w:val="000000" w:themeColor="text1"/>
          <w:spacing w:val="-1"/>
          <w:position w:val="17"/>
          <w:sz w:val="24"/>
          <w:szCs w:val="24"/>
          <w:highlight w:val="none"/>
          <w:lang w:eastAsia="zh-CN"/>
          <w14:textFill>
            <w14:solidFill>
              <w14:schemeClr w14:val="tx1"/>
            </w14:solidFill>
          </w14:textFill>
        </w:rPr>
        <w:t>（</w:t>
      </w:r>
      <w:r>
        <w:rPr>
          <w:rFonts w:ascii="宋体" w:hAnsi="宋体" w:eastAsia="宋体" w:cs="宋体"/>
          <w:color w:val="000000" w:themeColor="text1"/>
          <w:spacing w:val="-1"/>
          <w:position w:val="17"/>
          <w:sz w:val="24"/>
          <w:szCs w:val="24"/>
          <w:highlight w:val="none"/>
          <w14:textFill>
            <w14:solidFill>
              <w14:schemeClr w14:val="tx1"/>
            </w14:solidFill>
          </w14:textFill>
        </w:rPr>
        <w:t>电子签章</w:t>
      </w:r>
      <w:r>
        <w:rPr>
          <w:rFonts w:hint="eastAsia" w:ascii="宋体" w:hAnsi="宋体" w:cs="宋体"/>
          <w:color w:val="000000" w:themeColor="text1"/>
          <w:spacing w:val="-1"/>
          <w:position w:val="17"/>
          <w:sz w:val="24"/>
          <w:szCs w:val="24"/>
          <w:highlight w:val="none"/>
          <w:lang w:eastAsia="zh-CN"/>
          <w14:textFill>
            <w14:solidFill>
              <w14:schemeClr w14:val="tx1"/>
            </w14:solidFill>
          </w14:textFill>
        </w:rPr>
        <w:t>）</w:t>
      </w:r>
      <w:r>
        <w:rPr>
          <w:rFonts w:ascii="宋体" w:hAnsi="宋体" w:eastAsia="宋体" w:cs="宋体"/>
          <w:color w:val="000000" w:themeColor="text1"/>
          <w:spacing w:val="-1"/>
          <w:position w:val="17"/>
          <w:sz w:val="24"/>
          <w:szCs w:val="24"/>
          <w:highlight w:val="none"/>
          <w14:textFill>
            <w14:solidFill>
              <w14:schemeClr w14:val="tx1"/>
            </w14:solidFill>
          </w14:textFill>
        </w:rPr>
        <w:t>：</w:t>
      </w:r>
    </w:p>
    <w:p w14:paraId="23FBBA89">
      <w:pPr>
        <w:shd w:val="clear"/>
        <w:spacing w:line="220" w:lineRule="auto"/>
        <w:ind w:left="544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3"/>
          <w:sz w:val="24"/>
          <w:szCs w:val="24"/>
          <w:highlight w:val="none"/>
          <w14:textFill>
            <w14:solidFill>
              <w14:schemeClr w14:val="tx1"/>
            </w14:solidFill>
          </w14:textFill>
        </w:rPr>
        <w:t>日期：</w:t>
      </w:r>
      <w:r>
        <w:rPr>
          <w:rFonts w:ascii="宋体" w:hAnsi="宋体" w:eastAsia="宋体" w:cs="宋体"/>
          <w:color w:val="000000" w:themeColor="text1"/>
          <w:spacing w:val="5"/>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年</w:t>
      </w:r>
      <w:r>
        <w:rPr>
          <w:rFonts w:ascii="宋体" w:hAnsi="宋体" w:eastAsia="宋体" w:cs="宋体"/>
          <w:color w:val="000000" w:themeColor="text1"/>
          <w:spacing w:val="8"/>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月</w:t>
      </w:r>
      <w:r>
        <w:rPr>
          <w:rFonts w:ascii="宋体" w:hAnsi="宋体" w:eastAsia="宋体" w:cs="宋体"/>
          <w:color w:val="000000" w:themeColor="text1"/>
          <w:spacing w:val="17"/>
          <w:sz w:val="24"/>
          <w:szCs w:val="24"/>
          <w:highlight w:val="none"/>
          <w14:textFill>
            <w14:solidFill>
              <w14:schemeClr w14:val="tx1"/>
            </w14:solidFill>
          </w14:textFill>
        </w:rPr>
        <w:t xml:space="preserve">   </w:t>
      </w:r>
      <w:r>
        <w:rPr>
          <w:rFonts w:ascii="宋体" w:hAnsi="宋体" w:eastAsia="宋体" w:cs="宋体"/>
          <w:color w:val="000000" w:themeColor="text1"/>
          <w:spacing w:val="-13"/>
          <w:sz w:val="24"/>
          <w:szCs w:val="24"/>
          <w:highlight w:val="none"/>
          <w14:textFill>
            <w14:solidFill>
              <w14:schemeClr w14:val="tx1"/>
            </w14:solidFill>
          </w14:textFill>
        </w:rPr>
        <w:t>日</w:t>
      </w:r>
    </w:p>
    <w:p w14:paraId="7FBECA63">
      <w:pPr>
        <w:shd w:val="clear"/>
        <w:spacing w:line="220" w:lineRule="auto"/>
        <w:rPr>
          <w:rFonts w:ascii="宋体" w:hAnsi="宋体" w:eastAsia="宋体" w:cs="宋体"/>
          <w:color w:val="000000" w:themeColor="text1"/>
          <w:sz w:val="24"/>
          <w:szCs w:val="24"/>
          <w:highlight w:val="none"/>
          <w14:textFill>
            <w14:solidFill>
              <w14:schemeClr w14:val="tx1"/>
            </w14:solidFill>
          </w14:textFill>
        </w:rPr>
        <w:sectPr>
          <w:footerReference r:id="rId26" w:type="default"/>
          <w:pgSz w:w="11906" w:h="16839"/>
          <w:pgMar w:top="1288" w:right="1132" w:bottom="884" w:left="1141" w:header="0" w:footer="679" w:gutter="0"/>
          <w:pgNumType w:fmt="decimal"/>
          <w:cols w:space="720" w:num="1"/>
        </w:sectPr>
      </w:pPr>
    </w:p>
    <w:p w14:paraId="05B050FF">
      <w:pPr>
        <w:shd w:val="clear"/>
        <w:spacing w:before="48" w:line="220" w:lineRule="auto"/>
        <w:ind w:left="3529"/>
        <w:rPr>
          <w:rFonts w:ascii="宋体" w:hAnsi="宋体" w:eastAsia="宋体" w:cs="宋体"/>
          <w:b/>
          <w:bCs/>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1"/>
          <w:sz w:val="24"/>
          <w:szCs w:val="24"/>
          <w:highlight w:val="none"/>
          <w14:textFill>
            <w14:solidFill>
              <w14:schemeClr w14:val="tx1"/>
            </w14:solidFill>
          </w14:textFill>
        </w:rPr>
        <w:t>第二部分  技术文件</w:t>
      </w:r>
    </w:p>
    <w:p w14:paraId="32A6DE6D">
      <w:pPr>
        <w:shd w:val="clear"/>
        <w:spacing w:before="140" w:line="220" w:lineRule="auto"/>
        <w:ind w:left="186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2"/>
          <w:sz w:val="22"/>
          <w:szCs w:val="22"/>
          <w:highlight w:val="none"/>
          <w:lang w:eastAsia="zh-CN"/>
          <w14:textFill>
            <w14:solidFill>
              <w14:schemeClr w14:val="tx1"/>
            </w14:solidFill>
          </w14:textFill>
        </w:rPr>
        <w:t>（</w:t>
      </w:r>
      <w:r>
        <w:rPr>
          <w:rFonts w:ascii="宋体" w:hAnsi="宋体" w:eastAsia="宋体" w:cs="宋体"/>
          <w:color w:val="000000" w:themeColor="text1"/>
          <w:spacing w:val="-2"/>
          <w:sz w:val="22"/>
          <w:szCs w:val="22"/>
          <w:highlight w:val="none"/>
          <w14:textFill>
            <w14:solidFill>
              <w14:schemeClr w14:val="tx1"/>
            </w14:solidFill>
          </w14:textFill>
        </w:rPr>
        <w:t>本技术文件供应商可自行编写，也可参照下述提纲编写</w:t>
      </w:r>
      <w:r>
        <w:rPr>
          <w:rFonts w:hint="eastAsia" w:ascii="宋体" w:hAnsi="宋体" w:cs="宋体"/>
          <w:color w:val="000000" w:themeColor="text1"/>
          <w:spacing w:val="-2"/>
          <w:sz w:val="22"/>
          <w:szCs w:val="22"/>
          <w:highlight w:val="none"/>
          <w:lang w:eastAsia="zh-CN"/>
          <w14:textFill>
            <w14:solidFill>
              <w14:schemeClr w14:val="tx1"/>
            </w14:solidFill>
          </w14:textFill>
        </w:rPr>
        <w:t>）</w:t>
      </w:r>
    </w:p>
    <w:p w14:paraId="140F8376">
      <w:pPr>
        <w:pStyle w:val="19"/>
        <w:shd w:val="clear"/>
        <w:spacing w:line="280" w:lineRule="auto"/>
        <w:rPr>
          <w:color w:val="000000" w:themeColor="text1"/>
          <w:highlight w:val="none"/>
          <w14:textFill>
            <w14:solidFill>
              <w14:schemeClr w14:val="tx1"/>
            </w14:solidFill>
          </w14:textFill>
        </w:rPr>
      </w:pPr>
    </w:p>
    <w:p w14:paraId="46B24457">
      <w:pPr>
        <w:pStyle w:val="19"/>
        <w:shd w:val="clear"/>
        <w:spacing w:line="280" w:lineRule="auto"/>
        <w:rPr>
          <w:color w:val="000000" w:themeColor="text1"/>
          <w:highlight w:val="none"/>
          <w14:textFill>
            <w14:solidFill>
              <w14:schemeClr w14:val="tx1"/>
            </w14:solidFill>
          </w14:textFill>
        </w:rPr>
      </w:pPr>
    </w:p>
    <w:p w14:paraId="17AAACD0">
      <w:pPr>
        <w:shd w:val="clear"/>
        <w:spacing w:before="71" w:line="220" w:lineRule="auto"/>
        <w:ind w:left="62"/>
        <w:rPr>
          <w:rFonts w:ascii="宋体" w:hAnsi="宋体" w:eastAsia="宋体" w:cs="宋体"/>
          <w:b/>
          <w:bCs/>
          <w:color w:val="000000" w:themeColor="text1"/>
          <w:sz w:val="22"/>
          <w:szCs w:val="22"/>
          <w:highlight w:val="none"/>
          <w14:textFill>
            <w14:solidFill>
              <w14:schemeClr w14:val="tx1"/>
            </w14:solidFill>
          </w14:textFill>
        </w:rPr>
      </w:pPr>
      <w:r>
        <w:rPr>
          <w:rFonts w:ascii="宋体" w:hAnsi="宋体" w:eastAsia="宋体" w:cs="宋体"/>
          <w:b/>
          <w:bCs/>
          <w:color w:val="000000" w:themeColor="text1"/>
          <w:spacing w:val="-1"/>
          <w:sz w:val="22"/>
          <w:szCs w:val="22"/>
          <w:highlight w:val="none"/>
          <w14:textFill>
            <w14:solidFill>
              <w14:schemeClr w14:val="tx1"/>
            </w14:solidFill>
          </w14:textFill>
        </w:rPr>
        <w:t>1.对本项目第二章《采购需求》技术要求的</w:t>
      </w:r>
      <w:r>
        <w:rPr>
          <w:rFonts w:ascii="宋体" w:hAnsi="宋体" w:eastAsia="宋体" w:cs="宋体"/>
          <w:b/>
          <w:bCs/>
          <w:color w:val="000000" w:themeColor="text1"/>
          <w:spacing w:val="-2"/>
          <w:sz w:val="22"/>
          <w:szCs w:val="22"/>
          <w:highlight w:val="none"/>
          <w14:textFill>
            <w14:solidFill>
              <w14:schemeClr w14:val="tx1"/>
            </w14:solidFill>
          </w14:textFill>
        </w:rPr>
        <w:t>响应表</w:t>
      </w:r>
    </w:p>
    <w:p w14:paraId="0EF525B7">
      <w:pPr>
        <w:shd w:val="clear"/>
        <w:spacing w:line="15" w:lineRule="exact"/>
        <w:rPr>
          <w:color w:val="000000" w:themeColor="text1"/>
          <w:highlight w:val="none"/>
          <w14:textFill>
            <w14:solidFill>
              <w14:schemeClr w14:val="tx1"/>
            </w14:solidFill>
          </w14:textFill>
        </w:rPr>
      </w:pPr>
    </w:p>
    <w:tbl>
      <w:tblPr>
        <w:tblStyle w:val="123"/>
        <w:tblW w:w="9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3592"/>
        <w:gridCol w:w="3402"/>
        <w:gridCol w:w="1333"/>
      </w:tblGrid>
      <w:tr w14:paraId="3D55D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753" w:type="dxa"/>
            <w:textDirection w:val="tbRlV"/>
            <w:vAlign w:val="top"/>
          </w:tcPr>
          <w:p w14:paraId="088D1746">
            <w:pPr>
              <w:pStyle w:val="154"/>
              <w:shd w:val="clear"/>
              <w:spacing w:before="309" w:line="211" w:lineRule="auto"/>
              <w:ind w:left="49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 号</w:t>
            </w:r>
          </w:p>
        </w:tc>
        <w:tc>
          <w:tcPr>
            <w:tcW w:w="3592" w:type="dxa"/>
            <w:vAlign w:val="top"/>
          </w:tcPr>
          <w:p w14:paraId="4605D307">
            <w:pPr>
              <w:shd w:val="clear"/>
              <w:spacing w:line="293" w:lineRule="auto"/>
              <w:rPr>
                <w:rFonts w:ascii="Arial"/>
                <w:color w:val="000000" w:themeColor="text1"/>
                <w:sz w:val="21"/>
                <w:highlight w:val="none"/>
                <w14:textFill>
                  <w14:solidFill>
                    <w14:schemeClr w14:val="tx1"/>
                  </w14:solidFill>
                </w14:textFill>
              </w:rPr>
            </w:pPr>
          </w:p>
          <w:p w14:paraId="5CCD713F">
            <w:pPr>
              <w:shd w:val="clear"/>
              <w:spacing w:line="294" w:lineRule="auto"/>
              <w:rPr>
                <w:rFonts w:ascii="Arial"/>
                <w:color w:val="000000" w:themeColor="text1"/>
                <w:sz w:val="21"/>
                <w:highlight w:val="none"/>
                <w14:textFill>
                  <w14:solidFill>
                    <w14:schemeClr w14:val="tx1"/>
                  </w14:solidFill>
                </w14:textFill>
              </w:rPr>
            </w:pPr>
          </w:p>
          <w:p w14:paraId="12E3F83C">
            <w:pPr>
              <w:pStyle w:val="154"/>
              <w:shd w:val="clear"/>
              <w:spacing w:before="72" w:line="221" w:lineRule="auto"/>
              <w:ind w:left="109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征集文件要求</w:t>
            </w:r>
          </w:p>
        </w:tc>
        <w:tc>
          <w:tcPr>
            <w:tcW w:w="3402" w:type="dxa"/>
            <w:vAlign w:val="top"/>
          </w:tcPr>
          <w:p w14:paraId="0724D0FB">
            <w:pPr>
              <w:shd w:val="clear"/>
              <w:spacing w:line="293" w:lineRule="auto"/>
              <w:rPr>
                <w:rFonts w:ascii="Arial"/>
                <w:color w:val="000000" w:themeColor="text1"/>
                <w:sz w:val="21"/>
                <w:highlight w:val="none"/>
                <w14:textFill>
                  <w14:solidFill>
                    <w14:schemeClr w14:val="tx1"/>
                  </w14:solidFill>
                </w14:textFill>
              </w:rPr>
            </w:pPr>
          </w:p>
          <w:p w14:paraId="2245F490">
            <w:pPr>
              <w:shd w:val="clear"/>
              <w:spacing w:line="294" w:lineRule="auto"/>
              <w:rPr>
                <w:rFonts w:ascii="Arial"/>
                <w:color w:val="000000" w:themeColor="text1"/>
                <w:sz w:val="21"/>
                <w:highlight w:val="none"/>
                <w14:textFill>
                  <w14:solidFill>
                    <w14:schemeClr w14:val="tx1"/>
                  </w14:solidFill>
                </w14:textFill>
              </w:rPr>
            </w:pPr>
          </w:p>
          <w:p w14:paraId="2F18EF70">
            <w:pPr>
              <w:pStyle w:val="154"/>
              <w:shd w:val="clear"/>
              <w:spacing w:before="72" w:line="221" w:lineRule="auto"/>
              <w:ind w:left="795"/>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响应文件响应内容</w:t>
            </w:r>
          </w:p>
        </w:tc>
        <w:tc>
          <w:tcPr>
            <w:tcW w:w="1333" w:type="dxa"/>
            <w:vAlign w:val="top"/>
          </w:tcPr>
          <w:p w14:paraId="27916FDA">
            <w:pPr>
              <w:shd w:val="clear"/>
              <w:spacing w:line="293" w:lineRule="auto"/>
              <w:rPr>
                <w:rFonts w:ascii="Arial"/>
                <w:color w:val="000000" w:themeColor="text1"/>
                <w:sz w:val="21"/>
                <w:highlight w:val="none"/>
                <w14:textFill>
                  <w14:solidFill>
                    <w14:schemeClr w14:val="tx1"/>
                  </w14:solidFill>
                </w14:textFill>
              </w:rPr>
            </w:pPr>
          </w:p>
          <w:p w14:paraId="1AAE5BEB">
            <w:pPr>
              <w:shd w:val="clear"/>
              <w:spacing w:line="294" w:lineRule="auto"/>
              <w:rPr>
                <w:rFonts w:ascii="Arial"/>
                <w:color w:val="000000" w:themeColor="text1"/>
                <w:sz w:val="21"/>
                <w:highlight w:val="none"/>
                <w14:textFill>
                  <w14:solidFill>
                    <w14:schemeClr w14:val="tx1"/>
                  </w14:solidFill>
                </w14:textFill>
              </w:rPr>
            </w:pPr>
          </w:p>
          <w:p w14:paraId="02B1DEA4">
            <w:pPr>
              <w:pStyle w:val="154"/>
              <w:shd w:val="clear"/>
              <w:spacing w:before="72" w:line="221" w:lineRule="auto"/>
              <w:ind w:left="19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偏离说明</w:t>
            </w:r>
          </w:p>
        </w:tc>
      </w:tr>
      <w:tr w14:paraId="2B060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53" w:type="dxa"/>
            <w:vAlign w:val="top"/>
          </w:tcPr>
          <w:p w14:paraId="2F8B612D">
            <w:pPr>
              <w:shd w:val="clear"/>
              <w:rPr>
                <w:rFonts w:ascii="Arial"/>
                <w:color w:val="000000" w:themeColor="text1"/>
                <w:sz w:val="21"/>
                <w:highlight w:val="none"/>
                <w14:textFill>
                  <w14:solidFill>
                    <w14:schemeClr w14:val="tx1"/>
                  </w14:solidFill>
                </w14:textFill>
              </w:rPr>
            </w:pPr>
          </w:p>
        </w:tc>
        <w:tc>
          <w:tcPr>
            <w:tcW w:w="3592" w:type="dxa"/>
            <w:vAlign w:val="top"/>
          </w:tcPr>
          <w:p w14:paraId="4AD8484F">
            <w:pPr>
              <w:shd w:val="clear"/>
              <w:rPr>
                <w:rFonts w:ascii="Arial"/>
                <w:color w:val="000000" w:themeColor="text1"/>
                <w:sz w:val="21"/>
                <w:highlight w:val="none"/>
                <w14:textFill>
                  <w14:solidFill>
                    <w14:schemeClr w14:val="tx1"/>
                  </w14:solidFill>
                </w14:textFill>
              </w:rPr>
            </w:pPr>
          </w:p>
        </w:tc>
        <w:tc>
          <w:tcPr>
            <w:tcW w:w="3402" w:type="dxa"/>
            <w:vAlign w:val="top"/>
          </w:tcPr>
          <w:p w14:paraId="4E665E0B">
            <w:pPr>
              <w:shd w:val="clear"/>
              <w:rPr>
                <w:rFonts w:ascii="Arial"/>
                <w:color w:val="000000" w:themeColor="text1"/>
                <w:sz w:val="21"/>
                <w:highlight w:val="none"/>
                <w14:textFill>
                  <w14:solidFill>
                    <w14:schemeClr w14:val="tx1"/>
                  </w14:solidFill>
                </w14:textFill>
              </w:rPr>
            </w:pPr>
          </w:p>
        </w:tc>
        <w:tc>
          <w:tcPr>
            <w:tcW w:w="1333" w:type="dxa"/>
            <w:vAlign w:val="top"/>
          </w:tcPr>
          <w:p w14:paraId="2C65A982">
            <w:pPr>
              <w:shd w:val="clear"/>
              <w:rPr>
                <w:rFonts w:ascii="Arial"/>
                <w:color w:val="000000" w:themeColor="text1"/>
                <w:sz w:val="21"/>
                <w:highlight w:val="none"/>
                <w14:textFill>
                  <w14:solidFill>
                    <w14:schemeClr w14:val="tx1"/>
                  </w14:solidFill>
                </w14:textFill>
              </w:rPr>
            </w:pPr>
          </w:p>
        </w:tc>
      </w:tr>
      <w:tr w14:paraId="5BAB0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53" w:type="dxa"/>
            <w:vAlign w:val="top"/>
          </w:tcPr>
          <w:p w14:paraId="575BC2DB">
            <w:pPr>
              <w:shd w:val="clear"/>
              <w:rPr>
                <w:rFonts w:ascii="Arial"/>
                <w:color w:val="000000" w:themeColor="text1"/>
                <w:sz w:val="21"/>
                <w:highlight w:val="none"/>
                <w14:textFill>
                  <w14:solidFill>
                    <w14:schemeClr w14:val="tx1"/>
                  </w14:solidFill>
                </w14:textFill>
              </w:rPr>
            </w:pPr>
          </w:p>
        </w:tc>
        <w:tc>
          <w:tcPr>
            <w:tcW w:w="3592" w:type="dxa"/>
            <w:vAlign w:val="top"/>
          </w:tcPr>
          <w:p w14:paraId="75F4F9FE">
            <w:pPr>
              <w:shd w:val="clear"/>
              <w:rPr>
                <w:rFonts w:ascii="Arial"/>
                <w:color w:val="000000" w:themeColor="text1"/>
                <w:sz w:val="21"/>
                <w:highlight w:val="none"/>
                <w14:textFill>
                  <w14:solidFill>
                    <w14:schemeClr w14:val="tx1"/>
                  </w14:solidFill>
                </w14:textFill>
              </w:rPr>
            </w:pPr>
          </w:p>
        </w:tc>
        <w:tc>
          <w:tcPr>
            <w:tcW w:w="3402" w:type="dxa"/>
            <w:vAlign w:val="top"/>
          </w:tcPr>
          <w:p w14:paraId="3CA7E53E">
            <w:pPr>
              <w:shd w:val="clear"/>
              <w:rPr>
                <w:rFonts w:ascii="Arial"/>
                <w:color w:val="000000" w:themeColor="text1"/>
                <w:sz w:val="21"/>
                <w:highlight w:val="none"/>
                <w14:textFill>
                  <w14:solidFill>
                    <w14:schemeClr w14:val="tx1"/>
                  </w14:solidFill>
                </w14:textFill>
              </w:rPr>
            </w:pPr>
          </w:p>
        </w:tc>
        <w:tc>
          <w:tcPr>
            <w:tcW w:w="1333" w:type="dxa"/>
            <w:vAlign w:val="top"/>
          </w:tcPr>
          <w:p w14:paraId="19742D5F">
            <w:pPr>
              <w:shd w:val="clear"/>
              <w:rPr>
                <w:rFonts w:ascii="Arial"/>
                <w:color w:val="000000" w:themeColor="text1"/>
                <w:sz w:val="21"/>
                <w:highlight w:val="none"/>
                <w14:textFill>
                  <w14:solidFill>
                    <w14:schemeClr w14:val="tx1"/>
                  </w14:solidFill>
                </w14:textFill>
              </w:rPr>
            </w:pPr>
          </w:p>
        </w:tc>
      </w:tr>
      <w:tr w14:paraId="4271C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753" w:type="dxa"/>
            <w:vAlign w:val="top"/>
          </w:tcPr>
          <w:p w14:paraId="062441EF">
            <w:pPr>
              <w:shd w:val="clear"/>
              <w:spacing w:line="425" w:lineRule="auto"/>
              <w:rPr>
                <w:rFonts w:ascii="Arial"/>
                <w:color w:val="000000" w:themeColor="text1"/>
                <w:sz w:val="21"/>
                <w:highlight w:val="none"/>
                <w14:textFill>
                  <w14:solidFill>
                    <w14:schemeClr w14:val="tx1"/>
                  </w14:solidFill>
                </w14:textFill>
              </w:rPr>
            </w:pPr>
          </w:p>
          <w:p w14:paraId="2FE9D14C">
            <w:pPr>
              <w:pStyle w:val="154"/>
              <w:shd w:val="clear"/>
              <w:spacing w:before="71" w:line="331" w:lineRule="exact"/>
              <w:ind w:left="239"/>
              <w:rPr>
                <w:color w:val="000000" w:themeColor="text1"/>
                <w:highlight w:val="none"/>
                <w14:textFill>
                  <w14:solidFill>
                    <w14:schemeClr w14:val="tx1"/>
                  </w14:solidFill>
                </w14:textFill>
              </w:rPr>
            </w:pPr>
            <w:r>
              <w:rPr>
                <w:color w:val="000000" w:themeColor="text1"/>
                <w:position w:val="7"/>
                <w:highlight w:val="none"/>
                <w14:textFill>
                  <w14:solidFill>
                    <w14:schemeClr w14:val="tx1"/>
                  </w14:solidFill>
                </w14:textFill>
              </w:rPr>
              <w:t>…</w:t>
            </w:r>
          </w:p>
          <w:p w14:paraId="75E0ABF5">
            <w:pPr>
              <w:pStyle w:val="154"/>
              <w:shd w:val="clear"/>
              <w:spacing w:line="348" w:lineRule="exact"/>
              <w:ind w:left="239"/>
              <w:rPr>
                <w:color w:val="000000" w:themeColor="text1"/>
                <w:highlight w:val="none"/>
                <w14:textFill>
                  <w14:solidFill>
                    <w14:schemeClr w14:val="tx1"/>
                  </w14:solidFill>
                </w14:textFill>
              </w:rPr>
            </w:pPr>
            <w:r>
              <w:rPr>
                <w:color w:val="000000" w:themeColor="text1"/>
                <w:position w:val="3"/>
                <w:highlight w:val="none"/>
                <w14:textFill>
                  <w14:solidFill>
                    <w14:schemeClr w14:val="tx1"/>
                  </w14:solidFill>
                </w14:textFill>
              </w:rPr>
              <w:t>…</w:t>
            </w:r>
          </w:p>
        </w:tc>
        <w:tc>
          <w:tcPr>
            <w:tcW w:w="3592" w:type="dxa"/>
            <w:vAlign w:val="top"/>
          </w:tcPr>
          <w:p w14:paraId="05CC94AD">
            <w:pPr>
              <w:shd w:val="clear"/>
              <w:rPr>
                <w:rFonts w:ascii="Arial"/>
                <w:color w:val="000000" w:themeColor="text1"/>
                <w:sz w:val="21"/>
                <w:highlight w:val="none"/>
                <w14:textFill>
                  <w14:solidFill>
                    <w14:schemeClr w14:val="tx1"/>
                  </w14:solidFill>
                </w14:textFill>
              </w:rPr>
            </w:pPr>
          </w:p>
        </w:tc>
        <w:tc>
          <w:tcPr>
            <w:tcW w:w="3402" w:type="dxa"/>
            <w:vAlign w:val="top"/>
          </w:tcPr>
          <w:p w14:paraId="484655F9">
            <w:pPr>
              <w:shd w:val="clear"/>
              <w:rPr>
                <w:rFonts w:ascii="Arial"/>
                <w:color w:val="000000" w:themeColor="text1"/>
                <w:sz w:val="21"/>
                <w:highlight w:val="none"/>
                <w14:textFill>
                  <w14:solidFill>
                    <w14:schemeClr w14:val="tx1"/>
                  </w14:solidFill>
                </w14:textFill>
              </w:rPr>
            </w:pPr>
          </w:p>
        </w:tc>
        <w:tc>
          <w:tcPr>
            <w:tcW w:w="1333" w:type="dxa"/>
            <w:vAlign w:val="top"/>
          </w:tcPr>
          <w:p w14:paraId="72CF80C4">
            <w:pPr>
              <w:shd w:val="clear"/>
              <w:rPr>
                <w:rFonts w:ascii="Arial"/>
                <w:color w:val="000000" w:themeColor="text1"/>
                <w:sz w:val="21"/>
                <w:highlight w:val="none"/>
                <w14:textFill>
                  <w14:solidFill>
                    <w14:schemeClr w14:val="tx1"/>
                  </w14:solidFill>
                </w14:textFill>
              </w:rPr>
            </w:pPr>
          </w:p>
        </w:tc>
      </w:tr>
      <w:tr w14:paraId="326E9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753" w:type="dxa"/>
            <w:vAlign w:val="top"/>
          </w:tcPr>
          <w:p w14:paraId="5201C70B">
            <w:pPr>
              <w:shd w:val="clear"/>
              <w:spacing w:line="426" w:lineRule="auto"/>
              <w:rPr>
                <w:rFonts w:ascii="Arial"/>
                <w:color w:val="000000" w:themeColor="text1"/>
                <w:sz w:val="21"/>
                <w:highlight w:val="none"/>
                <w14:textFill>
                  <w14:solidFill>
                    <w14:schemeClr w14:val="tx1"/>
                  </w14:solidFill>
                </w14:textFill>
              </w:rPr>
            </w:pPr>
          </w:p>
          <w:p w14:paraId="13C418D3">
            <w:pPr>
              <w:pStyle w:val="154"/>
              <w:shd w:val="clear"/>
              <w:spacing w:before="71" w:line="331" w:lineRule="exact"/>
              <w:ind w:left="239"/>
              <w:rPr>
                <w:color w:val="000000" w:themeColor="text1"/>
                <w:highlight w:val="none"/>
                <w14:textFill>
                  <w14:solidFill>
                    <w14:schemeClr w14:val="tx1"/>
                  </w14:solidFill>
                </w14:textFill>
              </w:rPr>
            </w:pPr>
            <w:r>
              <w:rPr>
                <w:color w:val="000000" w:themeColor="text1"/>
                <w:position w:val="7"/>
                <w:highlight w:val="none"/>
                <w14:textFill>
                  <w14:solidFill>
                    <w14:schemeClr w14:val="tx1"/>
                  </w14:solidFill>
                </w14:textFill>
              </w:rPr>
              <w:t>…</w:t>
            </w:r>
          </w:p>
          <w:p w14:paraId="0920FCA1">
            <w:pPr>
              <w:pStyle w:val="154"/>
              <w:shd w:val="clear"/>
              <w:spacing w:line="348" w:lineRule="exact"/>
              <w:ind w:left="239"/>
              <w:rPr>
                <w:color w:val="000000" w:themeColor="text1"/>
                <w:highlight w:val="none"/>
                <w14:textFill>
                  <w14:solidFill>
                    <w14:schemeClr w14:val="tx1"/>
                  </w14:solidFill>
                </w14:textFill>
              </w:rPr>
            </w:pPr>
            <w:r>
              <w:rPr>
                <w:color w:val="000000" w:themeColor="text1"/>
                <w:position w:val="3"/>
                <w:highlight w:val="none"/>
                <w14:textFill>
                  <w14:solidFill>
                    <w14:schemeClr w14:val="tx1"/>
                  </w14:solidFill>
                </w14:textFill>
              </w:rPr>
              <w:t>…</w:t>
            </w:r>
          </w:p>
        </w:tc>
        <w:tc>
          <w:tcPr>
            <w:tcW w:w="3592" w:type="dxa"/>
            <w:vAlign w:val="top"/>
          </w:tcPr>
          <w:p w14:paraId="2BDA66D3">
            <w:pPr>
              <w:shd w:val="clear"/>
              <w:rPr>
                <w:rFonts w:ascii="Arial"/>
                <w:color w:val="000000" w:themeColor="text1"/>
                <w:sz w:val="21"/>
                <w:highlight w:val="none"/>
                <w14:textFill>
                  <w14:solidFill>
                    <w14:schemeClr w14:val="tx1"/>
                  </w14:solidFill>
                </w14:textFill>
              </w:rPr>
            </w:pPr>
          </w:p>
        </w:tc>
        <w:tc>
          <w:tcPr>
            <w:tcW w:w="3402" w:type="dxa"/>
            <w:vAlign w:val="top"/>
          </w:tcPr>
          <w:p w14:paraId="1E828550">
            <w:pPr>
              <w:shd w:val="clear"/>
              <w:rPr>
                <w:rFonts w:ascii="Arial"/>
                <w:color w:val="000000" w:themeColor="text1"/>
                <w:sz w:val="21"/>
                <w:highlight w:val="none"/>
                <w14:textFill>
                  <w14:solidFill>
                    <w14:schemeClr w14:val="tx1"/>
                  </w14:solidFill>
                </w14:textFill>
              </w:rPr>
            </w:pPr>
          </w:p>
        </w:tc>
        <w:tc>
          <w:tcPr>
            <w:tcW w:w="1333" w:type="dxa"/>
            <w:vAlign w:val="top"/>
          </w:tcPr>
          <w:p w14:paraId="11531D5E">
            <w:pPr>
              <w:shd w:val="clear"/>
              <w:rPr>
                <w:rFonts w:ascii="Arial"/>
                <w:color w:val="000000" w:themeColor="text1"/>
                <w:sz w:val="21"/>
                <w:highlight w:val="none"/>
                <w14:textFill>
                  <w14:solidFill>
                    <w14:schemeClr w14:val="tx1"/>
                  </w14:solidFill>
                </w14:textFill>
              </w:rPr>
            </w:pPr>
          </w:p>
        </w:tc>
      </w:tr>
    </w:tbl>
    <w:p w14:paraId="77D1B288">
      <w:pPr>
        <w:pStyle w:val="19"/>
        <w:shd w:val="clear"/>
        <w:spacing w:line="426" w:lineRule="auto"/>
        <w:rPr>
          <w:color w:val="000000" w:themeColor="text1"/>
          <w:highlight w:val="none"/>
          <w14:textFill>
            <w14:solidFill>
              <w14:schemeClr w14:val="tx1"/>
            </w14:solidFill>
          </w14:textFill>
        </w:rPr>
      </w:pPr>
    </w:p>
    <w:p w14:paraId="7785FCA8">
      <w:pPr>
        <w:shd w:val="clear"/>
        <w:spacing w:before="72" w:line="225" w:lineRule="auto"/>
        <w:ind w:left="276"/>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4"/>
          <w:sz w:val="22"/>
          <w:szCs w:val="22"/>
          <w:highlight w:val="none"/>
          <w14:textFill>
            <w14:solidFill>
              <w14:schemeClr w14:val="tx1"/>
            </w14:solidFill>
          </w14:textFill>
        </w:rPr>
        <w:t>注：</w:t>
      </w:r>
    </w:p>
    <w:p w14:paraId="61E9BD13">
      <w:pPr>
        <w:shd w:val="clear"/>
        <w:spacing w:before="229" w:line="497" w:lineRule="exact"/>
        <w:jc w:val="right"/>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1"/>
          <w:position w:val="21"/>
          <w:sz w:val="22"/>
          <w:szCs w:val="22"/>
          <w:highlight w:val="none"/>
          <w:lang w:eastAsia="zh-CN"/>
          <w14:textFill>
            <w14:solidFill>
              <w14:schemeClr w14:val="tx1"/>
            </w14:solidFill>
          </w14:textFill>
        </w:rPr>
        <w:t>（</w:t>
      </w:r>
      <w:r>
        <w:rPr>
          <w:rFonts w:ascii="宋体" w:hAnsi="宋体" w:eastAsia="宋体" w:cs="宋体"/>
          <w:color w:val="000000" w:themeColor="text1"/>
          <w:spacing w:val="-1"/>
          <w:position w:val="21"/>
          <w:sz w:val="22"/>
          <w:szCs w:val="22"/>
          <w:highlight w:val="none"/>
          <w14:textFill>
            <w14:solidFill>
              <w14:schemeClr w14:val="tx1"/>
            </w14:solidFill>
          </w14:textFill>
        </w:rPr>
        <w:t>1</w:t>
      </w:r>
      <w:r>
        <w:rPr>
          <w:rFonts w:hint="eastAsia" w:ascii="宋体" w:hAnsi="宋体" w:cs="宋体"/>
          <w:color w:val="000000" w:themeColor="text1"/>
          <w:spacing w:val="-1"/>
          <w:position w:val="21"/>
          <w:sz w:val="22"/>
          <w:szCs w:val="22"/>
          <w:highlight w:val="none"/>
          <w:lang w:eastAsia="zh-CN"/>
          <w14:textFill>
            <w14:solidFill>
              <w14:schemeClr w14:val="tx1"/>
            </w14:solidFill>
          </w14:textFill>
        </w:rPr>
        <w:t>）</w:t>
      </w:r>
      <w:r>
        <w:rPr>
          <w:rFonts w:ascii="宋体" w:hAnsi="宋体" w:eastAsia="宋体" w:cs="宋体"/>
          <w:color w:val="000000" w:themeColor="text1"/>
          <w:spacing w:val="-1"/>
          <w:position w:val="21"/>
          <w:sz w:val="22"/>
          <w:szCs w:val="22"/>
          <w:highlight w:val="none"/>
          <w14:textFill>
            <w14:solidFill>
              <w14:schemeClr w14:val="tx1"/>
            </w14:solidFill>
          </w14:textFill>
        </w:rPr>
        <w:t>本表应对征集文件第二章《采购需求》中所列技术要求进行响应，并根据响</w:t>
      </w:r>
      <w:r>
        <w:rPr>
          <w:rFonts w:ascii="宋体" w:hAnsi="宋体" w:eastAsia="宋体" w:cs="宋体"/>
          <w:color w:val="000000" w:themeColor="text1"/>
          <w:spacing w:val="-2"/>
          <w:position w:val="21"/>
          <w:sz w:val="22"/>
          <w:szCs w:val="22"/>
          <w:highlight w:val="none"/>
          <w14:textFill>
            <w14:solidFill>
              <w14:schemeClr w14:val="tx1"/>
            </w14:solidFill>
          </w14:textFill>
        </w:rPr>
        <w:t>应情况在“偏</w:t>
      </w:r>
    </w:p>
    <w:p w14:paraId="7A9111B3">
      <w:pPr>
        <w:shd w:val="clear"/>
        <w:spacing w:before="1" w:line="220" w:lineRule="auto"/>
        <w:ind w:left="279"/>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离说明</w:t>
      </w:r>
      <w:r>
        <w:rPr>
          <w:rFonts w:ascii="宋体" w:hAnsi="宋体" w:eastAsia="宋体" w:cs="宋体"/>
          <w:color w:val="000000" w:themeColor="text1"/>
          <w:spacing w:val="-81"/>
          <w:sz w:val="22"/>
          <w:szCs w:val="22"/>
          <w:highlight w:val="non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”栏填写正偏离或负偏离及原因，完全</w:t>
      </w:r>
      <w:r>
        <w:rPr>
          <w:rFonts w:ascii="宋体" w:hAnsi="宋体" w:eastAsia="宋体" w:cs="宋体"/>
          <w:color w:val="000000" w:themeColor="text1"/>
          <w:spacing w:val="-2"/>
          <w:sz w:val="22"/>
          <w:szCs w:val="22"/>
          <w:highlight w:val="none"/>
          <w14:textFill>
            <w14:solidFill>
              <w14:schemeClr w14:val="tx1"/>
            </w14:solidFill>
          </w14:textFill>
        </w:rPr>
        <w:t>符合的填写“无偏离</w:t>
      </w:r>
      <w:r>
        <w:rPr>
          <w:rFonts w:ascii="宋体" w:hAnsi="宋体" w:eastAsia="宋体" w:cs="宋体"/>
          <w:color w:val="000000" w:themeColor="text1"/>
          <w:spacing w:val="-80"/>
          <w:sz w:val="22"/>
          <w:szCs w:val="22"/>
          <w:highlight w:val="non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w:t>
      </w:r>
    </w:p>
    <w:p w14:paraId="43A6A57F">
      <w:pPr>
        <w:shd w:val="clear"/>
        <w:spacing w:before="233" w:line="220" w:lineRule="auto"/>
        <w:ind w:left="315"/>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2"/>
          <w:sz w:val="22"/>
          <w:szCs w:val="22"/>
          <w:highlight w:val="none"/>
          <w:lang w:eastAsia="zh-CN"/>
          <w14:textFill>
            <w14:solidFill>
              <w14:schemeClr w14:val="tx1"/>
            </w14:solidFill>
          </w14:textFill>
        </w:rPr>
        <w:t>（</w:t>
      </w:r>
      <w:r>
        <w:rPr>
          <w:rFonts w:ascii="宋体" w:hAnsi="宋体" w:eastAsia="宋体" w:cs="宋体"/>
          <w:color w:val="000000" w:themeColor="text1"/>
          <w:spacing w:val="-2"/>
          <w:sz w:val="22"/>
          <w:szCs w:val="22"/>
          <w:highlight w:val="none"/>
          <w14:textFill>
            <w14:solidFill>
              <w14:schemeClr w14:val="tx1"/>
            </w14:solidFill>
          </w14:textFill>
        </w:rPr>
        <w:t>2</w:t>
      </w:r>
      <w:r>
        <w:rPr>
          <w:rFonts w:hint="eastAsia" w:ascii="宋体" w:hAnsi="宋体" w:cs="宋体"/>
          <w:color w:val="000000" w:themeColor="text1"/>
          <w:spacing w:val="-2"/>
          <w:sz w:val="22"/>
          <w:szCs w:val="22"/>
          <w:highlight w:val="none"/>
          <w:lang w:eastAsia="zh-CN"/>
          <w14:textFill>
            <w14:solidFill>
              <w14:schemeClr w14:val="tx1"/>
            </w14:solidFill>
          </w14:textFill>
        </w:rPr>
        <w:t>）</w:t>
      </w:r>
      <w:r>
        <w:rPr>
          <w:rFonts w:ascii="宋体" w:hAnsi="宋体" w:eastAsia="宋体" w:cs="宋体"/>
          <w:color w:val="000000" w:themeColor="text1"/>
          <w:spacing w:val="-2"/>
          <w:sz w:val="22"/>
          <w:szCs w:val="22"/>
          <w:highlight w:val="none"/>
          <w14:textFill>
            <w14:solidFill>
              <w14:schemeClr w14:val="tx1"/>
            </w14:solidFill>
          </w14:textFill>
        </w:rPr>
        <w:t>第二章《采购需求》中的总体要求无需</w:t>
      </w:r>
      <w:r>
        <w:rPr>
          <w:rFonts w:ascii="宋体" w:hAnsi="宋体" w:eastAsia="宋体" w:cs="宋体"/>
          <w:color w:val="000000" w:themeColor="text1"/>
          <w:spacing w:val="-3"/>
          <w:sz w:val="22"/>
          <w:szCs w:val="22"/>
          <w:highlight w:val="none"/>
          <w14:textFill>
            <w14:solidFill>
              <w14:schemeClr w14:val="tx1"/>
            </w14:solidFill>
          </w14:textFill>
        </w:rPr>
        <w:t>响应。</w:t>
      </w:r>
    </w:p>
    <w:p w14:paraId="7C59804A">
      <w:pPr>
        <w:shd w:val="clear"/>
        <w:spacing w:before="235" w:line="497" w:lineRule="exact"/>
        <w:ind w:left="172"/>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position w:val="21"/>
          <w:sz w:val="22"/>
          <w:szCs w:val="22"/>
          <w:highlight w:val="none"/>
          <w14:textFill>
            <w14:solidFill>
              <w14:schemeClr w14:val="tx1"/>
            </w14:solidFill>
          </w14:textFill>
        </w:rPr>
        <w:t>（3）供应商响应的服务的技术不得低于采购需求所有要求。</w:t>
      </w:r>
    </w:p>
    <w:p w14:paraId="0A54BFB5">
      <w:pPr>
        <w:shd w:val="clear"/>
        <w:spacing w:line="220" w:lineRule="auto"/>
        <w:ind w:left="315"/>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lang w:eastAsia="zh-CN"/>
          <w14:textFill>
            <w14:solidFill>
              <w14:schemeClr w14:val="tx1"/>
            </w14:solidFill>
          </w14:textFill>
        </w:rPr>
        <w:t>（</w:t>
      </w:r>
      <w:r>
        <w:rPr>
          <w:rFonts w:ascii="宋体" w:hAnsi="宋体" w:eastAsia="宋体" w:cs="宋体"/>
          <w:color w:val="000000" w:themeColor="text1"/>
          <w:spacing w:val="-6"/>
          <w:sz w:val="22"/>
          <w:szCs w:val="22"/>
          <w:highlight w:val="none"/>
          <w14:textFill>
            <w14:solidFill>
              <w14:schemeClr w14:val="tx1"/>
            </w14:solidFill>
          </w14:textFill>
        </w:rPr>
        <w:t>4</w:t>
      </w:r>
      <w:r>
        <w:rPr>
          <w:rFonts w:hint="eastAsia" w:ascii="宋体" w:hAnsi="宋体" w:cs="宋体"/>
          <w:color w:val="000000" w:themeColor="text1"/>
          <w:spacing w:val="-6"/>
          <w:sz w:val="22"/>
          <w:szCs w:val="22"/>
          <w:highlight w:val="none"/>
          <w:lang w:eastAsia="zh-CN"/>
          <w14:textFill>
            <w14:solidFill>
              <w14:schemeClr w14:val="tx1"/>
            </w14:solidFill>
          </w14:textFill>
        </w:rPr>
        <w:t>）</w:t>
      </w:r>
      <w:r>
        <w:rPr>
          <w:rFonts w:ascii="宋体" w:hAnsi="宋体" w:eastAsia="宋体" w:cs="宋体"/>
          <w:color w:val="000000" w:themeColor="text1"/>
          <w:spacing w:val="-6"/>
          <w:sz w:val="22"/>
          <w:szCs w:val="22"/>
          <w:highlight w:val="none"/>
          <w14:textFill>
            <w14:solidFill>
              <w14:schemeClr w14:val="tx1"/>
            </w14:solidFill>
          </w14:textFill>
        </w:rPr>
        <w:t>本表可扩展。</w:t>
      </w:r>
    </w:p>
    <w:p w14:paraId="1D817425">
      <w:pPr>
        <w:pStyle w:val="19"/>
        <w:shd w:val="clear"/>
        <w:spacing w:line="327" w:lineRule="auto"/>
        <w:rPr>
          <w:color w:val="000000" w:themeColor="text1"/>
          <w:highlight w:val="none"/>
          <w14:textFill>
            <w14:solidFill>
              <w14:schemeClr w14:val="tx1"/>
            </w14:solidFill>
          </w14:textFill>
        </w:rPr>
      </w:pPr>
    </w:p>
    <w:p w14:paraId="48857706">
      <w:pPr>
        <w:pStyle w:val="19"/>
        <w:shd w:val="clear"/>
        <w:spacing w:line="328" w:lineRule="auto"/>
        <w:rPr>
          <w:color w:val="000000" w:themeColor="text1"/>
          <w:highlight w:val="none"/>
          <w14:textFill>
            <w14:solidFill>
              <w14:schemeClr w14:val="tx1"/>
            </w14:solidFill>
          </w14:textFill>
        </w:rPr>
      </w:pPr>
    </w:p>
    <w:p w14:paraId="00946BBD">
      <w:pPr>
        <w:shd w:val="clear"/>
        <w:spacing w:before="72" w:line="494" w:lineRule="exact"/>
        <w:ind w:left="276"/>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position w:val="21"/>
          <w:sz w:val="22"/>
          <w:szCs w:val="22"/>
          <w:highlight w:val="none"/>
          <w14:textFill>
            <w14:solidFill>
              <w14:schemeClr w14:val="tx1"/>
            </w14:solidFill>
          </w14:textFill>
        </w:rPr>
        <w:t>供应商名称</w:t>
      </w:r>
      <w:r>
        <w:rPr>
          <w:rFonts w:hint="eastAsia" w:ascii="宋体" w:hAnsi="宋体" w:cs="宋体"/>
          <w:color w:val="000000" w:themeColor="text1"/>
          <w:spacing w:val="-1"/>
          <w:position w:val="21"/>
          <w:sz w:val="22"/>
          <w:szCs w:val="22"/>
          <w:highlight w:val="none"/>
          <w:lang w:eastAsia="zh-CN"/>
          <w14:textFill>
            <w14:solidFill>
              <w14:schemeClr w14:val="tx1"/>
            </w14:solidFill>
          </w14:textFill>
        </w:rPr>
        <w:t>（</w:t>
      </w:r>
      <w:r>
        <w:rPr>
          <w:rFonts w:ascii="宋体" w:hAnsi="宋体" w:eastAsia="宋体" w:cs="宋体"/>
          <w:color w:val="000000" w:themeColor="text1"/>
          <w:spacing w:val="-1"/>
          <w:position w:val="21"/>
          <w:sz w:val="22"/>
          <w:szCs w:val="22"/>
          <w:highlight w:val="none"/>
          <w14:textFill>
            <w14:solidFill>
              <w14:schemeClr w14:val="tx1"/>
            </w14:solidFill>
          </w14:textFill>
        </w:rPr>
        <w:t>电子签章</w:t>
      </w:r>
      <w:r>
        <w:rPr>
          <w:rFonts w:hint="eastAsia" w:ascii="宋体" w:hAnsi="宋体" w:cs="宋体"/>
          <w:color w:val="000000" w:themeColor="text1"/>
          <w:spacing w:val="-1"/>
          <w:position w:val="21"/>
          <w:sz w:val="22"/>
          <w:szCs w:val="22"/>
          <w:highlight w:val="none"/>
          <w:lang w:eastAsia="zh-CN"/>
          <w14:textFill>
            <w14:solidFill>
              <w14:schemeClr w14:val="tx1"/>
            </w14:solidFill>
          </w14:textFill>
        </w:rPr>
        <w:t>）</w:t>
      </w:r>
      <w:r>
        <w:rPr>
          <w:rFonts w:ascii="宋体" w:hAnsi="宋体" w:eastAsia="宋体" w:cs="宋体"/>
          <w:color w:val="000000" w:themeColor="text1"/>
          <w:spacing w:val="-1"/>
          <w:position w:val="21"/>
          <w:sz w:val="22"/>
          <w:szCs w:val="22"/>
          <w:highlight w:val="none"/>
          <w14:textFill>
            <w14:solidFill>
              <w14:schemeClr w14:val="tx1"/>
            </w14:solidFill>
          </w14:textFill>
        </w:rPr>
        <w:t>：</w:t>
      </w:r>
    </w:p>
    <w:p w14:paraId="4ABF7584">
      <w:pPr>
        <w:shd w:val="clear"/>
        <w:spacing w:before="1" w:line="221" w:lineRule="auto"/>
        <w:ind w:left="314"/>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5"/>
          <w:sz w:val="22"/>
          <w:szCs w:val="22"/>
          <w:highlight w:val="none"/>
          <w14:textFill>
            <w14:solidFill>
              <w14:schemeClr w14:val="tx1"/>
            </w14:solidFill>
          </w14:textFill>
        </w:rPr>
        <w:t>日期：</w:t>
      </w:r>
    </w:p>
    <w:p w14:paraId="7E69698B">
      <w:pPr>
        <w:shd w:val="clear"/>
        <w:spacing w:line="221" w:lineRule="auto"/>
        <w:rPr>
          <w:rFonts w:ascii="宋体" w:hAnsi="宋体" w:eastAsia="宋体" w:cs="宋体"/>
          <w:color w:val="000000" w:themeColor="text1"/>
          <w:sz w:val="22"/>
          <w:szCs w:val="22"/>
          <w:highlight w:val="none"/>
          <w14:textFill>
            <w14:solidFill>
              <w14:schemeClr w14:val="tx1"/>
            </w14:solidFill>
          </w14:textFill>
        </w:rPr>
        <w:sectPr>
          <w:footerReference r:id="rId27" w:type="default"/>
          <w:pgSz w:w="11906" w:h="16839"/>
          <w:pgMar w:top="1210" w:right="1420" w:bottom="884" w:left="1306" w:header="0" w:footer="679" w:gutter="0"/>
          <w:pgNumType w:fmt="decimal"/>
          <w:cols w:space="720" w:num="1"/>
        </w:sectPr>
      </w:pPr>
    </w:p>
    <w:p w14:paraId="3AF4FB1F">
      <w:pPr>
        <w:shd w:val="clear"/>
        <w:spacing w:before="156" w:line="220" w:lineRule="auto"/>
        <w:ind w:left="5"/>
        <w:rPr>
          <w:rFonts w:ascii="宋体" w:hAnsi="宋体" w:eastAsia="宋体" w:cs="宋体"/>
          <w:b/>
          <w:bCs/>
          <w:color w:val="000000" w:themeColor="text1"/>
          <w:sz w:val="22"/>
          <w:szCs w:val="22"/>
          <w:highlight w:val="none"/>
          <w14:textFill>
            <w14:solidFill>
              <w14:schemeClr w14:val="tx1"/>
            </w14:solidFill>
          </w14:textFill>
        </w:rPr>
      </w:pPr>
      <w:r>
        <w:rPr>
          <w:rFonts w:ascii="宋体" w:hAnsi="宋体" w:eastAsia="宋体" w:cs="宋体"/>
          <w:b/>
          <w:bCs/>
          <w:color w:val="000000" w:themeColor="text1"/>
          <w:spacing w:val="-1"/>
          <w:sz w:val="22"/>
          <w:szCs w:val="22"/>
          <w:highlight w:val="none"/>
          <w14:textFill>
            <w14:solidFill>
              <w14:schemeClr w14:val="tx1"/>
            </w14:solidFill>
          </w14:textFill>
        </w:rPr>
        <w:t>2.</w:t>
      </w:r>
      <w:r>
        <w:rPr>
          <w:rFonts w:hint="eastAsia" w:ascii="宋体" w:hAnsi="宋体" w:cs="宋体"/>
          <w:b/>
          <w:bCs/>
          <w:color w:val="000000" w:themeColor="text1"/>
          <w:spacing w:val="-1"/>
          <w:sz w:val="22"/>
          <w:szCs w:val="22"/>
          <w:highlight w:val="none"/>
          <w:lang w:eastAsia="zh-CN"/>
          <w14:textFill>
            <w14:solidFill>
              <w14:schemeClr w14:val="tx1"/>
            </w14:solidFill>
          </w14:textFill>
        </w:rPr>
        <w:t>技术工作方案</w:t>
      </w:r>
      <w:r>
        <w:rPr>
          <w:rFonts w:ascii="宋体" w:hAnsi="宋体" w:eastAsia="宋体" w:cs="宋体"/>
          <w:b/>
          <w:bCs/>
          <w:color w:val="000000" w:themeColor="text1"/>
          <w:spacing w:val="-1"/>
          <w:sz w:val="22"/>
          <w:szCs w:val="22"/>
          <w:highlight w:val="none"/>
          <w14:textFill>
            <w14:solidFill>
              <w14:schemeClr w14:val="tx1"/>
            </w14:solidFill>
          </w14:textFill>
        </w:rPr>
        <w:t>（格式自拟）</w:t>
      </w:r>
    </w:p>
    <w:p w14:paraId="6DAA8001">
      <w:pPr>
        <w:pStyle w:val="19"/>
        <w:shd w:val="clear"/>
        <w:spacing w:line="286" w:lineRule="auto"/>
        <w:rPr>
          <w:color w:val="000000" w:themeColor="text1"/>
          <w:highlight w:val="none"/>
          <w14:textFill>
            <w14:solidFill>
              <w14:schemeClr w14:val="tx1"/>
            </w14:solidFill>
          </w14:textFill>
        </w:rPr>
      </w:pPr>
    </w:p>
    <w:p w14:paraId="565CA8D7">
      <w:pPr>
        <w:pStyle w:val="19"/>
        <w:shd w:val="clear"/>
        <w:spacing w:line="287" w:lineRule="auto"/>
        <w:rPr>
          <w:color w:val="000000" w:themeColor="text1"/>
          <w:highlight w:val="none"/>
          <w14:textFill>
            <w14:solidFill>
              <w14:schemeClr w14:val="tx1"/>
            </w14:solidFill>
          </w14:textFill>
        </w:rPr>
      </w:pPr>
    </w:p>
    <w:p w14:paraId="775A5243">
      <w:pPr>
        <w:pStyle w:val="19"/>
        <w:shd w:val="clear"/>
        <w:spacing w:line="287" w:lineRule="auto"/>
        <w:rPr>
          <w:color w:val="000000" w:themeColor="text1"/>
          <w:highlight w:val="none"/>
          <w14:textFill>
            <w14:solidFill>
              <w14:schemeClr w14:val="tx1"/>
            </w14:solidFill>
          </w14:textFill>
        </w:rPr>
      </w:pPr>
    </w:p>
    <w:p w14:paraId="48A0516C">
      <w:pPr>
        <w:shd w:val="clear"/>
        <w:spacing w:before="72" w:line="221" w:lineRule="auto"/>
        <w:rPr>
          <w:rFonts w:ascii="宋体" w:hAnsi="宋体" w:eastAsia="宋体" w:cs="宋体"/>
          <w:b/>
          <w:bCs/>
          <w:color w:val="000000" w:themeColor="text1"/>
          <w:sz w:val="22"/>
          <w:szCs w:val="22"/>
          <w:highlight w:val="none"/>
          <w14:textFill>
            <w14:solidFill>
              <w14:schemeClr w14:val="tx1"/>
            </w14:solidFill>
          </w14:textFill>
        </w:rPr>
      </w:pPr>
      <w:r>
        <w:rPr>
          <w:rFonts w:ascii="宋体" w:hAnsi="宋体" w:eastAsia="宋体" w:cs="宋体"/>
          <w:b/>
          <w:bCs/>
          <w:color w:val="000000" w:themeColor="text1"/>
          <w:spacing w:val="-2"/>
          <w:sz w:val="22"/>
          <w:szCs w:val="22"/>
          <w:highlight w:val="none"/>
          <w14:textFill>
            <w14:solidFill>
              <w14:schemeClr w14:val="tx1"/>
            </w14:solidFill>
          </w14:textFill>
        </w:rPr>
        <w:t>3.响应真实性承诺函</w:t>
      </w:r>
    </w:p>
    <w:p w14:paraId="7D3BE3D2">
      <w:pPr>
        <w:shd w:val="clear"/>
        <w:spacing w:before="281" w:line="221" w:lineRule="auto"/>
        <w:ind w:left="3700"/>
        <w:rPr>
          <w:rFonts w:ascii="宋体" w:hAnsi="宋体" w:eastAsia="宋体" w:cs="宋体"/>
          <w:b/>
          <w:bCs/>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3"/>
          <w:sz w:val="28"/>
          <w:szCs w:val="28"/>
          <w:highlight w:val="none"/>
          <w14:textFill>
            <w14:solidFill>
              <w14:schemeClr w14:val="tx1"/>
            </w14:solidFill>
          </w14:textFill>
        </w:rPr>
        <w:t>响应真实性承诺函</w:t>
      </w:r>
    </w:p>
    <w:p w14:paraId="563479DB">
      <w:pPr>
        <w:pStyle w:val="19"/>
        <w:shd w:val="clear"/>
        <w:spacing w:line="284" w:lineRule="auto"/>
        <w:rPr>
          <w:color w:val="000000" w:themeColor="text1"/>
          <w:highlight w:val="none"/>
          <w14:textFill>
            <w14:solidFill>
              <w14:schemeClr w14:val="tx1"/>
            </w14:solidFill>
          </w14:textFill>
        </w:rPr>
      </w:pPr>
    </w:p>
    <w:p w14:paraId="2FC10A6D">
      <w:pPr>
        <w:pStyle w:val="19"/>
        <w:shd w:val="clear"/>
        <w:spacing w:line="284" w:lineRule="auto"/>
        <w:rPr>
          <w:color w:val="000000" w:themeColor="text1"/>
          <w:highlight w:val="none"/>
          <w14:textFill>
            <w14:solidFill>
              <w14:schemeClr w14:val="tx1"/>
            </w14:solidFill>
          </w14:textFill>
        </w:rPr>
      </w:pPr>
    </w:p>
    <w:p w14:paraId="2AE11832">
      <w:pPr>
        <w:pStyle w:val="19"/>
        <w:shd w:val="clear"/>
        <w:spacing w:line="284" w:lineRule="auto"/>
        <w:rPr>
          <w:color w:val="000000" w:themeColor="text1"/>
          <w:highlight w:val="none"/>
          <w14:textFill>
            <w14:solidFill>
              <w14:schemeClr w14:val="tx1"/>
            </w14:solidFill>
          </w14:textFill>
        </w:rPr>
      </w:pPr>
    </w:p>
    <w:p w14:paraId="4B134329">
      <w:pPr>
        <w:pStyle w:val="19"/>
        <w:shd w:val="clear"/>
        <w:spacing w:line="284" w:lineRule="auto"/>
        <w:rPr>
          <w:color w:val="000000" w:themeColor="text1"/>
          <w:highlight w:val="none"/>
          <w14:textFill>
            <w14:solidFill>
              <w14:schemeClr w14:val="tx1"/>
            </w14:solidFill>
          </w14:textFill>
        </w:rPr>
      </w:pPr>
    </w:p>
    <w:p w14:paraId="68AA3E8E">
      <w:pPr>
        <w:pStyle w:val="19"/>
        <w:shd w:val="clear"/>
        <w:spacing w:line="284" w:lineRule="auto"/>
        <w:rPr>
          <w:color w:val="000000" w:themeColor="text1"/>
          <w:highlight w:val="none"/>
          <w14:textFill>
            <w14:solidFill>
              <w14:schemeClr w14:val="tx1"/>
            </w14:solidFill>
          </w14:textFill>
        </w:rPr>
      </w:pPr>
    </w:p>
    <w:p w14:paraId="014091CD">
      <w:pPr>
        <w:shd w:val="clear"/>
        <w:spacing w:before="71" w:line="568" w:lineRule="auto"/>
        <w:jc w:val="righ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本公司（单位）参与</w:t>
      </w:r>
      <w:r>
        <w:rPr>
          <w:rFonts w:ascii="宋体" w:hAnsi="宋体" w:eastAsia="宋体" w:cs="宋体"/>
          <w:color w:val="000000" w:themeColor="text1"/>
          <w:sz w:val="22"/>
          <w:szCs w:val="22"/>
          <w:highlight w:val="none"/>
          <w:u w:val="single" w:color="auto"/>
          <w14:textFill>
            <w14:solidFill>
              <w14:schemeClr w14:val="tx1"/>
            </w14:solidFill>
          </w14:textFill>
        </w:rPr>
        <w:t xml:space="preserve">              </w:t>
      </w:r>
      <w:r>
        <w:rPr>
          <w:rFonts w:ascii="宋体" w:hAnsi="宋体" w:eastAsia="宋体" w:cs="宋体"/>
          <w:color w:val="000000" w:themeColor="text1"/>
          <w:spacing w:val="-1"/>
          <w:sz w:val="22"/>
          <w:szCs w:val="22"/>
          <w:highlight w:val="none"/>
          <w:u w:val="single" w:color="auto"/>
          <w14:textFill>
            <w14:solidFill>
              <w14:schemeClr w14:val="tx1"/>
            </w14:solidFill>
          </w14:textFill>
        </w:rPr>
        <w:t xml:space="preserve">                         </w:t>
      </w:r>
      <w:r>
        <w:rPr>
          <w:rFonts w:ascii="宋体" w:hAnsi="宋体" w:eastAsia="宋体" w:cs="宋体"/>
          <w:color w:val="000000" w:themeColor="text1"/>
          <w:spacing w:val="-97"/>
          <w:sz w:val="22"/>
          <w:szCs w:val="22"/>
          <w:highlight w:val="non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项目公开征集活动，对征集</w:t>
      </w:r>
    </w:p>
    <w:p w14:paraId="1D468F67">
      <w:pPr>
        <w:shd w:val="clear"/>
        <w:spacing w:before="1" w:line="220" w:lineRule="auto"/>
        <w:ind w:left="21"/>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文件的要求充分知悉，现郑重承诺如下：</w:t>
      </w:r>
    </w:p>
    <w:p w14:paraId="0FD2FFB3">
      <w:pPr>
        <w:pStyle w:val="19"/>
        <w:shd w:val="clear"/>
        <w:spacing w:line="349" w:lineRule="auto"/>
        <w:rPr>
          <w:color w:val="000000" w:themeColor="text1"/>
          <w:highlight w:val="none"/>
          <w14:textFill>
            <w14:solidFill>
              <w14:schemeClr w14:val="tx1"/>
            </w14:solidFill>
          </w14:textFill>
        </w:rPr>
      </w:pPr>
    </w:p>
    <w:p w14:paraId="43E20A1A">
      <w:pPr>
        <w:shd w:val="clear"/>
        <w:spacing w:before="71" w:line="677" w:lineRule="exact"/>
        <w:ind w:right="81"/>
        <w:jc w:val="righ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position w:val="35"/>
          <w:sz w:val="22"/>
          <w:szCs w:val="22"/>
          <w:highlight w:val="none"/>
          <w14:textFill>
            <w14:solidFill>
              <w14:schemeClr w14:val="tx1"/>
            </w14:solidFill>
          </w14:textFill>
        </w:rPr>
        <w:t>本公司（单位）严格按照征集文件要求编制响应文件，承诺提供的响应文件中所有内容、资</w:t>
      </w:r>
    </w:p>
    <w:p w14:paraId="30B2E931">
      <w:pPr>
        <w:shd w:val="clear"/>
        <w:spacing w:before="1" w:line="220" w:lineRule="auto"/>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料均真实、有效，并承担相应的法律责任。</w:t>
      </w:r>
    </w:p>
    <w:p w14:paraId="548FAFDB">
      <w:pPr>
        <w:pStyle w:val="19"/>
        <w:shd w:val="clear"/>
        <w:spacing w:line="344" w:lineRule="auto"/>
        <w:rPr>
          <w:color w:val="000000" w:themeColor="text1"/>
          <w:highlight w:val="none"/>
          <w14:textFill>
            <w14:solidFill>
              <w14:schemeClr w14:val="tx1"/>
            </w14:solidFill>
          </w14:textFill>
        </w:rPr>
      </w:pPr>
    </w:p>
    <w:p w14:paraId="2D88C044">
      <w:pPr>
        <w:shd w:val="clear"/>
        <w:spacing w:before="72" w:line="569" w:lineRule="auto"/>
        <w:ind w:left="11" w:right="81" w:firstLine="635"/>
        <w:jc w:val="both"/>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本公司（单位）如有提供虚假材料谋取入围或者合同成交的情形，愿</w:t>
      </w:r>
      <w:r>
        <w:rPr>
          <w:rFonts w:ascii="宋体" w:hAnsi="宋体" w:eastAsia="宋体" w:cs="宋体"/>
          <w:color w:val="000000" w:themeColor="text1"/>
          <w:spacing w:val="-1"/>
          <w:sz w:val="22"/>
          <w:szCs w:val="22"/>
          <w:highlight w:val="none"/>
          <w14:textFill>
            <w14:solidFill>
              <w14:schemeClr w14:val="tx1"/>
            </w14:solidFill>
          </w14:textFill>
        </w:rPr>
        <w:t>意接受征集人取消本公</w:t>
      </w:r>
      <w:r>
        <w:rPr>
          <w:rFonts w:ascii="宋体" w:hAnsi="宋体" w:eastAsia="宋体" w:cs="宋体"/>
          <w:color w:val="000000" w:themeColor="text1"/>
          <w:sz w:val="22"/>
          <w:szCs w:val="22"/>
          <w:highlight w:val="none"/>
          <w14:textFill>
            <w14:solidFill>
              <w14:schemeClr w14:val="tx1"/>
            </w14:solidFill>
          </w14:textFill>
        </w:rPr>
        <w:t xml:space="preserve"> 司（单位）入围资格，解除或终止与本公司（单位）签订</w:t>
      </w:r>
      <w:r>
        <w:rPr>
          <w:rFonts w:ascii="宋体" w:hAnsi="宋体" w:eastAsia="宋体" w:cs="宋体"/>
          <w:color w:val="000000" w:themeColor="text1"/>
          <w:spacing w:val="-1"/>
          <w:sz w:val="22"/>
          <w:szCs w:val="22"/>
          <w:highlight w:val="none"/>
          <w14:textFill>
            <w14:solidFill>
              <w14:schemeClr w14:val="tx1"/>
            </w14:solidFill>
          </w14:textFill>
        </w:rPr>
        <w:t>的框架协议及合同，并依照政府采购法等</w:t>
      </w:r>
    </w:p>
    <w:p w14:paraId="71001F0B">
      <w:pPr>
        <w:shd w:val="clear"/>
        <w:spacing w:before="1" w:line="220" w:lineRule="auto"/>
        <w:ind w:left="3"/>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有关法律、行政法规追究本公司（单位）法律责任。</w:t>
      </w:r>
    </w:p>
    <w:p w14:paraId="59F70179">
      <w:pPr>
        <w:pStyle w:val="19"/>
        <w:shd w:val="clear"/>
        <w:spacing w:line="345" w:lineRule="auto"/>
        <w:rPr>
          <w:color w:val="000000" w:themeColor="text1"/>
          <w:highlight w:val="none"/>
          <w14:textFill>
            <w14:solidFill>
              <w14:schemeClr w14:val="tx1"/>
            </w14:solidFill>
          </w14:textFill>
        </w:rPr>
      </w:pPr>
    </w:p>
    <w:p w14:paraId="3B4FD206">
      <w:pPr>
        <w:shd w:val="clear"/>
        <w:spacing w:before="72" w:line="679" w:lineRule="exact"/>
        <w:ind w:right="96"/>
        <w:jc w:val="righ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position w:val="35"/>
          <w:sz w:val="22"/>
          <w:szCs w:val="22"/>
          <w:highlight w:val="none"/>
          <w14:textFill>
            <w14:solidFill>
              <w14:schemeClr w14:val="tx1"/>
            </w14:solidFill>
          </w14:textFill>
        </w:rPr>
        <w:t>本公司（单位）若违反《政府采购框架协议采购方式管理暂行办法</w:t>
      </w:r>
      <w:r>
        <w:rPr>
          <w:rFonts w:ascii="宋体" w:hAnsi="宋体" w:eastAsia="宋体" w:cs="宋体"/>
          <w:color w:val="000000" w:themeColor="text1"/>
          <w:spacing w:val="-1"/>
          <w:position w:val="35"/>
          <w:sz w:val="22"/>
          <w:szCs w:val="22"/>
          <w:highlight w:val="none"/>
          <w14:textFill>
            <w14:solidFill>
              <w14:schemeClr w14:val="tx1"/>
            </w14:solidFill>
          </w14:textFill>
        </w:rPr>
        <w:t>》规定，给他人造成损失</w:t>
      </w:r>
    </w:p>
    <w:p w14:paraId="6461CBA1">
      <w:pPr>
        <w:shd w:val="clear"/>
        <w:spacing w:line="220" w:lineRule="auto"/>
        <w:ind w:left="37"/>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的，相关当事人可依法提起诉讼，由本公司（单位）承担赔偿责任。</w:t>
      </w:r>
    </w:p>
    <w:p w14:paraId="74293233">
      <w:pPr>
        <w:pStyle w:val="19"/>
        <w:shd w:val="clear"/>
        <w:spacing w:line="286" w:lineRule="auto"/>
        <w:rPr>
          <w:color w:val="000000" w:themeColor="text1"/>
          <w:highlight w:val="none"/>
          <w14:textFill>
            <w14:solidFill>
              <w14:schemeClr w14:val="tx1"/>
            </w14:solidFill>
          </w14:textFill>
        </w:rPr>
      </w:pPr>
    </w:p>
    <w:p w14:paraId="5E11C88D">
      <w:pPr>
        <w:pStyle w:val="19"/>
        <w:shd w:val="clear"/>
        <w:spacing w:line="286" w:lineRule="auto"/>
        <w:rPr>
          <w:color w:val="000000" w:themeColor="text1"/>
          <w:highlight w:val="none"/>
          <w14:textFill>
            <w14:solidFill>
              <w14:schemeClr w14:val="tx1"/>
            </w14:solidFill>
          </w14:textFill>
        </w:rPr>
      </w:pPr>
    </w:p>
    <w:p w14:paraId="41BBDB4A">
      <w:pPr>
        <w:pStyle w:val="19"/>
        <w:shd w:val="clear"/>
        <w:spacing w:line="286" w:lineRule="auto"/>
        <w:rPr>
          <w:color w:val="000000" w:themeColor="text1"/>
          <w:highlight w:val="none"/>
          <w14:textFill>
            <w14:solidFill>
              <w14:schemeClr w14:val="tx1"/>
            </w14:solidFill>
          </w14:textFill>
        </w:rPr>
      </w:pPr>
    </w:p>
    <w:p w14:paraId="1B9A5420">
      <w:pPr>
        <w:pStyle w:val="19"/>
        <w:shd w:val="clear"/>
        <w:spacing w:line="286" w:lineRule="auto"/>
        <w:rPr>
          <w:color w:val="000000" w:themeColor="text1"/>
          <w:highlight w:val="none"/>
          <w14:textFill>
            <w14:solidFill>
              <w14:schemeClr w14:val="tx1"/>
            </w14:solidFill>
          </w14:textFill>
        </w:rPr>
      </w:pPr>
    </w:p>
    <w:p w14:paraId="51AFC40A">
      <w:pPr>
        <w:shd w:val="clear"/>
        <w:spacing w:before="72" w:line="220" w:lineRule="auto"/>
        <w:ind w:left="4953"/>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供应商名称</w:t>
      </w:r>
      <w:r>
        <w:rPr>
          <w:rFonts w:hint="eastAsia" w:ascii="宋体" w:hAnsi="宋体" w:cs="宋体"/>
          <w:color w:val="000000" w:themeColor="text1"/>
          <w:spacing w:val="-1"/>
          <w:sz w:val="22"/>
          <w:szCs w:val="22"/>
          <w:highlight w:val="none"/>
          <w:lang w:eastAsia="zh-CN"/>
          <w14:textFill>
            <w14:solidFill>
              <w14:schemeClr w14:val="tx1"/>
            </w14:solidFill>
          </w14:textFill>
        </w:rPr>
        <w:t>（</w:t>
      </w:r>
      <w:r>
        <w:rPr>
          <w:rFonts w:ascii="宋体" w:hAnsi="宋体" w:eastAsia="宋体" w:cs="宋体"/>
          <w:color w:val="000000" w:themeColor="text1"/>
          <w:spacing w:val="-1"/>
          <w:sz w:val="22"/>
          <w:szCs w:val="22"/>
          <w:highlight w:val="none"/>
          <w14:textFill>
            <w14:solidFill>
              <w14:schemeClr w14:val="tx1"/>
            </w14:solidFill>
          </w14:textFill>
        </w:rPr>
        <w:t>电子签章</w:t>
      </w:r>
      <w:r>
        <w:rPr>
          <w:rFonts w:hint="eastAsia" w:ascii="宋体" w:hAnsi="宋体" w:cs="宋体"/>
          <w:color w:val="000000" w:themeColor="text1"/>
          <w:spacing w:val="-1"/>
          <w:sz w:val="22"/>
          <w:szCs w:val="22"/>
          <w:highlight w:val="none"/>
          <w:lang w:eastAsia="zh-CN"/>
          <w14:textFill>
            <w14:solidFill>
              <w14:schemeClr w14:val="tx1"/>
            </w14:solidFill>
          </w14:textFill>
        </w:rPr>
        <w:t>）</w:t>
      </w:r>
      <w:r>
        <w:rPr>
          <w:rFonts w:ascii="宋体" w:hAnsi="宋体" w:eastAsia="宋体" w:cs="宋体"/>
          <w:color w:val="000000" w:themeColor="text1"/>
          <w:spacing w:val="-1"/>
          <w:sz w:val="22"/>
          <w:szCs w:val="22"/>
          <w:highlight w:val="none"/>
          <w14:textFill>
            <w14:solidFill>
              <w14:schemeClr w14:val="tx1"/>
            </w14:solidFill>
          </w14:textFill>
        </w:rPr>
        <w:t>：</w:t>
      </w:r>
    </w:p>
    <w:p w14:paraId="6FADC445">
      <w:pPr>
        <w:pStyle w:val="19"/>
        <w:shd w:val="clear"/>
        <w:spacing w:line="305" w:lineRule="auto"/>
        <w:rPr>
          <w:color w:val="000000" w:themeColor="text1"/>
          <w:highlight w:val="none"/>
          <w14:textFill>
            <w14:solidFill>
              <w14:schemeClr w14:val="tx1"/>
            </w14:solidFill>
          </w14:textFill>
        </w:rPr>
      </w:pPr>
    </w:p>
    <w:p w14:paraId="63B2483A">
      <w:pPr>
        <w:shd w:val="clear"/>
        <w:spacing w:before="72" w:line="220" w:lineRule="auto"/>
        <w:ind w:left="4954"/>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法定代表人（签字）或个人 CA 证书签章：</w:t>
      </w:r>
    </w:p>
    <w:p w14:paraId="7A8EA8BA">
      <w:pPr>
        <w:pStyle w:val="19"/>
        <w:shd w:val="clear"/>
        <w:spacing w:line="392" w:lineRule="auto"/>
        <w:rPr>
          <w:color w:val="000000" w:themeColor="text1"/>
          <w:highlight w:val="none"/>
          <w14:textFill>
            <w14:solidFill>
              <w14:schemeClr w14:val="tx1"/>
            </w14:solidFill>
          </w14:textFill>
        </w:rPr>
      </w:pPr>
    </w:p>
    <w:p w14:paraId="3C26E3EE">
      <w:pPr>
        <w:shd w:val="clear"/>
        <w:spacing w:before="73" w:line="222" w:lineRule="auto"/>
        <w:ind w:left="5047"/>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5"/>
          <w:sz w:val="22"/>
          <w:szCs w:val="22"/>
          <w:highlight w:val="none"/>
          <w14:textFill>
            <w14:solidFill>
              <w14:schemeClr w14:val="tx1"/>
            </w14:solidFill>
          </w14:textFill>
        </w:rPr>
        <w:t>日期：</w:t>
      </w:r>
    </w:p>
    <w:p w14:paraId="58D4E5D8">
      <w:pPr>
        <w:shd w:val="clear"/>
        <w:spacing w:line="222" w:lineRule="auto"/>
        <w:rPr>
          <w:rFonts w:ascii="宋体" w:hAnsi="宋体" w:eastAsia="宋体" w:cs="宋体"/>
          <w:color w:val="000000" w:themeColor="text1"/>
          <w:sz w:val="22"/>
          <w:szCs w:val="22"/>
          <w:highlight w:val="none"/>
          <w14:textFill>
            <w14:solidFill>
              <w14:schemeClr w14:val="tx1"/>
            </w14:solidFill>
          </w14:textFill>
        </w:rPr>
        <w:sectPr>
          <w:footerReference r:id="rId28" w:type="default"/>
          <w:pgSz w:w="11906" w:h="16839"/>
          <w:pgMar w:top="1431" w:right="1223" w:bottom="884" w:left="1145" w:header="0" w:footer="567" w:gutter="0"/>
          <w:pgNumType w:fmt="decimal"/>
          <w:cols w:space="720" w:num="1"/>
        </w:sectPr>
      </w:pPr>
    </w:p>
    <w:p w14:paraId="653F05A7">
      <w:pPr>
        <w:pStyle w:val="19"/>
        <w:shd w:val="clear"/>
        <w:bidi w:val="0"/>
        <w:rPr>
          <w:b/>
          <w:bCs/>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4.项目拟投入服务团队人员结构表</w:t>
      </w:r>
      <w:r>
        <w:rPr>
          <w:rFonts w:hint="eastAsia"/>
          <w:b/>
          <w:bCs/>
          <w:color w:val="000000" w:themeColor="text1"/>
          <w:sz w:val="22"/>
          <w:szCs w:val="22"/>
          <w:highlight w:val="none"/>
          <w:lang w:eastAsia="zh-CN"/>
          <w14:textFill>
            <w14:solidFill>
              <w14:schemeClr w14:val="tx1"/>
            </w14:solidFill>
          </w14:textFill>
        </w:rPr>
        <w:t>（</w:t>
      </w:r>
      <w:r>
        <w:rPr>
          <w:b/>
          <w:bCs/>
          <w:color w:val="000000" w:themeColor="text1"/>
          <w:sz w:val="22"/>
          <w:szCs w:val="22"/>
          <w:highlight w:val="none"/>
          <w14:textFill>
            <w14:solidFill>
              <w14:schemeClr w14:val="tx1"/>
            </w14:solidFill>
          </w14:textFill>
        </w:rPr>
        <w:t>包括但不限于学历、证书情况、职称、年龄等</w:t>
      </w:r>
      <w:r>
        <w:rPr>
          <w:rFonts w:hint="eastAsia"/>
          <w:b/>
          <w:bCs/>
          <w:color w:val="000000" w:themeColor="text1"/>
          <w:sz w:val="22"/>
          <w:szCs w:val="22"/>
          <w:highlight w:val="none"/>
          <w:lang w:eastAsia="zh-CN"/>
          <w14:textFill>
            <w14:solidFill>
              <w14:schemeClr w14:val="tx1"/>
            </w14:solidFill>
          </w14:textFill>
        </w:rPr>
        <w:t>）</w:t>
      </w:r>
      <w:r>
        <w:rPr>
          <w:b/>
          <w:bCs/>
          <w:color w:val="000000" w:themeColor="text1"/>
          <w:sz w:val="22"/>
          <w:szCs w:val="22"/>
          <w:highlight w:val="none"/>
          <w14:textFill>
            <w14:solidFill>
              <w14:schemeClr w14:val="tx1"/>
            </w14:solidFill>
          </w14:textFill>
        </w:rPr>
        <w:t xml:space="preserve"> 拟投入评审项目人员一览表</w:t>
      </w:r>
    </w:p>
    <w:p w14:paraId="558E8E5E">
      <w:pPr>
        <w:shd w:val="clear"/>
        <w:spacing w:line="63" w:lineRule="exact"/>
        <w:rPr>
          <w:color w:val="000000" w:themeColor="text1"/>
          <w:highlight w:val="none"/>
          <w14:textFill>
            <w14:solidFill>
              <w14:schemeClr w14:val="tx1"/>
            </w14:solidFill>
          </w14:textFill>
        </w:rPr>
      </w:pPr>
    </w:p>
    <w:tbl>
      <w:tblPr>
        <w:tblStyle w:val="123"/>
        <w:tblW w:w="9096"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8"/>
        <w:gridCol w:w="1259"/>
        <w:gridCol w:w="793"/>
        <w:gridCol w:w="1515"/>
        <w:gridCol w:w="1378"/>
        <w:gridCol w:w="1302"/>
        <w:gridCol w:w="1511"/>
      </w:tblGrid>
      <w:tr w14:paraId="045FB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1338" w:type="dxa"/>
            <w:vAlign w:val="top"/>
          </w:tcPr>
          <w:p w14:paraId="6EA689B5">
            <w:pPr>
              <w:shd w:val="clear"/>
              <w:spacing w:line="262" w:lineRule="auto"/>
              <w:rPr>
                <w:rFonts w:ascii="Arial"/>
                <w:color w:val="000000" w:themeColor="text1"/>
                <w:sz w:val="21"/>
                <w:highlight w:val="none"/>
                <w14:textFill>
                  <w14:solidFill>
                    <w14:schemeClr w14:val="tx1"/>
                  </w14:solidFill>
                </w14:textFill>
              </w:rPr>
            </w:pPr>
          </w:p>
          <w:p w14:paraId="2F37328E">
            <w:pPr>
              <w:pStyle w:val="154"/>
              <w:shd w:val="clear"/>
              <w:spacing w:before="72" w:line="221" w:lineRule="auto"/>
              <w:ind w:left="472"/>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259" w:type="dxa"/>
            <w:vAlign w:val="top"/>
          </w:tcPr>
          <w:p w14:paraId="4CAA06D8">
            <w:pPr>
              <w:shd w:val="clear"/>
              <w:spacing w:line="262" w:lineRule="auto"/>
              <w:rPr>
                <w:rFonts w:ascii="Arial"/>
                <w:color w:val="000000" w:themeColor="text1"/>
                <w:sz w:val="21"/>
                <w:highlight w:val="none"/>
                <w14:textFill>
                  <w14:solidFill>
                    <w14:schemeClr w14:val="tx1"/>
                  </w14:solidFill>
                </w14:textFill>
              </w:rPr>
            </w:pPr>
          </w:p>
          <w:p w14:paraId="27B5E765">
            <w:pPr>
              <w:pStyle w:val="154"/>
              <w:shd w:val="clear"/>
              <w:spacing w:before="72" w:line="221" w:lineRule="auto"/>
              <w:ind w:left="43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职务</w:t>
            </w:r>
          </w:p>
        </w:tc>
        <w:tc>
          <w:tcPr>
            <w:tcW w:w="793" w:type="dxa"/>
            <w:vAlign w:val="top"/>
          </w:tcPr>
          <w:p w14:paraId="259564E1">
            <w:pPr>
              <w:pStyle w:val="154"/>
              <w:shd w:val="clear"/>
              <w:spacing w:before="198" w:line="242" w:lineRule="auto"/>
              <w:ind w:left="243" w:right="135" w:hanging="4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分配</w:t>
            </w:r>
            <w:r>
              <w:rPr>
                <w:color w:val="000000" w:themeColor="text1"/>
                <w:highlight w:val="none"/>
                <w14:textFill>
                  <w14:solidFill>
                    <w14:schemeClr w14:val="tx1"/>
                  </w14:solidFill>
                </w14:textFill>
              </w:rPr>
              <w:t xml:space="preserve"> </w:t>
            </w:r>
            <w:r>
              <w:rPr>
                <w:color w:val="000000" w:themeColor="text1"/>
                <w:spacing w:val="-16"/>
                <w:highlight w:val="none"/>
                <w14:textFill>
                  <w14:solidFill>
                    <w14:schemeClr w14:val="tx1"/>
                  </w14:solidFill>
                </w14:textFill>
              </w:rPr>
              <w:t>岗位</w:t>
            </w:r>
          </w:p>
        </w:tc>
        <w:tc>
          <w:tcPr>
            <w:tcW w:w="1515" w:type="dxa"/>
            <w:vAlign w:val="top"/>
          </w:tcPr>
          <w:p w14:paraId="5C1E0C2E">
            <w:pPr>
              <w:shd w:val="clear"/>
              <w:spacing w:line="262" w:lineRule="auto"/>
              <w:rPr>
                <w:rFonts w:ascii="Arial"/>
                <w:color w:val="000000" w:themeColor="text1"/>
                <w:sz w:val="21"/>
                <w:highlight w:val="none"/>
                <w14:textFill>
                  <w14:solidFill>
                    <w14:schemeClr w14:val="tx1"/>
                  </w14:solidFill>
                </w14:textFill>
              </w:rPr>
            </w:pPr>
          </w:p>
          <w:p w14:paraId="58E21899">
            <w:pPr>
              <w:pStyle w:val="154"/>
              <w:shd w:val="clear"/>
              <w:spacing w:before="72" w:line="221" w:lineRule="auto"/>
              <w:ind w:left="35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职业资格</w:t>
            </w:r>
          </w:p>
        </w:tc>
        <w:tc>
          <w:tcPr>
            <w:tcW w:w="1378" w:type="dxa"/>
            <w:vAlign w:val="top"/>
          </w:tcPr>
          <w:p w14:paraId="0A9C0D7D">
            <w:pPr>
              <w:shd w:val="clear"/>
              <w:spacing w:line="262" w:lineRule="auto"/>
              <w:rPr>
                <w:rFonts w:ascii="Arial"/>
                <w:color w:val="000000" w:themeColor="text1"/>
                <w:sz w:val="21"/>
                <w:highlight w:val="none"/>
                <w14:textFill>
                  <w14:solidFill>
                    <w14:schemeClr w14:val="tx1"/>
                  </w14:solidFill>
                </w14:textFill>
              </w:rPr>
            </w:pPr>
          </w:p>
          <w:p w14:paraId="512F4A30">
            <w:pPr>
              <w:pStyle w:val="154"/>
              <w:shd w:val="clear"/>
              <w:spacing w:before="72" w:line="222" w:lineRule="auto"/>
              <w:ind w:left="49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专业</w:t>
            </w:r>
          </w:p>
        </w:tc>
        <w:tc>
          <w:tcPr>
            <w:tcW w:w="1302" w:type="dxa"/>
            <w:vAlign w:val="top"/>
          </w:tcPr>
          <w:p w14:paraId="4D04BEF9">
            <w:pPr>
              <w:shd w:val="clear"/>
              <w:spacing w:line="263" w:lineRule="auto"/>
              <w:rPr>
                <w:rFonts w:ascii="Arial"/>
                <w:color w:val="000000" w:themeColor="text1"/>
                <w:sz w:val="21"/>
                <w:highlight w:val="none"/>
                <w14:textFill>
                  <w14:solidFill>
                    <w14:schemeClr w14:val="tx1"/>
                  </w14:solidFill>
                </w14:textFill>
              </w:rPr>
            </w:pPr>
          </w:p>
          <w:p w14:paraId="0BA3741D">
            <w:pPr>
              <w:pStyle w:val="154"/>
              <w:shd w:val="clear"/>
              <w:spacing w:before="71" w:line="223" w:lineRule="auto"/>
              <w:ind w:left="45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职称</w:t>
            </w:r>
          </w:p>
        </w:tc>
        <w:tc>
          <w:tcPr>
            <w:tcW w:w="1511" w:type="dxa"/>
            <w:vAlign w:val="top"/>
          </w:tcPr>
          <w:p w14:paraId="27DB27D4">
            <w:pPr>
              <w:shd w:val="clear"/>
              <w:spacing w:line="263" w:lineRule="auto"/>
              <w:rPr>
                <w:rFonts w:ascii="Arial"/>
                <w:color w:val="000000" w:themeColor="text1"/>
                <w:sz w:val="21"/>
                <w:highlight w:val="none"/>
                <w14:textFill>
                  <w14:solidFill>
                    <w14:schemeClr w14:val="tx1"/>
                  </w14:solidFill>
                </w14:textFill>
              </w:rPr>
            </w:pPr>
          </w:p>
          <w:p w14:paraId="54069962">
            <w:pPr>
              <w:pStyle w:val="154"/>
              <w:shd w:val="clear"/>
              <w:spacing w:before="72" w:line="238" w:lineRule="auto"/>
              <w:ind w:left="156" w:right="270" w:hanging="1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工作经历年</w:t>
            </w:r>
            <w:r>
              <w:rPr>
                <w:color w:val="000000" w:themeColor="text1"/>
                <w:highlight w:val="none"/>
                <w14:textFill>
                  <w14:solidFill>
                    <w14:schemeClr w14:val="tx1"/>
                  </w14:solidFill>
                </w14:textFill>
              </w:rPr>
              <w:t xml:space="preserve"> 限</w:t>
            </w:r>
          </w:p>
        </w:tc>
      </w:tr>
      <w:tr w14:paraId="52AEE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338" w:type="dxa"/>
            <w:vAlign w:val="top"/>
          </w:tcPr>
          <w:p w14:paraId="4B87CF81">
            <w:pPr>
              <w:shd w:val="clear"/>
              <w:rPr>
                <w:rFonts w:ascii="Arial"/>
                <w:color w:val="000000" w:themeColor="text1"/>
                <w:sz w:val="21"/>
                <w:highlight w:val="none"/>
                <w14:textFill>
                  <w14:solidFill>
                    <w14:schemeClr w14:val="tx1"/>
                  </w14:solidFill>
                </w14:textFill>
              </w:rPr>
            </w:pPr>
          </w:p>
        </w:tc>
        <w:tc>
          <w:tcPr>
            <w:tcW w:w="1259" w:type="dxa"/>
            <w:vAlign w:val="top"/>
          </w:tcPr>
          <w:p w14:paraId="106D893E">
            <w:pPr>
              <w:shd w:val="clear"/>
              <w:rPr>
                <w:rFonts w:ascii="Arial"/>
                <w:color w:val="000000" w:themeColor="text1"/>
                <w:sz w:val="21"/>
                <w:highlight w:val="none"/>
                <w14:textFill>
                  <w14:solidFill>
                    <w14:schemeClr w14:val="tx1"/>
                  </w14:solidFill>
                </w14:textFill>
              </w:rPr>
            </w:pPr>
          </w:p>
        </w:tc>
        <w:tc>
          <w:tcPr>
            <w:tcW w:w="793" w:type="dxa"/>
            <w:vAlign w:val="top"/>
          </w:tcPr>
          <w:p w14:paraId="5E797F9F">
            <w:pPr>
              <w:shd w:val="clear"/>
              <w:rPr>
                <w:rFonts w:ascii="Arial"/>
                <w:color w:val="000000" w:themeColor="text1"/>
                <w:sz w:val="21"/>
                <w:highlight w:val="none"/>
                <w14:textFill>
                  <w14:solidFill>
                    <w14:schemeClr w14:val="tx1"/>
                  </w14:solidFill>
                </w14:textFill>
              </w:rPr>
            </w:pPr>
          </w:p>
        </w:tc>
        <w:tc>
          <w:tcPr>
            <w:tcW w:w="1515" w:type="dxa"/>
            <w:vAlign w:val="top"/>
          </w:tcPr>
          <w:p w14:paraId="7DA03595">
            <w:pPr>
              <w:shd w:val="clear"/>
              <w:rPr>
                <w:rFonts w:ascii="Arial"/>
                <w:color w:val="000000" w:themeColor="text1"/>
                <w:sz w:val="21"/>
                <w:highlight w:val="none"/>
                <w14:textFill>
                  <w14:solidFill>
                    <w14:schemeClr w14:val="tx1"/>
                  </w14:solidFill>
                </w14:textFill>
              </w:rPr>
            </w:pPr>
          </w:p>
        </w:tc>
        <w:tc>
          <w:tcPr>
            <w:tcW w:w="1378" w:type="dxa"/>
            <w:vAlign w:val="top"/>
          </w:tcPr>
          <w:p w14:paraId="15503E46">
            <w:pPr>
              <w:shd w:val="clear"/>
              <w:rPr>
                <w:rFonts w:ascii="Arial"/>
                <w:color w:val="000000" w:themeColor="text1"/>
                <w:sz w:val="21"/>
                <w:highlight w:val="none"/>
                <w14:textFill>
                  <w14:solidFill>
                    <w14:schemeClr w14:val="tx1"/>
                  </w14:solidFill>
                </w14:textFill>
              </w:rPr>
            </w:pPr>
          </w:p>
        </w:tc>
        <w:tc>
          <w:tcPr>
            <w:tcW w:w="1302" w:type="dxa"/>
            <w:vAlign w:val="top"/>
          </w:tcPr>
          <w:p w14:paraId="06ADAB2D">
            <w:pPr>
              <w:shd w:val="clear"/>
              <w:rPr>
                <w:rFonts w:ascii="Arial"/>
                <w:color w:val="000000" w:themeColor="text1"/>
                <w:sz w:val="21"/>
                <w:highlight w:val="none"/>
                <w14:textFill>
                  <w14:solidFill>
                    <w14:schemeClr w14:val="tx1"/>
                  </w14:solidFill>
                </w14:textFill>
              </w:rPr>
            </w:pPr>
          </w:p>
        </w:tc>
        <w:tc>
          <w:tcPr>
            <w:tcW w:w="1511" w:type="dxa"/>
            <w:vAlign w:val="top"/>
          </w:tcPr>
          <w:p w14:paraId="4C71F0D7">
            <w:pPr>
              <w:shd w:val="clear"/>
              <w:rPr>
                <w:rFonts w:ascii="Arial"/>
                <w:color w:val="000000" w:themeColor="text1"/>
                <w:sz w:val="21"/>
                <w:highlight w:val="none"/>
                <w14:textFill>
                  <w14:solidFill>
                    <w14:schemeClr w14:val="tx1"/>
                  </w14:solidFill>
                </w14:textFill>
              </w:rPr>
            </w:pPr>
          </w:p>
        </w:tc>
      </w:tr>
      <w:tr w14:paraId="3D72F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338" w:type="dxa"/>
            <w:vAlign w:val="top"/>
          </w:tcPr>
          <w:p w14:paraId="2EC5967F">
            <w:pPr>
              <w:shd w:val="clear"/>
              <w:rPr>
                <w:rFonts w:ascii="Arial"/>
                <w:color w:val="000000" w:themeColor="text1"/>
                <w:sz w:val="21"/>
                <w:highlight w:val="none"/>
                <w14:textFill>
                  <w14:solidFill>
                    <w14:schemeClr w14:val="tx1"/>
                  </w14:solidFill>
                </w14:textFill>
              </w:rPr>
            </w:pPr>
          </w:p>
        </w:tc>
        <w:tc>
          <w:tcPr>
            <w:tcW w:w="1259" w:type="dxa"/>
            <w:vAlign w:val="top"/>
          </w:tcPr>
          <w:p w14:paraId="011E4597">
            <w:pPr>
              <w:shd w:val="clear"/>
              <w:rPr>
                <w:rFonts w:ascii="Arial"/>
                <w:color w:val="000000" w:themeColor="text1"/>
                <w:sz w:val="21"/>
                <w:highlight w:val="none"/>
                <w14:textFill>
                  <w14:solidFill>
                    <w14:schemeClr w14:val="tx1"/>
                  </w14:solidFill>
                </w14:textFill>
              </w:rPr>
            </w:pPr>
          </w:p>
        </w:tc>
        <w:tc>
          <w:tcPr>
            <w:tcW w:w="793" w:type="dxa"/>
            <w:vAlign w:val="top"/>
          </w:tcPr>
          <w:p w14:paraId="332BEB6A">
            <w:pPr>
              <w:shd w:val="clear"/>
              <w:rPr>
                <w:rFonts w:ascii="Arial"/>
                <w:color w:val="000000" w:themeColor="text1"/>
                <w:sz w:val="21"/>
                <w:highlight w:val="none"/>
                <w14:textFill>
                  <w14:solidFill>
                    <w14:schemeClr w14:val="tx1"/>
                  </w14:solidFill>
                </w14:textFill>
              </w:rPr>
            </w:pPr>
          </w:p>
        </w:tc>
        <w:tc>
          <w:tcPr>
            <w:tcW w:w="1515" w:type="dxa"/>
            <w:vAlign w:val="top"/>
          </w:tcPr>
          <w:p w14:paraId="0B43EA8B">
            <w:pPr>
              <w:shd w:val="clear"/>
              <w:rPr>
                <w:rFonts w:ascii="Arial"/>
                <w:color w:val="000000" w:themeColor="text1"/>
                <w:sz w:val="21"/>
                <w:highlight w:val="none"/>
                <w14:textFill>
                  <w14:solidFill>
                    <w14:schemeClr w14:val="tx1"/>
                  </w14:solidFill>
                </w14:textFill>
              </w:rPr>
            </w:pPr>
          </w:p>
        </w:tc>
        <w:tc>
          <w:tcPr>
            <w:tcW w:w="1378" w:type="dxa"/>
            <w:vAlign w:val="top"/>
          </w:tcPr>
          <w:p w14:paraId="3ECAD5EA">
            <w:pPr>
              <w:shd w:val="clear"/>
              <w:rPr>
                <w:rFonts w:ascii="Arial"/>
                <w:color w:val="000000" w:themeColor="text1"/>
                <w:sz w:val="21"/>
                <w:highlight w:val="none"/>
                <w14:textFill>
                  <w14:solidFill>
                    <w14:schemeClr w14:val="tx1"/>
                  </w14:solidFill>
                </w14:textFill>
              </w:rPr>
            </w:pPr>
          </w:p>
        </w:tc>
        <w:tc>
          <w:tcPr>
            <w:tcW w:w="1302" w:type="dxa"/>
            <w:vAlign w:val="top"/>
          </w:tcPr>
          <w:p w14:paraId="6561D2EA">
            <w:pPr>
              <w:shd w:val="clear"/>
              <w:rPr>
                <w:rFonts w:ascii="Arial"/>
                <w:color w:val="000000" w:themeColor="text1"/>
                <w:sz w:val="21"/>
                <w:highlight w:val="none"/>
                <w14:textFill>
                  <w14:solidFill>
                    <w14:schemeClr w14:val="tx1"/>
                  </w14:solidFill>
                </w14:textFill>
              </w:rPr>
            </w:pPr>
          </w:p>
        </w:tc>
        <w:tc>
          <w:tcPr>
            <w:tcW w:w="1511" w:type="dxa"/>
            <w:vAlign w:val="top"/>
          </w:tcPr>
          <w:p w14:paraId="7A17CB12">
            <w:pPr>
              <w:shd w:val="clear"/>
              <w:rPr>
                <w:rFonts w:ascii="Arial"/>
                <w:color w:val="000000" w:themeColor="text1"/>
                <w:sz w:val="21"/>
                <w:highlight w:val="none"/>
                <w14:textFill>
                  <w14:solidFill>
                    <w14:schemeClr w14:val="tx1"/>
                  </w14:solidFill>
                </w14:textFill>
              </w:rPr>
            </w:pPr>
          </w:p>
        </w:tc>
      </w:tr>
      <w:tr w14:paraId="03B7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338" w:type="dxa"/>
            <w:vAlign w:val="top"/>
          </w:tcPr>
          <w:p w14:paraId="0F841BDC">
            <w:pPr>
              <w:shd w:val="clear"/>
              <w:rPr>
                <w:rFonts w:ascii="Arial"/>
                <w:color w:val="000000" w:themeColor="text1"/>
                <w:sz w:val="21"/>
                <w:highlight w:val="none"/>
                <w14:textFill>
                  <w14:solidFill>
                    <w14:schemeClr w14:val="tx1"/>
                  </w14:solidFill>
                </w14:textFill>
              </w:rPr>
            </w:pPr>
          </w:p>
        </w:tc>
        <w:tc>
          <w:tcPr>
            <w:tcW w:w="1259" w:type="dxa"/>
            <w:vAlign w:val="top"/>
          </w:tcPr>
          <w:p w14:paraId="683CAC9C">
            <w:pPr>
              <w:shd w:val="clear"/>
              <w:rPr>
                <w:rFonts w:ascii="Arial"/>
                <w:color w:val="000000" w:themeColor="text1"/>
                <w:sz w:val="21"/>
                <w:highlight w:val="none"/>
                <w14:textFill>
                  <w14:solidFill>
                    <w14:schemeClr w14:val="tx1"/>
                  </w14:solidFill>
                </w14:textFill>
              </w:rPr>
            </w:pPr>
          </w:p>
        </w:tc>
        <w:tc>
          <w:tcPr>
            <w:tcW w:w="793" w:type="dxa"/>
            <w:vAlign w:val="top"/>
          </w:tcPr>
          <w:p w14:paraId="079DD6B0">
            <w:pPr>
              <w:shd w:val="clear"/>
              <w:rPr>
                <w:rFonts w:ascii="Arial"/>
                <w:color w:val="000000" w:themeColor="text1"/>
                <w:sz w:val="21"/>
                <w:highlight w:val="none"/>
                <w14:textFill>
                  <w14:solidFill>
                    <w14:schemeClr w14:val="tx1"/>
                  </w14:solidFill>
                </w14:textFill>
              </w:rPr>
            </w:pPr>
          </w:p>
        </w:tc>
        <w:tc>
          <w:tcPr>
            <w:tcW w:w="1515" w:type="dxa"/>
            <w:vAlign w:val="top"/>
          </w:tcPr>
          <w:p w14:paraId="47B8EC59">
            <w:pPr>
              <w:shd w:val="clear"/>
              <w:rPr>
                <w:rFonts w:ascii="Arial"/>
                <w:color w:val="000000" w:themeColor="text1"/>
                <w:sz w:val="21"/>
                <w:highlight w:val="none"/>
                <w14:textFill>
                  <w14:solidFill>
                    <w14:schemeClr w14:val="tx1"/>
                  </w14:solidFill>
                </w14:textFill>
              </w:rPr>
            </w:pPr>
          </w:p>
        </w:tc>
        <w:tc>
          <w:tcPr>
            <w:tcW w:w="1378" w:type="dxa"/>
            <w:vAlign w:val="top"/>
          </w:tcPr>
          <w:p w14:paraId="09F5E49D">
            <w:pPr>
              <w:shd w:val="clear"/>
              <w:rPr>
                <w:rFonts w:ascii="Arial"/>
                <w:color w:val="000000" w:themeColor="text1"/>
                <w:sz w:val="21"/>
                <w:highlight w:val="none"/>
                <w14:textFill>
                  <w14:solidFill>
                    <w14:schemeClr w14:val="tx1"/>
                  </w14:solidFill>
                </w14:textFill>
              </w:rPr>
            </w:pPr>
          </w:p>
        </w:tc>
        <w:tc>
          <w:tcPr>
            <w:tcW w:w="1302" w:type="dxa"/>
            <w:vAlign w:val="top"/>
          </w:tcPr>
          <w:p w14:paraId="132385D5">
            <w:pPr>
              <w:shd w:val="clear"/>
              <w:rPr>
                <w:rFonts w:ascii="Arial"/>
                <w:color w:val="000000" w:themeColor="text1"/>
                <w:sz w:val="21"/>
                <w:highlight w:val="none"/>
                <w14:textFill>
                  <w14:solidFill>
                    <w14:schemeClr w14:val="tx1"/>
                  </w14:solidFill>
                </w14:textFill>
              </w:rPr>
            </w:pPr>
          </w:p>
        </w:tc>
        <w:tc>
          <w:tcPr>
            <w:tcW w:w="1511" w:type="dxa"/>
            <w:vAlign w:val="top"/>
          </w:tcPr>
          <w:p w14:paraId="5A8ACDC4">
            <w:pPr>
              <w:shd w:val="clear"/>
              <w:rPr>
                <w:rFonts w:ascii="Arial"/>
                <w:color w:val="000000" w:themeColor="text1"/>
                <w:sz w:val="21"/>
                <w:highlight w:val="none"/>
                <w14:textFill>
                  <w14:solidFill>
                    <w14:schemeClr w14:val="tx1"/>
                  </w14:solidFill>
                </w14:textFill>
              </w:rPr>
            </w:pPr>
          </w:p>
        </w:tc>
      </w:tr>
    </w:tbl>
    <w:p w14:paraId="38D200AC">
      <w:pPr>
        <w:shd w:val="clear"/>
        <w:spacing w:before="268" w:line="482" w:lineRule="exact"/>
        <w:ind w:left="61"/>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2"/>
          <w:position w:val="20"/>
          <w:sz w:val="22"/>
          <w:szCs w:val="22"/>
          <w:highlight w:val="none"/>
          <w14:textFill>
            <w14:solidFill>
              <w14:schemeClr w14:val="tx1"/>
            </w14:solidFill>
          </w14:textFill>
        </w:rPr>
        <w:t>注：在填写时，如本表格不适合响应单位的实际情况，可根据本表格式自行</w:t>
      </w:r>
      <w:r>
        <w:rPr>
          <w:rFonts w:ascii="宋体" w:hAnsi="宋体" w:eastAsia="宋体" w:cs="宋体"/>
          <w:color w:val="000000" w:themeColor="text1"/>
          <w:spacing w:val="-3"/>
          <w:position w:val="20"/>
          <w:sz w:val="22"/>
          <w:szCs w:val="22"/>
          <w:highlight w:val="none"/>
          <w14:textFill>
            <w14:solidFill>
              <w14:schemeClr w14:val="tx1"/>
            </w14:solidFill>
          </w14:textFill>
        </w:rPr>
        <w:t>划表填写。</w:t>
      </w:r>
    </w:p>
    <w:p w14:paraId="7F3AF9CD">
      <w:pPr>
        <w:shd w:val="clear"/>
        <w:spacing w:line="220" w:lineRule="auto"/>
        <w:ind w:left="61"/>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供应商名称</w:t>
      </w:r>
      <w:r>
        <w:rPr>
          <w:rFonts w:hint="eastAsia" w:ascii="宋体" w:hAnsi="宋体" w:cs="宋体"/>
          <w:color w:val="000000" w:themeColor="text1"/>
          <w:spacing w:val="-1"/>
          <w:sz w:val="22"/>
          <w:szCs w:val="22"/>
          <w:highlight w:val="none"/>
          <w:lang w:eastAsia="zh-CN"/>
          <w14:textFill>
            <w14:solidFill>
              <w14:schemeClr w14:val="tx1"/>
            </w14:solidFill>
          </w14:textFill>
        </w:rPr>
        <w:t>（</w:t>
      </w:r>
      <w:r>
        <w:rPr>
          <w:rFonts w:ascii="宋体" w:hAnsi="宋体" w:eastAsia="宋体" w:cs="宋体"/>
          <w:color w:val="000000" w:themeColor="text1"/>
          <w:spacing w:val="-1"/>
          <w:sz w:val="22"/>
          <w:szCs w:val="22"/>
          <w:highlight w:val="none"/>
          <w14:textFill>
            <w14:solidFill>
              <w14:schemeClr w14:val="tx1"/>
            </w14:solidFill>
          </w14:textFill>
        </w:rPr>
        <w:t>电子签章</w:t>
      </w:r>
      <w:r>
        <w:rPr>
          <w:rFonts w:hint="eastAsia" w:ascii="宋体" w:hAnsi="宋体" w:cs="宋体"/>
          <w:color w:val="000000" w:themeColor="text1"/>
          <w:spacing w:val="-1"/>
          <w:sz w:val="22"/>
          <w:szCs w:val="22"/>
          <w:highlight w:val="none"/>
          <w:lang w:eastAsia="zh-CN"/>
          <w14:textFill>
            <w14:solidFill>
              <w14:schemeClr w14:val="tx1"/>
            </w14:solidFill>
          </w14:textFill>
        </w:rPr>
        <w:t>）</w:t>
      </w:r>
      <w:r>
        <w:rPr>
          <w:rFonts w:ascii="宋体" w:hAnsi="宋体" w:eastAsia="宋体" w:cs="宋体"/>
          <w:color w:val="000000" w:themeColor="text1"/>
          <w:spacing w:val="-1"/>
          <w:sz w:val="22"/>
          <w:szCs w:val="22"/>
          <w:highlight w:val="none"/>
          <w14:textFill>
            <w14:solidFill>
              <w14:schemeClr w14:val="tx1"/>
            </w14:solidFill>
          </w14:textFill>
        </w:rPr>
        <w:t>：</w:t>
      </w:r>
    </w:p>
    <w:p w14:paraId="1C2F2840">
      <w:pPr>
        <w:shd w:val="clear"/>
        <w:spacing w:before="222" w:line="222" w:lineRule="auto"/>
        <w:ind w:left="99"/>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5"/>
          <w:sz w:val="22"/>
          <w:szCs w:val="22"/>
          <w:highlight w:val="none"/>
          <w14:textFill>
            <w14:solidFill>
              <w14:schemeClr w14:val="tx1"/>
            </w14:solidFill>
          </w14:textFill>
        </w:rPr>
        <w:t>日期：</w:t>
      </w:r>
    </w:p>
    <w:p w14:paraId="154E918A">
      <w:pPr>
        <w:pStyle w:val="19"/>
        <w:shd w:val="clear"/>
        <w:spacing w:line="245" w:lineRule="auto"/>
        <w:rPr>
          <w:color w:val="000000" w:themeColor="text1"/>
          <w:highlight w:val="none"/>
          <w14:textFill>
            <w14:solidFill>
              <w14:schemeClr w14:val="tx1"/>
            </w14:solidFill>
          </w14:textFill>
        </w:rPr>
      </w:pPr>
    </w:p>
    <w:p w14:paraId="6ECC8EE7">
      <w:pPr>
        <w:pStyle w:val="19"/>
        <w:shd w:val="clear"/>
        <w:spacing w:line="245" w:lineRule="auto"/>
        <w:rPr>
          <w:color w:val="000000" w:themeColor="text1"/>
          <w:highlight w:val="none"/>
          <w14:textFill>
            <w14:solidFill>
              <w14:schemeClr w14:val="tx1"/>
            </w14:solidFill>
          </w14:textFill>
        </w:rPr>
      </w:pPr>
    </w:p>
    <w:p w14:paraId="103BAACE">
      <w:pPr>
        <w:pStyle w:val="19"/>
        <w:shd w:val="clear"/>
        <w:spacing w:line="245" w:lineRule="auto"/>
        <w:rPr>
          <w:color w:val="000000" w:themeColor="text1"/>
          <w:highlight w:val="none"/>
          <w14:textFill>
            <w14:solidFill>
              <w14:schemeClr w14:val="tx1"/>
            </w14:solidFill>
          </w14:textFill>
        </w:rPr>
      </w:pPr>
    </w:p>
    <w:p w14:paraId="626F6F16">
      <w:pPr>
        <w:shd w:val="clear"/>
        <w:spacing w:before="71" w:line="219" w:lineRule="auto"/>
        <w:ind w:left="62"/>
        <w:rPr>
          <w:rFonts w:ascii="宋体" w:hAnsi="宋体" w:eastAsia="宋体" w:cs="宋体"/>
          <w:b/>
          <w:bCs/>
          <w:color w:val="000000" w:themeColor="text1"/>
          <w:sz w:val="22"/>
          <w:szCs w:val="22"/>
          <w:highlight w:val="none"/>
          <w14:textFill>
            <w14:solidFill>
              <w14:schemeClr w14:val="tx1"/>
            </w14:solidFill>
          </w14:textFill>
        </w:rPr>
      </w:pPr>
      <w:r>
        <w:rPr>
          <w:rFonts w:ascii="宋体" w:hAnsi="宋体" w:eastAsia="宋体" w:cs="宋体"/>
          <w:b/>
          <w:bCs/>
          <w:color w:val="000000" w:themeColor="text1"/>
          <w:spacing w:val="-1"/>
          <w:sz w:val="22"/>
          <w:szCs w:val="22"/>
          <w:highlight w:val="none"/>
          <w14:textFill>
            <w14:solidFill>
              <w14:schemeClr w14:val="tx1"/>
            </w14:solidFill>
          </w14:textFill>
        </w:rPr>
        <w:t>5.</w:t>
      </w:r>
      <w:r>
        <w:rPr>
          <w:rFonts w:ascii="宋体" w:hAnsi="宋体" w:eastAsia="宋体" w:cs="宋体"/>
          <w:b/>
          <w:bCs/>
          <w:color w:val="000000" w:themeColor="text1"/>
          <w:spacing w:val="-2"/>
          <w:sz w:val="22"/>
          <w:szCs w:val="22"/>
          <w:highlight w:val="none"/>
          <w14:textFill>
            <w14:solidFill>
              <w14:schemeClr w14:val="tx1"/>
            </w14:solidFill>
          </w14:textFill>
        </w:rPr>
        <w:t>评审报告</w:t>
      </w:r>
    </w:p>
    <w:p w14:paraId="1D9DF89B">
      <w:pPr>
        <w:pStyle w:val="19"/>
        <w:shd w:val="clear"/>
        <w:spacing w:line="325" w:lineRule="auto"/>
        <w:rPr>
          <w:b/>
          <w:bCs/>
          <w:color w:val="000000" w:themeColor="text1"/>
          <w:highlight w:val="none"/>
          <w14:textFill>
            <w14:solidFill>
              <w14:schemeClr w14:val="tx1"/>
            </w14:solidFill>
          </w14:textFill>
        </w:rPr>
      </w:pPr>
    </w:p>
    <w:p w14:paraId="65A1111E">
      <w:pPr>
        <w:pStyle w:val="19"/>
        <w:shd w:val="clear"/>
        <w:spacing w:line="326" w:lineRule="auto"/>
        <w:rPr>
          <w:b/>
          <w:bCs/>
          <w:color w:val="000000" w:themeColor="text1"/>
          <w:highlight w:val="none"/>
          <w14:textFill>
            <w14:solidFill>
              <w14:schemeClr w14:val="tx1"/>
            </w14:solidFill>
          </w14:textFill>
        </w:rPr>
      </w:pPr>
    </w:p>
    <w:p w14:paraId="3396201C">
      <w:pPr>
        <w:shd w:val="clear"/>
        <w:spacing w:before="73" w:line="220" w:lineRule="auto"/>
        <w:ind w:left="66"/>
        <w:rPr>
          <w:rFonts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pacing w:val="-1"/>
          <w:sz w:val="22"/>
          <w:szCs w:val="22"/>
          <w:highlight w:val="none"/>
          <w:lang w:val="en-US" w:eastAsia="zh-CN"/>
          <w14:textFill>
            <w14:solidFill>
              <w14:schemeClr w14:val="tx1"/>
            </w14:solidFill>
          </w14:textFill>
        </w:rPr>
        <w:t>6</w:t>
      </w:r>
      <w:r>
        <w:rPr>
          <w:rFonts w:ascii="宋体" w:hAnsi="宋体" w:eastAsia="宋体" w:cs="宋体"/>
          <w:b/>
          <w:bCs/>
          <w:color w:val="000000" w:themeColor="text1"/>
          <w:spacing w:val="-1"/>
          <w:sz w:val="22"/>
          <w:szCs w:val="22"/>
          <w:highlight w:val="none"/>
          <w14:textFill>
            <w14:solidFill>
              <w14:schemeClr w14:val="tx1"/>
            </w14:solidFill>
          </w14:textFill>
        </w:rPr>
        <w:t>.供应商需要说明的其他文件和说明</w:t>
      </w:r>
    </w:p>
    <w:p w14:paraId="71050B06">
      <w:pPr>
        <w:shd w:val="clear"/>
        <w:spacing w:line="220" w:lineRule="auto"/>
        <w:rPr>
          <w:rFonts w:ascii="宋体" w:hAnsi="宋体" w:eastAsia="宋体" w:cs="宋体"/>
          <w:b/>
          <w:bCs/>
          <w:color w:val="000000" w:themeColor="text1"/>
          <w:sz w:val="22"/>
          <w:szCs w:val="22"/>
          <w:highlight w:val="none"/>
          <w14:textFill>
            <w14:solidFill>
              <w14:schemeClr w14:val="tx1"/>
            </w14:solidFill>
          </w14:textFill>
        </w:rPr>
        <w:sectPr>
          <w:footerReference r:id="rId29" w:type="default"/>
          <w:pgSz w:w="11906" w:h="16839"/>
          <w:pgMar w:top="1431" w:right="1004" w:bottom="938" w:left="1785" w:header="283" w:footer="283" w:gutter="0"/>
          <w:pgNumType w:fmt="decimal"/>
          <w:cols w:space="720" w:num="1"/>
        </w:sectPr>
      </w:pPr>
    </w:p>
    <w:p w14:paraId="50E7D714">
      <w:pPr>
        <w:shd w:val="clear"/>
        <w:spacing w:before="181" w:line="219" w:lineRule="auto"/>
        <w:ind w:left="25"/>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第三节、响应文件封面参考格式（报价文件</w:t>
      </w:r>
      <w:r>
        <w:rPr>
          <w:rFonts w:ascii="宋体" w:hAnsi="宋体" w:eastAsia="宋体" w:cs="宋体"/>
          <w:color w:val="000000" w:themeColor="text1"/>
          <w:spacing w:val="3"/>
          <w:sz w:val="28"/>
          <w:szCs w:val="28"/>
          <w:highlight w:val="none"/>
          <w14:textFill>
            <w14:solidFill>
              <w14:schemeClr w14:val="tx1"/>
            </w14:solidFill>
          </w14:textFill>
        </w:rPr>
        <w:t>）：</w:t>
      </w:r>
    </w:p>
    <w:p w14:paraId="17F80937">
      <w:pPr>
        <w:pStyle w:val="19"/>
        <w:shd w:val="clear"/>
        <w:spacing w:line="308" w:lineRule="auto"/>
        <w:rPr>
          <w:color w:val="000000" w:themeColor="text1"/>
          <w:highlight w:val="none"/>
          <w14:textFill>
            <w14:solidFill>
              <w14:schemeClr w14:val="tx1"/>
            </w14:solidFill>
          </w14:textFill>
        </w:rPr>
      </w:pPr>
    </w:p>
    <w:p w14:paraId="40A8AB00">
      <w:pPr>
        <w:pStyle w:val="19"/>
        <w:shd w:val="clear"/>
        <w:spacing w:line="308" w:lineRule="auto"/>
        <w:rPr>
          <w:color w:val="000000" w:themeColor="text1"/>
          <w:highlight w:val="none"/>
          <w14:textFill>
            <w14:solidFill>
              <w14:schemeClr w14:val="tx1"/>
            </w14:solidFill>
          </w14:textFill>
        </w:rPr>
      </w:pPr>
    </w:p>
    <w:p w14:paraId="402E456B">
      <w:pPr>
        <w:pStyle w:val="19"/>
        <w:shd w:val="clear"/>
        <w:spacing w:line="308" w:lineRule="auto"/>
        <w:rPr>
          <w:color w:val="000000" w:themeColor="text1"/>
          <w:highlight w:val="none"/>
          <w14:textFill>
            <w14:solidFill>
              <w14:schemeClr w14:val="tx1"/>
            </w14:solidFill>
          </w14:textFill>
        </w:rPr>
      </w:pPr>
    </w:p>
    <w:p w14:paraId="04CCD2A1">
      <w:pPr>
        <w:shd w:val="clear"/>
        <w:spacing w:before="231" w:line="223" w:lineRule="auto"/>
        <w:ind w:left="2118"/>
        <w:rPr>
          <w:rFonts w:ascii="宋体" w:hAnsi="宋体" w:eastAsia="宋体" w:cs="宋体"/>
          <w:color w:val="000000" w:themeColor="text1"/>
          <w:sz w:val="71"/>
          <w:szCs w:val="71"/>
          <w:highlight w:val="none"/>
          <w14:textFill>
            <w14:solidFill>
              <w14:schemeClr w14:val="tx1"/>
            </w14:solidFill>
          </w14:textFill>
        </w:rPr>
      </w:pPr>
      <w:r>
        <w:rPr>
          <w:rFonts w:ascii="宋体" w:hAnsi="宋体" w:eastAsia="宋体" w:cs="宋体"/>
          <w:color w:val="000000" w:themeColor="text1"/>
          <w:spacing w:val="-9"/>
          <w:sz w:val="71"/>
          <w:szCs w:val="71"/>
          <w:highlight w:val="none"/>
          <w14:textFill>
            <w14:solidFill>
              <w14:schemeClr w14:val="tx1"/>
            </w14:solidFill>
          </w14:textFill>
        </w:rPr>
        <w:t>电子响应文件</w:t>
      </w:r>
    </w:p>
    <w:p w14:paraId="3EA2BACC">
      <w:pPr>
        <w:pStyle w:val="19"/>
        <w:shd w:val="clear"/>
        <w:spacing w:line="282" w:lineRule="auto"/>
        <w:rPr>
          <w:color w:val="000000" w:themeColor="text1"/>
          <w:highlight w:val="none"/>
          <w14:textFill>
            <w14:solidFill>
              <w14:schemeClr w14:val="tx1"/>
            </w14:solidFill>
          </w14:textFill>
        </w:rPr>
      </w:pPr>
    </w:p>
    <w:p w14:paraId="20AC25E4">
      <w:pPr>
        <w:pStyle w:val="19"/>
        <w:shd w:val="clear"/>
        <w:spacing w:line="282" w:lineRule="auto"/>
        <w:rPr>
          <w:color w:val="000000" w:themeColor="text1"/>
          <w:highlight w:val="none"/>
          <w14:textFill>
            <w14:solidFill>
              <w14:schemeClr w14:val="tx1"/>
            </w14:solidFill>
          </w14:textFill>
        </w:rPr>
      </w:pPr>
    </w:p>
    <w:p w14:paraId="6888AA11">
      <w:pPr>
        <w:pStyle w:val="19"/>
        <w:shd w:val="clear"/>
        <w:spacing w:line="283" w:lineRule="auto"/>
        <w:rPr>
          <w:color w:val="000000" w:themeColor="text1"/>
          <w:highlight w:val="none"/>
          <w14:textFill>
            <w14:solidFill>
              <w14:schemeClr w14:val="tx1"/>
            </w14:solidFill>
          </w14:textFill>
        </w:rPr>
      </w:pPr>
    </w:p>
    <w:p w14:paraId="04F3BFD2">
      <w:pPr>
        <w:pStyle w:val="19"/>
        <w:shd w:val="clear"/>
        <w:spacing w:line="283" w:lineRule="auto"/>
        <w:rPr>
          <w:color w:val="000000" w:themeColor="text1"/>
          <w:highlight w:val="none"/>
          <w14:textFill>
            <w14:solidFill>
              <w14:schemeClr w14:val="tx1"/>
            </w14:solidFill>
          </w14:textFill>
        </w:rPr>
      </w:pPr>
    </w:p>
    <w:p w14:paraId="7CD74537">
      <w:pPr>
        <w:shd w:val="clear"/>
        <w:spacing w:before="153" w:line="223" w:lineRule="auto"/>
        <w:ind w:left="3220"/>
        <w:rPr>
          <w:rFonts w:ascii="宋体" w:hAnsi="宋体" w:eastAsia="宋体" w:cs="宋体"/>
          <w:color w:val="000000" w:themeColor="text1"/>
          <w:sz w:val="47"/>
          <w:szCs w:val="47"/>
          <w:highlight w:val="none"/>
          <w14:textFill>
            <w14:solidFill>
              <w14:schemeClr w14:val="tx1"/>
            </w14:solidFill>
          </w14:textFill>
        </w:rPr>
      </w:pPr>
      <w:r>
        <w:rPr>
          <w:rFonts w:ascii="宋体" w:hAnsi="宋体" w:eastAsia="宋体" w:cs="宋体"/>
          <w:color w:val="000000" w:themeColor="text1"/>
          <w:spacing w:val="6"/>
          <w:sz w:val="47"/>
          <w:szCs w:val="47"/>
          <w:highlight w:val="none"/>
          <w14:textFill>
            <w14:solidFill>
              <w14:schemeClr w14:val="tx1"/>
            </w14:solidFill>
          </w14:textFill>
        </w:rPr>
        <w:t>报价文件</w:t>
      </w:r>
    </w:p>
    <w:p w14:paraId="026865B5">
      <w:pPr>
        <w:pStyle w:val="19"/>
        <w:shd w:val="clear"/>
        <w:spacing w:line="249" w:lineRule="auto"/>
        <w:rPr>
          <w:color w:val="000000" w:themeColor="text1"/>
          <w:highlight w:val="none"/>
          <w14:textFill>
            <w14:solidFill>
              <w14:schemeClr w14:val="tx1"/>
            </w14:solidFill>
          </w14:textFill>
        </w:rPr>
      </w:pPr>
    </w:p>
    <w:p w14:paraId="0A9D1E47">
      <w:pPr>
        <w:pStyle w:val="19"/>
        <w:shd w:val="clear"/>
        <w:spacing w:line="249" w:lineRule="auto"/>
        <w:rPr>
          <w:color w:val="000000" w:themeColor="text1"/>
          <w:highlight w:val="none"/>
          <w14:textFill>
            <w14:solidFill>
              <w14:schemeClr w14:val="tx1"/>
            </w14:solidFill>
          </w14:textFill>
        </w:rPr>
      </w:pPr>
    </w:p>
    <w:p w14:paraId="634BD830">
      <w:pPr>
        <w:pStyle w:val="19"/>
        <w:shd w:val="clear"/>
        <w:spacing w:line="249" w:lineRule="auto"/>
        <w:rPr>
          <w:color w:val="000000" w:themeColor="text1"/>
          <w:highlight w:val="none"/>
          <w14:textFill>
            <w14:solidFill>
              <w14:schemeClr w14:val="tx1"/>
            </w14:solidFill>
          </w14:textFill>
        </w:rPr>
      </w:pPr>
    </w:p>
    <w:p w14:paraId="6472631D">
      <w:pPr>
        <w:pStyle w:val="19"/>
        <w:shd w:val="clear"/>
        <w:spacing w:line="250" w:lineRule="auto"/>
        <w:rPr>
          <w:color w:val="000000" w:themeColor="text1"/>
          <w:highlight w:val="none"/>
          <w14:textFill>
            <w14:solidFill>
              <w14:schemeClr w14:val="tx1"/>
            </w14:solidFill>
          </w14:textFill>
        </w:rPr>
      </w:pPr>
    </w:p>
    <w:p w14:paraId="16960533">
      <w:pPr>
        <w:shd w:val="clear"/>
        <w:spacing w:before="91" w:line="624" w:lineRule="exact"/>
        <w:ind w:left="2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position w:val="26"/>
          <w:sz w:val="28"/>
          <w:szCs w:val="28"/>
          <w:highlight w:val="none"/>
          <w14:textFill>
            <w14:solidFill>
              <w14:schemeClr w14:val="tx1"/>
            </w14:solidFill>
          </w14:textFill>
        </w:rPr>
        <w:t>项目名称：</w:t>
      </w:r>
    </w:p>
    <w:p w14:paraId="2FEFB359">
      <w:pPr>
        <w:shd w:val="clear"/>
        <w:spacing w:before="1" w:line="220" w:lineRule="auto"/>
        <w:ind w:left="2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项目编号：</w:t>
      </w:r>
    </w:p>
    <w:p w14:paraId="6E560752">
      <w:pPr>
        <w:shd w:val="clear"/>
        <w:spacing w:before="289" w:line="624" w:lineRule="exact"/>
        <w:ind w:left="2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position w:val="26"/>
          <w:sz w:val="28"/>
          <w:szCs w:val="28"/>
          <w:highlight w:val="none"/>
          <w14:textFill>
            <w14:solidFill>
              <w14:schemeClr w14:val="tx1"/>
            </w14:solidFill>
          </w14:textFill>
        </w:rPr>
        <w:t>标段：</w:t>
      </w:r>
      <w:r>
        <w:rPr>
          <w:rFonts w:ascii="宋体" w:hAnsi="宋体" w:eastAsia="宋体" w:cs="宋体"/>
          <w:color w:val="000000" w:themeColor="text1"/>
          <w:spacing w:val="-77"/>
          <w:position w:val="26"/>
          <w:sz w:val="28"/>
          <w:szCs w:val="28"/>
          <w:highlight w:val="none"/>
          <w14:textFill>
            <w14:solidFill>
              <w14:schemeClr w14:val="tx1"/>
            </w14:solidFill>
          </w14:textFill>
        </w:rPr>
        <w:t xml:space="preserve"> </w:t>
      </w:r>
      <w:r>
        <w:rPr>
          <w:rFonts w:hint="eastAsia" w:ascii="宋体" w:hAnsi="宋体" w:cs="宋体"/>
          <w:color w:val="000000" w:themeColor="text1"/>
          <w:spacing w:val="-77"/>
          <w:position w:val="26"/>
          <w:sz w:val="28"/>
          <w:szCs w:val="28"/>
          <w:highlight w:val="none"/>
          <w:lang w:eastAsia="zh-CN"/>
          <w14:textFill>
            <w14:solidFill>
              <w14:schemeClr w14:val="tx1"/>
            </w14:solidFill>
          </w14:textFill>
        </w:rPr>
        <w:t>（</w:t>
      </w:r>
      <w:r>
        <w:rPr>
          <w:rFonts w:ascii="宋体" w:hAnsi="宋体" w:eastAsia="宋体" w:cs="宋体"/>
          <w:color w:val="000000" w:themeColor="text1"/>
          <w:spacing w:val="-8"/>
          <w:position w:val="26"/>
          <w:sz w:val="28"/>
          <w:szCs w:val="28"/>
          <w:highlight w:val="none"/>
          <w14:textFill>
            <w14:solidFill>
              <w14:schemeClr w14:val="tx1"/>
            </w14:solidFill>
          </w14:textFill>
        </w:rPr>
        <w:t>若无留空或写“/</w:t>
      </w:r>
      <w:r>
        <w:rPr>
          <w:rFonts w:ascii="宋体" w:hAnsi="宋体" w:eastAsia="宋体" w:cs="宋体"/>
          <w:color w:val="000000" w:themeColor="text1"/>
          <w:spacing w:val="-104"/>
          <w:position w:val="26"/>
          <w:sz w:val="28"/>
          <w:szCs w:val="28"/>
          <w:highlight w:val="none"/>
          <w14:textFill>
            <w14:solidFill>
              <w14:schemeClr w14:val="tx1"/>
            </w14:solidFill>
          </w14:textFill>
        </w:rPr>
        <w:t xml:space="preserve"> </w:t>
      </w:r>
      <w:r>
        <w:rPr>
          <w:rFonts w:ascii="宋体" w:hAnsi="宋体" w:eastAsia="宋体" w:cs="宋体"/>
          <w:color w:val="000000" w:themeColor="text1"/>
          <w:spacing w:val="-8"/>
          <w:position w:val="26"/>
          <w:sz w:val="28"/>
          <w:szCs w:val="28"/>
          <w:highlight w:val="none"/>
          <w14:textFill>
            <w14:solidFill>
              <w14:schemeClr w14:val="tx1"/>
            </w14:solidFill>
          </w14:textFill>
        </w:rPr>
        <w:t>”</w:t>
      </w:r>
      <w:r>
        <w:rPr>
          <w:rFonts w:hint="eastAsia" w:ascii="宋体" w:hAnsi="宋体" w:cs="宋体"/>
          <w:color w:val="000000" w:themeColor="text1"/>
          <w:spacing w:val="-8"/>
          <w:position w:val="26"/>
          <w:sz w:val="28"/>
          <w:szCs w:val="28"/>
          <w:highlight w:val="none"/>
          <w:lang w:eastAsia="zh-CN"/>
          <w14:textFill>
            <w14:solidFill>
              <w14:schemeClr w14:val="tx1"/>
            </w14:solidFill>
          </w14:textFill>
        </w:rPr>
        <w:t>）</w:t>
      </w:r>
    </w:p>
    <w:p w14:paraId="7D689B59">
      <w:pPr>
        <w:shd w:val="clear"/>
        <w:spacing w:line="220" w:lineRule="auto"/>
        <w:ind w:left="25"/>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供应商名称：</w:t>
      </w:r>
    </w:p>
    <w:p w14:paraId="3BC05FFA">
      <w:pPr>
        <w:shd w:val="clear"/>
        <w:spacing w:before="290" w:line="220" w:lineRule="auto"/>
        <w:ind w:left="25"/>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供应商地址：</w:t>
      </w:r>
    </w:p>
    <w:p w14:paraId="00E34581">
      <w:pPr>
        <w:shd w:val="clear"/>
        <w:spacing w:before="290" w:line="221" w:lineRule="auto"/>
        <w:ind w:left="361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8"/>
          <w:szCs w:val="28"/>
          <w:highlight w:val="none"/>
          <w14:textFill>
            <w14:solidFill>
              <w14:schemeClr w14:val="tx1"/>
            </w14:solidFill>
          </w14:textFill>
        </w:rPr>
        <w:t>年</w:t>
      </w:r>
      <w:r>
        <w:rPr>
          <w:rFonts w:ascii="宋体" w:hAnsi="宋体" w:eastAsia="宋体" w:cs="宋体"/>
          <w:color w:val="000000" w:themeColor="text1"/>
          <w:spacing w:val="17"/>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月</w:t>
      </w:r>
      <w:r>
        <w:rPr>
          <w:rFonts w:ascii="宋体" w:hAnsi="宋体" w:eastAsia="宋体" w:cs="宋体"/>
          <w:color w:val="000000" w:themeColor="text1"/>
          <w:spacing w:val="59"/>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日</w:t>
      </w:r>
    </w:p>
    <w:p w14:paraId="2837C675">
      <w:pPr>
        <w:shd w:val="clear"/>
        <w:spacing w:line="221" w:lineRule="auto"/>
        <w:rPr>
          <w:rFonts w:ascii="宋体" w:hAnsi="宋体" w:eastAsia="宋体" w:cs="宋体"/>
          <w:color w:val="000000" w:themeColor="text1"/>
          <w:sz w:val="28"/>
          <w:szCs w:val="28"/>
          <w:highlight w:val="none"/>
          <w14:textFill>
            <w14:solidFill>
              <w14:schemeClr w14:val="tx1"/>
            </w14:solidFill>
          </w14:textFill>
        </w:rPr>
        <w:sectPr>
          <w:footerReference r:id="rId30" w:type="default"/>
          <w:pgSz w:w="11906" w:h="16839"/>
          <w:pgMar w:top="1431" w:right="1785" w:bottom="939" w:left="1785" w:header="0" w:footer="734" w:gutter="0"/>
          <w:pgNumType w:fmt="decimal"/>
          <w:cols w:space="720" w:num="1"/>
        </w:sectPr>
      </w:pPr>
    </w:p>
    <w:p w14:paraId="63AEDD59">
      <w:pPr>
        <w:shd w:val="clear"/>
        <w:spacing w:before="63" w:line="228" w:lineRule="auto"/>
        <w:ind w:left="3917"/>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30"/>
          <w:sz w:val="31"/>
          <w:szCs w:val="31"/>
          <w:highlight w:val="none"/>
          <w14:textFill>
            <w14:solidFill>
              <w14:schemeClr w14:val="tx1"/>
            </w14:solidFill>
          </w14:textFill>
        </w:rPr>
        <w:t>目录</w:t>
      </w:r>
    </w:p>
    <w:p w14:paraId="30E2DF86">
      <w:pPr>
        <w:pStyle w:val="19"/>
        <w:shd w:val="clear"/>
        <w:spacing w:line="464" w:lineRule="auto"/>
        <w:rPr>
          <w:color w:val="000000" w:themeColor="text1"/>
          <w:highlight w:val="none"/>
          <w14:textFill>
            <w14:solidFill>
              <w14:schemeClr w14:val="tx1"/>
            </w14:solidFill>
          </w14:textFill>
        </w:rPr>
      </w:pPr>
    </w:p>
    <w:p w14:paraId="5AF55643">
      <w:pPr>
        <w:shd w:val="clear"/>
        <w:spacing w:before="91" w:line="221" w:lineRule="auto"/>
        <w:ind w:left="3345"/>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（应有页码）</w:t>
      </w:r>
    </w:p>
    <w:p w14:paraId="0BF184CB">
      <w:pPr>
        <w:shd w:val="clear"/>
        <w:spacing w:line="221" w:lineRule="auto"/>
        <w:rPr>
          <w:rFonts w:ascii="宋体" w:hAnsi="宋体" w:eastAsia="宋体" w:cs="宋体"/>
          <w:color w:val="000000" w:themeColor="text1"/>
          <w:sz w:val="28"/>
          <w:szCs w:val="28"/>
          <w:highlight w:val="none"/>
          <w14:textFill>
            <w14:solidFill>
              <w14:schemeClr w14:val="tx1"/>
            </w14:solidFill>
          </w14:textFill>
        </w:rPr>
        <w:sectPr>
          <w:footerReference r:id="rId31" w:type="default"/>
          <w:pgSz w:w="11906" w:h="16839"/>
          <w:pgMar w:top="1258" w:right="1785" w:bottom="882" w:left="1785" w:header="0" w:footer="679" w:gutter="0"/>
          <w:pgNumType w:fmt="decimal"/>
          <w:cols w:space="720" w:num="1"/>
        </w:sectPr>
      </w:pPr>
    </w:p>
    <w:p w14:paraId="76BE2A17">
      <w:pPr>
        <w:shd w:val="clear"/>
        <w:spacing w:before="220" w:line="221" w:lineRule="auto"/>
        <w:ind w:left="39"/>
        <w:rPr>
          <w:rFonts w:ascii="宋体" w:hAnsi="宋体" w:eastAsia="宋体" w:cs="宋体"/>
          <w:b/>
          <w:bCs/>
          <w:color w:val="000000" w:themeColor="text1"/>
          <w:sz w:val="22"/>
          <w:szCs w:val="22"/>
          <w:highlight w:val="none"/>
          <w14:textFill>
            <w14:solidFill>
              <w14:schemeClr w14:val="tx1"/>
            </w14:solidFill>
          </w14:textFill>
        </w:rPr>
      </w:pPr>
      <w:r>
        <w:rPr>
          <w:rFonts w:ascii="宋体" w:hAnsi="宋体" w:eastAsia="宋体" w:cs="宋体"/>
          <w:b/>
          <w:bCs/>
          <w:color w:val="000000" w:themeColor="text1"/>
          <w:spacing w:val="-4"/>
          <w:sz w:val="22"/>
          <w:szCs w:val="22"/>
          <w:highlight w:val="none"/>
          <w14:textFill>
            <w14:solidFill>
              <w14:schemeClr w14:val="tx1"/>
            </w14:solidFill>
          </w14:textFill>
        </w:rPr>
        <w:t>1．响应函格式：</w:t>
      </w:r>
    </w:p>
    <w:p w14:paraId="6A5BFEC9">
      <w:pPr>
        <w:shd w:val="clear"/>
        <w:spacing w:before="167" w:line="222" w:lineRule="auto"/>
        <w:ind w:left="3741"/>
        <w:rPr>
          <w:rFonts w:ascii="宋体" w:hAnsi="宋体" w:eastAsia="宋体" w:cs="宋体"/>
          <w:color w:val="000000" w:themeColor="text1"/>
          <w:sz w:val="30"/>
          <w:szCs w:val="30"/>
          <w:highlight w:val="none"/>
          <w14:textFill>
            <w14:solidFill>
              <w14:schemeClr w14:val="tx1"/>
            </w14:solidFill>
          </w14:textFill>
        </w:rPr>
      </w:pPr>
      <w:r>
        <w:rPr>
          <w:rFonts w:ascii="宋体" w:hAnsi="宋体" w:eastAsia="宋体" w:cs="宋体"/>
          <w:b/>
          <w:bCs/>
          <w:color w:val="000000" w:themeColor="text1"/>
          <w:spacing w:val="-12"/>
          <w:sz w:val="30"/>
          <w:szCs w:val="30"/>
          <w:highlight w:val="none"/>
          <w14:textFill>
            <w14:solidFill>
              <w14:schemeClr w14:val="tx1"/>
            </w14:solidFill>
          </w14:textFill>
        </w:rPr>
        <w:t>响应函</w:t>
      </w:r>
    </w:p>
    <w:p w14:paraId="57299C10">
      <w:pPr>
        <w:pStyle w:val="19"/>
        <w:shd w:val="clear"/>
        <w:spacing w:line="469" w:lineRule="auto"/>
        <w:rPr>
          <w:color w:val="000000" w:themeColor="text1"/>
          <w:highlight w:val="none"/>
          <w14:textFill>
            <w14:solidFill>
              <w14:schemeClr w14:val="tx1"/>
            </w14:solidFill>
          </w14:textFill>
        </w:rPr>
      </w:pPr>
    </w:p>
    <w:p w14:paraId="3DE56E58">
      <w:pPr>
        <w:shd w:val="clear"/>
        <w:spacing w:before="65" w:line="228" w:lineRule="auto"/>
        <w:ind w:left="22"/>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3"/>
          <w:sz w:val="21"/>
          <w:szCs w:val="21"/>
          <w:highlight w:val="none"/>
          <w14:textFill>
            <w14:solidFill>
              <w14:schemeClr w14:val="tx1"/>
            </w14:solidFill>
          </w14:textFill>
        </w:rPr>
        <w:t>致</w:t>
      </w:r>
      <w:r>
        <w:rPr>
          <w:rFonts w:ascii="宋体" w:hAnsi="宋体" w:eastAsia="宋体" w:cs="宋体"/>
          <w:color w:val="000000" w:themeColor="text1"/>
          <w:spacing w:val="-4"/>
          <w:sz w:val="21"/>
          <w:szCs w:val="21"/>
          <w:highlight w:val="none"/>
          <w14:textFill>
            <w14:solidFill>
              <w14:schemeClr w14:val="tx1"/>
            </w14:solidFill>
          </w14:textFill>
        </w:rPr>
        <w:t>：</w:t>
      </w:r>
      <w:r>
        <w:rPr>
          <w:rFonts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ascii="宋体" w:hAnsi="宋体" w:eastAsia="宋体" w:cs="宋体"/>
          <w:color w:val="000000" w:themeColor="text1"/>
          <w:spacing w:val="-4"/>
          <w:sz w:val="21"/>
          <w:szCs w:val="21"/>
          <w:highlight w:val="none"/>
          <w:u w:val="single" w:color="auto"/>
          <w14:textFill>
            <w14:solidFill>
              <w14:schemeClr w14:val="tx1"/>
            </w14:solidFill>
          </w14:textFill>
        </w:rPr>
        <w:t>（</w:t>
      </w:r>
      <w:r>
        <w:rPr>
          <w:rFonts w:ascii="宋体" w:hAnsi="宋体" w:eastAsia="宋体" w:cs="宋体"/>
          <w:color w:val="000000" w:themeColor="text1"/>
          <w:spacing w:val="13"/>
          <w:sz w:val="21"/>
          <w:szCs w:val="21"/>
          <w:highlight w:val="none"/>
          <w:u w:val="single" w:color="auto"/>
          <w14:textFill>
            <w14:solidFill>
              <w14:schemeClr w14:val="tx1"/>
            </w14:solidFill>
          </w14:textFill>
        </w:rPr>
        <w:t>征集人名称</w:t>
      </w:r>
      <w:r>
        <w:rPr>
          <w:rFonts w:ascii="宋体" w:hAnsi="宋体" w:eastAsia="宋体" w:cs="宋体"/>
          <w:color w:val="000000" w:themeColor="text1"/>
          <w:spacing w:val="-4"/>
          <w:sz w:val="21"/>
          <w:szCs w:val="21"/>
          <w:highlight w:val="none"/>
          <w:u w:val="single" w:color="auto"/>
          <w14:textFill>
            <w14:solidFill>
              <w14:schemeClr w14:val="tx1"/>
            </w14:solidFill>
          </w14:textFill>
        </w:rPr>
        <w:t>）</w:t>
      </w:r>
      <w:r>
        <w:rPr>
          <w:rFonts w:ascii="宋体" w:hAnsi="宋体" w:eastAsia="宋体" w:cs="宋体"/>
          <w:color w:val="000000" w:themeColor="text1"/>
          <w:spacing w:val="-4"/>
          <w:sz w:val="21"/>
          <w:szCs w:val="21"/>
          <w:highlight w:val="none"/>
          <w14:textFill>
            <w14:solidFill>
              <w14:schemeClr w14:val="tx1"/>
            </w14:solidFill>
          </w14:textFill>
        </w:rPr>
        <w:t>：</w:t>
      </w:r>
    </w:p>
    <w:p w14:paraId="7C6C643E">
      <w:pPr>
        <w:shd w:val="clear"/>
        <w:spacing w:before="220" w:line="432" w:lineRule="auto"/>
        <w:ind w:left="44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我方已仔细研究了</w:t>
      </w:r>
      <w:r>
        <w:rPr>
          <w:rFonts w:ascii="宋体" w:hAnsi="宋体" w:eastAsia="宋体" w:cs="宋体"/>
          <w:color w:val="000000" w:themeColor="text1"/>
          <w:spacing w:val="7"/>
          <w:sz w:val="21"/>
          <w:szCs w:val="21"/>
          <w:highlight w:val="none"/>
          <w:u w:val="single" w:color="auto"/>
          <w14:textFill>
            <w14:solidFill>
              <w14:schemeClr w14:val="tx1"/>
            </w14:solidFill>
          </w14:textFill>
        </w:rPr>
        <w:t>（项目名称）</w:t>
      </w:r>
      <w:r>
        <w:rPr>
          <w:rFonts w:ascii="宋体" w:hAnsi="宋体" w:eastAsia="宋体" w:cs="宋体"/>
          <w:color w:val="000000" w:themeColor="text1"/>
          <w:spacing w:val="7"/>
          <w:sz w:val="21"/>
          <w:szCs w:val="21"/>
          <w:highlight w:val="none"/>
          <w14:textFill>
            <w14:solidFill>
              <w14:schemeClr w14:val="tx1"/>
            </w14:solidFill>
          </w14:textFill>
        </w:rPr>
        <w:t>的征集文件的全部内容。</w:t>
      </w:r>
      <w:r>
        <w:rPr>
          <w:rFonts w:ascii="宋体" w:hAnsi="宋体" w:eastAsia="宋体" w:cs="宋体"/>
          <w:color w:val="000000" w:themeColor="text1"/>
          <w:spacing w:val="6"/>
          <w:sz w:val="21"/>
          <w:szCs w:val="21"/>
          <w:highlight w:val="none"/>
          <w14:textFill>
            <w14:solidFill>
              <w14:schemeClr w14:val="tx1"/>
            </w14:solidFill>
          </w14:textFill>
        </w:rPr>
        <w:t>签字代表</w:t>
      </w:r>
      <w:r>
        <w:rPr>
          <w:rFonts w:ascii="宋体" w:hAnsi="宋体" w:eastAsia="宋体" w:cs="宋体"/>
          <w:color w:val="000000" w:themeColor="text1"/>
          <w:spacing w:val="-98"/>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u w:val="single" w:color="auto"/>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（授权代表姓名）</w:t>
      </w:r>
    </w:p>
    <w:p w14:paraId="0AC4E36F">
      <w:pPr>
        <w:shd w:val="clear"/>
        <w:spacing w:line="227" w:lineRule="auto"/>
        <w:ind w:left="2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经正式授权并代表供应商</w:t>
      </w:r>
      <w:r>
        <w:rPr>
          <w:rFonts w:ascii="宋体" w:hAnsi="宋体" w:eastAsia="宋体" w:cs="宋体"/>
          <w:color w:val="000000" w:themeColor="text1"/>
          <w:spacing w:val="8"/>
          <w:sz w:val="21"/>
          <w:szCs w:val="21"/>
          <w:highlight w:val="none"/>
          <w:u w:val="single" w:color="auto"/>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（供应商名称）提交响应文件。</w:t>
      </w:r>
    </w:p>
    <w:p w14:paraId="757F364B">
      <w:pPr>
        <w:shd w:val="clear"/>
        <w:spacing w:before="221" w:line="228" w:lineRule="auto"/>
        <w:ind w:left="441"/>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据此函，签字代表宣布同意如下：</w:t>
      </w:r>
    </w:p>
    <w:p w14:paraId="30E0B6E5">
      <w:pPr>
        <w:shd w:val="clear"/>
        <w:spacing w:before="221" w:line="432" w:lineRule="auto"/>
        <w:ind w:left="22" w:right="146" w:firstLine="43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（1）我方已详细审查全部“征集文件</w:t>
      </w:r>
      <w:r>
        <w:rPr>
          <w:rFonts w:ascii="宋体" w:hAnsi="宋体" w:eastAsia="宋体" w:cs="宋体"/>
          <w:color w:val="000000" w:themeColor="text1"/>
          <w:spacing w:val="-70"/>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”，包括修改文件（如有的话）</w:t>
      </w:r>
      <w:r>
        <w:rPr>
          <w:rFonts w:ascii="宋体" w:hAnsi="宋体" w:eastAsia="宋体" w:cs="宋体"/>
          <w:color w:val="000000" w:themeColor="text1"/>
          <w:spacing w:val="-57"/>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以及全部参</w:t>
      </w:r>
      <w:r>
        <w:rPr>
          <w:rFonts w:ascii="宋体" w:hAnsi="宋体" w:eastAsia="宋体" w:cs="宋体"/>
          <w:color w:val="000000" w:themeColor="text1"/>
          <w:spacing w:val="6"/>
          <w:sz w:val="21"/>
          <w:szCs w:val="21"/>
          <w:highlight w:val="none"/>
          <w14:textFill>
            <w14:solidFill>
              <w14:schemeClr w14:val="tx1"/>
            </w14:solidFill>
          </w14:textFill>
        </w:rPr>
        <w:t xml:space="preserve">考资 </w:t>
      </w:r>
      <w:r>
        <w:rPr>
          <w:rFonts w:ascii="宋体" w:hAnsi="宋体" w:eastAsia="宋体" w:cs="宋体"/>
          <w:color w:val="000000" w:themeColor="text1"/>
          <w:spacing w:val="9"/>
          <w:sz w:val="21"/>
          <w:szCs w:val="21"/>
          <w:highlight w:val="none"/>
          <w14:textFill>
            <w14:solidFill>
              <w14:schemeClr w14:val="tx1"/>
            </w14:solidFill>
          </w14:textFill>
        </w:rPr>
        <w:t>料和有关附件，已经了解我方对于征集文件、采购过程、采购结果有依法进</w:t>
      </w:r>
      <w:r>
        <w:rPr>
          <w:rFonts w:ascii="宋体" w:hAnsi="宋体" w:eastAsia="宋体" w:cs="宋体"/>
          <w:color w:val="000000" w:themeColor="text1"/>
          <w:spacing w:val="8"/>
          <w:sz w:val="21"/>
          <w:szCs w:val="21"/>
          <w:highlight w:val="none"/>
          <w14:textFill>
            <w14:solidFill>
              <w14:schemeClr w14:val="tx1"/>
            </w14:solidFill>
          </w14:textFill>
        </w:rPr>
        <w:t>行询问、质疑、</w:t>
      </w:r>
    </w:p>
    <w:p w14:paraId="249F6FEE">
      <w:pPr>
        <w:shd w:val="clear"/>
        <w:spacing w:before="1" w:line="228" w:lineRule="auto"/>
        <w:ind w:left="24"/>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投诉的权利及相关渠道和要求。</w:t>
      </w:r>
    </w:p>
    <w:p w14:paraId="17232839">
      <w:pPr>
        <w:shd w:val="clear"/>
        <w:spacing w:before="220" w:line="468" w:lineRule="exact"/>
        <w:ind w:left="452"/>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position w:val="20"/>
          <w:sz w:val="21"/>
          <w:szCs w:val="21"/>
          <w:highlight w:val="none"/>
          <w14:textFill>
            <w14:solidFill>
              <w14:schemeClr w14:val="tx1"/>
            </w14:solidFill>
          </w14:textFill>
        </w:rPr>
        <w:t>（2）我方在响应之前已经与贵方进行了充分的沟通，完全理解并接受征集文件的各项</w:t>
      </w:r>
    </w:p>
    <w:p w14:paraId="2F5408C0">
      <w:pPr>
        <w:shd w:val="clear"/>
        <w:spacing w:before="1" w:line="228" w:lineRule="auto"/>
        <w:ind w:left="2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规定和要求，对征集文件的合理性、合法性不再有异议。</w:t>
      </w:r>
    </w:p>
    <w:p w14:paraId="3C400C9A">
      <w:pPr>
        <w:shd w:val="clear"/>
        <w:spacing w:before="220" w:line="228" w:lineRule="auto"/>
        <w:ind w:left="452"/>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（3）本响应有效期自响应截止之日起</w:t>
      </w:r>
      <w:r>
        <w:rPr>
          <w:rFonts w:ascii="宋体" w:hAnsi="宋体" w:eastAsia="宋体" w:cs="宋体"/>
          <w:color w:val="000000" w:themeColor="text1"/>
          <w:spacing w:val="-91"/>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ascii="宋体" w:hAnsi="宋体" w:eastAsia="宋体" w:cs="宋体"/>
          <w:color w:val="000000" w:themeColor="text1"/>
          <w:spacing w:val="-87"/>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天。</w:t>
      </w:r>
    </w:p>
    <w:p w14:paraId="40659BDB">
      <w:pPr>
        <w:shd w:val="clear"/>
        <w:spacing w:before="220" w:line="228" w:lineRule="auto"/>
        <w:ind w:left="452"/>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position w:val="20"/>
          <w:sz w:val="21"/>
          <w:szCs w:val="21"/>
          <w:highlight w:val="none"/>
          <w14:textFill>
            <w14:solidFill>
              <w14:schemeClr w14:val="tx1"/>
            </w14:solidFill>
          </w14:textFill>
        </w:rPr>
        <w:t>（4）如入围，本响应文件至本项目合同履行完毕止均保持有效</w:t>
      </w:r>
      <w:r>
        <w:rPr>
          <w:rFonts w:ascii="宋体" w:hAnsi="宋体" w:eastAsia="宋体" w:cs="宋体"/>
          <w:color w:val="000000" w:themeColor="text1"/>
          <w:spacing w:val="8"/>
          <w:position w:val="20"/>
          <w:sz w:val="21"/>
          <w:szCs w:val="21"/>
          <w:highlight w:val="none"/>
          <w14:textFill>
            <w14:solidFill>
              <w14:schemeClr w14:val="tx1"/>
            </w14:solidFill>
          </w14:textFill>
        </w:rPr>
        <w:t>，我方将按“征集文件</w:t>
      </w:r>
      <w:r>
        <w:rPr>
          <w:rFonts w:ascii="宋体" w:hAnsi="宋体" w:eastAsia="宋体" w:cs="宋体"/>
          <w:color w:val="000000" w:themeColor="text1"/>
          <w:spacing w:val="-70"/>
          <w:position w:val="20"/>
          <w:sz w:val="21"/>
          <w:szCs w:val="21"/>
          <w:highlight w:val="none"/>
          <w14:textFill>
            <w14:solidFill>
              <w14:schemeClr w14:val="tx1"/>
            </w14:solidFill>
          </w14:textFill>
        </w:rPr>
        <w:t xml:space="preserve"> </w:t>
      </w:r>
      <w:r>
        <w:rPr>
          <w:rFonts w:ascii="宋体" w:hAnsi="宋体" w:eastAsia="宋体" w:cs="宋体"/>
          <w:color w:val="000000" w:themeColor="text1"/>
          <w:spacing w:val="8"/>
          <w:position w:val="20"/>
          <w:sz w:val="21"/>
          <w:szCs w:val="21"/>
          <w:highlight w:val="none"/>
          <w14:textFill>
            <w14:solidFill>
              <w14:schemeClr w14:val="tx1"/>
            </w14:solidFill>
          </w14:textFill>
        </w:rPr>
        <w:t>”</w:t>
      </w:r>
    </w:p>
    <w:p w14:paraId="2DC0E67E">
      <w:pPr>
        <w:shd w:val="clear"/>
        <w:spacing w:before="1" w:line="227" w:lineRule="auto"/>
        <w:ind w:left="21"/>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及政府采购法律、法规的规定履行合同责任和义务，并承诺不分包及转包他人。</w:t>
      </w:r>
    </w:p>
    <w:p w14:paraId="6FB08F5A">
      <w:pPr>
        <w:shd w:val="clear"/>
        <w:spacing w:before="221" w:line="228" w:lineRule="auto"/>
        <w:ind w:left="452"/>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（5）我方同意按照贵方要求提供与响应有关</w:t>
      </w:r>
      <w:r>
        <w:rPr>
          <w:rFonts w:ascii="宋体" w:hAnsi="宋体" w:eastAsia="宋体" w:cs="宋体"/>
          <w:color w:val="000000" w:themeColor="text1"/>
          <w:spacing w:val="8"/>
          <w:sz w:val="21"/>
          <w:szCs w:val="21"/>
          <w:highlight w:val="none"/>
          <w14:textFill>
            <w14:solidFill>
              <w14:schemeClr w14:val="tx1"/>
            </w14:solidFill>
          </w14:textFill>
        </w:rPr>
        <w:t>的一切数据或资料。</w:t>
      </w:r>
    </w:p>
    <w:p w14:paraId="357B5244">
      <w:pPr>
        <w:shd w:val="clear"/>
        <w:spacing w:before="221" w:line="228" w:lineRule="auto"/>
        <w:ind w:left="452"/>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（6）与本项目有关的一切正式往来信函请寄：</w:t>
      </w:r>
    </w:p>
    <w:p w14:paraId="277E7691">
      <w:pPr>
        <w:shd w:val="clear"/>
        <w:spacing w:before="221" w:line="238" w:lineRule="auto"/>
        <w:ind w:left="442"/>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地址：</w:t>
      </w:r>
      <w:r>
        <w:rPr>
          <w:rFonts w:ascii="宋体" w:hAnsi="宋体" w:eastAsia="宋体" w:cs="宋体"/>
          <w:color w:val="000000" w:themeColor="text1"/>
          <w:sz w:val="21"/>
          <w:szCs w:val="21"/>
          <w:highlight w:val="none"/>
          <w:u w:val="single" w:color="auto"/>
          <w14:textFill>
            <w14:solidFill>
              <w14:schemeClr w14:val="tx1"/>
            </w14:solidFill>
          </w14:textFill>
        </w:rPr>
        <w:t xml:space="preserve">          </w:t>
      </w:r>
    </w:p>
    <w:p w14:paraId="7F6260CC">
      <w:pPr>
        <w:shd w:val="clear"/>
        <w:spacing w:before="210" w:line="228" w:lineRule="auto"/>
        <w:ind w:left="457"/>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邮编：</w:t>
      </w:r>
      <w:r>
        <w:rPr>
          <w:rFonts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ascii="宋体" w:hAnsi="宋体" w:eastAsia="宋体" w:cs="宋体"/>
          <w:color w:val="000000" w:themeColor="text1"/>
          <w:spacing w:val="25"/>
          <w:sz w:val="21"/>
          <w:szCs w:val="21"/>
          <w:highlight w:val="none"/>
          <w14:textFill>
            <w14:solidFill>
              <w14:schemeClr w14:val="tx1"/>
            </w14:solidFill>
          </w14:textFill>
        </w:rPr>
        <w:t xml:space="preserve">  </w:t>
      </w:r>
      <w:r>
        <w:rPr>
          <w:rFonts w:ascii="宋体" w:hAnsi="宋体" w:eastAsia="宋体" w:cs="宋体"/>
          <w:color w:val="000000" w:themeColor="text1"/>
          <w:spacing w:val="3"/>
          <w:sz w:val="21"/>
          <w:szCs w:val="21"/>
          <w:highlight w:val="none"/>
          <w14:textFill>
            <w14:solidFill>
              <w14:schemeClr w14:val="tx1"/>
            </w14:solidFill>
          </w14:textFill>
        </w:rPr>
        <w:t>电话：</w:t>
      </w:r>
      <w:r>
        <w:rPr>
          <w:rFonts w:ascii="宋体" w:hAnsi="宋体" w:eastAsia="宋体" w:cs="宋体"/>
          <w:color w:val="000000" w:themeColor="text1"/>
          <w:spacing w:val="5"/>
          <w:sz w:val="21"/>
          <w:szCs w:val="21"/>
          <w:highlight w:val="none"/>
          <w:u w:val="single" w:color="auto"/>
          <w14:textFill>
            <w14:solidFill>
              <w14:schemeClr w14:val="tx1"/>
            </w14:solidFill>
          </w14:textFill>
        </w:rPr>
        <w:t xml:space="preserve">         </w:t>
      </w:r>
      <w:r>
        <w:rPr>
          <w:rFonts w:ascii="宋体" w:hAnsi="宋体" w:eastAsia="宋体" w:cs="宋体"/>
          <w:color w:val="000000" w:themeColor="text1"/>
          <w:spacing w:val="3"/>
          <w:sz w:val="21"/>
          <w:szCs w:val="21"/>
          <w:highlight w:val="none"/>
          <w14:textFill>
            <w14:solidFill>
              <w14:schemeClr w14:val="tx1"/>
            </w14:solidFill>
          </w14:textFill>
        </w:rPr>
        <w:t xml:space="preserve">  传真：</w:t>
      </w:r>
      <w:r>
        <w:rPr>
          <w:rFonts w:ascii="宋体" w:hAnsi="宋体" w:eastAsia="宋体" w:cs="宋体"/>
          <w:color w:val="000000" w:themeColor="text1"/>
          <w:sz w:val="21"/>
          <w:szCs w:val="21"/>
          <w:highlight w:val="none"/>
          <w:u w:val="single" w:color="auto"/>
          <w14:textFill>
            <w14:solidFill>
              <w14:schemeClr w14:val="tx1"/>
            </w14:solidFill>
          </w14:textFill>
        </w:rPr>
        <w:t xml:space="preserve">          </w:t>
      </w:r>
    </w:p>
    <w:p w14:paraId="1DCF53F6">
      <w:pPr>
        <w:shd w:val="clear"/>
        <w:spacing w:before="221" w:line="228" w:lineRule="auto"/>
        <w:ind w:left="442"/>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供应商代表姓名：</w:t>
      </w:r>
      <w:r>
        <w:rPr>
          <w:rFonts w:ascii="宋体" w:hAnsi="宋体" w:eastAsia="宋体" w:cs="宋体"/>
          <w:color w:val="000000" w:themeColor="text1"/>
          <w:spacing w:val="4"/>
          <w:sz w:val="21"/>
          <w:szCs w:val="21"/>
          <w:highlight w:val="none"/>
          <w:u w:val="single" w:color="auto"/>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 xml:space="preserve">   职务：</w:t>
      </w:r>
      <w:r>
        <w:rPr>
          <w:rFonts w:ascii="宋体" w:hAnsi="宋体" w:eastAsia="宋体" w:cs="宋体"/>
          <w:color w:val="000000" w:themeColor="text1"/>
          <w:spacing w:val="3"/>
          <w:sz w:val="21"/>
          <w:szCs w:val="21"/>
          <w:highlight w:val="none"/>
          <w:u w:val="single" w:color="auto"/>
          <w14:textFill>
            <w14:solidFill>
              <w14:schemeClr w14:val="tx1"/>
            </w14:solidFill>
          </w14:textFill>
        </w:rPr>
        <w:t xml:space="preserve">         </w:t>
      </w:r>
      <w:r>
        <w:rPr>
          <w:rFonts w:ascii="宋体" w:hAnsi="宋体" w:eastAsia="宋体" w:cs="宋体"/>
          <w:color w:val="000000" w:themeColor="text1"/>
          <w:spacing w:val="9"/>
          <w:sz w:val="21"/>
          <w:szCs w:val="21"/>
          <w:highlight w:val="none"/>
          <w14:textFill>
            <w14:solidFill>
              <w14:schemeClr w14:val="tx1"/>
            </w14:solidFill>
          </w14:textFill>
        </w:rPr>
        <w:t xml:space="preserve">     </w:t>
      </w:r>
      <w:r>
        <w:rPr>
          <w:rFonts w:ascii="宋体" w:hAnsi="宋体" w:eastAsia="宋体" w:cs="宋体"/>
          <w:color w:val="000000" w:themeColor="text1"/>
          <w:spacing w:val="3"/>
          <w:sz w:val="21"/>
          <w:szCs w:val="21"/>
          <w:highlight w:val="none"/>
          <w14:textFill>
            <w14:solidFill>
              <w14:schemeClr w14:val="tx1"/>
            </w14:solidFill>
          </w14:textFill>
        </w:rPr>
        <w:t>邮箱：</w:t>
      </w:r>
      <w:r>
        <w:rPr>
          <w:rFonts w:ascii="宋体" w:hAnsi="宋体" w:eastAsia="宋体" w:cs="宋体"/>
          <w:color w:val="000000" w:themeColor="text1"/>
          <w:spacing w:val="3"/>
          <w:sz w:val="21"/>
          <w:szCs w:val="21"/>
          <w:highlight w:val="none"/>
          <w:u w:val="single" w:color="auto"/>
          <w14:textFill>
            <w14:solidFill>
              <w14:schemeClr w14:val="tx1"/>
            </w14:solidFill>
          </w14:textFill>
        </w:rPr>
        <w:t xml:space="preserve">           </w:t>
      </w:r>
    </w:p>
    <w:p w14:paraId="77A8D6F1">
      <w:pPr>
        <w:pStyle w:val="19"/>
        <w:shd w:val="clear"/>
        <w:spacing w:line="271" w:lineRule="auto"/>
        <w:rPr>
          <w:color w:val="000000" w:themeColor="text1"/>
          <w:sz w:val="21"/>
          <w:szCs w:val="21"/>
          <w:highlight w:val="none"/>
          <w14:textFill>
            <w14:solidFill>
              <w14:schemeClr w14:val="tx1"/>
            </w14:solidFill>
          </w14:textFill>
        </w:rPr>
      </w:pPr>
    </w:p>
    <w:p w14:paraId="2586EFE3">
      <w:pPr>
        <w:pStyle w:val="19"/>
        <w:shd w:val="clear"/>
        <w:spacing w:line="271" w:lineRule="auto"/>
        <w:rPr>
          <w:color w:val="000000" w:themeColor="text1"/>
          <w:sz w:val="21"/>
          <w:szCs w:val="21"/>
          <w:highlight w:val="none"/>
          <w14:textFill>
            <w14:solidFill>
              <w14:schemeClr w14:val="tx1"/>
            </w14:solidFill>
          </w14:textFill>
        </w:rPr>
      </w:pPr>
    </w:p>
    <w:p w14:paraId="3360457C">
      <w:pPr>
        <w:pStyle w:val="19"/>
        <w:shd w:val="clear"/>
        <w:spacing w:line="271" w:lineRule="auto"/>
        <w:rPr>
          <w:color w:val="000000" w:themeColor="text1"/>
          <w:sz w:val="21"/>
          <w:szCs w:val="21"/>
          <w:highlight w:val="none"/>
          <w14:textFill>
            <w14:solidFill>
              <w14:schemeClr w14:val="tx1"/>
            </w14:solidFill>
          </w14:textFill>
        </w:rPr>
      </w:pPr>
    </w:p>
    <w:p w14:paraId="09AED5E7">
      <w:pPr>
        <w:pStyle w:val="19"/>
        <w:shd w:val="clear"/>
        <w:spacing w:line="272" w:lineRule="auto"/>
        <w:rPr>
          <w:color w:val="000000" w:themeColor="text1"/>
          <w:sz w:val="21"/>
          <w:szCs w:val="21"/>
          <w:highlight w:val="none"/>
          <w14:textFill>
            <w14:solidFill>
              <w14:schemeClr w14:val="tx1"/>
            </w14:solidFill>
          </w14:textFill>
        </w:rPr>
      </w:pPr>
    </w:p>
    <w:p w14:paraId="790E093B">
      <w:pPr>
        <w:shd w:val="clear"/>
        <w:spacing w:before="66" w:line="468" w:lineRule="exact"/>
        <w:ind w:left="426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position w:val="20"/>
          <w:sz w:val="21"/>
          <w:szCs w:val="21"/>
          <w:highlight w:val="none"/>
          <w14:textFill>
            <w14:solidFill>
              <w14:schemeClr w14:val="tx1"/>
            </w14:solidFill>
          </w14:textFill>
        </w:rPr>
        <w:t>供应商名称（电子签章</w:t>
      </w:r>
      <w:r>
        <w:rPr>
          <w:rFonts w:ascii="宋体" w:hAnsi="宋体" w:eastAsia="宋体" w:cs="宋体"/>
          <w:color w:val="000000" w:themeColor="text1"/>
          <w:spacing w:val="3"/>
          <w:position w:val="20"/>
          <w:sz w:val="21"/>
          <w:szCs w:val="21"/>
          <w:highlight w:val="none"/>
          <w14:textFill>
            <w14:solidFill>
              <w14:schemeClr w14:val="tx1"/>
            </w14:solidFill>
          </w14:textFill>
        </w:rPr>
        <w:t>）：</w:t>
      </w:r>
    </w:p>
    <w:p w14:paraId="04105BAC">
      <w:pPr>
        <w:shd w:val="clear"/>
        <w:spacing w:line="228" w:lineRule="auto"/>
        <w:ind w:left="4255"/>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日期 ：</w:t>
      </w:r>
      <w:r>
        <w:rPr>
          <w:rFonts w:ascii="宋体" w:hAnsi="宋体" w:eastAsia="宋体" w:cs="宋体"/>
          <w:color w:val="000000" w:themeColor="text1"/>
          <w:spacing w:val="11"/>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年</w:t>
      </w:r>
      <w:r>
        <w:rPr>
          <w:rFonts w:ascii="宋体" w:hAnsi="宋体" w:eastAsia="宋体" w:cs="宋体"/>
          <w:color w:val="000000" w:themeColor="text1"/>
          <w:spacing w:val="10"/>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月</w:t>
      </w:r>
      <w:r>
        <w:rPr>
          <w:rFonts w:ascii="宋体" w:hAnsi="宋体" w:eastAsia="宋体" w:cs="宋体"/>
          <w:color w:val="000000" w:themeColor="text1"/>
          <w:spacing w:val="19"/>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日</w:t>
      </w:r>
    </w:p>
    <w:p w14:paraId="662BD820">
      <w:pPr>
        <w:shd w:val="clear"/>
        <w:spacing w:line="228" w:lineRule="auto"/>
        <w:rPr>
          <w:rFonts w:ascii="宋体" w:hAnsi="宋体" w:eastAsia="宋体" w:cs="宋体"/>
          <w:color w:val="000000" w:themeColor="text1"/>
          <w:sz w:val="21"/>
          <w:szCs w:val="21"/>
          <w:highlight w:val="none"/>
          <w14:textFill>
            <w14:solidFill>
              <w14:schemeClr w14:val="tx1"/>
            </w14:solidFill>
          </w14:textFill>
        </w:rPr>
        <w:sectPr>
          <w:footerReference r:id="rId32" w:type="default"/>
          <w:pgSz w:w="11906" w:h="16839"/>
          <w:pgMar w:top="1134" w:right="1247" w:bottom="1134" w:left="1247" w:header="0" w:footer="950" w:gutter="0"/>
          <w:pgNumType w:fmt="decimal"/>
          <w:cols w:space="720" w:num="1"/>
        </w:sectPr>
      </w:pPr>
    </w:p>
    <w:p w14:paraId="609D0D6A">
      <w:pPr>
        <w:shd w:val="clear"/>
        <w:spacing w:before="44" w:line="219" w:lineRule="auto"/>
        <w:rPr>
          <w:rFonts w:ascii="宋体" w:hAnsi="宋体" w:eastAsia="宋体" w:cs="宋体"/>
          <w:b/>
          <w:bCs/>
          <w:color w:val="000000" w:themeColor="text1"/>
          <w:sz w:val="22"/>
          <w:szCs w:val="22"/>
          <w:highlight w:val="none"/>
          <w14:textFill>
            <w14:solidFill>
              <w14:schemeClr w14:val="tx1"/>
            </w14:solidFill>
          </w14:textFill>
        </w:rPr>
      </w:pPr>
      <w:r>
        <w:rPr>
          <w:rFonts w:ascii="宋体" w:hAnsi="宋体" w:eastAsia="宋体" w:cs="宋体"/>
          <w:b/>
          <w:bCs/>
          <w:color w:val="000000" w:themeColor="text1"/>
          <w:spacing w:val="-2"/>
          <w:sz w:val="22"/>
          <w:szCs w:val="22"/>
          <w:highlight w:val="none"/>
          <w14:textFill>
            <w14:solidFill>
              <w14:schemeClr w14:val="tx1"/>
            </w14:solidFill>
          </w14:textFill>
        </w:rPr>
        <w:t>2.响应报价明细表格式：</w:t>
      </w:r>
    </w:p>
    <w:p w14:paraId="6A21E13E">
      <w:pPr>
        <w:pStyle w:val="19"/>
        <w:shd w:val="clear"/>
        <w:spacing w:line="255" w:lineRule="auto"/>
        <w:rPr>
          <w:color w:val="000000" w:themeColor="text1"/>
          <w:highlight w:val="none"/>
          <w14:textFill>
            <w14:solidFill>
              <w14:schemeClr w14:val="tx1"/>
            </w14:solidFill>
          </w14:textFill>
        </w:rPr>
      </w:pPr>
    </w:p>
    <w:p w14:paraId="45263FD8">
      <w:pPr>
        <w:pStyle w:val="19"/>
        <w:shd w:val="clear"/>
        <w:spacing w:line="255" w:lineRule="auto"/>
        <w:rPr>
          <w:color w:val="000000" w:themeColor="text1"/>
          <w:highlight w:val="none"/>
          <w14:textFill>
            <w14:solidFill>
              <w14:schemeClr w14:val="tx1"/>
            </w14:solidFill>
          </w14:textFill>
        </w:rPr>
      </w:pPr>
    </w:p>
    <w:p w14:paraId="3D90BEB0">
      <w:pPr>
        <w:shd w:val="clear"/>
        <w:spacing w:before="72" w:line="209" w:lineRule="auto"/>
        <w:ind w:left="3805"/>
        <w:rPr>
          <w:rFonts w:ascii="宋体" w:hAnsi="宋体" w:eastAsia="宋体" w:cs="宋体"/>
          <w:b/>
          <w:bCs/>
          <w:color w:val="000000" w:themeColor="text1"/>
          <w:spacing w:val="-3"/>
          <w:sz w:val="28"/>
          <w:szCs w:val="28"/>
          <w:highlight w:val="none"/>
          <w:vertAlign w:val="baseline"/>
          <w14:textFill>
            <w14:solidFill>
              <w14:schemeClr w14:val="tx1"/>
            </w14:solidFill>
          </w14:textFill>
        </w:rPr>
      </w:pPr>
      <w:r>
        <w:rPr>
          <w:rFonts w:ascii="宋体" w:hAnsi="宋体" w:eastAsia="宋体" w:cs="宋体"/>
          <w:b/>
          <w:bCs/>
          <w:color w:val="000000" w:themeColor="text1"/>
          <w:spacing w:val="-3"/>
          <w:sz w:val="28"/>
          <w:szCs w:val="28"/>
          <w:highlight w:val="none"/>
          <w14:textFill>
            <w14:solidFill>
              <w14:schemeClr w14:val="tx1"/>
            </w14:solidFill>
          </w14:textFill>
        </w:rPr>
        <w:t>响应报价明细表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2025"/>
        <w:gridCol w:w="1799"/>
        <w:gridCol w:w="2252"/>
      </w:tblGrid>
      <w:tr w14:paraId="2175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jc w:val="center"/>
        </w:trPr>
        <w:tc>
          <w:tcPr>
            <w:tcW w:w="2589" w:type="dxa"/>
          </w:tcPr>
          <w:p w14:paraId="164833CF">
            <w:pPr>
              <w:shd w:val="clear"/>
              <w:spacing w:before="72" w:line="209" w:lineRule="auto"/>
              <w:jc w:val="center"/>
              <w:rPr>
                <w:rFonts w:hint="eastAsia" w:ascii="宋体" w:hAnsi="宋体" w:eastAsia="宋体" w:cs="宋体"/>
                <w:color w:val="000000" w:themeColor="text1"/>
                <w:spacing w:val="-3"/>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项目（服务）名</w:t>
            </w:r>
            <w:r>
              <w:rPr>
                <w:rFonts w:hint="eastAsia" w:ascii="宋体" w:hAnsi="宋体" w:eastAsia="宋体" w:cs="宋体"/>
                <w:color w:val="000000" w:themeColor="text1"/>
                <w:sz w:val="24"/>
                <w:szCs w:val="24"/>
                <w:highlight w:val="none"/>
                <w14:textFill>
                  <w14:solidFill>
                    <w14:schemeClr w14:val="tx1"/>
                  </w14:solidFill>
                </w14:textFill>
              </w:rPr>
              <w:t>称</w:t>
            </w:r>
          </w:p>
        </w:tc>
        <w:tc>
          <w:tcPr>
            <w:tcW w:w="2025" w:type="dxa"/>
          </w:tcPr>
          <w:p w14:paraId="5361D16D">
            <w:pPr>
              <w:shd w:val="clear"/>
              <w:spacing w:before="72" w:line="209" w:lineRule="auto"/>
              <w:jc w:val="center"/>
              <w:rPr>
                <w:rFonts w:hint="eastAsia" w:ascii="宋体" w:hAnsi="宋体" w:eastAsia="宋体" w:cs="宋体"/>
                <w:color w:val="000000" w:themeColor="text1"/>
                <w:spacing w:val="-3"/>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报价</w:t>
            </w:r>
          </w:p>
        </w:tc>
        <w:tc>
          <w:tcPr>
            <w:tcW w:w="1799" w:type="dxa"/>
          </w:tcPr>
          <w:p w14:paraId="72EEC28A">
            <w:pPr>
              <w:shd w:val="clear"/>
              <w:spacing w:before="72" w:line="209" w:lineRule="auto"/>
              <w:jc w:val="center"/>
              <w:rPr>
                <w:rFonts w:hint="eastAsia" w:ascii="宋体" w:hAnsi="宋体" w:eastAsia="宋体" w:cs="宋体"/>
                <w:color w:val="000000" w:themeColor="text1"/>
                <w:spacing w:val="-3"/>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框架协议技术负</w:t>
            </w:r>
            <w:r>
              <w:rPr>
                <w:rFonts w:hint="eastAsia" w:ascii="宋体" w:hAnsi="宋体" w:eastAsia="宋体" w:cs="宋体"/>
                <w:color w:val="000000" w:themeColor="text1"/>
                <w:spacing w:val="-8"/>
                <w:sz w:val="24"/>
                <w:szCs w:val="24"/>
                <w:highlight w:val="none"/>
                <w14:textFill>
                  <w14:solidFill>
                    <w14:schemeClr w14:val="tx1"/>
                  </w14:solidFill>
                </w14:textFill>
              </w:rPr>
              <w:t>责人</w:t>
            </w:r>
          </w:p>
        </w:tc>
        <w:tc>
          <w:tcPr>
            <w:tcW w:w="2252" w:type="dxa"/>
          </w:tcPr>
          <w:p w14:paraId="037A07E5">
            <w:pPr>
              <w:shd w:val="clear"/>
              <w:spacing w:before="72" w:line="209" w:lineRule="auto"/>
              <w:jc w:val="center"/>
              <w:rPr>
                <w:rFonts w:hint="eastAsia" w:ascii="宋体" w:hAnsi="宋体" w:eastAsia="宋体" w:cs="宋体"/>
                <w:color w:val="000000" w:themeColor="text1"/>
                <w:spacing w:val="-3"/>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服务标准</w:t>
            </w:r>
          </w:p>
        </w:tc>
      </w:tr>
      <w:tr w14:paraId="3B12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jc w:val="center"/>
        </w:trPr>
        <w:tc>
          <w:tcPr>
            <w:tcW w:w="2589" w:type="dxa"/>
          </w:tcPr>
          <w:p w14:paraId="2C59F9C6">
            <w:pPr>
              <w:shd w:val="clear"/>
              <w:spacing w:before="72" w:line="209" w:lineRule="auto"/>
              <w:rPr>
                <w:rFonts w:hint="eastAsia" w:ascii="宋体" w:hAnsi="宋体" w:eastAsia="宋体" w:cs="宋体"/>
                <w:color w:val="000000" w:themeColor="text1"/>
                <w:spacing w:val="-3"/>
                <w:sz w:val="24"/>
                <w:szCs w:val="24"/>
                <w:highlight w:val="none"/>
                <w:vertAlign w:val="baseline"/>
                <w14:textFill>
                  <w14:solidFill>
                    <w14:schemeClr w14:val="tx1"/>
                  </w14:solidFill>
                </w14:textFill>
              </w:rPr>
            </w:pPr>
          </w:p>
        </w:tc>
        <w:tc>
          <w:tcPr>
            <w:tcW w:w="2025" w:type="dxa"/>
          </w:tcPr>
          <w:p w14:paraId="667E7018">
            <w:pPr>
              <w:shd w:val="clear"/>
              <w:spacing w:before="72" w:line="209" w:lineRule="auto"/>
              <w:rPr>
                <w:rFonts w:hint="eastAsia" w:ascii="宋体" w:hAnsi="宋体" w:eastAsia="宋体" w:cs="宋体"/>
                <w:color w:val="000000" w:themeColor="text1"/>
                <w:spacing w:val="-3"/>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3"/>
                <w:sz w:val="24"/>
                <w:szCs w:val="24"/>
                <w:highlight w:val="none"/>
                <w:vertAlign w:val="baseline"/>
                <w14:textFill>
                  <w14:solidFill>
                    <w14:schemeClr w14:val="tx1"/>
                  </w14:solidFill>
                </w14:textFill>
              </w:rPr>
              <w:t>本项目无价格评审，如在广西政府采购云平台电子投标系统里面需要填写报价，一律按报价1元或1%填写(以上报价只用于填报广西政府采购云平台中的“单价”，具体项目评审服务费收费标准按照征集文件规定的计费方式和费率计费执行)</w:t>
            </w:r>
          </w:p>
        </w:tc>
        <w:tc>
          <w:tcPr>
            <w:tcW w:w="1799" w:type="dxa"/>
          </w:tcPr>
          <w:p w14:paraId="72FEC0EF">
            <w:pPr>
              <w:shd w:val="clear"/>
              <w:spacing w:before="72" w:line="209" w:lineRule="auto"/>
              <w:rPr>
                <w:rFonts w:hint="eastAsia" w:ascii="宋体" w:hAnsi="宋体" w:eastAsia="宋体" w:cs="宋体"/>
                <w:color w:val="000000" w:themeColor="text1"/>
                <w:spacing w:val="-3"/>
                <w:sz w:val="24"/>
                <w:szCs w:val="24"/>
                <w:highlight w:val="none"/>
                <w:vertAlign w:val="baseline"/>
                <w14:textFill>
                  <w14:solidFill>
                    <w14:schemeClr w14:val="tx1"/>
                  </w14:solidFill>
                </w14:textFill>
              </w:rPr>
            </w:pPr>
          </w:p>
        </w:tc>
        <w:tc>
          <w:tcPr>
            <w:tcW w:w="2252" w:type="dxa"/>
          </w:tcPr>
          <w:p w14:paraId="5C96D93A">
            <w:pPr>
              <w:pStyle w:val="154"/>
              <w:shd w:val="clear"/>
              <w:spacing w:before="71" w:line="221" w:lineRule="auto"/>
              <w:rPr>
                <w:rFonts w:hint="eastAsia" w:ascii="宋体" w:hAnsi="宋体" w:eastAsia="宋体" w:cs="宋体"/>
                <w:color w:val="000000" w:themeColor="text1"/>
                <w:spacing w:val="-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highlight w:val="none"/>
                <w:lang w:val="en-US" w:eastAsia="zh-CN" w:bidi="ar-SA"/>
                <w14:textFill>
                  <w14:solidFill>
                    <w14:schemeClr w14:val="tx1"/>
                  </w14:solidFill>
                </w14:textFill>
              </w:rPr>
              <w:t>严格遵守国家的法律、法规和有关规章制度，严格遵守行为准则和职业道德，按现行的财政投资项目评审操作规程及质量控制办法规定的执行。</w:t>
            </w:r>
          </w:p>
        </w:tc>
      </w:tr>
    </w:tbl>
    <w:p w14:paraId="11371D43">
      <w:pPr>
        <w:pStyle w:val="19"/>
        <w:shd w:val="clear"/>
        <w:spacing w:line="369" w:lineRule="auto"/>
        <w:rPr>
          <w:color w:val="000000" w:themeColor="text1"/>
          <w:highlight w:val="none"/>
          <w14:textFill>
            <w14:solidFill>
              <w14:schemeClr w14:val="tx1"/>
            </w14:solidFill>
          </w14:textFill>
        </w:rPr>
      </w:pPr>
    </w:p>
    <w:p w14:paraId="46E3C48E">
      <w:pPr>
        <w:shd w:val="clear"/>
        <w:spacing w:before="72" w:line="220" w:lineRule="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注：若本公司入围，本公司承诺同意按本项目征集文件规定的</w:t>
      </w:r>
      <w:r>
        <w:rPr>
          <w:rFonts w:ascii="宋体" w:hAnsi="宋体" w:eastAsia="宋体" w:cs="宋体"/>
          <w:color w:val="000000" w:themeColor="text1"/>
          <w:spacing w:val="-1"/>
          <w:sz w:val="24"/>
          <w:szCs w:val="24"/>
          <w:highlight w:val="none"/>
          <w14:textFill>
            <w14:solidFill>
              <w14:schemeClr w14:val="tx1"/>
            </w14:solidFill>
          </w14:textFill>
        </w:rPr>
        <w:t>计费方式和费率计费。</w:t>
      </w:r>
    </w:p>
    <w:p w14:paraId="75E073ED">
      <w:pPr>
        <w:pStyle w:val="19"/>
        <w:shd w:val="clear"/>
        <w:spacing w:line="310" w:lineRule="auto"/>
        <w:rPr>
          <w:color w:val="000000" w:themeColor="text1"/>
          <w:sz w:val="24"/>
          <w:szCs w:val="24"/>
          <w:highlight w:val="none"/>
          <w14:textFill>
            <w14:solidFill>
              <w14:schemeClr w14:val="tx1"/>
            </w14:solidFill>
          </w14:textFill>
        </w:rPr>
      </w:pPr>
    </w:p>
    <w:p w14:paraId="79DF3479">
      <w:pPr>
        <w:pStyle w:val="19"/>
        <w:shd w:val="clear"/>
        <w:spacing w:line="311" w:lineRule="auto"/>
        <w:rPr>
          <w:color w:val="000000" w:themeColor="text1"/>
          <w:sz w:val="24"/>
          <w:szCs w:val="24"/>
          <w:highlight w:val="none"/>
          <w14:textFill>
            <w14:solidFill>
              <w14:schemeClr w14:val="tx1"/>
            </w14:solidFill>
          </w14:textFill>
        </w:rPr>
      </w:pPr>
    </w:p>
    <w:p w14:paraId="41371437">
      <w:pPr>
        <w:pStyle w:val="19"/>
        <w:shd w:val="clear"/>
        <w:spacing w:line="311" w:lineRule="auto"/>
        <w:rPr>
          <w:color w:val="000000" w:themeColor="text1"/>
          <w:sz w:val="24"/>
          <w:szCs w:val="24"/>
          <w:highlight w:val="none"/>
          <w14:textFill>
            <w14:solidFill>
              <w14:schemeClr w14:val="tx1"/>
            </w14:solidFill>
          </w14:textFill>
        </w:rPr>
      </w:pPr>
    </w:p>
    <w:p w14:paraId="0A4206C0">
      <w:pPr>
        <w:shd w:val="clear"/>
        <w:spacing w:before="71" w:line="690" w:lineRule="exac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position w:val="36"/>
          <w:sz w:val="24"/>
          <w:szCs w:val="24"/>
          <w:highlight w:val="none"/>
          <w14:textFill>
            <w14:solidFill>
              <w14:schemeClr w14:val="tx1"/>
            </w14:solidFill>
          </w14:textFill>
        </w:rPr>
        <w:t>供应商名称</w:t>
      </w:r>
      <w:r>
        <w:rPr>
          <w:rFonts w:hint="eastAsia" w:ascii="宋体" w:hAnsi="宋体" w:cs="宋体"/>
          <w:color w:val="000000" w:themeColor="text1"/>
          <w:spacing w:val="-1"/>
          <w:position w:val="36"/>
          <w:sz w:val="24"/>
          <w:szCs w:val="24"/>
          <w:highlight w:val="none"/>
          <w:lang w:eastAsia="zh-CN"/>
          <w14:textFill>
            <w14:solidFill>
              <w14:schemeClr w14:val="tx1"/>
            </w14:solidFill>
          </w14:textFill>
        </w:rPr>
        <w:t>（</w:t>
      </w:r>
      <w:r>
        <w:rPr>
          <w:rFonts w:ascii="宋体" w:hAnsi="宋体" w:eastAsia="宋体" w:cs="宋体"/>
          <w:color w:val="000000" w:themeColor="text1"/>
          <w:spacing w:val="-1"/>
          <w:position w:val="36"/>
          <w:sz w:val="24"/>
          <w:szCs w:val="24"/>
          <w:highlight w:val="none"/>
          <w14:textFill>
            <w14:solidFill>
              <w14:schemeClr w14:val="tx1"/>
            </w14:solidFill>
          </w14:textFill>
        </w:rPr>
        <w:t>电子签章</w:t>
      </w:r>
      <w:r>
        <w:rPr>
          <w:rFonts w:hint="eastAsia" w:ascii="宋体" w:hAnsi="宋体" w:cs="宋体"/>
          <w:color w:val="000000" w:themeColor="text1"/>
          <w:spacing w:val="-1"/>
          <w:position w:val="36"/>
          <w:sz w:val="24"/>
          <w:szCs w:val="24"/>
          <w:highlight w:val="none"/>
          <w:lang w:eastAsia="zh-CN"/>
          <w14:textFill>
            <w14:solidFill>
              <w14:schemeClr w14:val="tx1"/>
            </w14:solidFill>
          </w14:textFill>
        </w:rPr>
        <w:t>）</w:t>
      </w:r>
      <w:r>
        <w:rPr>
          <w:rFonts w:ascii="宋体" w:hAnsi="宋体" w:eastAsia="宋体" w:cs="宋体"/>
          <w:color w:val="000000" w:themeColor="text1"/>
          <w:spacing w:val="-1"/>
          <w:position w:val="36"/>
          <w:sz w:val="24"/>
          <w:szCs w:val="24"/>
          <w:highlight w:val="none"/>
          <w14:textFill>
            <w14:solidFill>
              <w14:schemeClr w14:val="tx1"/>
            </w14:solidFill>
          </w14:textFill>
        </w:rPr>
        <w:t>：</w:t>
      </w:r>
    </w:p>
    <w:p w14:paraId="27F4A182">
      <w:pPr>
        <w:shd w:val="clear"/>
        <w:spacing w:line="228" w:lineRule="auto"/>
        <w:ind w:left="3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6"/>
          <w:sz w:val="24"/>
          <w:szCs w:val="24"/>
          <w:highlight w:val="none"/>
          <w14:textFill>
            <w14:solidFill>
              <w14:schemeClr w14:val="tx1"/>
            </w14:solidFill>
          </w14:textFill>
        </w:rPr>
        <w:t>日期：</w:t>
      </w:r>
      <w:r>
        <w:rPr>
          <w:rFonts w:ascii="宋体" w:hAnsi="宋体" w:eastAsia="宋体" w:cs="宋体"/>
          <w:color w:val="000000" w:themeColor="text1"/>
          <w:spacing w:val="12"/>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年</w:t>
      </w:r>
      <w:r>
        <w:rPr>
          <w:rFonts w:ascii="宋体" w:hAnsi="宋体" w:eastAsia="宋体" w:cs="宋体"/>
          <w:color w:val="000000" w:themeColor="text1"/>
          <w:spacing w:val="13"/>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月</w:t>
      </w:r>
      <w:r>
        <w:rPr>
          <w:rFonts w:ascii="宋体" w:hAnsi="宋体" w:eastAsia="宋体" w:cs="宋体"/>
          <w:color w:val="000000" w:themeColor="text1"/>
          <w:spacing w:val="28"/>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日</w:t>
      </w:r>
    </w:p>
    <w:p w14:paraId="56B41D0F">
      <w:pPr>
        <w:shd w:val="clea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33" w:type="default"/>
          <w:pgSz w:w="11910" w:h="16840"/>
          <w:pgMar w:top="1134" w:right="1247" w:bottom="1134" w:left="1247" w:header="0" w:footer="960" w:gutter="0"/>
          <w:pgNumType w:fmt="decimal"/>
          <w:cols w:space="720" w:num="1"/>
        </w:sectPr>
      </w:pPr>
    </w:p>
    <w:p w14:paraId="5756179D">
      <w:pPr>
        <w:shd w:val="clear"/>
        <w:spacing w:before="88" w:line="220" w:lineRule="auto"/>
        <w:ind w:left="105"/>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
          <w:sz w:val="22"/>
          <w:szCs w:val="22"/>
          <w:highlight w:val="none"/>
          <w14:textFill>
            <w14:solidFill>
              <w14:schemeClr w14:val="tx1"/>
            </w14:solidFill>
          </w14:textFill>
        </w:rPr>
        <w:t>3.符合政府采购政策证明材料。</w:t>
      </w:r>
    </w:p>
    <w:p w14:paraId="79546AED">
      <w:pPr>
        <w:shd w:val="clear"/>
        <w:spacing w:before="141" w:line="220" w:lineRule="auto"/>
        <w:ind w:left="105"/>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2"/>
          <w:sz w:val="22"/>
          <w:szCs w:val="22"/>
          <w:highlight w:val="none"/>
          <w14:textFill>
            <w14:solidFill>
              <w14:schemeClr w14:val="tx1"/>
            </w14:solidFill>
          </w14:textFill>
        </w:rPr>
        <w:t>3.1</w:t>
      </w:r>
      <w:r>
        <w:rPr>
          <w:rFonts w:ascii="宋体" w:hAnsi="宋体" w:eastAsia="宋体" w:cs="宋体"/>
          <w:color w:val="000000" w:themeColor="text1"/>
          <w:spacing w:val="-37"/>
          <w:sz w:val="22"/>
          <w:szCs w:val="22"/>
          <w:highlight w:val="non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符合小型、微型企业政府采购政策证明材料。</w:t>
      </w:r>
      <w:r>
        <w:rPr>
          <w:rFonts w:ascii="宋体" w:hAnsi="宋体" w:eastAsia="宋体" w:cs="宋体"/>
          <w:color w:val="000000" w:themeColor="text1"/>
          <w:spacing w:val="-65"/>
          <w:sz w:val="22"/>
          <w:szCs w:val="22"/>
          <w:highlight w:val="none"/>
          <w14:textFill>
            <w14:solidFill>
              <w14:schemeClr w14:val="tx1"/>
            </w14:solidFill>
          </w14:textFill>
        </w:rPr>
        <w:t xml:space="preserve"> </w:t>
      </w:r>
      <w:r>
        <w:rPr>
          <w:rFonts w:hint="eastAsia" w:ascii="宋体" w:hAnsi="宋体" w:cs="宋体"/>
          <w:color w:val="000000" w:themeColor="text1"/>
          <w:spacing w:val="-65"/>
          <w:sz w:val="22"/>
          <w:szCs w:val="22"/>
          <w:highlight w:val="none"/>
          <w:lang w:eastAsia="zh-CN"/>
          <w14:textFill>
            <w14:solidFill>
              <w14:schemeClr w14:val="tx1"/>
            </w14:solidFill>
          </w14:textFill>
        </w:rPr>
        <w:t>（</w:t>
      </w:r>
      <w:r>
        <w:rPr>
          <w:rFonts w:ascii="宋体" w:hAnsi="宋体" w:eastAsia="宋体" w:cs="宋体"/>
          <w:color w:val="000000" w:themeColor="text1"/>
          <w:spacing w:val="-2"/>
          <w:sz w:val="22"/>
          <w:szCs w:val="22"/>
          <w:highlight w:val="none"/>
          <w14:textFill>
            <w14:solidFill>
              <w14:schemeClr w14:val="tx1"/>
            </w14:solidFill>
          </w14:textFill>
        </w:rPr>
        <w:t>非小型、微型企业无需提供</w:t>
      </w:r>
      <w:r>
        <w:rPr>
          <w:rFonts w:hint="eastAsia" w:ascii="宋体" w:hAnsi="宋体" w:cs="宋体"/>
          <w:color w:val="000000" w:themeColor="text1"/>
          <w:spacing w:val="-2"/>
          <w:sz w:val="22"/>
          <w:szCs w:val="22"/>
          <w:highlight w:val="none"/>
          <w:lang w:eastAsia="zh-CN"/>
          <w14:textFill>
            <w14:solidFill>
              <w14:schemeClr w14:val="tx1"/>
            </w14:solidFill>
          </w14:textFill>
        </w:rPr>
        <w:t>）</w:t>
      </w:r>
      <w:r>
        <w:rPr>
          <w:rFonts w:ascii="宋体" w:hAnsi="宋体" w:eastAsia="宋体" w:cs="宋体"/>
          <w:color w:val="000000" w:themeColor="text1"/>
          <w:spacing w:val="-2"/>
          <w:sz w:val="22"/>
          <w:szCs w:val="22"/>
          <w:highlight w:val="none"/>
          <w14:textFill>
            <w14:solidFill>
              <w14:schemeClr w14:val="tx1"/>
            </w14:solidFill>
          </w14:textFill>
        </w:rPr>
        <w:t>。</w:t>
      </w:r>
    </w:p>
    <w:p w14:paraId="7EA34CBE">
      <w:pPr>
        <w:pStyle w:val="19"/>
        <w:shd w:val="clear"/>
        <w:spacing w:line="369" w:lineRule="auto"/>
        <w:rPr>
          <w:color w:val="000000" w:themeColor="text1"/>
          <w:highlight w:val="none"/>
          <w14:textFill>
            <w14:solidFill>
              <w14:schemeClr w14:val="tx1"/>
            </w14:solidFill>
          </w14:textFill>
        </w:rPr>
      </w:pPr>
    </w:p>
    <w:p w14:paraId="7D9890DC">
      <w:pPr>
        <w:shd w:val="clear"/>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中小企业声明函（服务）</w:t>
      </w:r>
    </w:p>
    <w:p w14:paraId="3B561BBE">
      <w:pPr>
        <w:shd w:val="clear"/>
        <w:spacing w:before="2" w:line="500" w:lineRule="exact"/>
        <w:rPr>
          <w:rFonts w:ascii="宋体" w:hAnsi="宋体" w:cs="宋体"/>
          <w:b/>
          <w:bCs/>
          <w:color w:val="000000" w:themeColor="text1"/>
          <w:sz w:val="27"/>
          <w:szCs w:val="27"/>
          <w:highlight w:val="none"/>
          <w14:textFill>
            <w14:solidFill>
              <w14:schemeClr w14:val="tx1"/>
            </w14:solidFill>
          </w14:textFill>
        </w:rPr>
      </w:pPr>
    </w:p>
    <w:p w14:paraId="24E1FBB0">
      <w:pPr>
        <w:pStyle w:val="19"/>
        <w:shd w:val="clear"/>
        <w:spacing w:line="360" w:lineRule="auto"/>
        <w:ind w:left="-426" w:leftChars="-203" w:right="142" w:firstLine="480" w:firstLineChars="200"/>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highlight w:val="none"/>
          <w:u w:val="single"/>
          <w14:textFill>
            <w14:solidFill>
              <w14:schemeClr w14:val="tx1"/>
            </w14:solidFill>
          </w14:textFill>
        </w:rPr>
        <w:t>（单位名称）</w:t>
      </w:r>
      <w:r>
        <w:rPr>
          <w:rFonts w:ascii="宋体" w:hAnsi="宋体"/>
          <w:color w:val="000000" w:themeColor="text1"/>
          <w:highlight w:val="none"/>
          <w14:textFill>
            <w14:solidFill>
              <w14:schemeClr w14:val="tx1"/>
            </w14:solidFill>
          </w14:textFill>
        </w:rPr>
        <w:t>的</w:t>
      </w:r>
      <w:r>
        <w:rPr>
          <w:rFonts w:ascii="宋体" w:hAnsi="宋体"/>
          <w:color w:val="000000" w:themeColor="text1"/>
          <w:highlight w:val="none"/>
          <w:u w:val="single"/>
          <w14:textFill>
            <w14:solidFill>
              <w14:schemeClr w14:val="tx1"/>
            </w14:solidFill>
          </w14:textFill>
        </w:rPr>
        <w:t>（项目名称）</w:t>
      </w:r>
      <w:r>
        <w:rPr>
          <w:rFonts w:ascii="宋体" w:hAnsi="宋体"/>
          <w:color w:val="000000" w:themeColor="text1"/>
          <w:highlight w:val="none"/>
          <w14:textFill>
            <w14:solidFill>
              <w14:schemeClr w14:val="tx1"/>
            </w14:solidFill>
          </w14:textFill>
        </w:rPr>
        <w:t>采购活动，</w:t>
      </w:r>
      <w:r>
        <w:rPr>
          <w:rFonts w:hint="eastAsia" w:ascii="宋体" w:hAnsi="宋体"/>
          <w:color w:val="000000" w:themeColor="text1"/>
          <w:highlight w:val="none"/>
          <w14:textFill>
            <w14:solidFill>
              <w14:schemeClr w14:val="tx1"/>
            </w14:solidFill>
          </w14:textFill>
        </w:rPr>
        <w:t>服务全部由符合政策要求的中小企业承接。相关企业（含联合体中的中小企业、签订分包意向协议的中小企业）的具体情况如下：</w:t>
      </w:r>
    </w:p>
    <w:p w14:paraId="2E3CE74F">
      <w:pPr>
        <w:shd w:val="clear"/>
        <w:tabs>
          <w:tab w:val="left" w:pos="1384"/>
          <w:tab w:val="left" w:pos="4562"/>
          <w:tab w:val="left" w:pos="6803"/>
        </w:tabs>
        <w:spacing w:line="360" w:lineRule="auto"/>
        <w:ind w:left="-426" w:right="-58" w:firstLine="655"/>
        <w:contextualSpacing/>
        <w:rPr>
          <w:rFonts w:ascii="宋体" w:hAnsi="宋体"/>
          <w:color w:val="000000" w:themeColor="text1"/>
          <w:kern w:val="24"/>
          <w:sz w:val="24"/>
          <w:highlight w:val="none"/>
          <w14:textFill>
            <w14:solidFill>
              <w14:schemeClr w14:val="tx1"/>
            </w14:solidFill>
          </w14:textFill>
        </w:rPr>
      </w:pPr>
      <w:r>
        <w:rPr>
          <w:rFonts w:ascii="宋体" w:hAnsi="宋体"/>
          <w:color w:val="000000" w:themeColor="text1"/>
          <w:kern w:val="24"/>
          <w:sz w:val="24"/>
          <w:highlight w:val="none"/>
          <w14:textFill>
            <w14:solidFill>
              <w14:schemeClr w14:val="tx1"/>
            </w14:solidFill>
          </w14:textFill>
        </w:rPr>
        <w:t>1.</w:t>
      </w:r>
      <w:r>
        <w:rPr>
          <w:rFonts w:ascii="宋体" w:hAnsi="宋体"/>
          <w:color w:val="000000" w:themeColor="text1"/>
          <w:kern w:val="24"/>
          <w:sz w:val="24"/>
          <w:highlight w:val="none"/>
          <w:u w:val="single"/>
          <w14:textFill>
            <w14:solidFill>
              <w14:schemeClr w14:val="tx1"/>
            </w14:solidFill>
          </w14:textFill>
        </w:rPr>
        <w:t>（标的名称）</w:t>
      </w:r>
      <w:r>
        <w:rPr>
          <w:rFonts w:ascii="宋体" w:hAnsi="宋体"/>
          <w:color w:val="000000" w:themeColor="text1"/>
          <w:kern w:val="24"/>
          <w:sz w:val="24"/>
          <w:highlight w:val="none"/>
          <w14:textFill>
            <w14:solidFill>
              <w14:schemeClr w14:val="tx1"/>
            </w14:solidFill>
          </w14:textFill>
        </w:rPr>
        <w:t>，属于</w:t>
      </w:r>
      <w:r>
        <w:rPr>
          <w:rFonts w:ascii="宋体" w:hAnsi="宋体"/>
          <w:color w:val="000000" w:themeColor="text1"/>
          <w:kern w:val="24"/>
          <w:sz w:val="24"/>
          <w:highlight w:val="none"/>
          <w:u w:val="single"/>
          <w14:textFill>
            <w14:solidFill>
              <w14:schemeClr w14:val="tx1"/>
            </w14:solidFill>
          </w14:textFill>
        </w:rPr>
        <w:t>（采购文件中明确的所属行业）</w:t>
      </w:r>
      <w:r>
        <w:rPr>
          <w:rFonts w:ascii="宋体" w:hAnsi="宋体"/>
          <w:color w:val="000000" w:themeColor="text1"/>
          <w:kern w:val="24"/>
          <w:sz w:val="24"/>
          <w:highlight w:val="none"/>
          <w14:textFill>
            <w14:solidFill>
              <w14:schemeClr w14:val="tx1"/>
            </w14:solidFill>
          </w14:textFill>
        </w:rPr>
        <w:t>行业；</w:t>
      </w:r>
      <w:r>
        <w:rPr>
          <w:rFonts w:hint="eastAsia" w:ascii="宋体" w:hAnsi="宋体"/>
          <w:color w:val="000000" w:themeColor="text1"/>
          <w:kern w:val="24"/>
          <w:sz w:val="24"/>
          <w:highlight w:val="none"/>
          <w14:textFill>
            <w14:solidFill>
              <w14:schemeClr w14:val="tx1"/>
            </w14:solidFill>
          </w14:textFill>
        </w:rPr>
        <w:t>承接企业</w:t>
      </w:r>
      <w:r>
        <w:rPr>
          <w:rFonts w:ascii="宋体" w:hAnsi="宋体"/>
          <w:color w:val="000000" w:themeColor="text1"/>
          <w:kern w:val="24"/>
          <w:sz w:val="24"/>
          <w:highlight w:val="none"/>
          <w14:textFill>
            <w14:solidFill>
              <w14:schemeClr w14:val="tx1"/>
            </w14:solidFill>
          </w14:textFill>
        </w:rPr>
        <w:t>为</w:t>
      </w:r>
      <w:r>
        <w:rPr>
          <w:rFonts w:ascii="宋体" w:hAnsi="宋体"/>
          <w:color w:val="000000" w:themeColor="text1"/>
          <w:kern w:val="24"/>
          <w:sz w:val="24"/>
          <w:highlight w:val="none"/>
          <w:u w:val="single"/>
          <w14:textFill>
            <w14:solidFill>
              <w14:schemeClr w14:val="tx1"/>
            </w14:solidFill>
          </w14:textFill>
        </w:rPr>
        <w:t>（企业名称）</w:t>
      </w:r>
      <w:r>
        <w:rPr>
          <w:rFonts w:ascii="宋体" w:hAnsi="宋体"/>
          <w:color w:val="000000" w:themeColor="text1"/>
          <w:kern w:val="24"/>
          <w:sz w:val="24"/>
          <w:highlight w:val="none"/>
          <w14:textFill>
            <w14:solidFill>
              <w14:schemeClr w14:val="tx1"/>
            </w14:solidFill>
          </w14:textFill>
        </w:rPr>
        <w:t>，从业人员</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人，营业收入为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万元，资产总额为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万元，属于</w:t>
      </w:r>
      <w:r>
        <w:rPr>
          <w:rFonts w:ascii="宋体" w:hAnsi="宋体"/>
          <w:color w:val="000000" w:themeColor="text1"/>
          <w:kern w:val="24"/>
          <w:sz w:val="24"/>
          <w:highlight w:val="none"/>
          <w:u w:val="single"/>
          <w14:textFill>
            <w14:solidFill>
              <w14:schemeClr w14:val="tx1"/>
            </w14:solidFill>
          </w14:textFill>
        </w:rPr>
        <w:t>（中型企业、小型企业、微型企业）</w:t>
      </w:r>
      <w:r>
        <w:rPr>
          <w:rFonts w:ascii="宋体" w:hAnsi="宋体"/>
          <w:color w:val="000000" w:themeColor="text1"/>
          <w:kern w:val="24"/>
          <w:sz w:val="24"/>
          <w:highlight w:val="none"/>
          <w14:textFill>
            <w14:solidFill>
              <w14:schemeClr w14:val="tx1"/>
            </w14:solidFill>
          </w14:textFill>
        </w:rPr>
        <w:t>；</w:t>
      </w:r>
    </w:p>
    <w:p w14:paraId="12D6E289">
      <w:pPr>
        <w:shd w:val="clear"/>
        <w:tabs>
          <w:tab w:val="left" w:pos="1065"/>
          <w:tab w:val="left" w:pos="6477"/>
        </w:tabs>
        <w:spacing w:line="360" w:lineRule="auto"/>
        <w:ind w:left="-426" w:right="-58" w:firstLine="655"/>
        <w:contextualSpacing/>
        <w:rPr>
          <w:rFonts w:ascii="宋体" w:hAnsi="宋体"/>
          <w:color w:val="000000" w:themeColor="text1"/>
          <w:kern w:val="24"/>
          <w:sz w:val="24"/>
          <w:highlight w:val="none"/>
          <w14:textFill>
            <w14:solidFill>
              <w14:schemeClr w14:val="tx1"/>
            </w14:solidFill>
          </w14:textFill>
        </w:rPr>
      </w:pPr>
      <w:r>
        <w:rPr>
          <w:rFonts w:ascii="宋体" w:hAnsi="宋体"/>
          <w:color w:val="000000" w:themeColor="text1"/>
          <w:kern w:val="24"/>
          <w:sz w:val="24"/>
          <w:highlight w:val="none"/>
          <w14:textFill>
            <w14:solidFill>
              <w14:schemeClr w14:val="tx1"/>
            </w14:solidFill>
          </w14:textFill>
        </w:rPr>
        <w:t>2.</w:t>
      </w:r>
      <w:r>
        <w:rPr>
          <w:rFonts w:ascii="宋体" w:hAnsi="宋体"/>
          <w:color w:val="000000" w:themeColor="text1"/>
          <w:kern w:val="24"/>
          <w:sz w:val="24"/>
          <w:highlight w:val="none"/>
          <w:u w:val="single"/>
          <w14:textFill>
            <w14:solidFill>
              <w14:schemeClr w14:val="tx1"/>
            </w14:solidFill>
          </w14:textFill>
        </w:rPr>
        <w:t>（标的名称）</w:t>
      </w:r>
      <w:r>
        <w:rPr>
          <w:rFonts w:ascii="宋体" w:hAnsi="宋体"/>
          <w:color w:val="000000" w:themeColor="text1"/>
          <w:kern w:val="24"/>
          <w:sz w:val="24"/>
          <w:highlight w:val="none"/>
          <w14:textFill>
            <w14:solidFill>
              <w14:schemeClr w14:val="tx1"/>
            </w14:solidFill>
          </w14:textFill>
        </w:rPr>
        <w:t>，属于</w:t>
      </w:r>
      <w:r>
        <w:rPr>
          <w:rFonts w:ascii="宋体" w:hAnsi="宋体"/>
          <w:color w:val="000000" w:themeColor="text1"/>
          <w:kern w:val="24"/>
          <w:sz w:val="24"/>
          <w:highlight w:val="none"/>
          <w:u w:val="single"/>
          <w14:textFill>
            <w14:solidFill>
              <w14:schemeClr w14:val="tx1"/>
            </w14:solidFill>
          </w14:textFill>
        </w:rPr>
        <w:t>（采购文件中明确的所属行业）</w:t>
      </w:r>
      <w:r>
        <w:rPr>
          <w:rFonts w:ascii="宋体" w:hAnsi="宋体"/>
          <w:color w:val="000000" w:themeColor="text1"/>
          <w:kern w:val="24"/>
          <w:sz w:val="24"/>
          <w:highlight w:val="none"/>
          <w14:textFill>
            <w14:solidFill>
              <w14:schemeClr w14:val="tx1"/>
            </w14:solidFill>
          </w14:textFill>
        </w:rPr>
        <w:t>行业；</w:t>
      </w:r>
      <w:r>
        <w:rPr>
          <w:rFonts w:hint="eastAsia" w:ascii="宋体" w:hAnsi="宋体"/>
          <w:color w:val="000000" w:themeColor="text1"/>
          <w:kern w:val="24"/>
          <w:sz w:val="24"/>
          <w:highlight w:val="none"/>
          <w14:textFill>
            <w14:solidFill>
              <w14:schemeClr w14:val="tx1"/>
            </w14:solidFill>
          </w14:textFill>
        </w:rPr>
        <w:t>承接企业</w:t>
      </w:r>
      <w:r>
        <w:rPr>
          <w:rFonts w:ascii="宋体" w:hAnsi="宋体"/>
          <w:color w:val="000000" w:themeColor="text1"/>
          <w:kern w:val="24"/>
          <w:sz w:val="24"/>
          <w:highlight w:val="none"/>
          <w14:textFill>
            <w14:solidFill>
              <w14:schemeClr w14:val="tx1"/>
            </w14:solidFill>
          </w14:textFill>
        </w:rPr>
        <w:t>为</w:t>
      </w:r>
      <w:r>
        <w:rPr>
          <w:rFonts w:ascii="宋体" w:hAnsi="宋体"/>
          <w:color w:val="000000" w:themeColor="text1"/>
          <w:kern w:val="24"/>
          <w:sz w:val="24"/>
          <w:highlight w:val="none"/>
          <w:u w:val="single"/>
          <w14:textFill>
            <w14:solidFill>
              <w14:schemeClr w14:val="tx1"/>
            </w14:solidFill>
          </w14:textFill>
        </w:rPr>
        <w:t>（企业名称）</w:t>
      </w:r>
      <w:r>
        <w:rPr>
          <w:rFonts w:ascii="宋体" w:hAnsi="宋体"/>
          <w:color w:val="000000" w:themeColor="text1"/>
          <w:kern w:val="24"/>
          <w:sz w:val="24"/>
          <w:highlight w:val="none"/>
          <w14:textFill>
            <w14:solidFill>
              <w14:schemeClr w14:val="tx1"/>
            </w14:solidFill>
          </w14:textFill>
        </w:rPr>
        <w:t>，从业人员</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人，营业收入为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万元，资产总额为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万元，属于</w:t>
      </w:r>
      <w:r>
        <w:rPr>
          <w:rFonts w:ascii="宋体" w:hAnsi="宋体"/>
          <w:color w:val="000000" w:themeColor="text1"/>
          <w:kern w:val="24"/>
          <w:sz w:val="24"/>
          <w:highlight w:val="none"/>
          <w:u w:val="single"/>
          <w14:textFill>
            <w14:solidFill>
              <w14:schemeClr w14:val="tx1"/>
            </w14:solidFill>
          </w14:textFill>
        </w:rPr>
        <w:t>（中型企业、小型企业、微型企业）</w:t>
      </w:r>
      <w:r>
        <w:rPr>
          <w:rFonts w:ascii="宋体" w:hAnsi="宋体"/>
          <w:color w:val="000000" w:themeColor="text1"/>
          <w:kern w:val="24"/>
          <w:sz w:val="24"/>
          <w:highlight w:val="none"/>
          <w14:textFill>
            <w14:solidFill>
              <w14:schemeClr w14:val="tx1"/>
            </w14:solidFill>
          </w14:textFill>
        </w:rPr>
        <w:t>；</w:t>
      </w:r>
    </w:p>
    <w:p w14:paraId="081DC4F0">
      <w:pPr>
        <w:pStyle w:val="19"/>
        <w:shd w:val="clear"/>
        <w:spacing w:line="360" w:lineRule="auto"/>
        <w:ind w:left="142" w:right="142"/>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 xml:space="preserve">…… </w:t>
      </w:r>
    </w:p>
    <w:p w14:paraId="657D817C">
      <w:pPr>
        <w:pStyle w:val="19"/>
        <w:shd w:val="clear"/>
        <w:spacing w:line="360" w:lineRule="auto"/>
        <w:ind w:left="-405" w:leftChars="-193" w:right="142" w:firstLine="453" w:firstLineChars="189"/>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以上企业，不属于大企业的分支机构，不存在控股股东为大企业的情形，也不存在与大企业的负责人为同一人的情形。</w:t>
      </w:r>
    </w:p>
    <w:p w14:paraId="3585D1AF">
      <w:pPr>
        <w:pStyle w:val="19"/>
        <w:shd w:val="clear"/>
        <w:spacing w:line="360" w:lineRule="auto"/>
        <w:ind w:left="-426" w:right="142" w:firstLine="567"/>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本企业对上述声明内容的真实性负责。如有虚假，将依法承担相应责任。</w:t>
      </w:r>
    </w:p>
    <w:p w14:paraId="35C8F117">
      <w:pPr>
        <w:pStyle w:val="19"/>
        <w:shd w:val="clear"/>
        <w:spacing w:line="360" w:lineRule="auto"/>
        <w:ind w:left="3960" w:right="1808"/>
        <w:contextualSpacing/>
        <w:rPr>
          <w:rFonts w:ascii="宋体" w:hAnsi="宋体"/>
          <w:color w:val="000000" w:themeColor="text1"/>
          <w:kern w:val="24"/>
          <w:highlight w:val="none"/>
          <w14:textFill>
            <w14:solidFill>
              <w14:schemeClr w14:val="tx1"/>
            </w14:solidFill>
          </w14:textFill>
        </w:rPr>
      </w:pPr>
    </w:p>
    <w:p w14:paraId="1EF08880">
      <w:pPr>
        <w:pStyle w:val="19"/>
        <w:shd w:val="clear"/>
        <w:spacing w:line="360" w:lineRule="auto"/>
        <w:ind w:left="3960" w:right="1808"/>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 xml:space="preserve">企业名称（章）： </w:t>
      </w:r>
    </w:p>
    <w:p w14:paraId="56DDC196">
      <w:pPr>
        <w:pStyle w:val="19"/>
        <w:shd w:val="clear"/>
        <w:spacing w:line="360" w:lineRule="auto"/>
        <w:ind w:left="3960" w:right="1808"/>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日</w:t>
      </w:r>
      <w:r>
        <w:rPr>
          <w:rFonts w:hint="eastAsia" w:ascii="宋体" w:hAnsi="宋体"/>
          <w:color w:val="000000" w:themeColor="text1"/>
          <w:kern w:val="24"/>
          <w:highlight w:val="none"/>
          <w14:textFill>
            <w14:solidFill>
              <w14:schemeClr w14:val="tx1"/>
            </w14:solidFill>
          </w14:textFill>
        </w:rPr>
        <w:t xml:space="preserve"> </w:t>
      </w:r>
      <w:r>
        <w:rPr>
          <w:rFonts w:ascii="宋体" w:hAnsi="宋体"/>
          <w:color w:val="000000" w:themeColor="text1"/>
          <w:kern w:val="24"/>
          <w:highlight w:val="none"/>
          <w14:textFill>
            <w14:solidFill>
              <w14:schemeClr w14:val="tx1"/>
            </w14:solidFill>
          </w14:textFill>
        </w:rPr>
        <w:t>期：</w:t>
      </w:r>
    </w:p>
    <w:p w14:paraId="42BBC65C">
      <w:pPr>
        <w:pStyle w:val="19"/>
        <w:shd w:val="clear"/>
        <w:spacing w:line="360" w:lineRule="auto"/>
        <w:ind w:left="3960" w:right="1808"/>
        <w:contextualSpacing/>
        <w:rPr>
          <w:rFonts w:ascii="宋体" w:hAnsi="宋体"/>
          <w:color w:val="000000" w:themeColor="text1"/>
          <w:kern w:val="24"/>
          <w:highlight w:val="none"/>
          <w14:textFill>
            <w14:solidFill>
              <w14:schemeClr w14:val="tx1"/>
            </w14:solidFill>
          </w14:textFill>
        </w:rPr>
      </w:pPr>
    </w:p>
    <w:p w14:paraId="5B8488F2">
      <w:pPr>
        <w:pStyle w:val="19"/>
        <w:shd w:val="clear"/>
        <w:spacing w:line="360" w:lineRule="auto"/>
        <w:ind w:left="3960" w:right="1808"/>
        <w:contextualSpacing/>
        <w:rPr>
          <w:rFonts w:ascii="宋体" w:hAnsi="宋体"/>
          <w:color w:val="000000" w:themeColor="text1"/>
          <w:kern w:val="24"/>
          <w:highlight w:val="none"/>
          <w14:textFill>
            <w14:solidFill>
              <w14:schemeClr w14:val="tx1"/>
            </w14:solidFill>
          </w14:textFill>
        </w:rPr>
      </w:pPr>
    </w:p>
    <w:p w14:paraId="2D8C280D">
      <w:pPr>
        <w:pStyle w:val="19"/>
        <w:shd w:val="clear"/>
        <w:spacing w:line="360" w:lineRule="auto"/>
        <w:ind w:left="-426" w:right="142" w:firstLine="567"/>
        <w:contextualSpacing/>
        <w:rPr>
          <w:rFonts w:ascii="宋体" w:hAnsi="宋体"/>
          <w:color w:val="000000" w:themeColor="text1"/>
          <w:kern w:val="24"/>
          <w:highlight w:val="none"/>
          <w14:textFill>
            <w14:solidFill>
              <w14:schemeClr w14:val="tx1"/>
            </w14:solidFill>
          </w14:textFill>
        </w:rPr>
      </w:pPr>
      <w:r>
        <w:rPr>
          <w:rFonts w:hint="eastAsia" w:ascii="宋体" w:hAnsi="宋体"/>
          <w:color w:val="000000" w:themeColor="text1"/>
          <w:kern w:val="24"/>
          <w:highlight w:val="none"/>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6852559F">
      <w:pPr>
        <w:shd w:val="clear"/>
        <w:snapToGrid w:val="0"/>
        <w:spacing w:before="165" w:beforeLines="50" w:after="50"/>
        <w:ind w:left="142"/>
        <w:jc w:val="left"/>
        <w:rPr>
          <w:rFonts w:ascii="宋体" w:hAnsi="宋体"/>
          <w:b/>
          <w:color w:val="000000" w:themeColor="text1"/>
          <w:sz w:val="24"/>
          <w:highlight w:val="none"/>
          <w14:textFill>
            <w14:solidFill>
              <w14:schemeClr w14:val="tx1"/>
            </w14:solidFill>
          </w14:textFill>
        </w:rPr>
      </w:pPr>
    </w:p>
    <w:p w14:paraId="39D0AE23">
      <w:pPr>
        <w:pStyle w:val="26"/>
        <w:shd w:val="clear"/>
        <w:jc w:val="left"/>
        <w:rPr>
          <w:rFonts w:ascii="Arial Unicode MS" w:hAnsi="Arial Unicode MS" w:eastAsia="Arial Unicode MS" w:cs="Arial Unicode MS"/>
          <w:color w:val="000000" w:themeColor="text1"/>
          <w:sz w:val="32"/>
          <w:szCs w:val="32"/>
          <w:highlight w:val="none"/>
          <w14:textFill>
            <w14:solidFill>
              <w14:schemeClr w14:val="tx1"/>
            </w14:solidFill>
          </w14:textFill>
        </w:rPr>
      </w:pPr>
      <w:r>
        <w:rPr>
          <w:rFonts w:ascii="Arial Unicode MS" w:hAnsi="Arial Unicode MS" w:eastAsia="Arial Unicode MS" w:cs="Arial Unicode MS"/>
          <w:color w:val="000000" w:themeColor="text1"/>
          <w:sz w:val="32"/>
          <w:szCs w:val="32"/>
          <w:highlight w:val="none"/>
          <w14:textFill>
            <w14:solidFill>
              <w14:schemeClr w14:val="tx1"/>
            </w14:solidFill>
          </w14:textFill>
        </w:rPr>
        <w:br w:type="page"/>
      </w:r>
      <w:r>
        <w:rPr>
          <w:rFonts w:hint="eastAsia" w:ascii="Arial Unicode MS" w:hAnsi="Arial Unicode MS" w:eastAsia="Arial Unicode MS" w:cs="Arial Unicode MS"/>
          <w:color w:val="000000" w:themeColor="text1"/>
          <w:sz w:val="32"/>
          <w:szCs w:val="32"/>
          <w:highlight w:val="none"/>
          <w14:textFill>
            <w14:solidFill>
              <w14:schemeClr w14:val="tx1"/>
            </w14:solidFill>
          </w14:textFill>
        </w:rPr>
        <w:t>附：</w:t>
      </w:r>
    </w:p>
    <w:p w14:paraId="0302A490">
      <w:pPr>
        <w:shd w:val="clear"/>
        <w:jc w:val="center"/>
        <w:rPr>
          <w:rFonts w:ascii="宋体" w:hAnsi="宋体" w:cs="Arial Unicode MS"/>
          <w:color w:val="000000" w:themeColor="text1"/>
          <w:sz w:val="44"/>
          <w:szCs w:val="44"/>
          <w:highlight w:val="none"/>
          <w14:textFill>
            <w14:solidFill>
              <w14:schemeClr w14:val="tx1"/>
            </w14:solidFill>
          </w14:textFill>
        </w:rPr>
      </w:pPr>
      <w:r>
        <w:rPr>
          <w:rFonts w:hint="eastAsia" w:ascii="宋体" w:hAnsi="宋体" w:cs="Arial Unicode MS"/>
          <w:color w:val="000000" w:themeColor="text1"/>
          <w:sz w:val="44"/>
          <w:szCs w:val="44"/>
          <w:highlight w:val="none"/>
          <w14:textFill>
            <w14:solidFill>
              <w14:schemeClr w14:val="tx1"/>
            </w14:solidFill>
          </w14:textFill>
        </w:rPr>
        <w:t>中小微企业划型标准</w:t>
      </w:r>
    </w:p>
    <w:p w14:paraId="5AA8D406">
      <w:pPr>
        <w:shd w:val="clear"/>
        <w:ind w:left="1871"/>
        <w:rPr>
          <w:rFonts w:ascii="宋体" w:hAnsi="宋体" w:cs="Arial Unicode MS"/>
          <w:color w:val="000000" w:themeColor="text1"/>
          <w:szCs w:val="21"/>
          <w:highlight w:val="none"/>
          <w14:textFill>
            <w14:solidFill>
              <w14:schemeClr w14:val="tx1"/>
            </w14:solidFill>
          </w14:textFill>
        </w:rPr>
      </w:pPr>
    </w:p>
    <w:tbl>
      <w:tblPr>
        <w:tblStyle w:val="49"/>
        <w:tblW w:w="0" w:type="auto"/>
        <w:tblInd w:w="250" w:type="dxa"/>
        <w:tblLayout w:type="fixed"/>
        <w:tblCellMar>
          <w:top w:w="0" w:type="dxa"/>
          <w:left w:w="108" w:type="dxa"/>
          <w:bottom w:w="0" w:type="dxa"/>
          <w:right w:w="108" w:type="dxa"/>
        </w:tblCellMar>
      </w:tblPr>
      <w:tblGrid>
        <w:gridCol w:w="1921"/>
        <w:gridCol w:w="1563"/>
        <w:gridCol w:w="1031"/>
        <w:gridCol w:w="1830"/>
        <w:gridCol w:w="1627"/>
        <w:gridCol w:w="1045"/>
      </w:tblGrid>
      <w:tr w14:paraId="158C71CF">
        <w:tblPrEx>
          <w:tblCellMar>
            <w:top w:w="0" w:type="dxa"/>
            <w:left w:w="108" w:type="dxa"/>
            <w:bottom w:w="0" w:type="dxa"/>
            <w:right w:w="108" w:type="dxa"/>
          </w:tblCellMar>
        </w:tblPrEx>
        <w:trPr>
          <w:trHeight w:val="665" w:hRule="atLeast"/>
        </w:trPr>
        <w:tc>
          <w:tcPr>
            <w:tcW w:w="1921" w:type="dxa"/>
            <w:tcBorders>
              <w:top w:val="single" w:color="auto" w:sz="4" w:space="0"/>
              <w:left w:val="single" w:color="auto" w:sz="4" w:space="0"/>
              <w:bottom w:val="single" w:color="auto" w:sz="4" w:space="0"/>
              <w:right w:val="single" w:color="auto" w:sz="4" w:space="0"/>
            </w:tcBorders>
            <w:vAlign w:val="center"/>
          </w:tcPr>
          <w:p w14:paraId="56703310">
            <w:pPr>
              <w:widowControl/>
              <w:shd w:val="clear"/>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行业名称</w:t>
            </w:r>
          </w:p>
        </w:tc>
        <w:tc>
          <w:tcPr>
            <w:tcW w:w="1563" w:type="dxa"/>
            <w:tcBorders>
              <w:top w:val="single" w:color="auto" w:sz="4" w:space="0"/>
              <w:left w:val="nil"/>
              <w:bottom w:val="single" w:color="auto" w:sz="4" w:space="0"/>
              <w:right w:val="single" w:color="auto" w:sz="4" w:space="0"/>
            </w:tcBorders>
            <w:vAlign w:val="center"/>
          </w:tcPr>
          <w:p w14:paraId="24DD2D74">
            <w:pPr>
              <w:widowControl/>
              <w:shd w:val="clear"/>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指标名称</w:t>
            </w:r>
          </w:p>
        </w:tc>
        <w:tc>
          <w:tcPr>
            <w:tcW w:w="1031" w:type="dxa"/>
            <w:tcBorders>
              <w:top w:val="single" w:color="auto" w:sz="4" w:space="0"/>
              <w:left w:val="nil"/>
              <w:bottom w:val="single" w:color="auto" w:sz="4" w:space="0"/>
              <w:right w:val="single" w:color="auto" w:sz="4" w:space="0"/>
            </w:tcBorders>
            <w:vAlign w:val="center"/>
          </w:tcPr>
          <w:p w14:paraId="33640C8D">
            <w:pPr>
              <w:widowControl/>
              <w:shd w:val="clear"/>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计量单位</w:t>
            </w:r>
          </w:p>
        </w:tc>
        <w:tc>
          <w:tcPr>
            <w:tcW w:w="1830" w:type="dxa"/>
            <w:tcBorders>
              <w:top w:val="single" w:color="auto" w:sz="4" w:space="0"/>
              <w:left w:val="nil"/>
              <w:bottom w:val="single" w:color="auto" w:sz="4" w:space="0"/>
              <w:right w:val="single" w:color="auto" w:sz="4" w:space="0"/>
            </w:tcBorders>
            <w:vAlign w:val="center"/>
          </w:tcPr>
          <w:p w14:paraId="2E8625D8">
            <w:pPr>
              <w:widowControl/>
              <w:shd w:val="clear"/>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中型</w:t>
            </w:r>
          </w:p>
        </w:tc>
        <w:tc>
          <w:tcPr>
            <w:tcW w:w="1627" w:type="dxa"/>
            <w:tcBorders>
              <w:top w:val="single" w:color="auto" w:sz="4" w:space="0"/>
              <w:left w:val="nil"/>
              <w:bottom w:val="single" w:color="auto" w:sz="4" w:space="0"/>
              <w:right w:val="single" w:color="auto" w:sz="4" w:space="0"/>
            </w:tcBorders>
            <w:vAlign w:val="center"/>
          </w:tcPr>
          <w:p w14:paraId="2E527F1A">
            <w:pPr>
              <w:widowControl/>
              <w:shd w:val="clear"/>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小型</w:t>
            </w:r>
          </w:p>
        </w:tc>
        <w:tc>
          <w:tcPr>
            <w:tcW w:w="1045" w:type="dxa"/>
            <w:tcBorders>
              <w:top w:val="single" w:color="auto" w:sz="4" w:space="0"/>
              <w:left w:val="nil"/>
              <w:bottom w:val="single" w:color="auto" w:sz="4" w:space="0"/>
              <w:right w:val="single" w:color="auto" w:sz="4" w:space="0"/>
            </w:tcBorders>
            <w:vAlign w:val="center"/>
          </w:tcPr>
          <w:p w14:paraId="0CCE67A5">
            <w:pPr>
              <w:widowControl/>
              <w:shd w:val="clear"/>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微型</w:t>
            </w:r>
          </w:p>
        </w:tc>
      </w:tr>
      <w:tr w14:paraId="6881ABA7">
        <w:tblPrEx>
          <w:tblCellMar>
            <w:top w:w="0" w:type="dxa"/>
            <w:left w:w="108" w:type="dxa"/>
            <w:bottom w:w="0" w:type="dxa"/>
            <w:right w:w="108" w:type="dxa"/>
          </w:tblCellMar>
        </w:tblPrEx>
        <w:trPr>
          <w:trHeight w:val="338" w:hRule="atLeast"/>
        </w:trPr>
        <w:tc>
          <w:tcPr>
            <w:tcW w:w="1921" w:type="dxa"/>
            <w:tcBorders>
              <w:top w:val="nil"/>
              <w:left w:val="single" w:color="auto" w:sz="4" w:space="0"/>
              <w:bottom w:val="single" w:color="auto" w:sz="4" w:space="0"/>
              <w:right w:val="single" w:color="auto" w:sz="4" w:space="0"/>
            </w:tcBorders>
            <w:vAlign w:val="bottom"/>
          </w:tcPr>
          <w:p w14:paraId="3B848417">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农、林、牧、渔</w:t>
            </w:r>
          </w:p>
        </w:tc>
        <w:tc>
          <w:tcPr>
            <w:tcW w:w="1563" w:type="dxa"/>
            <w:tcBorders>
              <w:top w:val="nil"/>
              <w:left w:val="nil"/>
              <w:bottom w:val="single" w:color="auto" w:sz="4" w:space="0"/>
              <w:right w:val="single" w:color="auto" w:sz="4" w:space="0"/>
            </w:tcBorders>
            <w:vAlign w:val="center"/>
          </w:tcPr>
          <w:p w14:paraId="0DA836E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2427DC36">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52E873B3">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500≤Y＜20000</w:t>
            </w:r>
          </w:p>
        </w:tc>
        <w:tc>
          <w:tcPr>
            <w:tcW w:w="1627" w:type="dxa"/>
            <w:tcBorders>
              <w:top w:val="nil"/>
              <w:left w:val="nil"/>
              <w:bottom w:val="single" w:color="auto" w:sz="4" w:space="0"/>
              <w:right w:val="single" w:color="auto" w:sz="4" w:space="0"/>
            </w:tcBorders>
            <w:vAlign w:val="center"/>
          </w:tcPr>
          <w:p w14:paraId="773CF3A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50≤Y＜500</w:t>
            </w:r>
          </w:p>
        </w:tc>
        <w:tc>
          <w:tcPr>
            <w:tcW w:w="1045" w:type="dxa"/>
            <w:tcBorders>
              <w:top w:val="nil"/>
              <w:left w:val="nil"/>
              <w:bottom w:val="single" w:color="auto" w:sz="4" w:space="0"/>
              <w:right w:val="single" w:color="auto" w:sz="4" w:space="0"/>
            </w:tcBorders>
            <w:vAlign w:val="center"/>
          </w:tcPr>
          <w:p w14:paraId="47C81C1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w:t>
            </w:r>
          </w:p>
        </w:tc>
      </w:tr>
      <w:tr w14:paraId="65EBD311">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796583F8">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工业</w:t>
            </w:r>
          </w:p>
        </w:tc>
        <w:tc>
          <w:tcPr>
            <w:tcW w:w="1563" w:type="dxa"/>
            <w:tcBorders>
              <w:top w:val="nil"/>
              <w:left w:val="nil"/>
              <w:bottom w:val="single" w:color="auto" w:sz="4" w:space="0"/>
              <w:right w:val="single" w:color="auto" w:sz="4" w:space="0"/>
            </w:tcBorders>
            <w:vAlign w:val="center"/>
          </w:tcPr>
          <w:p w14:paraId="702C613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4265299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7A342ED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627" w:type="dxa"/>
            <w:tcBorders>
              <w:top w:val="nil"/>
              <w:left w:val="nil"/>
              <w:bottom w:val="single" w:color="auto" w:sz="4" w:space="0"/>
              <w:right w:val="single" w:color="auto" w:sz="4" w:space="0"/>
            </w:tcBorders>
            <w:vAlign w:val="center"/>
          </w:tcPr>
          <w:p w14:paraId="67755C2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1045" w:type="dxa"/>
            <w:tcBorders>
              <w:top w:val="nil"/>
              <w:left w:val="nil"/>
              <w:bottom w:val="single" w:color="auto" w:sz="4" w:space="0"/>
              <w:right w:val="single" w:color="auto" w:sz="4" w:space="0"/>
            </w:tcBorders>
            <w:vAlign w:val="center"/>
          </w:tcPr>
          <w:p w14:paraId="1280E750">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68F78193">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66032C3A">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4FBA73F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4ADFE590">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08DBE64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2000≤Y＜40000</w:t>
            </w:r>
          </w:p>
        </w:tc>
        <w:tc>
          <w:tcPr>
            <w:tcW w:w="1627" w:type="dxa"/>
            <w:tcBorders>
              <w:top w:val="nil"/>
              <w:left w:val="nil"/>
              <w:bottom w:val="single" w:color="auto" w:sz="4" w:space="0"/>
              <w:right w:val="single" w:color="auto" w:sz="4" w:space="0"/>
            </w:tcBorders>
            <w:vAlign w:val="center"/>
          </w:tcPr>
          <w:p w14:paraId="460B353B">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300≤Y＜2000</w:t>
            </w:r>
          </w:p>
        </w:tc>
        <w:tc>
          <w:tcPr>
            <w:tcW w:w="1045" w:type="dxa"/>
            <w:tcBorders>
              <w:top w:val="nil"/>
              <w:left w:val="nil"/>
              <w:bottom w:val="single" w:color="auto" w:sz="4" w:space="0"/>
              <w:right w:val="single" w:color="auto" w:sz="4" w:space="0"/>
            </w:tcBorders>
            <w:vAlign w:val="center"/>
          </w:tcPr>
          <w:p w14:paraId="4DCDAE6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Y＜300</w:t>
            </w:r>
          </w:p>
        </w:tc>
      </w:tr>
      <w:tr w14:paraId="696E50EA">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22EB9D6A">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建筑业</w:t>
            </w:r>
          </w:p>
        </w:tc>
        <w:tc>
          <w:tcPr>
            <w:tcW w:w="1563" w:type="dxa"/>
            <w:tcBorders>
              <w:top w:val="nil"/>
              <w:left w:val="nil"/>
              <w:bottom w:val="single" w:color="auto" w:sz="4" w:space="0"/>
              <w:right w:val="single" w:color="auto" w:sz="4" w:space="0"/>
            </w:tcBorders>
            <w:vAlign w:val="center"/>
          </w:tcPr>
          <w:p w14:paraId="1A3D101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3FE80E9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1A37615F">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6000≤Y＜80000</w:t>
            </w:r>
          </w:p>
        </w:tc>
        <w:tc>
          <w:tcPr>
            <w:tcW w:w="1627" w:type="dxa"/>
            <w:tcBorders>
              <w:top w:val="nil"/>
              <w:left w:val="nil"/>
              <w:bottom w:val="single" w:color="auto" w:sz="4" w:space="0"/>
              <w:right w:val="single" w:color="auto" w:sz="4" w:space="0"/>
            </w:tcBorders>
            <w:vAlign w:val="center"/>
          </w:tcPr>
          <w:p w14:paraId="2C054263">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300≤Y＜6000</w:t>
            </w:r>
          </w:p>
        </w:tc>
        <w:tc>
          <w:tcPr>
            <w:tcW w:w="1045" w:type="dxa"/>
            <w:tcBorders>
              <w:top w:val="nil"/>
              <w:left w:val="nil"/>
              <w:bottom w:val="single" w:color="auto" w:sz="4" w:space="0"/>
              <w:right w:val="single" w:color="auto" w:sz="4" w:space="0"/>
            </w:tcBorders>
            <w:vAlign w:val="center"/>
          </w:tcPr>
          <w:p w14:paraId="054922A3">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Y＜300</w:t>
            </w:r>
          </w:p>
        </w:tc>
      </w:tr>
      <w:tr w14:paraId="33985D64">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2687F0C9">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2A86EA7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1031" w:type="dxa"/>
            <w:tcBorders>
              <w:top w:val="nil"/>
              <w:left w:val="nil"/>
              <w:bottom w:val="single" w:color="auto" w:sz="4" w:space="0"/>
              <w:right w:val="single" w:color="auto" w:sz="4" w:space="0"/>
            </w:tcBorders>
            <w:vAlign w:val="center"/>
          </w:tcPr>
          <w:p w14:paraId="738F098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23372421">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5000≤Z＜80000</w:t>
            </w:r>
          </w:p>
        </w:tc>
        <w:tc>
          <w:tcPr>
            <w:tcW w:w="1627" w:type="dxa"/>
            <w:tcBorders>
              <w:top w:val="nil"/>
              <w:left w:val="nil"/>
              <w:bottom w:val="single" w:color="auto" w:sz="4" w:space="0"/>
              <w:right w:val="single" w:color="auto" w:sz="4" w:space="0"/>
            </w:tcBorders>
            <w:vAlign w:val="center"/>
          </w:tcPr>
          <w:p w14:paraId="6DFEFCD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300≤Z＜5000</w:t>
            </w:r>
          </w:p>
        </w:tc>
        <w:tc>
          <w:tcPr>
            <w:tcW w:w="1045" w:type="dxa"/>
            <w:tcBorders>
              <w:top w:val="nil"/>
              <w:left w:val="nil"/>
              <w:bottom w:val="single" w:color="auto" w:sz="4" w:space="0"/>
              <w:right w:val="single" w:color="auto" w:sz="4" w:space="0"/>
            </w:tcBorders>
            <w:vAlign w:val="center"/>
          </w:tcPr>
          <w:p w14:paraId="7A3AD305">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Z＜300</w:t>
            </w:r>
          </w:p>
        </w:tc>
      </w:tr>
      <w:tr w14:paraId="5B2A097A">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211F7764">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批发业</w:t>
            </w:r>
          </w:p>
        </w:tc>
        <w:tc>
          <w:tcPr>
            <w:tcW w:w="1563" w:type="dxa"/>
            <w:tcBorders>
              <w:top w:val="nil"/>
              <w:left w:val="nil"/>
              <w:bottom w:val="single" w:color="auto" w:sz="4" w:space="0"/>
              <w:right w:val="single" w:color="auto" w:sz="4" w:space="0"/>
            </w:tcBorders>
            <w:vAlign w:val="center"/>
          </w:tcPr>
          <w:p w14:paraId="16B7DEF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6F1AF82F">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60280674">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20≤X＜200</w:t>
            </w:r>
          </w:p>
        </w:tc>
        <w:tc>
          <w:tcPr>
            <w:tcW w:w="1627" w:type="dxa"/>
            <w:tcBorders>
              <w:top w:val="nil"/>
              <w:left w:val="nil"/>
              <w:bottom w:val="single" w:color="auto" w:sz="4" w:space="0"/>
              <w:right w:val="single" w:color="auto" w:sz="4" w:space="0"/>
            </w:tcBorders>
            <w:vAlign w:val="center"/>
          </w:tcPr>
          <w:p w14:paraId="3FEBD889">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5≤X＜20</w:t>
            </w:r>
          </w:p>
        </w:tc>
        <w:tc>
          <w:tcPr>
            <w:tcW w:w="1045" w:type="dxa"/>
            <w:tcBorders>
              <w:top w:val="nil"/>
              <w:left w:val="nil"/>
              <w:bottom w:val="single" w:color="auto" w:sz="4" w:space="0"/>
              <w:right w:val="single" w:color="auto" w:sz="4" w:space="0"/>
            </w:tcBorders>
            <w:vAlign w:val="center"/>
          </w:tcPr>
          <w:p w14:paraId="0F864049">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X＜5</w:t>
            </w:r>
          </w:p>
        </w:tc>
      </w:tr>
      <w:tr w14:paraId="0CBED281">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4248560D">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28F7AC9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701556F4">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7043CC0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5000≤Y＜40000</w:t>
            </w:r>
          </w:p>
        </w:tc>
        <w:tc>
          <w:tcPr>
            <w:tcW w:w="1627" w:type="dxa"/>
            <w:tcBorders>
              <w:top w:val="nil"/>
              <w:left w:val="nil"/>
              <w:bottom w:val="single" w:color="auto" w:sz="4" w:space="0"/>
              <w:right w:val="single" w:color="auto" w:sz="4" w:space="0"/>
            </w:tcBorders>
            <w:vAlign w:val="center"/>
          </w:tcPr>
          <w:p w14:paraId="4C50D68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1000≤Y＜5000</w:t>
            </w:r>
          </w:p>
        </w:tc>
        <w:tc>
          <w:tcPr>
            <w:tcW w:w="1045" w:type="dxa"/>
            <w:tcBorders>
              <w:top w:val="nil"/>
              <w:left w:val="nil"/>
              <w:bottom w:val="single" w:color="auto" w:sz="4" w:space="0"/>
              <w:right w:val="single" w:color="auto" w:sz="4" w:space="0"/>
            </w:tcBorders>
            <w:vAlign w:val="center"/>
          </w:tcPr>
          <w:p w14:paraId="378B5DF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Y＜1000</w:t>
            </w:r>
          </w:p>
        </w:tc>
      </w:tr>
      <w:tr w14:paraId="606F1617">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2678286B">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零售业</w:t>
            </w:r>
          </w:p>
        </w:tc>
        <w:tc>
          <w:tcPr>
            <w:tcW w:w="1563" w:type="dxa"/>
            <w:tcBorders>
              <w:top w:val="nil"/>
              <w:left w:val="nil"/>
              <w:bottom w:val="single" w:color="auto" w:sz="4" w:space="0"/>
              <w:right w:val="single" w:color="auto" w:sz="4" w:space="0"/>
            </w:tcBorders>
            <w:vAlign w:val="center"/>
          </w:tcPr>
          <w:p w14:paraId="632251C6">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3CA6E5B5">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1F6857D0">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50≤X＜300</w:t>
            </w:r>
          </w:p>
        </w:tc>
        <w:tc>
          <w:tcPr>
            <w:tcW w:w="1627" w:type="dxa"/>
            <w:tcBorders>
              <w:top w:val="nil"/>
              <w:left w:val="nil"/>
              <w:bottom w:val="single" w:color="auto" w:sz="4" w:space="0"/>
              <w:right w:val="single" w:color="auto" w:sz="4" w:space="0"/>
            </w:tcBorders>
            <w:vAlign w:val="center"/>
          </w:tcPr>
          <w:p w14:paraId="7DD53C09">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10≤X＜50</w:t>
            </w:r>
          </w:p>
        </w:tc>
        <w:tc>
          <w:tcPr>
            <w:tcW w:w="1045" w:type="dxa"/>
            <w:tcBorders>
              <w:top w:val="nil"/>
              <w:left w:val="nil"/>
              <w:bottom w:val="single" w:color="auto" w:sz="4" w:space="0"/>
              <w:right w:val="single" w:color="auto" w:sz="4" w:space="0"/>
            </w:tcBorders>
            <w:vAlign w:val="center"/>
          </w:tcPr>
          <w:p w14:paraId="285BE1E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3ADE04B4">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14F218B4">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17F33841">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5B0859F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1FB3BD75">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500≤Y＜20000</w:t>
            </w:r>
          </w:p>
        </w:tc>
        <w:tc>
          <w:tcPr>
            <w:tcW w:w="1627" w:type="dxa"/>
            <w:tcBorders>
              <w:top w:val="nil"/>
              <w:left w:val="nil"/>
              <w:bottom w:val="single" w:color="auto" w:sz="4" w:space="0"/>
              <w:right w:val="single" w:color="auto" w:sz="4" w:space="0"/>
            </w:tcBorders>
            <w:vAlign w:val="center"/>
          </w:tcPr>
          <w:p w14:paraId="1CAB2BEB">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100≤Y＜500</w:t>
            </w:r>
          </w:p>
        </w:tc>
        <w:tc>
          <w:tcPr>
            <w:tcW w:w="1045" w:type="dxa"/>
            <w:tcBorders>
              <w:top w:val="nil"/>
              <w:left w:val="nil"/>
              <w:bottom w:val="single" w:color="auto" w:sz="4" w:space="0"/>
              <w:right w:val="single" w:color="auto" w:sz="4" w:space="0"/>
            </w:tcBorders>
            <w:vAlign w:val="center"/>
          </w:tcPr>
          <w:p w14:paraId="4CB867F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6F37F764">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39EBCC8A">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交通运输业</w:t>
            </w:r>
          </w:p>
        </w:tc>
        <w:tc>
          <w:tcPr>
            <w:tcW w:w="1563" w:type="dxa"/>
            <w:tcBorders>
              <w:top w:val="nil"/>
              <w:left w:val="nil"/>
              <w:bottom w:val="single" w:color="auto" w:sz="4" w:space="0"/>
              <w:right w:val="single" w:color="auto" w:sz="4" w:space="0"/>
            </w:tcBorders>
            <w:vAlign w:val="center"/>
          </w:tcPr>
          <w:p w14:paraId="6A9ED9E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3BBED92D">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056C68A9">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627" w:type="dxa"/>
            <w:tcBorders>
              <w:top w:val="nil"/>
              <w:left w:val="nil"/>
              <w:bottom w:val="single" w:color="auto" w:sz="4" w:space="0"/>
              <w:right w:val="single" w:color="auto" w:sz="4" w:space="0"/>
            </w:tcBorders>
            <w:vAlign w:val="center"/>
          </w:tcPr>
          <w:p w14:paraId="3CA325B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1045" w:type="dxa"/>
            <w:tcBorders>
              <w:top w:val="nil"/>
              <w:left w:val="nil"/>
              <w:bottom w:val="single" w:color="auto" w:sz="4" w:space="0"/>
              <w:right w:val="single" w:color="auto" w:sz="4" w:space="0"/>
            </w:tcBorders>
            <w:vAlign w:val="center"/>
          </w:tcPr>
          <w:p w14:paraId="49C99153">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64C670B0">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6BDA2D5A">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07EA38E1">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0E490771">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2DBE1C80">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3000≤Y＜30000</w:t>
            </w:r>
          </w:p>
        </w:tc>
        <w:tc>
          <w:tcPr>
            <w:tcW w:w="1627" w:type="dxa"/>
            <w:tcBorders>
              <w:top w:val="nil"/>
              <w:left w:val="nil"/>
              <w:bottom w:val="single" w:color="auto" w:sz="4" w:space="0"/>
              <w:right w:val="single" w:color="auto" w:sz="4" w:space="0"/>
            </w:tcBorders>
            <w:vAlign w:val="center"/>
          </w:tcPr>
          <w:p w14:paraId="44A7AF5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200≤Y＜3000</w:t>
            </w:r>
          </w:p>
        </w:tc>
        <w:tc>
          <w:tcPr>
            <w:tcW w:w="1045" w:type="dxa"/>
            <w:tcBorders>
              <w:top w:val="nil"/>
              <w:left w:val="nil"/>
              <w:bottom w:val="single" w:color="auto" w:sz="4" w:space="0"/>
              <w:right w:val="single" w:color="auto" w:sz="4" w:space="0"/>
            </w:tcBorders>
            <w:vAlign w:val="center"/>
          </w:tcPr>
          <w:p w14:paraId="56A902C7">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Y＜200</w:t>
            </w:r>
          </w:p>
        </w:tc>
      </w:tr>
      <w:tr w14:paraId="4C70CAE1">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036B8A94">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仓储业</w:t>
            </w:r>
          </w:p>
        </w:tc>
        <w:tc>
          <w:tcPr>
            <w:tcW w:w="1563" w:type="dxa"/>
            <w:tcBorders>
              <w:top w:val="nil"/>
              <w:left w:val="nil"/>
              <w:bottom w:val="single" w:color="auto" w:sz="4" w:space="0"/>
              <w:right w:val="single" w:color="auto" w:sz="4" w:space="0"/>
            </w:tcBorders>
            <w:vAlign w:val="center"/>
          </w:tcPr>
          <w:p w14:paraId="4CE8DD5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728D73E7">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4CC8D135">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100≤X＜200</w:t>
            </w:r>
          </w:p>
        </w:tc>
        <w:tc>
          <w:tcPr>
            <w:tcW w:w="1627" w:type="dxa"/>
            <w:tcBorders>
              <w:top w:val="nil"/>
              <w:left w:val="nil"/>
              <w:bottom w:val="single" w:color="auto" w:sz="4" w:space="0"/>
              <w:right w:val="single" w:color="auto" w:sz="4" w:space="0"/>
            </w:tcBorders>
            <w:vAlign w:val="center"/>
          </w:tcPr>
          <w:p w14:paraId="7B813C1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20≤X＜100</w:t>
            </w:r>
          </w:p>
        </w:tc>
        <w:tc>
          <w:tcPr>
            <w:tcW w:w="1045" w:type="dxa"/>
            <w:tcBorders>
              <w:top w:val="nil"/>
              <w:left w:val="nil"/>
              <w:bottom w:val="single" w:color="auto" w:sz="4" w:space="0"/>
              <w:right w:val="single" w:color="auto" w:sz="4" w:space="0"/>
            </w:tcBorders>
            <w:vAlign w:val="center"/>
          </w:tcPr>
          <w:p w14:paraId="3B49D4FD">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207BCDA6">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7A3F0835">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0B6E32A3">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5BD6210C">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6180A437">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1000≤Y＜30000</w:t>
            </w:r>
          </w:p>
        </w:tc>
        <w:tc>
          <w:tcPr>
            <w:tcW w:w="1627" w:type="dxa"/>
            <w:tcBorders>
              <w:top w:val="nil"/>
              <w:left w:val="nil"/>
              <w:bottom w:val="single" w:color="auto" w:sz="4" w:space="0"/>
              <w:right w:val="single" w:color="auto" w:sz="4" w:space="0"/>
            </w:tcBorders>
            <w:vAlign w:val="center"/>
          </w:tcPr>
          <w:p w14:paraId="738AAEBB">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100≤Y＜1000</w:t>
            </w:r>
          </w:p>
        </w:tc>
        <w:tc>
          <w:tcPr>
            <w:tcW w:w="1045" w:type="dxa"/>
            <w:tcBorders>
              <w:top w:val="nil"/>
              <w:left w:val="nil"/>
              <w:bottom w:val="single" w:color="auto" w:sz="4" w:space="0"/>
              <w:right w:val="single" w:color="auto" w:sz="4" w:space="0"/>
            </w:tcBorders>
            <w:vAlign w:val="center"/>
          </w:tcPr>
          <w:p w14:paraId="2154C406">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77D22BA5">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1D34B513">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邮政业</w:t>
            </w:r>
          </w:p>
        </w:tc>
        <w:tc>
          <w:tcPr>
            <w:tcW w:w="1563" w:type="dxa"/>
            <w:tcBorders>
              <w:top w:val="nil"/>
              <w:left w:val="nil"/>
              <w:bottom w:val="single" w:color="auto" w:sz="4" w:space="0"/>
              <w:right w:val="single" w:color="auto" w:sz="4" w:space="0"/>
            </w:tcBorders>
            <w:vAlign w:val="center"/>
          </w:tcPr>
          <w:p w14:paraId="230AFE59">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0E483006">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28A7ACB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627" w:type="dxa"/>
            <w:tcBorders>
              <w:top w:val="nil"/>
              <w:left w:val="nil"/>
              <w:bottom w:val="single" w:color="auto" w:sz="4" w:space="0"/>
              <w:right w:val="single" w:color="auto" w:sz="4" w:space="0"/>
            </w:tcBorders>
            <w:vAlign w:val="center"/>
          </w:tcPr>
          <w:p w14:paraId="1F95C3F5">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1045" w:type="dxa"/>
            <w:tcBorders>
              <w:top w:val="nil"/>
              <w:left w:val="nil"/>
              <w:bottom w:val="single" w:color="auto" w:sz="4" w:space="0"/>
              <w:right w:val="single" w:color="auto" w:sz="4" w:space="0"/>
            </w:tcBorders>
            <w:vAlign w:val="center"/>
          </w:tcPr>
          <w:p w14:paraId="3BE71C1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26281298">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59B54E69">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4773F291">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5C79E025">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0B6D9A83">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2000≤Y＜30000</w:t>
            </w:r>
          </w:p>
        </w:tc>
        <w:tc>
          <w:tcPr>
            <w:tcW w:w="1627" w:type="dxa"/>
            <w:tcBorders>
              <w:top w:val="nil"/>
              <w:left w:val="nil"/>
              <w:bottom w:val="single" w:color="auto" w:sz="4" w:space="0"/>
              <w:right w:val="single" w:color="auto" w:sz="4" w:space="0"/>
            </w:tcBorders>
            <w:vAlign w:val="center"/>
          </w:tcPr>
          <w:p w14:paraId="26DA1DFF">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1045" w:type="dxa"/>
            <w:tcBorders>
              <w:top w:val="nil"/>
              <w:left w:val="nil"/>
              <w:bottom w:val="single" w:color="auto" w:sz="4" w:space="0"/>
              <w:right w:val="single" w:color="auto" w:sz="4" w:space="0"/>
            </w:tcBorders>
            <w:vAlign w:val="center"/>
          </w:tcPr>
          <w:p w14:paraId="77584F8B">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291D996C">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10BDD7EB">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住宿业</w:t>
            </w:r>
          </w:p>
        </w:tc>
        <w:tc>
          <w:tcPr>
            <w:tcW w:w="1563" w:type="dxa"/>
            <w:tcBorders>
              <w:top w:val="nil"/>
              <w:left w:val="nil"/>
              <w:bottom w:val="single" w:color="auto" w:sz="4" w:space="0"/>
              <w:right w:val="single" w:color="auto" w:sz="4" w:space="0"/>
            </w:tcBorders>
            <w:vAlign w:val="center"/>
          </w:tcPr>
          <w:p w14:paraId="1786125F">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1A8F53C1">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5E854A4F">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627" w:type="dxa"/>
            <w:tcBorders>
              <w:top w:val="nil"/>
              <w:left w:val="nil"/>
              <w:bottom w:val="single" w:color="auto" w:sz="4" w:space="0"/>
              <w:right w:val="single" w:color="auto" w:sz="4" w:space="0"/>
            </w:tcBorders>
            <w:vAlign w:val="center"/>
          </w:tcPr>
          <w:p w14:paraId="2767E9F5">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045" w:type="dxa"/>
            <w:tcBorders>
              <w:top w:val="nil"/>
              <w:left w:val="nil"/>
              <w:bottom w:val="single" w:color="auto" w:sz="4" w:space="0"/>
              <w:right w:val="single" w:color="auto" w:sz="4" w:space="0"/>
            </w:tcBorders>
            <w:vAlign w:val="center"/>
          </w:tcPr>
          <w:p w14:paraId="14D828DD">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583172F1">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6AE65F06">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1EEBBE99">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31D8E32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4FC26EA3">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2000≤Y＜10000</w:t>
            </w:r>
          </w:p>
        </w:tc>
        <w:tc>
          <w:tcPr>
            <w:tcW w:w="1627" w:type="dxa"/>
            <w:tcBorders>
              <w:top w:val="nil"/>
              <w:left w:val="nil"/>
              <w:bottom w:val="single" w:color="auto" w:sz="4" w:space="0"/>
              <w:right w:val="single" w:color="auto" w:sz="4" w:space="0"/>
            </w:tcBorders>
            <w:vAlign w:val="center"/>
          </w:tcPr>
          <w:p w14:paraId="49483645">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1045" w:type="dxa"/>
            <w:tcBorders>
              <w:top w:val="nil"/>
              <w:left w:val="nil"/>
              <w:bottom w:val="single" w:color="auto" w:sz="4" w:space="0"/>
              <w:right w:val="single" w:color="auto" w:sz="4" w:space="0"/>
            </w:tcBorders>
            <w:vAlign w:val="center"/>
          </w:tcPr>
          <w:p w14:paraId="4DCDD12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623AE7F3">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3BD05892">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餐饮业</w:t>
            </w:r>
          </w:p>
        </w:tc>
        <w:tc>
          <w:tcPr>
            <w:tcW w:w="1563" w:type="dxa"/>
            <w:tcBorders>
              <w:top w:val="nil"/>
              <w:left w:val="nil"/>
              <w:bottom w:val="single" w:color="auto" w:sz="4" w:space="0"/>
              <w:right w:val="single" w:color="auto" w:sz="4" w:space="0"/>
            </w:tcBorders>
            <w:vAlign w:val="center"/>
          </w:tcPr>
          <w:p w14:paraId="64FD71F9">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045ECEAD">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1060653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627" w:type="dxa"/>
            <w:tcBorders>
              <w:top w:val="nil"/>
              <w:left w:val="nil"/>
              <w:bottom w:val="single" w:color="auto" w:sz="4" w:space="0"/>
              <w:right w:val="single" w:color="auto" w:sz="4" w:space="0"/>
            </w:tcBorders>
            <w:vAlign w:val="center"/>
          </w:tcPr>
          <w:p w14:paraId="46369BC7">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045" w:type="dxa"/>
            <w:tcBorders>
              <w:top w:val="nil"/>
              <w:left w:val="nil"/>
              <w:bottom w:val="single" w:color="auto" w:sz="4" w:space="0"/>
              <w:right w:val="single" w:color="auto" w:sz="4" w:space="0"/>
            </w:tcBorders>
            <w:vAlign w:val="center"/>
          </w:tcPr>
          <w:p w14:paraId="1624498C">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3B7AE5A4">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79CF250A">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0C72757D">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6B91453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73E03AC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2000≤Y＜10000</w:t>
            </w:r>
          </w:p>
        </w:tc>
        <w:tc>
          <w:tcPr>
            <w:tcW w:w="1627" w:type="dxa"/>
            <w:tcBorders>
              <w:top w:val="nil"/>
              <w:left w:val="nil"/>
              <w:bottom w:val="single" w:color="auto" w:sz="4" w:space="0"/>
              <w:right w:val="single" w:color="auto" w:sz="4" w:space="0"/>
            </w:tcBorders>
            <w:vAlign w:val="center"/>
          </w:tcPr>
          <w:p w14:paraId="5151A90F">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1045" w:type="dxa"/>
            <w:tcBorders>
              <w:top w:val="nil"/>
              <w:left w:val="nil"/>
              <w:bottom w:val="single" w:color="auto" w:sz="4" w:space="0"/>
              <w:right w:val="single" w:color="auto" w:sz="4" w:space="0"/>
            </w:tcBorders>
            <w:vAlign w:val="center"/>
          </w:tcPr>
          <w:p w14:paraId="640A18A5">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1364F21F">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41221474">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信息传输业</w:t>
            </w:r>
          </w:p>
        </w:tc>
        <w:tc>
          <w:tcPr>
            <w:tcW w:w="1563" w:type="dxa"/>
            <w:tcBorders>
              <w:top w:val="nil"/>
              <w:left w:val="nil"/>
              <w:bottom w:val="single" w:color="auto" w:sz="4" w:space="0"/>
              <w:right w:val="single" w:color="auto" w:sz="4" w:space="0"/>
            </w:tcBorders>
            <w:vAlign w:val="center"/>
          </w:tcPr>
          <w:p w14:paraId="21DC7117">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4453515B">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1FF65F67">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100≤X＜2000</w:t>
            </w:r>
          </w:p>
        </w:tc>
        <w:tc>
          <w:tcPr>
            <w:tcW w:w="1627" w:type="dxa"/>
            <w:tcBorders>
              <w:top w:val="nil"/>
              <w:left w:val="nil"/>
              <w:bottom w:val="single" w:color="auto" w:sz="4" w:space="0"/>
              <w:right w:val="single" w:color="auto" w:sz="4" w:space="0"/>
            </w:tcBorders>
            <w:vAlign w:val="center"/>
          </w:tcPr>
          <w:p w14:paraId="7A88CBA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045" w:type="dxa"/>
            <w:tcBorders>
              <w:top w:val="nil"/>
              <w:left w:val="nil"/>
              <w:bottom w:val="single" w:color="auto" w:sz="4" w:space="0"/>
              <w:right w:val="single" w:color="auto" w:sz="4" w:space="0"/>
            </w:tcBorders>
            <w:vAlign w:val="center"/>
          </w:tcPr>
          <w:p w14:paraId="4B2D84BF">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33F558B5">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330A637C">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7832720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6D057E1C">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5C39B207">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1000≤Y＜100000</w:t>
            </w:r>
          </w:p>
        </w:tc>
        <w:tc>
          <w:tcPr>
            <w:tcW w:w="1627" w:type="dxa"/>
            <w:tcBorders>
              <w:top w:val="nil"/>
              <w:left w:val="nil"/>
              <w:bottom w:val="single" w:color="auto" w:sz="4" w:space="0"/>
              <w:right w:val="single" w:color="auto" w:sz="4" w:space="0"/>
            </w:tcBorders>
            <w:vAlign w:val="center"/>
          </w:tcPr>
          <w:p w14:paraId="73768ED6">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100≤Y＜1000</w:t>
            </w:r>
          </w:p>
        </w:tc>
        <w:tc>
          <w:tcPr>
            <w:tcW w:w="1045" w:type="dxa"/>
            <w:tcBorders>
              <w:top w:val="nil"/>
              <w:left w:val="nil"/>
              <w:bottom w:val="single" w:color="auto" w:sz="4" w:space="0"/>
              <w:right w:val="single" w:color="auto" w:sz="4" w:space="0"/>
            </w:tcBorders>
            <w:vAlign w:val="center"/>
          </w:tcPr>
          <w:p w14:paraId="5A5431F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3C2ABBE4">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1631F5BC">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软件和信息技术服务业</w:t>
            </w:r>
          </w:p>
        </w:tc>
        <w:tc>
          <w:tcPr>
            <w:tcW w:w="1563" w:type="dxa"/>
            <w:tcBorders>
              <w:top w:val="nil"/>
              <w:left w:val="nil"/>
              <w:bottom w:val="single" w:color="auto" w:sz="4" w:space="0"/>
              <w:right w:val="single" w:color="auto" w:sz="4" w:space="0"/>
            </w:tcBorders>
            <w:vAlign w:val="center"/>
          </w:tcPr>
          <w:p w14:paraId="49D85FB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7C5F04B4">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04A1402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627" w:type="dxa"/>
            <w:tcBorders>
              <w:top w:val="nil"/>
              <w:left w:val="nil"/>
              <w:bottom w:val="single" w:color="auto" w:sz="4" w:space="0"/>
              <w:right w:val="single" w:color="auto" w:sz="4" w:space="0"/>
            </w:tcBorders>
            <w:vAlign w:val="center"/>
          </w:tcPr>
          <w:p w14:paraId="765171DB">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045" w:type="dxa"/>
            <w:tcBorders>
              <w:top w:val="nil"/>
              <w:left w:val="nil"/>
              <w:bottom w:val="single" w:color="auto" w:sz="4" w:space="0"/>
              <w:right w:val="single" w:color="auto" w:sz="4" w:space="0"/>
            </w:tcBorders>
            <w:vAlign w:val="center"/>
          </w:tcPr>
          <w:p w14:paraId="6ADB1CC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7BCD1525">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43DC537A">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56DE0465">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0399EF94">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04E1FAA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1000≤Y＜10000</w:t>
            </w:r>
          </w:p>
        </w:tc>
        <w:tc>
          <w:tcPr>
            <w:tcW w:w="1627" w:type="dxa"/>
            <w:tcBorders>
              <w:top w:val="nil"/>
              <w:left w:val="nil"/>
              <w:bottom w:val="single" w:color="auto" w:sz="4" w:space="0"/>
              <w:right w:val="single" w:color="auto" w:sz="4" w:space="0"/>
            </w:tcBorders>
            <w:vAlign w:val="center"/>
          </w:tcPr>
          <w:p w14:paraId="112DCF24">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50≤Y＜1000</w:t>
            </w:r>
          </w:p>
        </w:tc>
        <w:tc>
          <w:tcPr>
            <w:tcW w:w="1045" w:type="dxa"/>
            <w:tcBorders>
              <w:top w:val="nil"/>
              <w:left w:val="nil"/>
              <w:bottom w:val="single" w:color="auto" w:sz="4" w:space="0"/>
              <w:right w:val="single" w:color="auto" w:sz="4" w:space="0"/>
            </w:tcBorders>
            <w:vAlign w:val="center"/>
          </w:tcPr>
          <w:p w14:paraId="6063ECF5">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w:t>
            </w:r>
          </w:p>
        </w:tc>
      </w:tr>
      <w:tr w14:paraId="5DE22088">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124E01E0">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房地产开发经营</w:t>
            </w:r>
          </w:p>
        </w:tc>
        <w:tc>
          <w:tcPr>
            <w:tcW w:w="1563" w:type="dxa"/>
            <w:tcBorders>
              <w:top w:val="nil"/>
              <w:left w:val="nil"/>
              <w:bottom w:val="single" w:color="auto" w:sz="4" w:space="0"/>
              <w:right w:val="single" w:color="auto" w:sz="4" w:space="0"/>
            </w:tcBorders>
            <w:vAlign w:val="center"/>
          </w:tcPr>
          <w:p w14:paraId="2C589CD7">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326F6DE7">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5DEA9010">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1000≤Y＜200000</w:t>
            </w:r>
          </w:p>
        </w:tc>
        <w:tc>
          <w:tcPr>
            <w:tcW w:w="1627" w:type="dxa"/>
            <w:tcBorders>
              <w:top w:val="nil"/>
              <w:left w:val="nil"/>
              <w:bottom w:val="single" w:color="auto" w:sz="4" w:space="0"/>
              <w:right w:val="single" w:color="auto" w:sz="4" w:space="0"/>
            </w:tcBorders>
            <w:vAlign w:val="center"/>
          </w:tcPr>
          <w:p w14:paraId="71EB2E94">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100≤X＜1000</w:t>
            </w:r>
          </w:p>
        </w:tc>
        <w:tc>
          <w:tcPr>
            <w:tcW w:w="1045" w:type="dxa"/>
            <w:tcBorders>
              <w:top w:val="nil"/>
              <w:left w:val="nil"/>
              <w:bottom w:val="single" w:color="auto" w:sz="4" w:space="0"/>
              <w:right w:val="single" w:color="auto" w:sz="4" w:space="0"/>
            </w:tcBorders>
            <w:vAlign w:val="center"/>
          </w:tcPr>
          <w:p w14:paraId="2A5382C4">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X＜100</w:t>
            </w:r>
          </w:p>
        </w:tc>
      </w:tr>
      <w:tr w14:paraId="29E92B0B">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0AB4A566">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58B66251">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1031" w:type="dxa"/>
            <w:tcBorders>
              <w:top w:val="nil"/>
              <w:left w:val="nil"/>
              <w:bottom w:val="single" w:color="auto" w:sz="4" w:space="0"/>
              <w:right w:val="single" w:color="auto" w:sz="4" w:space="0"/>
            </w:tcBorders>
            <w:vAlign w:val="center"/>
          </w:tcPr>
          <w:p w14:paraId="0EFD2AA2">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6782FB6F">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5000≤Z＜10000</w:t>
            </w:r>
          </w:p>
        </w:tc>
        <w:tc>
          <w:tcPr>
            <w:tcW w:w="1627" w:type="dxa"/>
            <w:tcBorders>
              <w:top w:val="nil"/>
              <w:left w:val="nil"/>
              <w:bottom w:val="single" w:color="auto" w:sz="4" w:space="0"/>
              <w:right w:val="single" w:color="auto" w:sz="4" w:space="0"/>
            </w:tcBorders>
            <w:vAlign w:val="center"/>
          </w:tcPr>
          <w:p w14:paraId="3CAD4FAB">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2000≤Y＜5000</w:t>
            </w:r>
          </w:p>
        </w:tc>
        <w:tc>
          <w:tcPr>
            <w:tcW w:w="1045" w:type="dxa"/>
            <w:tcBorders>
              <w:top w:val="nil"/>
              <w:left w:val="nil"/>
              <w:bottom w:val="single" w:color="auto" w:sz="4" w:space="0"/>
              <w:right w:val="single" w:color="auto" w:sz="4" w:space="0"/>
            </w:tcBorders>
            <w:vAlign w:val="center"/>
          </w:tcPr>
          <w:p w14:paraId="486990D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Y＜2000</w:t>
            </w:r>
          </w:p>
        </w:tc>
      </w:tr>
      <w:tr w14:paraId="4A6E6CC4">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38166D30">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物业管理</w:t>
            </w:r>
          </w:p>
        </w:tc>
        <w:tc>
          <w:tcPr>
            <w:tcW w:w="1563" w:type="dxa"/>
            <w:tcBorders>
              <w:top w:val="nil"/>
              <w:left w:val="nil"/>
              <w:bottom w:val="single" w:color="auto" w:sz="4" w:space="0"/>
              <w:right w:val="single" w:color="auto" w:sz="4" w:space="0"/>
            </w:tcBorders>
            <w:vAlign w:val="center"/>
          </w:tcPr>
          <w:p w14:paraId="57E796C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5D928ABC">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2560C1A0">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627" w:type="dxa"/>
            <w:tcBorders>
              <w:top w:val="nil"/>
              <w:left w:val="nil"/>
              <w:bottom w:val="single" w:color="auto" w:sz="4" w:space="0"/>
              <w:right w:val="single" w:color="auto" w:sz="4" w:space="0"/>
            </w:tcBorders>
            <w:vAlign w:val="center"/>
          </w:tcPr>
          <w:p w14:paraId="2811708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045" w:type="dxa"/>
            <w:tcBorders>
              <w:top w:val="nil"/>
              <w:left w:val="nil"/>
              <w:bottom w:val="single" w:color="auto" w:sz="4" w:space="0"/>
              <w:right w:val="single" w:color="auto" w:sz="4" w:space="0"/>
            </w:tcBorders>
            <w:vAlign w:val="center"/>
          </w:tcPr>
          <w:p w14:paraId="3E19437B">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X＜100</w:t>
            </w:r>
          </w:p>
        </w:tc>
      </w:tr>
      <w:tr w14:paraId="60591EF6">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70DDA2C0">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0048F33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1031" w:type="dxa"/>
            <w:tcBorders>
              <w:top w:val="nil"/>
              <w:left w:val="nil"/>
              <w:bottom w:val="single" w:color="auto" w:sz="4" w:space="0"/>
              <w:right w:val="single" w:color="auto" w:sz="4" w:space="0"/>
            </w:tcBorders>
            <w:vAlign w:val="center"/>
          </w:tcPr>
          <w:p w14:paraId="3DEC4F27">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4398CE00">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1000≤Y＜5000</w:t>
            </w:r>
          </w:p>
        </w:tc>
        <w:tc>
          <w:tcPr>
            <w:tcW w:w="1627" w:type="dxa"/>
            <w:tcBorders>
              <w:top w:val="nil"/>
              <w:left w:val="nil"/>
              <w:bottom w:val="single" w:color="auto" w:sz="4" w:space="0"/>
              <w:right w:val="single" w:color="auto" w:sz="4" w:space="0"/>
            </w:tcBorders>
            <w:vAlign w:val="center"/>
          </w:tcPr>
          <w:p w14:paraId="2429B8A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500≤Y＜1000</w:t>
            </w:r>
          </w:p>
        </w:tc>
        <w:tc>
          <w:tcPr>
            <w:tcW w:w="1045" w:type="dxa"/>
            <w:tcBorders>
              <w:top w:val="nil"/>
              <w:left w:val="nil"/>
              <w:bottom w:val="single" w:color="auto" w:sz="4" w:space="0"/>
              <w:right w:val="single" w:color="auto" w:sz="4" w:space="0"/>
            </w:tcBorders>
            <w:vAlign w:val="center"/>
          </w:tcPr>
          <w:p w14:paraId="4A1C7AF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Y＜500</w:t>
            </w:r>
          </w:p>
        </w:tc>
      </w:tr>
      <w:tr w14:paraId="14A29986">
        <w:tblPrEx>
          <w:tblCellMar>
            <w:top w:w="0" w:type="dxa"/>
            <w:left w:w="108" w:type="dxa"/>
            <w:bottom w:w="0" w:type="dxa"/>
            <w:right w:w="108" w:type="dxa"/>
          </w:tblCellMar>
        </w:tblPrEx>
        <w:trPr>
          <w:trHeight w:val="338" w:hRule="atLeast"/>
        </w:trPr>
        <w:tc>
          <w:tcPr>
            <w:tcW w:w="1921" w:type="dxa"/>
            <w:vMerge w:val="restart"/>
            <w:tcBorders>
              <w:top w:val="nil"/>
              <w:left w:val="single" w:color="auto" w:sz="4" w:space="0"/>
              <w:bottom w:val="single" w:color="auto" w:sz="4" w:space="0"/>
              <w:right w:val="single" w:color="auto" w:sz="4" w:space="0"/>
            </w:tcBorders>
            <w:vAlign w:val="bottom"/>
          </w:tcPr>
          <w:p w14:paraId="309BC88C">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租赁和商务服务业</w:t>
            </w:r>
          </w:p>
        </w:tc>
        <w:tc>
          <w:tcPr>
            <w:tcW w:w="1563" w:type="dxa"/>
            <w:tcBorders>
              <w:top w:val="nil"/>
              <w:left w:val="nil"/>
              <w:bottom w:val="single" w:color="auto" w:sz="4" w:space="0"/>
              <w:right w:val="single" w:color="auto" w:sz="4" w:space="0"/>
            </w:tcBorders>
            <w:vAlign w:val="center"/>
          </w:tcPr>
          <w:p w14:paraId="09527AD0">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5F6398BC">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5B4702FC">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627" w:type="dxa"/>
            <w:tcBorders>
              <w:top w:val="nil"/>
              <w:left w:val="nil"/>
              <w:bottom w:val="single" w:color="auto" w:sz="4" w:space="0"/>
              <w:right w:val="single" w:color="auto" w:sz="4" w:space="0"/>
            </w:tcBorders>
            <w:vAlign w:val="center"/>
          </w:tcPr>
          <w:p w14:paraId="545F866B">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045" w:type="dxa"/>
            <w:tcBorders>
              <w:top w:val="nil"/>
              <w:left w:val="nil"/>
              <w:bottom w:val="single" w:color="auto" w:sz="4" w:space="0"/>
              <w:right w:val="single" w:color="auto" w:sz="4" w:space="0"/>
            </w:tcBorders>
            <w:vAlign w:val="center"/>
          </w:tcPr>
          <w:p w14:paraId="60F06090">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336036F8">
        <w:tblPrEx>
          <w:tblCellMar>
            <w:top w:w="0" w:type="dxa"/>
            <w:left w:w="108" w:type="dxa"/>
            <w:bottom w:w="0" w:type="dxa"/>
            <w:right w:w="108" w:type="dxa"/>
          </w:tblCellMar>
        </w:tblPrEx>
        <w:trPr>
          <w:trHeight w:val="338" w:hRule="atLeast"/>
        </w:trPr>
        <w:tc>
          <w:tcPr>
            <w:tcW w:w="1921" w:type="dxa"/>
            <w:vMerge w:val="continue"/>
            <w:tcBorders>
              <w:top w:val="nil"/>
              <w:left w:val="single" w:color="auto" w:sz="4" w:space="0"/>
              <w:bottom w:val="single" w:color="auto" w:sz="4" w:space="0"/>
              <w:right w:val="single" w:color="auto" w:sz="4" w:space="0"/>
            </w:tcBorders>
            <w:vAlign w:val="center"/>
          </w:tcPr>
          <w:p w14:paraId="24DF9419">
            <w:pPr>
              <w:widowControl/>
              <w:shd w:val="clear"/>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563" w:type="dxa"/>
            <w:tcBorders>
              <w:top w:val="nil"/>
              <w:left w:val="nil"/>
              <w:bottom w:val="single" w:color="auto" w:sz="4" w:space="0"/>
              <w:right w:val="single" w:color="auto" w:sz="4" w:space="0"/>
            </w:tcBorders>
            <w:vAlign w:val="center"/>
          </w:tcPr>
          <w:p w14:paraId="20DA441C">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1031" w:type="dxa"/>
            <w:tcBorders>
              <w:top w:val="nil"/>
              <w:left w:val="nil"/>
              <w:bottom w:val="single" w:color="auto" w:sz="4" w:space="0"/>
              <w:right w:val="single" w:color="auto" w:sz="4" w:space="0"/>
            </w:tcBorders>
            <w:vAlign w:val="center"/>
          </w:tcPr>
          <w:p w14:paraId="011F74EF">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30" w:type="dxa"/>
            <w:tcBorders>
              <w:top w:val="nil"/>
              <w:left w:val="nil"/>
              <w:bottom w:val="single" w:color="auto" w:sz="4" w:space="0"/>
              <w:right w:val="single" w:color="auto" w:sz="4" w:space="0"/>
            </w:tcBorders>
            <w:vAlign w:val="center"/>
          </w:tcPr>
          <w:p w14:paraId="1B1BB2E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8000≤Z＜120000</w:t>
            </w:r>
          </w:p>
        </w:tc>
        <w:tc>
          <w:tcPr>
            <w:tcW w:w="1627" w:type="dxa"/>
            <w:tcBorders>
              <w:top w:val="nil"/>
              <w:left w:val="nil"/>
              <w:bottom w:val="single" w:color="auto" w:sz="4" w:space="0"/>
              <w:right w:val="single" w:color="auto" w:sz="4" w:space="0"/>
            </w:tcBorders>
            <w:vAlign w:val="center"/>
          </w:tcPr>
          <w:p w14:paraId="3D465044">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100≤Z＜8000</w:t>
            </w:r>
          </w:p>
        </w:tc>
        <w:tc>
          <w:tcPr>
            <w:tcW w:w="1045" w:type="dxa"/>
            <w:tcBorders>
              <w:top w:val="nil"/>
              <w:left w:val="nil"/>
              <w:bottom w:val="single" w:color="auto" w:sz="4" w:space="0"/>
              <w:right w:val="single" w:color="auto" w:sz="4" w:space="0"/>
            </w:tcBorders>
            <w:vAlign w:val="center"/>
          </w:tcPr>
          <w:p w14:paraId="08ED876A">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0AA730F2">
        <w:tblPrEx>
          <w:tblCellMar>
            <w:top w:w="0" w:type="dxa"/>
            <w:left w:w="108" w:type="dxa"/>
            <w:bottom w:w="0" w:type="dxa"/>
            <w:right w:w="108" w:type="dxa"/>
          </w:tblCellMar>
        </w:tblPrEx>
        <w:trPr>
          <w:trHeight w:val="348" w:hRule="atLeast"/>
        </w:trPr>
        <w:tc>
          <w:tcPr>
            <w:tcW w:w="1921" w:type="dxa"/>
            <w:tcBorders>
              <w:top w:val="nil"/>
              <w:left w:val="single" w:color="auto" w:sz="4" w:space="0"/>
              <w:bottom w:val="single" w:color="auto" w:sz="4" w:space="0"/>
              <w:right w:val="single" w:color="auto" w:sz="4" w:space="0"/>
            </w:tcBorders>
            <w:vAlign w:val="bottom"/>
          </w:tcPr>
          <w:p w14:paraId="7D58CAE5">
            <w:pPr>
              <w:widowControl/>
              <w:shd w:val="clear"/>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其他未列明行业</w:t>
            </w:r>
          </w:p>
        </w:tc>
        <w:tc>
          <w:tcPr>
            <w:tcW w:w="1563" w:type="dxa"/>
            <w:tcBorders>
              <w:top w:val="nil"/>
              <w:left w:val="nil"/>
              <w:bottom w:val="single" w:color="auto" w:sz="4" w:space="0"/>
              <w:right w:val="single" w:color="auto" w:sz="4" w:space="0"/>
            </w:tcBorders>
            <w:vAlign w:val="center"/>
          </w:tcPr>
          <w:p w14:paraId="5D406C2C">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1031" w:type="dxa"/>
            <w:tcBorders>
              <w:top w:val="nil"/>
              <w:left w:val="nil"/>
              <w:bottom w:val="single" w:color="auto" w:sz="4" w:space="0"/>
              <w:right w:val="single" w:color="auto" w:sz="4" w:space="0"/>
            </w:tcBorders>
            <w:vAlign w:val="center"/>
          </w:tcPr>
          <w:p w14:paraId="382C1BC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30" w:type="dxa"/>
            <w:tcBorders>
              <w:top w:val="nil"/>
              <w:left w:val="nil"/>
              <w:bottom w:val="single" w:color="auto" w:sz="4" w:space="0"/>
              <w:right w:val="single" w:color="auto" w:sz="4" w:space="0"/>
            </w:tcBorders>
            <w:vAlign w:val="center"/>
          </w:tcPr>
          <w:p w14:paraId="6F048FE8">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627" w:type="dxa"/>
            <w:tcBorders>
              <w:top w:val="nil"/>
              <w:left w:val="nil"/>
              <w:bottom w:val="single" w:color="auto" w:sz="4" w:space="0"/>
              <w:right w:val="single" w:color="auto" w:sz="4" w:space="0"/>
            </w:tcBorders>
            <w:vAlign w:val="center"/>
          </w:tcPr>
          <w:p w14:paraId="5060CB2E">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045" w:type="dxa"/>
            <w:tcBorders>
              <w:top w:val="nil"/>
              <w:left w:val="nil"/>
              <w:bottom w:val="single" w:color="auto" w:sz="4" w:space="0"/>
              <w:right w:val="single" w:color="auto" w:sz="4" w:space="0"/>
            </w:tcBorders>
            <w:vAlign w:val="center"/>
          </w:tcPr>
          <w:p w14:paraId="1E0E4DA0">
            <w:pPr>
              <w:widowControl/>
              <w:shd w:val="clear"/>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bl>
    <w:p w14:paraId="6D9DB3F0">
      <w:pPr>
        <w:shd w:val="clear"/>
        <w:ind w:firstLine="525" w:firstLineChars="250"/>
        <w:rPr>
          <w:rFonts w:ascii="宋体" w:hAnsi="宋体"/>
          <w:b/>
          <w:color w:val="000000" w:themeColor="text1"/>
          <w:sz w:val="24"/>
          <w:highlight w:val="none"/>
          <w14:textFill>
            <w14:solidFill>
              <w14:schemeClr w14:val="tx1"/>
            </w14:solidFill>
          </w14:textFill>
        </w:rPr>
      </w:pPr>
      <w:r>
        <w:rPr>
          <w:rFonts w:hint="eastAsia" w:ascii="仿宋_GB2312" w:hAnsi="仿宋" w:eastAsia="仿宋_GB2312"/>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516EADDC">
      <w:pPr>
        <w:shd w:val="clear"/>
        <w:snapToGrid w:val="0"/>
        <w:spacing w:before="165"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2.残疾人福利性单位声明函格式</w:t>
      </w:r>
    </w:p>
    <w:p w14:paraId="507429E1">
      <w:pPr>
        <w:shd w:val="clear"/>
        <w:spacing w:line="588" w:lineRule="exact"/>
        <w:jc w:val="center"/>
        <w:rPr>
          <w:rFonts w:ascii="仿宋_GB2312" w:eastAsia="仿宋_GB2312"/>
          <w:b/>
          <w:color w:val="000000" w:themeColor="text1"/>
          <w:spacing w:val="6"/>
          <w:sz w:val="32"/>
          <w:szCs w:val="32"/>
          <w:highlight w:val="none"/>
          <w14:textFill>
            <w14:solidFill>
              <w14:schemeClr w14:val="tx1"/>
            </w14:solidFill>
          </w14:textFill>
        </w:rPr>
      </w:pPr>
    </w:p>
    <w:p w14:paraId="58293C5C">
      <w:pPr>
        <w:shd w:val="clear"/>
        <w:spacing w:line="588" w:lineRule="exact"/>
        <w:jc w:val="center"/>
        <w:rPr>
          <w:rFonts w:ascii="方正小标宋简体" w:hAnsi="方正小标宋简体" w:eastAsia="方正小标宋简体" w:cs="方正小标宋简体"/>
          <w:bCs/>
          <w:color w:val="000000" w:themeColor="text1"/>
          <w:spacing w:val="6"/>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6"/>
          <w:sz w:val="44"/>
          <w:szCs w:val="44"/>
          <w:highlight w:val="none"/>
          <w14:textFill>
            <w14:solidFill>
              <w14:schemeClr w14:val="tx1"/>
            </w14:solidFill>
          </w14:textFill>
        </w:rPr>
        <w:t>残疾人福利性单位声明函</w:t>
      </w:r>
    </w:p>
    <w:p w14:paraId="6CE604B7">
      <w:pPr>
        <w:shd w:val="clear"/>
        <w:spacing w:line="360" w:lineRule="auto"/>
        <w:contextualSpacing/>
        <w:rPr>
          <w:rFonts w:ascii="仿宋_GB2312" w:eastAsia="仿宋_GB2312"/>
          <w:bCs/>
          <w:color w:val="000000" w:themeColor="text1"/>
          <w:spacing w:val="6"/>
          <w:sz w:val="30"/>
          <w:szCs w:val="30"/>
          <w:highlight w:val="none"/>
          <w14:textFill>
            <w14:solidFill>
              <w14:schemeClr w14:val="tx1"/>
            </w14:solidFill>
          </w14:textFill>
        </w:rPr>
      </w:pPr>
    </w:p>
    <w:p w14:paraId="6D684E3A">
      <w:pPr>
        <w:shd w:val="clea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highlight w:val="none"/>
          <w14:textFill>
            <w14:solidFill>
              <w14:schemeClr w14:val="tx1"/>
            </w14:solidFill>
          </w14:textFill>
        </w:rPr>
        <w:t>〔2017〕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themeColor="text1"/>
          <w:spacing w:val="-6"/>
          <w:sz w:val="24"/>
          <w:highlight w:val="none"/>
          <w14:textFill>
            <w14:solidFill>
              <w14:schemeClr w14:val="tx1"/>
            </w14:solidFill>
          </w14:textFill>
        </w:rPr>
        <w:t>疾人福利性单位制造的货物（不包括使用非残疾人福利性单位注册商标的货物）。</w:t>
      </w:r>
    </w:p>
    <w:p w14:paraId="2597122D">
      <w:pPr>
        <w:shd w:val="clea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14:paraId="08F4AE7B">
      <w:pPr>
        <w:shd w:val="clea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14:paraId="4686BAA1">
      <w:pPr>
        <w:shd w:val="clea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14:paraId="63027514">
      <w:pPr>
        <w:shd w:val="clea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单位名称（盖公章）：</w:t>
      </w:r>
    </w:p>
    <w:p w14:paraId="68C79E9A">
      <w:pPr>
        <w:shd w:val="clea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日  期：</w:t>
      </w:r>
    </w:p>
    <w:p w14:paraId="52B71A79">
      <w:pPr>
        <w:shd w:val="clear"/>
        <w:spacing w:line="360" w:lineRule="auto"/>
        <w:contextualSpacing/>
        <w:rPr>
          <w:rFonts w:ascii="宋体" w:hAnsi="宋体"/>
          <w:color w:val="000000" w:themeColor="text1"/>
          <w:sz w:val="24"/>
          <w:highlight w:val="none"/>
          <w14:textFill>
            <w14:solidFill>
              <w14:schemeClr w14:val="tx1"/>
            </w14:solidFill>
          </w14:textFill>
        </w:rPr>
      </w:pPr>
    </w:p>
    <w:p w14:paraId="0CE399F4">
      <w:pPr>
        <w:shd w:val="clear"/>
        <w:spacing w:line="360" w:lineRule="auto"/>
        <w:contextualSpacing/>
        <w:rPr>
          <w:rFonts w:ascii="宋体" w:hAnsi="宋体"/>
          <w:color w:val="000000" w:themeColor="text1"/>
          <w:sz w:val="24"/>
          <w:highlight w:val="none"/>
          <w14:textFill>
            <w14:solidFill>
              <w14:schemeClr w14:val="tx1"/>
            </w14:solidFill>
          </w14:textFill>
        </w:rPr>
      </w:pPr>
    </w:p>
    <w:p w14:paraId="350E48FE">
      <w:pPr>
        <w:shd w:val="clear"/>
        <w:spacing w:line="360" w:lineRule="auto"/>
        <w:contextualSpacing/>
        <w:rPr>
          <w:rFonts w:ascii="宋体" w:hAnsi="宋体"/>
          <w:color w:val="000000" w:themeColor="text1"/>
          <w:sz w:val="24"/>
          <w:highlight w:val="none"/>
          <w14:textFill>
            <w14:solidFill>
              <w14:schemeClr w14:val="tx1"/>
            </w14:solidFill>
          </w14:textFill>
        </w:rPr>
      </w:pPr>
    </w:p>
    <w:p w14:paraId="7EA15D57">
      <w:pPr>
        <w:shd w:val="clear"/>
        <w:spacing w:line="360" w:lineRule="auto"/>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28B5EB42">
      <w:pPr>
        <w:shd w:val="clear"/>
        <w:rPr>
          <w:color w:val="000000" w:themeColor="text1"/>
          <w:highlight w:val="none"/>
          <w14:textFill>
            <w14:solidFill>
              <w14:schemeClr w14:val="tx1"/>
            </w14:solidFill>
          </w14:textFill>
        </w:rPr>
      </w:pPr>
    </w:p>
    <w:sectPr>
      <w:footerReference r:id="rId36" w:type="first"/>
      <w:footerReference r:id="rId34" w:type="default"/>
      <w:footerReference r:id="rId35"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8B45">
    <w:pPr>
      <w:snapToGrid w:val="0"/>
      <w:rPr>
        <w:rFonts w:ascii="Calibri" w:hAnsi="Calibri"/>
        <w:kern w:val="0"/>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B367">
    <w:pPr>
      <w:spacing w:line="179" w:lineRule="auto"/>
      <w:ind w:left="4112"/>
      <w:rPr>
        <w:rFonts w:ascii="宋体" w:hAnsi="宋体" w:eastAsia="宋体" w:cs="宋体"/>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4198C">
                          <w:pPr>
                            <w:pStyle w:val="3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A4198C">
                    <w:pPr>
                      <w:pStyle w:val="3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6741">
    <w:pPr>
      <w:spacing w:line="180" w:lineRule="auto"/>
      <w:ind w:left="4590"/>
      <w:rPr>
        <w:rFonts w:ascii="宋体" w:hAnsi="宋体" w:eastAsia="宋体" w:cs="宋体"/>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D7982">
                          <w:pPr>
                            <w:pStyle w:val="3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F1D7982">
                    <w:pPr>
                      <w:pStyle w:val="3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4DAA">
    <w:pPr>
      <w:spacing w:line="179" w:lineRule="auto"/>
      <w:ind w:left="4591"/>
      <w:rPr>
        <w:rFonts w:ascii="宋体" w:hAnsi="宋体" w:eastAsia="宋体" w:cs="宋体"/>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95D02">
                          <w:pPr>
                            <w:pStyle w:val="3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9A95D02">
                    <w:pPr>
                      <w:pStyle w:val="3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29884">
    <w:pPr>
      <w:spacing w:line="179" w:lineRule="auto"/>
      <w:ind w:left="4724"/>
      <w:rPr>
        <w:rFonts w:ascii="宋体" w:hAnsi="宋体" w:eastAsia="宋体" w:cs="宋体"/>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6D1DC">
                          <w:pPr>
                            <w:pStyle w:val="3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F36D1DC">
                    <w:pPr>
                      <w:pStyle w:val="3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EC84">
    <w:pPr>
      <w:spacing w:line="179" w:lineRule="auto"/>
      <w:ind w:left="4724"/>
      <w:rPr>
        <w:rFonts w:ascii="宋体" w:hAnsi="宋体" w:eastAsia="宋体" w:cs="宋体"/>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627EA">
                          <w:pPr>
                            <w:pStyle w:val="3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96627EA">
                    <w:pPr>
                      <w:pStyle w:val="3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B0229">
    <w:pPr>
      <w:spacing w:line="179" w:lineRule="auto"/>
      <w:ind w:left="4589"/>
      <w:rPr>
        <w:rFonts w:ascii="宋体" w:hAnsi="宋体" w:eastAsia="宋体" w:cs="宋体"/>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F3509">
                          <w:pPr>
                            <w:pStyle w:val="3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FFF3509">
                    <w:pPr>
                      <w:pStyle w:val="3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83175">
    <w:pPr>
      <w:spacing w:line="179" w:lineRule="auto"/>
      <w:ind w:left="4714"/>
      <w:rPr>
        <w:rFonts w:ascii="宋体" w:hAnsi="宋体" w:eastAsia="宋体" w:cs="宋体"/>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E162A">
                          <w:pPr>
                            <w:pStyle w:val="3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51E162A">
                    <w:pPr>
                      <w:pStyle w:val="3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14E4A">
    <w:pPr>
      <w:spacing w:line="179" w:lineRule="auto"/>
      <w:ind w:left="4072"/>
      <w:rPr>
        <w:rFonts w:ascii="宋体" w:hAnsi="宋体" w:eastAsia="宋体" w:cs="宋体"/>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78A4C">
                          <w:pPr>
                            <w:pStyle w:val="3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C878A4C">
                    <w:pPr>
                      <w:pStyle w:val="3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688E6">
    <w:pPr>
      <w:spacing w:line="179" w:lineRule="auto"/>
      <w:ind w:left="4415"/>
      <w:rPr>
        <w:rFonts w:ascii="宋体" w:hAnsi="宋体" w:eastAsia="宋体" w:cs="宋体"/>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3F2DA">
                          <w:pPr>
                            <w:pStyle w:val="3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FE3F2DA">
                    <w:pPr>
                      <w:pStyle w:val="3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728AA">
    <w:pPr>
      <w:spacing w:line="179" w:lineRule="auto"/>
      <w:ind w:left="4718"/>
      <w:rPr>
        <w:rFonts w:ascii="宋体" w:hAnsi="宋体" w:eastAsia="宋体" w:cs="宋体"/>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05466">
                          <w:pPr>
                            <w:pStyle w:val="3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0305466">
                    <w:pPr>
                      <w:pStyle w:val="3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B0AC">
    <w:pPr>
      <w:framePr w:wrap="around" w:vAnchor="text" w:hAnchor="margin" w:xAlign="center" w:yAlign="top"/>
      <w:snapToGrid w:val="0"/>
      <w:jc w:val="left"/>
      <w:rPr>
        <w:rFonts w:ascii="Calibri" w:hAnsi="Calibri"/>
        <w:kern w:val="0"/>
        <w:sz w:val="18"/>
        <w:szCs w:val="18"/>
      </w:rPr>
    </w:pPr>
    <w:r>
      <w:rPr>
        <w:rFonts w:ascii="Calibri" w:hAnsi="Calibri"/>
        <w:kern w:val="0"/>
        <w:sz w:val="18"/>
        <w:szCs w:val="18"/>
      </w:rPr>
      <w:fldChar w:fldCharType="begin"/>
    </w:r>
    <w:r>
      <w:rPr>
        <w:rFonts w:ascii="Calibri" w:hAnsi="Calibri"/>
        <w:kern w:val="0"/>
        <w:sz w:val="18"/>
        <w:szCs w:val="18"/>
      </w:rPr>
      <w:instrText xml:space="preserve">PAGE  </w:instrText>
    </w:r>
    <w:r>
      <w:rPr>
        <w:rFonts w:ascii="Calibri" w:hAnsi="Calibri"/>
        <w:kern w:val="0"/>
        <w:sz w:val="18"/>
        <w:szCs w:val="18"/>
      </w:rPr>
      <w:fldChar w:fldCharType="separate"/>
    </w:r>
    <w:r>
      <w:rPr>
        <w:rFonts w:ascii="Calibri" w:hAnsi="Calibri"/>
        <w:kern w:val="0"/>
        <w:sz w:val="18"/>
        <w:szCs w:val="18"/>
      </w:rPr>
      <w:t>25</w:t>
    </w:r>
    <w:r>
      <w:rPr>
        <w:rFonts w:ascii="Calibri" w:hAnsi="Calibri"/>
        <w:kern w:val="0"/>
        <w:sz w:val="18"/>
        <w:szCs w:val="18"/>
      </w:rPr>
      <w:fldChar w:fldCharType="end"/>
    </w:r>
  </w:p>
  <w:p w14:paraId="3F9CB414">
    <w:pPr>
      <w:snapToGrid w:val="0"/>
      <w:jc w:val="left"/>
      <w:rPr>
        <w:rFonts w:ascii="Calibri" w:hAnsi="Calibri"/>
        <w:kern w:val="0"/>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C396">
    <w:pPr>
      <w:spacing w:line="179" w:lineRule="auto"/>
      <w:ind w:left="5254"/>
      <w:rPr>
        <w:rFonts w:ascii="宋体" w:hAnsi="宋体" w:eastAsia="宋体" w:cs="宋体"/>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CE40B">
                          <w:pPr>
                            <w:pStyle w:val="3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8DCE40B">
                    <w:pPr>
                      <w:pStyle w:val="3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09C05">
    <w:pPr>
      <w:spacing w:line="180" w:lineRule="auto"/>
      <w:ind w:left="4728"/>
      <w:rPr>
        <w:rFonts w:ascii="宋体" w:hAnsi="宋体" w:eastAsia="宋体" w:cs="宋体"/>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81BBA">
                          <w:pPr>
                            <w:pStyle w:val="3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DE81BBA">
                    <w:pPr>
                      <w:pStyle w:val="3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3710D">
    <w:pPr>
      <w:spacing w:line="179" w:lineRule="auto"/>
      <w:ind w:left="4720"/>
      <w:rPr>
        <w:rFonts w:ascii="宋体" w:hAnsi="宋体" w:eastAsia="宋体" w:cs="宋体"/>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F60A5">
                          <w:pPr>
                            <w:pStyle w:val="3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4EF60A5">
                    <w:pPr>
                      <w:pStyle w:val="3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FFD8">
    <w:pPr>
      <w:spacing w:line="179" w:lineRule="auto"/>
      <w:ind w:left="4555"/>
      <w:rPr>
        <w:rFonts w:ascii="宋体" w:hAnsi="宋体" w:eastAsia="宋体" w:cs="宋体"/>
        <w:sz w:val="20"/>
        <w:szCs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6B576">
                          <w:pPr>
                            <w:pStyle w:val="3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846B576">
                    <w:pPr>
                      <w:pStyle w:val="3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C360">
    <w:pPr>
      <w:spacing w:line="179" w:lineRule="auto"/>
      <w:ind w:left="4716"/>
      <w:rPr>
        <w:rFonts w:ascii="宋体" w:hAnsi="宋体" w:eastAsia="宋体" w:cs="宋体"/>
        <w:sz w:val="20"/>
        <w:szCs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47043">
                          <w:pPr>
                            <w:pStyle w:val="3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3047043">
                    <w:pPr>
                      <w:pStyle w:val="3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F19D">
    <w:pPr>
      <w:spacing w:line="178" w:lineRule="auto"/>
      <w:ind w:left="4076"/>
      <w:rPr>
        <w:rFonts w:ascii="宋体" w:hAnsi="宋体" w:eastAsia="宋体" w:cs="宋体"/>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29C62">
                          <w:pPr>
                            <w:pStyle w:val="3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4129C62">
                    <w:pPr>
                      <w:pStyle w:val="3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9654E">
    <w:pPr>
      <w:spacing w:line="179" w:lineRule="auto"/>
      <w:ind w:left="4076"/>
      <w:rPr>
        <w:rFonts w:ascii="宋体" w:hAnsi="宋体" w:eastAsia="宋体" w:cs="宋体"/>
        <w:sz w:val="20"/>
        <w:szCs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5B0C7">
                          <w:pPr>
                            <w:pStyle w:val="3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555B0C7">
                    <w:pPr>
                      <w:pStyle w:val="3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E6FA">
    <w:pPr>
      <w:spacing w:line="178" w:lineRule="auto"/>
      <w:ind w:left="4076"/>
      <w:rPr>
        <w:rFonts w:ascii="宋体" w:hAnsi="宋体" w:eastAsia="宋体" w:cs="宋体"/>
        <w:sz w:val="20"/>
        <w:szCs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CFEC0">
                          <w:pPr>
                            <w:pStyle w:val="3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26CFEC0">
                    <w:pPr>
                      <w:pStyle w:val="3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F619">
    <w:pPr>
      <w:spacing w:line="179" w:lineRule="auto"/>
      <w:ind w:left="4076"/>
      <w:rPr>
        <w:rFonts w:ascii="宋体" w:hAnsi="宋体" w:eastAsia="宋体" w:cs="宋体"/>
        <w:sz w:val="20"/>
        <w:szCs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33841">
                          <w:pPr>
                            <w:pStyle w:val="3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A233841">
                    <w:pPr>
                      <w:pStyle w:val="3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62240">
    <w:pPr>
      <w:spacing w:line="179" w:lineRule="auto"/>
      <w:ind w:left="4595"/>
      <w:rPr>
        <w:rFonts w:ascii="宋体" w:hAnsi="宋体" w:eastAsia="宋体" w:cs="宋体"/>
        <w:sz w:val="19"/>
        <w:szCs w:val="19"/>
      </w:rPr>
    </w:pPr>
    <w:r>
      <w:rPr>
        <w:sz w:val="19"/>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70D87">
                          <w:pPr>
                            <w:pStyle w:val="3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9270D87">
                    <w:pPr>
                      <w:pStyle w:val="3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6769">
    <w:pPr>
      <w:pStyle w:val="32"/>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2863">
    <w:pPr>
      <w:pStyle w:val="32"/>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6BA7D">
                          <w:pPr>
                            <w:pStyle w:val="3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0F6BA7D">
                    <w:pPr>
                      <w:pStyle w:val="3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003C">
    <w:pPr>
      <w:pStyle w:val="32"/>
      <w:framePr w:wrap="around" w:vAnchor="text" w:hAnchor="margin" w:xAlign="center" w:y="1"/>
      <w:rPr>
        <w:rStyle w:val="54"/>
      </w:rPr>
    </w:pPr>
    <w:r>
      <w:fldChar w:fldCharType="begin"/>
    </w:r>
    <w:r>
      <w:rPr>
        <w:rStyle w:val="54"/>
      </w:rPr>
      <w:instrText xml:space="preserve">PAGE  </w:instrText>
    </w:r>
    <w:r>
      <w:fldChar w:fldCharType="end"/>
    </w:r>
  </w:p>
  <w:p w14:paraId="3C769C29">
    <w:pPr>
      <w:pStyle w:val="32"/>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CF959">
    <w:pPr>
      <w:pStyle w:val="32"/>
      <w:framePr w:wrap="around" w:vAnchor="text" w:hAnchor="margin" w:xAlign="right" w:y="1"/>
      <w:rPr>
        <w:rStyle w:val="54"/>
      </w:rPr>
    </w:pPr>
    <w:r>
      <w:fldChar w:fldCharType="begin"/>
    </w:r>
    <w:r>
      <w:rPr>
        <w:rStyle w:val="54"/>
      </w:rPr>
      <w:instrText xml:space="preserve">PAGE  </w:instrText>
    </w:r>
    <w:r>
      <w:fldChar w:fldCharType="separate"/>
    </w:r>
    <w:r>
      <w:rPr>
        <w:rStyle w:val="54"/>
      </w:rPr>
      <w:t>122</w:t>
    </w:r>
    <w:r>
      <w:fldChar w:fldCharType="end"/>
    </w:r>
  </w:p>
  <w:p w14:paraId="7CAD949D">
    <w:pPr>
      <w:pStyle w:val="32"/>
      <w:ind w:right="360"/>
      <w:jc w:val="both"/>
    </w:pPr>
    <w:r>
      <w:rPr>
        <w:rFonts w:hint="eastAsia"/>
      </w:rPr>
      <w:t>121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3921A">
    <w:pPr>
      <w:pStyle w:val="32"/>
      <w:framePr w:wrap="around" w:vAnchor="text" w:hAnchor="margin" w:xAlign="center" w:y="1"/>
      <w:rPr>
        <w:rStyle w:val="54"/>
      </w:rPr>
    </w:pPr>
    <w:r>
      <w:fldChar w:fldCharType="begin"/>
    </w:r>
    <w:r>
      <w:rPr>
        <w:rStyle w:val="54"/>
      </w:rPr>
      <w:instrText xml:space="preserve">PAGE  </w:instrText>
    </w:r>
    <w:r>
      <w:fldChar w:fldCharType="end"/>
    </w:r>
  </w:p>
  <w:p w14:paraId="7FEBACF8">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1FE1">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599F">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FD1">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A18FD1">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BD038">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14A53">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414A53">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7B84">
    <w:pPr>
      <w:spacing w:line="179" w:lineRule="auto"/>
      <w:ind w:left="4075"/>
      <w:rPr>
        <w:rFonts w:ascii="宋体" w:hAnsi="宋体" w:eastAsia="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B033A">
                          <w:pPr>
                            <w:pStyle w:val="3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7B033A">
                    <w:pPr>
                      <w:pStyle w:val="3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5A1C">
    <w:pPr>
      <w:spacing w:line="179" w:lineRule="auto"/>
      <w:ind w:left="4590"/>
      <w:rPr>
        <w:rFonts w:ascii="宋体" w:hAnsi="宋体" w:eastAsia="宋体" w:cs="宋体"/>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FDC69">
                          <w:pPr>
                            <w:pStyle w:val="3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4FDC69">
                    <w:pPr>
                      <w:pStyle w:val="3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E2DA">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DDB26">
    <w:pPr>
      <w:pStyle w:val="3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ZDhjOWEyNjU2ZjgxYWNiZjBlYTc2NGMzZWFmZWEifQ=="/>
  </w:docVars>
  <w:rsids>
    <w:rsidRoot w:val="00F9008B"/>
    <w:rsid w:val="0000010C"/>
    <w:rsid w:val="00000266"/>
    <w:rsid w:val="000004FE"/>
    <w:rsid w:val="00000FE0"/>
    <w:rsid w:val="00001068"/>
    <w:rsid w:val="0000114A"/>
    <w:rsid w:val="000011FA"/>
    <w:rsid w:val="00001433"/>
    <w:rsid w:val="00001731"/>
    <w:rsid w:val="00001C2D"/>
    <w:rsid w:val="00001C55"/>
    <w:rsid w:val="00001CA8"/>
    <w:rsid w:val="00001FAE"/>
    <w:rsid w:val="00002291"/>
    <w:rsid w:val="0000251C"/>
    <w:rsid w:val="0000257D"/>
    <w:rsid w:val="000026A2"/>
    <w:rsid w:val="00002DBF"/>
    <w:rsid w:val="00002EC0"/>
    <w:rsid w:val="00003224"/>
    <w:rsid w:val="000033F5"/>
    <w:rsid w:val="0000356F"/>
    <w:rsid w:val="0000358C"/>
    <w:rsid w:val="00003BEF"/>
    <w:rsid w:val="00003D90"/>
    <w:rsid w:val="00004130"/>
    <w:rsid w:val="000042BE"/>
    <w:rsid w:val="0000431F"/>
    <w:rsid w:val="00004634"/>
    <w:rsid w:val="0000494E"/>
    <w:rsid w:val="00004D8B"/>
    <w:rsid w:val="00004DF8"/>
    <w:rsid w:val="00004E67"/>
    <w:rsid w:val="000059E2"/>
    <w:rsid w:val="000061EA"/>
    <w:rsid w:val="00006AE7"/>
    <w:rsid w:val="00006B9B"/>
    <w:rsid w:val="00006BCA"/>
    <w:rsid w:val="00006C35"/>
    <w:rsid w:val="000072B1"/>
    <w:rsid w:val="00007329"/>
    <w:rsid w:val="0000794D"/>
    <w:rsid w:val="000079C2"/>
    <w:rsid w:val="00007BA7"/>
    <w:rsid w:val="00007E28"/>
    <w:rsid w:val="00007E84"/>
    <w:rsid w:val="00007FE8"/>
    <w:rsid w:val="00010401"/>
    <w:rsid w:val="000105A1"/>
    <w:rsid w:val="000107AD"/>
    <w:rsid w:val="00010835"/>
    <w:rsid w:val="000112DF"/>
    <w:rsid w:val="000117D5"/>
    <w:rsid w:val="00011842"/>
    <w:rsid w:val="00011922"/>
    <w:rsid w:val="00011A0B"/>
    <w:rsid w:val="00011DA6"/>
    <w:rsid w:val="00012137"/>
    <w:rsid w:val="000121FF"/>
    <w:rsid w:val="00012456"/>
    <w:rsid w:val="00012527"/>
    <w:rsid w:val="000125B8"/>
    <w:rsid w:val="00012692"/>
    <w:rsid w:val="00012C05"/>
    <w:rsid w:val="000133D9"/>
    <w:rsid w:val="00013446"/>
    <w:rsid w:val="00013509"/>
    <w:rsid w:val="000135BC"/>
    <w:rsid w:val="000135DC"/>
    <w:rsid w:val="000136D6"/>
    <w:rsid w:val="00013E23"/>
    <w:rsid w:val="00013F88"/>
    <w:rsid w:val="00014085"/>
    <w:rsid w:val="00014D89"/>
    <w:rsid w:val="00014DD9"/>
    <w:rsid w:val="00014EE0"/>
    <w:rsid w:val="000151E4"/>
    <w:rsid w:val="0001528B"/>
    <w:rsid w:val="00015577"/>
    <w:rsid w:val="000156E4"/>
    <w:rsid w:val="000159A7"/>
    <w:rsid w:val="00015E5B"/>
    <w:rsid w:val="00015FB8"/>
    <w:rsid w:val="0001609F"/>
    <w:rsid w:val="0001635B"/>
    <w:rsid w:val="00016508"/>
    <w:rsid w:val="00016549"/>
    <w:rsid w:val="00016784"/>
    <w:rsid w:val="00016814"/>
    <w:rsid w:val="00016987"/>
    <w:rsid w:val="00016BF7"/>
    <w:rsid w:val="000170A9"/>
    <w:rsid w:val="0001720C"/>
    <w:rsid w:val="0001767E"/>
    <w:rsid w:val="0001776D"/>
    <w:rsid w:val="00017874"/>
    <w:rsid w:val="00017F31"/>
    <w:rsid w:val="00020607"/>
    <w:rsid w:val="00020899"/>
    <w:rsid w:val="0002103A"/>
    <w:rsid w:val="000217E4"/>
    <w:rsid w:val="00021852"/>
    <w:rsid w:val="000218A0"/>
    <w:rsid w:val="00021A12"/>
    <w:rsid w:val="00022524"/>
    <w:rsid w:val="00022612"/>
    <w:rsid w:val="00022622"/>
    <w:rsid w:val="000230C0"/>
    <w:rsid w:val="0002316F"/>
    <w:rsid w:val="00023363"/>
    <w:rsid w:val="000235F3"/>
    <w:rsid w:val="00023644"/>
    <w:rsid w:val="00023712"/>
    <w:rsid w:val="0002382A"/>
    <w:rsid w:val="000244F6"/>
    <w:rsid w:val="00024914"/>
    <w:rsid w:val="0002497F"/>
    <w:rsid w:val="00024B5A"/>
    <w:rsid w:val="00024CF1"/>
    <w:rsid w:val="00024E25"/>
    <w:rsid w:val="00024E3C"/>
    <w:rsid w:val="00024EB0"/>
    <w:rsid w:val="00025A82"/>
    <w:rsid w:val="0002646A"/>
    <w:rsid w:val="0002651D"/>
    <w:rsid w:val="00026CFD"/>
    <w:rsid w:val="0002731A"/>
    <w:rsid w:val="00027376"/>
    <w:rsid w:val="00027C8B"/>
    <w:rsid w:val="00027CD9"/>
    <w:rsid w:val="00030242"/>
    <w:rsid w:val="0003062A"/>
    <w:rsid w:val="00030A25"/>
    <w:rsid w:val="00030B06"/>
    <w:rsid w:val="00030B61"/>
    <w:rsid w:val="00030C86"/>
    <w:rsid w:val="00030DB9"/>
    <w:rsid w:val="00030E54"/>
    <w:rsid w:val="00030EEE"/>
    <w:rsid w:val="00031380"/>
    <w:rsid w:val="00031441"/>
    <w:rsid w:val="00031817"/>
    <w:rsid w:val="0003183A"/>
    <w:rsid w:val="00031CDC"/>
    <w:rsid w:val="000323D8"/>
    <w:rsid w:val="00032461"/>
    <w:rsid w:val="0003263B"/>
    <w:rsid w:val="0003282C"/>
    <w:rsid w:val="00032B9E"/>
    <w:rsid w:val="00032F6D"/>
    <w:rsid w:val="0003304A"/>
    <w:rsid w:val="0003317E"/>
    <w:rsid w:val="00033413"/>
    <w:rsid w:val="000337F3"/>
    <w:rsid w:val="00034B24"/>
    <w:rsid w:val="00034C27"/>
    <w:rsid w:val="00034E28"/>
    <w:rsid w:val="00034E2A"/>
    <w:rsid w:val="00035275"/>
    <w:rsid w:val="000352AD"/>
    <w:rsid w:val="0003577F"/>
    <w:rsid w:val="00035A65"/>
    <w:rsid w:val="00036466"/>
    <w:rsid w:val="0003675E"/>
    <w:rsid w:val="00036FD5"/>
    <w:rsid w:val="00037F87"/>
    <w:rsid w:val="00037FA2"/>
    <w:rsid w:val="000400D0"/>
    <w:rsid w:val="00040343"/>
    <w:rsid w:val="00040E89"/>
    <w:rsid w:val="00041104"/>
    <w:rsid w:val="00041138"/>
    <w:rsid w:val="000425AC"/>
    <w:rsid w:val="0004291F"/>
    <w:rsid w:val="00042D2C"/>
    <w:rsid w:val="00042F4A"/>
    <w:rsid w:val="0004334D"/>
    <w:rsid w:val="00043AC8"/>
    <w:rsid w:val="00043BE5"/>
    <w:rsid w:val="00043DAA"/>
    <w:rsid w:val="00044003"/>
    <w:rsid w:val="00044216"/>
    <w:rsid w:val="00044527"/>
    <w:rsid w:val="00044897"/>
    <w:rsid w:val="00044ACF"/>
    <w:rsid w:val="00044B2E"/>
    <w:rsid w:val="00044D74"/>
    <w:rsid w:val="00044FD5"/>
    <w:rsid w:val="000453CC"/>
    <w:rsid w:val="000454F4"/>
    <w:rsid w:val="00045D1E"/>
    <w:rsid w:val="00045E69"/>
    <w:rsid w:val="00045EF4"/>
    <w:rsid w:val="0004651A"/>
    <w:rsid w:val="00046547"/>
    <w:rsid w:val="000466D7"/>
    <w:rsid w:val="00046753"/>
    <w:rsid w:val="00046BB2"/>
    <w:rsid w:val="00046D1C"/>
    <w:rsid w:val="00046E8C"/>
    <w:rsid w:val="0004712C"/>
    <w:rsid w:val="00047254"/>
    <w:rsid w:val="00047B5B"/>
    <w:rsid w:val="00047CA4"/>
    <w:rsid w:val="00047E41"/>
    <w:rsid w:val="0005022B"/>
    <w:rsid w:val="00050771"/>
    <w:rsid w:val="000509BA"/>
    <w:rsid w:val="00050CCD"/>
    <w:rsid w:val="000513F3"/>
    <w:rsid w:val="000519B5"/>
    <w:rsid w:val="00051B92"/>
    <w:rsid w:val="00051D89"/>
    <w:rsid w:val="00052287"/>
    <w:rsid w:val="000522E0"/>
    <w:rsid w:val="000529CC"/>
    <w:rsid w:val="00052D8C"/>
    <w:rsid w:val="000532F4"/>
    <w:rsid w:val="000535A9"/>
    <w:rsid w:val="000536AE"/>
    <w:rsid w:val="00053EEB"/>
    <w:rsid w:val="00054CD5"/>
    <w:rsid w:val="00054D03"/>
    <w:rsid w:val="000550AC"/>
    <w:rsid w:val="0005584D"/>
    <w:rsid w:val="00055CC3"/>
    <w:rsid w:val="00055CD8"/>
    <w:rsid w:val="00055CEE"/>
    <w:rsid w:val="00055FB7"/>
    <w:rsid w:val="000566FA"/>
    <w:rsid w:val="00056A2B"/>
    <w:rsid w:val="00056C01"/>
    <w:rsid w:val="00056D18"/>
    <w:rsid w:val="00056DA8"/>
    <w:rsid w:val="00056E37"/>
    <w:rsid w:val="00056EE2"/>
    <w:rsid w:val="00056FE2"/>
    <w:rsid w:val="0005709E"/>
    <w:rsid w:val="000570FB"/>
    <w:rsid w:val="000575B8"/>
    <w:rsid w:val="00057FF2"/>
    <w:rsid w:val="00060131"/>
    <w:rsid w:val="0006026B"/>
    <w:rsid w:val="00060293"/>
    <w:rsid w:val="00061341"/>
    <w:rsid w:val="00061BD3"/>
    <w:rsid w:val="00061BDA"/>
    <w:rsid w:val="00061C86"/>
    <w:rsid w:val="00061E44"/>
    <w:rsid w:val="000621FE"/>
    <w:rsid w:val="00062B90"/>
    <w:rsid w:val="00062C70"/>
    <w:rsid w:val="00062CD8"/>
    <w:rsid w:val="00062DD0"/>
    <w:rsid w:val="00062E6F"/>
    <w:rsid w:val="000630C7"/>
    <w:rsid w:val="0006400F"/>
    <w:rsid w:val="000642AC"/>
    <w:rsid w:val="000645DD"/>
    <w:rsid w:val="00064ACD"/>
    <w:rsid w:val="00064D7E"/>
    <w:rsid w:val="00064F65"/>
    <w:rsid w:val="00064FD0"/>
    <w:rsid w:val="0006534A"/>
    <w:rsid w:val="000658BE"/>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B20"/>
    <w:rsid w:val="00071D68"/>
    <w:rsid w:val="00071FCE"/>
    <w:rsid w:val="00072661"/>
    <w:rsid w:val="00072CCC"/>
    <w:rsid w:val="00072EA0"/>
    <w:rsid w:val="0007315D"/>
    <w:rsid w:val="00073549"/>
    <w:rsid w:val="00073EFF"/>
    <w:rsid w:val="00074496"/>
    <w:rsid w:val="0007483E"/>
    <w:rsid w:val="00074BAC"/>
    <w:rsid w:val="000751DB"/>
    <w:rsid w:val="0007542D"/>
    <w:rsid w:val="0007544A"/>
    <w:rsid w:val="000755B9"/>
    <w:rsid w:val="0007563A"/>
    <w:rsid w:val="0007578F"/>
    <w:rsid w:val="00075E43"/>
    <w:rsid w:val="00077706"/>
    <w:rsid w:val="00077878"/>
    <w:rsid w:val="00077939"/>
    <w:rsid w:val="00077D0B"/>
    <w:rsid w:val="000804EF"/>
    <w:rsid w:val="00080558"/>
    <w:rsid w:val="000807BC"/>
    <w:rsid w:val="00080998"/>
    <w:rsid w:val="00081050"/>
    <w:rsid w:val="0008118D"/>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3CA2"/>
    <w:rsid w:val="00084483"/>
    <w:rsid w:val="0008452D"/>
    <w:rsid w:val="0008467B"/>
    <w:rsid w:val="000850FA"/>
    <w:rsid w:val="000857A6"/>
    <w:rsid w:val="0008599A"/>
    <w:rsid w:val="00085ADD"/>
    <w:rsid w:val="00085C12"/>
    <w:rsid w:val="00085DA0"/>
    <w:rsid w:val="00085F82"/>
    <w:rsid w:val="00086388"/>
    <w:rsid w:val="00086506"/>
    <w:rsid w:val="00086A92"/>
    <w:rsid w:val="00086B6E"/>
    <w:rsid w:val="00086C2F"/>
    <w:rsid w:val="00086C64"/>
    <w:rsid w:val="00086C77"/>
    <w:rsid w:val="00087272"/>
    <w:rsid w:val="000874BB"/>
    <w:rsid w:val="0008781A"/>
    <w:rsid w:val="000905DF"/>
    <w:rsid w:val="00090942"/>
    <w:rsid w:val="00090951"/>
    <w:rsid w:val="00090A61"/>
    <w:rsid w:val="000918F5"/>
    <w:rsid w:val="000919B5"/>
    <w:rsid w:val="00091C1D"/>
    <w:rsid w:val="00091E08"/>
    <w:rsid w:val="00092083"/>
    <w:rsid w:val="00092100"/>
    <w:rsid w:val="000922D8"/>
    <w:rsid w:val="000929F5"/>
    <w:rsid w:val="00092F99"/>
    <w:rsid w:val="00093169"/>
    <w:rsid w:val="000932E7"/>
    <w:rsid w:val="0009333A"/>
    <w:rsid w:val="000933C3"/>
    <w:rsid w:val="00093459"/>
    <w:rsid w:val="00093B8B"/>
    <w:rsid w:val="000951E7"/>
    <w:rsid w:val="00095982"/>
    <w:rsid w:val="00095B82"/>
    <w:rsid w:val="00096098"/>
    <w:rsid w:val="000961B2"/>
    <w:rsid w:val="000964D4"/>
    <w:rsid w:val="000969D9"/>
    <w:rsid w:val="000969ED"/>
    <w:rsid w:val="00096AC7"/>
    <w:rsid w:val="00096F37"/>
    <w:rsid w:val="000974DE"/>
    <w:rsid w:val="00097FE5"/>
    <w:rsid w:val="000A0354"/>
    <w:rsid w:val="000A076B"/>
    <w:rsid w:val="000A091F"/>
    <w:rsid w:val="000A0958"/>
    <w:rsid w:val="000A0FCC"/>
    <w:rsid w:val="000A1033"/>
    <w:rsid w:val="000A22A7"/>
    <w:rsid w:val="000A2712"/>
    <w:rsid w:val="000A2877"/>
    <w:rsid w:val="000A28F9"/>
    <w:rsid w:val="000A3145"/>
    <w:rsid w:val="000A355D"/>
    <w:rsid w:val="000A35DA"/>
    <w:rsid w:val="000A371E"/>
    <w:rsid w:val="000A3759"/>
    <w:rsid w:val="000A3DE5"/>
    <w:rsid w:val="000A4011"/>
    <w:rsid w:val="000A41F7"/>
    <w:rsid w:val="000A45D5"/>
    <w:rsid w:val="000A490E"/>
    <w:rsid w:val="000A529E"/>
    <w:rsid w:val="000A5B49"/>
    <w:rsid w:val="000A5FE5"/>
    <w:rsid w:val="000A6158"/>
    <w:rsid w:val="000A6684"/>
    <w:rsid w:val="000A6839"/>
    <w:rsid w:val="000A69EA"/>
    <w:rsid w:val="000A7194"/>
    <w:rsid w:val="000A7218"/>
    <w:rsid w:val="000A740A"/>
    <w:rsid w:val="000A7446"/>
    <w:rsid w:val="000A7E7F"/>
    <w:rsid w:val="000A7E83"/>
    <w:rsid w:val="000A7ECD"/>
    <w:rsid w:val="000B01AB"/>
    <w:rsid w:val="000B04DD"/>
    <w:rsid w:val="000B0D70"/>
    <w:rsid w:val="000B0F01"/>
    <w:rsid w:val="000B129D"/>
    <w:rsid w:val="000B1346"/>
    <w:rsid w:val="000B162B"/>
    <w:rsid w:val="000B1914"/>
    <w:rsid w:val="000B19DC"/>
    <w:rsid w:val="000B1CA2"/>
    <w:rsid w:val="000B202E"/>
    <w:rsid w:val="000B2093"/>
    <w:rsid w:val="000B2293"/>
    <w:rsid w:val="000B24A4"/>
    <w:rsid w:val="000B255C"/>
    <w:rsid w:val="000B2D91"/>
    <w:rsid w:val="000B2FCA"/>
    <w:rsid w:val="000B395E"/>
    <w:rsid w:val="000B39C3"/>
    <w:rsid w:val="000B3A00"/>
    <w:rsid w:val="000B4420"/>
    <w:rsid w:val="000B4840"/>
    <w:rsid w:val="000B4D79"/>
    <w:rsid w:val="000B5272"/>
    <w:rsid w:val="000B539E"/>
    <w:rsid w:val="000B5627"/>
    <w:rsid w:val="000B5671"/>
    <w:rsid w:val="000B6479"/>
    <w:rsid w:val="000B6AC4"/>
    <w:rsid w:val="000B6BF0"/>
    <w:rsid w:val="000B6CE8"/>
    <w:rsid w:val="000B7957"/>
    <w:rsid w:val="000B7DAF"/>
    <w:rsid w:val="000B7E2E"/>
    <w:rsid w:val="000C0026"/>
    <w:rsid w:val="000C0091"/>
    <w:rsid w:val="000C034B"/>
    <w:rsid w:val="000C071C"/>
    <w:rsid w:val="000C0986"/>
    <w:rsid w:val="000C0BB4"/>
    <w:rsid w:val="000C0BEE"/>
    <w:rsid w:val="000C11CB"/>
    <w:rsid w:val="000C138B"/>
    <w:rsid w:val="000C1AED"/>
    <w:rsid w:val="000C1CB9"/>
    <w:rsid w:val="000C2159"/>
    <w:rsid w:val="000C21BB"/>
    <w:rsid w:val="000C284B"/>
    <w:rsid w:val="000C289B"/>
    <w:rsid w:val="000C352F"/>
    <w:rsid w:val="000C37CB"/>
    <w:rsid w:val="000C3805"/>
    <w:rsid w:val="000C3F01"/>
    <w:rsid w:val="000C410D"/>
    <w:rsid w:val="000C420D"/>
    <w:rsid w:val="000C4773"/>
    <w:rsid w:val="000C4944"/>
    <w:rsid w:val="000C4E24"/>
    <w:rsid w:val="000C5C4A"/>
    <w:rsid w:val="000C5C4D"/>
    <w:rsid w:val="000C5F01"/>
    <w:rsid w:val="000C5F95"/>
    <w:rsid w:val="000C63C4"/>
    <w:rsid w:val="000C66C1"/>
    <w:rsid w:val="000C68F3"/>
    <w:rsid w:val="000C6F0B"/>
    <w:rsid w:val="000C6F32"/>
    <w:rsid w:val="000C6FEF"/>
    <w:rsid w:val="000C7512"/>
    <w:rsid w:val="000C778C"/>
    <w:rsid w:val="000C7833"/>
    <w:rsid w:val="000C7E1B"/>
    <w:rsid w:val="000C7E73"/>
    <w:rsid w:val="000D001B"/>
    <w:rsid w:val="000D025A"/>
    <w:rsid w:val="000D0A45"/>
    <w:rsid w:val="000D0DF8"/>
    <w:rsid w:val="000D136E"/>
    <w:rsid w:val="000D14AC"/>
    <w:rsid w:val="000D15BA"/>
    <w:rsid w:val="000D15BE"/>
    <w:rsid w:val="000D2300"/>
    <w:rsid w:val="000D25B3"/>
    <w:rsid w:val="000D2BCC"/>
    <w:rsid w:val="000D2C9B"/>
    <w:rsid w:val="000D2D34"/>
    <w:rsid w:val="000D311C"/>
    <w:rsid w:val="000D32CC"/>
    <w:rsid w:val="000D35FD"/>
    <w:rsid w:val="000D3AAA"/>
    <w:rsid w:val="000D3D2D"/>
    <w:rsid w:val="000D3D99"/>
    <w:rsid w:val="000D4653"/>
    <w:rsid w:val="000D4696"/>
    <w:rsid w:val="000D4817"/>
    <w:rsid w:val="000D4C01"/>
    <w:rsid w:val="000D4D0C"/>
    <w:rsid w:val="000D4FB9"/>
    <w:rsid w:val="000D529D"/>
    <w:rsid w:val="000D54B4"/>
    <w:rsid w:val="000D584B"/>
    <w:rsid w:val="000D5EE9"/>
    <w:rsid w:val="000D5F55"/>
    <w:rsid w:val="000D6372"/>
    <w:rsid w:val="000D6979"/>
    <w:rsid w:val="000D6B32"/>
    <w:rsid w:val="000D6CE7"/>
    <w:rsid w:val="000D6E2C"/>
    <w:rsid w:val="000D6E38"/>
    <w:rsid w:val="000D6E63"/>
    <w:rsid w:val="000D711C"/>
    <w:rsid w:val="000D7B6E"/>
    <w:rsid w:val="000E0048"/>
    <w:rsid w:val="000E03BB"/>
    <w:rsid w:val="000E0644"/>
    <w:rsid w:val="000E076D"/>
    <w:rsid w:val="000E087C"/>
    <w:rsid w:val="000E173D"/>
    <w:rsid w:val="000E187C"/>
    <w:rsid w:val="000E1AB3"/>
    <w:rsid w:val="000E1B28"/>
    <w:rsid w:val="000E1E8D"/>
    <w:rsid w:val="000E1EBC"/>
    <w:rsid w:val="000E2164"/>
    <w:rsid w:val="000E2173"/>
    <w:rsid w:val="000E220B"/>
    <w:rsid w:val="000E2266"/>
    <w:rsid w:val="000E2A50"/>
    <w:rsid w:val="000E30F2"/>
    <w:rsid w:val="000E316B"/>
    <w:rsid w:val="000E362C"/>
    <w:rsid w:val="000E3D08"/>
    <w:rsid w:val="000E4728"/>
    <w:rsid w:val="000E476F"/>
    <w:rsid w:val="000E4D1F"/>
    <w:rsid w:val="000E5100"/>
    <w:rsid w:val="000E512F"/>
    <w:rsid w:val="000E5658"/>
    <w:rsid w:val="000E5698"/>
    <w:rsid w:val="000E5723"/>
    <w:rsid w:val="000E581B"/>
    <w:rsid w:val="000E60DF"/>
    <w:rsid w:val="000E64B2"/>
    <w:rsid w:val="000E65D2"/>
    <w:rsid w:val="000E6919"/>
    <w:rsid w:val="000E6A49"/>
    <w:rsid w:val="000E6B1B"/>
    <w:rsid w:val="000E6DF3"/>
    <w:rsid w:val="000E6F0C"/>
    <w:rsid w:val="000E732D"/>
    <w:rsid w:val="000E7F81"/>
    <w:rsid w:val="000F01E9"/>
    <w:rsid w:val="000F07ED"/>
    <w:rsid w:val="000F0CF2"/>
    <w:rsid w:val="000F1401"/>
    <w:rsid w:val="000F1A32"/>
    <w:rsid w:val="000F1B8C"/>
    <w:rsid w:val="000F1CC2"/>
    <w:rsid w:val="000F1D15"/>
    <w:rsid w:val="000F1DCB"/>
    <w:rsid w:val="000F270A"/>
    <w:rsid w:val="000F2938"/>
    <w:rsid w:val="000F2968"/>
    <w:rsid w:val="000F2A55"/>
    <w:rsid w:val="000F34C8"/>
    <w:rsid w:val="000F35A6"/>
    <w:rsid w:val="000F38BC"/>
    <w:rsid w:val="000F3E2A"/>
    <w:rsid w:val="000F4D26"/>
    <w:rsid w:val="000F5107"/>
    <w:rsid w:val="000F5639"/>
    <w:rsid w:val="000F58A4"/>
    <w:rsid w:val="000F5F99"/>
    <w:rsid w:val="000F6167"/>
    <w:rsid w:val="000F63C6"/>
    <w:rsid w:val="000F6833"/>
    <w:rsid w:val="000F6A24"/>
    <w:rsid w:val="000F6E4A"/>
    <w:rsid w:val="000F73C6"/>
    <w:rsid w:val="000F7616"/>
    <w:rsid w:val="000F7DE9"/>
    <w:rsid w:val="000F7E1F"/>
    <w:rsid w:val="000F7F7A"/>
    <w:rsid w:val="001002F4"/>
    <w:rsid w:val="00100A6C"/>
    <w:rsid w:val="00100C3C"/>
    <w:rsid w:val="00100EDD"/>
    <w:rsid w:val="001011FC"/>
    <w:rsid w:val="0010165F"/>
    <w:rsid w:val="00101E7C"/>
    <w:rsid w:val="001022DD"/>
    <w:rsid w:val="001023DC"/>
    <w:rsid w:val="00102572"/>
    <w:rsid w:val="00102946"/>
    <w:rsid w:val="00102FBF"/>
    <w:rsid w:val="0010333D"/>
    <w:rsid w:val="0010372A"/>
    <w:rsid w:val="00103F28"/>
    <w:rsid w:val="00103F41"/>
    <w:rsid w:val="00104662"/>
    <w:rsid w:val="00104D5D"/>
    <w:rsid w:val="00104F34"/>
    <w:rsid w:val="0010521A"/>
    <w:rsid w:val="001053C5"/>
    <w:rsid w:val="001055AD"/>
    <w:rsid w:val="00105B3E"/>
    <w:rsid w:val="00105BA2"/>
    <w:rsid w:val="00105C14"/>
    <w:rsid w:val="00106078"/>
    <w:rsid w:val="001061F0"/>
    <w:rsid w:val="001065A3"/>
    <w:rsid w:val="00106610"/>
    <w:rsid w:val="00106831"/>
    <w:rsid w:val="0010683E"/>
    <w:rsid w:val="0010691D"/>
    <w:rsid w:val="00106B33"/>
    <w:rsid w:val="00106E69"/>
    <w:rsid w:val="00107992"/>
    <w:rsid w:val="00107F55"/>
    <w:rsid w:val="00110AC5"/>
    <w:rsid w:val="00110F0B"/>
    <w:rsid w:val="0011108B"/>
    <w:rsid w:val="00111136"/>
    <w:rsid w:val="00111164"/>
    <w:rsid w:val="00111580"/>
    <w:rsid w:val="00111761"/>
    <w:rsid w:val="00112164"/>
    <w:rsid w:val="0011241F"/>
    <w:rsid w:val="0011274B"/>
    <w:rsid w:val="001128BF"/>
    <w:rsid w:val="00112D09"/>
    <w:rsid w:val="00112E8F"/>
    <w:rsid w:val="00112EDB"/>
    <w:rsid w:val="00112F03"/>
    <w:rsid w:val="00112F38"/>
    <w:rsid w:val="00113715"/>
    <w:rsid w:val="00113821"/>
    <w:rsid w:val="00113D66"/>
    <w:rsid w:val="00114058"/>
    <w:rsid w:val="0011449E"/>
    <w:rsid w:val="00115222"/>
    <w:rsid w:val="001153EF"/>
    <w:rsid w:val="00115460"/>
    <w:rsid w:val="00115D55"/>
    <w:rsid w:val="00115E45"/>
    <w:rsid w:val="00115F85"/>
    <w:rsid w:val="00116255"/>
    <w:rsid w:val="0011688E"/>
    <w:rsid w:val="00116ACD"/>
    <w:rsid w:val="00116D94"/>
    <w:rsid w:val="0011718F"/>
    <w:rsid w:val="0011734F"/>
    <w:rsid w:val="00117B7D"/>
    <w:rsid w:val="00117D23"/>
    <w:rsid w:val="00117EFC"/>
    <w:rsid w:val="001205A8"/>
    <w:rsid w:val="00120854"/>
    <w:rsid w:val="00120C28"/>
    <w:rsid w:val="00120CAC"/>
    <w:rsid w:val="00121766"/>
    <w:rsid w:val="001219B6"/>
    <w:rsid w:val="0012219A"/>
    <w:rsid w:val="00122939"/>
    <w:rsid w:val="00122A64"/>
    <w:rsid w:val="00122FDA"/>
    <w:rsid w:val="001230F4"/>
    <w:rsid w:val="001232A3"/>
    <w:rsid w:val="00123694"/>
    <w:rsid w:val="0012388A"/>
    <w:rsid w:val="0012388C"/>
    <w:rsid w:val="0012395F"/>
    <w:rsid w:val="00123AFA"/>
    <w:rsid w:val="00123C8C"/>
    <w:rsid w:val="00123E8B"/>
    <w:rsid w:val="001248A2"/>
    <w:rsid w:val="00124B43"/>
    <w:rsid w:val="00124DF8"/>
    <w:rsid w:val="001250B3"/>
    <w:rsid w:val="001253EA"/>
    <w:rsid w:val="00125B66"/>
    <w:rsid w:val="00125B99"/>
    <w:rsid w:val="00126160"/>
    <w:rsid w:val="00126DB5"/>
    <w:rsid w:val="00126DCD"/>
    <w:rsid w:val="00127178"/>
    <w:rsid w:val="00127F09"/>
    <w:rsid w:val="0013002A"/>
    <w:rsid w:val="0013085D"/>
    <w:rsid w:val="0013089C"/>
    <w:rsid w:val="00130A2D"/>
    <w:rsid w:val="00130BE1"/>
    <w:rsid w:val="00130F54"/>
    <w:rsid w:val="001310EE"/>
    <w:rsid w:val="001312EF"/>
    <w:rsid w:val="00131888"/>
    <w:rsid w:val="00131F17"/>
    <w:rsid w:val="0013212F"/>
    <w:rsid w:val="001323F9"/>
    <w:rsid w:val="0013251F"/>
    <w:rsid w:val="00133088"/>
    <w:rsid w:val="00133113"/>
    <w:rsid w:val="0013321E"/>
    <w:rsid w:val="00133346"/>
    <w:rsid w:val="001335B1"/>
    <w:rsid w:val="00133B4E"/>
    <w:rsid w:val="0013410F"/>
    <w:rsid w:val="001346AF"/>
    <w:rsid w:val="00134990"/>
    <w:rsid w:val="00134FB4"/>
    <w:rsid w:val="001354D1"/>
    <w:rsid w:val="001357F6"/>
    <w:rsid w:val="00135840"/>
    <w:rsid w:val="00135A0A"/>
    <w:rsid w:val="00135BB9"/>
    <w:rsid w:val="00135D81"/>
    <w:rsid w:val="00136179"/>
    <w:rsid w:val="0013621D"/>
    <w:rsid w:val="00136354"/>
    <w:rsid w:val="001365DC"/>
    <w:rsid w:val="00136674"/>
    <w:rsid w:val="00136B0E"/>
    <w:rsid w:val="00136C3B"/>
    <w:rsid w:val="001376AB"/>
    <w:rsid w:val="0013777C"/>
    <w:rsid w:val="00137D5F"/>
    <w:rsid w:val="00140082"/>
    <w:rsid w:val="00140175"/>
    <w:rsid w:val="00140757"/>
    <w:rsid w:val="001409E8"/>
    <w:rsid w:val="00140ACD"/>
    <w:rsid w:val="00140AF0"/>
    <w:rsid w:val="00140D07"/>
    <w:rsid w:val="001410CF"/>
    <w:rsid w:val="00141113"/>
    <w:rsid w:val="00141A3A"/>
    <w:rsid w:val="00141E53"/>
    <w:rsid w:val="001420AD"/>
    <w:rsid w:val="001423FA"/>
    <w:rsid w:val="001427B5"/>
    <w:rsid w:val="001427CD"/>
    <w:rsid w:val="001428CF"/>
    <w:rsid w:val="00142D0C"/>
    <w:rsid w:val="00142E3C"/>
    <w:rsid w:val="00143387"/>
    <w:rsid w:val="00143B53"/>
    <w:rsid w:val="00143EC8"/>
    <w:rsid w:val="00144013"/>
    <w:rsid w:val="00144139"/>
    <w:rsid w:val="00144698"/>
    <w:rsid w:val="001448D9"/>
    <w:rsid w:val="001448DA"/>
    <w:rsid w:val="001455C3"/>
    <w:rsid w:val="00145A17"/>
    <w:rsid w:val="00145BBE"/>
    <w:rsid w:val="001460B5"/>
    <w:rsid w:val="0014641F"/>
    <w:rsid w:val="001464A8"/>
    <w:rsid w:val="001467BB"/>
    <w:rsid w:val="00146CA8"/>
    <w:rsid w:val="0014723E"/>
    <w:rsid w:val="00147884"/>
    <w:rsid w:val="00147AFE"/>
    <w:rsid w:val="00150664"/>
    <w:rsid w:val="00150827"/>
    <w:rsid w:val="00150B0D"/>
    <w:rsid w:val="00150E10"/>
    <w:rsid w:val="001518E2"/>
    <w:rsid w:val="00151A32"/>
    <w:rsid w:val="00151BA2"/>
    <w:rsid w:val="00151BDE"/>
    <w:rsid w:val="00151E31"/>
    <w:rsid w:val="00151F9B"/>
    <w:rsid w:val="00152232"/>
    <w:rsid w:val="00152289"/>
    <w:rsid w:val="00152425"/>
    <w:rsid w:val="00152BAD"/>
    <w:rsid w:val="00152CE3"/>
    <w:rsid w:val="00152CEC"/>
    <w:rsid w:val="00152E5C"/>
    <w:rsid w:val="00153652"/>
    <w:rsid w:val="00153697"/>
    <w:rsid w:val="00153741"/>
    <w:rsid w:val="00153956"/>
    <w:rsid w:val="00153A11"/>
    <w:rsid w:val="00153AC7"/>
    <w:rsid w:val="00153B95"/>
    <w:rsid w:val="00154146"/>
    <w:rsid w:val="00154190"/>
    <w:rsid w:val="001545EA"/>
    <w:rsid w:val="001549BA"/>
    <w:rsid w:val="00154BBF"/>
    <w:rsid w:val="00155099"/>
    <w:rsid w:val="00155143"/>
    <w:rsid w:val="001552FA"/>
    <w:rsid w:val="00155415"/>
    <w:rsid w:val="00155983"/>
    <w:rsid w:val="00155C85"/>
    <w:rsid w:val="00155CB4"/>
    <w:rsid w:val="001567A1"/>
    <w:rsid w:val="00156841"/>
    <w:rsid w:val="00156A6C"/>
    <w:rsid w:val="00156B10"/>
    <w:rsid w:val="00156F55"/>
    <w:rsid w:val="001573F6"/>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2B1A"/>
    <w:rsid w:val="0016304F"/>
    <w:rsid w:val="001630A8"/>
    <w:rsid w:val="00163826"/>
    <w:rsid w:val="00163943"/>
    <w:rsid w:val="00163BA1"/>
    <w:rsid w:val="00163DDF"/>
    <w:rsid w:val="00163F22"/>
    <w:rsid w:val="0016417B"/>
    <w:rsid w:val="001642E1"/>
    <w:rsid w:val="0016470E"/>
    <w:rsid w:val="001649D3"/>
    <w:rsid w:val="00164CD8"/>
    <w:rsid w:val="00164E0A"/>
    <w:rsid w:val="001652D7"/>
    <w:rsid w:val="0016554F"/>
    <w:rsid w:val="00165816"/>
    <w:rsid w:val="00165A5F"/>
    <w:rsid w:val="001661D0"/>
    <w:rsid w:val="00166223"/>
    <w:rsid w:val="001662F2"/>
    <w:rsid w:val="001674C6"/>
    <w:rsid w:val="001677E8"/>
    <w:rsid w:val="0016793E"/>
    <w:rsid w:val="00167D4D"/>
    <w:rsid w:val="0017031E"/>
    <w:rsid w:val="0017054C"/>
    <w:rsid w:val="00170635"/>
    <w:rsid w:val="0017070D"/>
    <w:rsid w:val="00170837"/>
    <w:rsid w:val="00170D08"/>
    <w:rsid w:val="00170D09"/>
    <w:rsid w:val="00171035"/>
    <w:rsid w:val="001712BD"/>
    <w:rsid w:val="001713B7"/>
    <w:rsid w:val="001716FE"/>
    <w:rsid w:val="00171ADB"/>
    <w:rsid w:val="00171E2C"/>
    <w:rsid w:val="00172029"/>
    <w:rsid w:val="00172131"/>
    <w:rsid w:val="001724B9"/>
    <w:rsid w:val="00172FCA"/>
    <w:rsid w:val="001733A4"/>
    <w:rsid w:val="001735D4"/>
    <w:rsid w:val="00173AB9"/>
    <w:rsid w:val="00173EED"/>
    <w:rsid w:val="00173FAA"/>
    <w:rsid w:val="001742F8"/>
    <w:rsid w:val="00174368"/>
    <w:rsid w:val="001744EA"/>
    <w:rsid w:val="00174D82"/>
    <w:rsid w:val="00174E44"/>
    <w:rsid w:val="00175053"/>
    <w:rsid w:val="001753B7"/>
    <w:rsid w:val="001757E7"/>
    <w:rsid w:val="00175873"/>
    <w:rsid w:val="00175C59"/>
    <w:rsid w:val="00176033"/>
    <w:rsid w:val="001760BC"/>
    <w:rsid w:val="00176674"/>
    <w:rsid w:val="00176818"/>
    <w:rsid w:val="001768ED"/>
    <w:rsid w:val="00176B82"/>
    <w:rsid w:val="00176E3B"/>
    <w:rsid w:val="00176ECB"/>
    <w:rsid w:val="0017752D"/>
    <w:rsid w:val="0017759F"/>
    <w:rsid w:val="00177832"/>
    <w:rsid w:val="001802DE"/>
    <w:rsid w:val="001804BC"/>
    <w:rsid w:val="0018057A"/>
    <w:rsid w:val="00181178"/>
    <w:rsid w:val="0018119E"/>
    <w:rsid w:val="0018152C"/>
    <w:rsid w:val="00181A74"/>
    <w:rsid w:val="00181C57"/>
    <w:rsid w:val="00181DBA"/>
    <w:rsid w:val="00181EEF"/>
    <w:rsid w:val="00181F26"/>
    <w:rsid w:val="00181F3E"/>
    <w:rsid w:val="00182B37"/>
    <w:rsid w:val="00182FE0"/>
    <w:rsid w:val="00183197"/>
    <w:rsid w:val="00183482"/>
    <w:rsid w:val="00183778"/>
    <w:rsid w:val="001837E8"/>
    <w:rsid w:val="00183911"/>
    <w:rsid w:val="00184103"/>
    <w:rsid w:val="001845FB"/>
    <w:rsid w:val="00184877"/>
    <w:rsid w:val="00184B72"/>
    <w:rsid w:val="00184FB1"/>
    <w:rsid w:val="001857FB"/>
    <w:rsid w:val="00185DA6"/>
    <w:rsid w:val="00185F64"/>
    <w:rsid w:val="00186096"/>
    <w:rsid w:val="001862FE"/>
    <w:rsid w:val="001864BD"/>
    <w:rsid w:val="001866F1"/>
    <w:rsid w:val="00186E20"/>
    <w:rsid w:val="0018724F"/>
    <w:rsid w:val="0018772E"/>
    <w:rsid w:val="00187A94"/>
    <w:rsid w:val="0019029E"/>
    <w:rsid w:val="0019078A"/>
    <w:rsid w:val="00190804"/>
    <w:rsid w:val="0019088F"/>
    <w:rsid w:val="00190C51"/>
    <w:rsid w:val="00190DD7"/>
    <w:rsid w:val="0019122E"/>
    <w:rsid w:val="0019170B"/>
    <w:rsid w:val="0019170C"/>
    <w:rsid w:val="001917F3"/>
    <w:rsid w:val="00191C53"/>
    <w:rsid w:val="00191DDF"/>
    <w:rsid w:val="00191E99"/>
    <w:rsid w:val="00192215"/>
    <w:rsid w:val="00192769"/>
    <w:rsid w:val="00192DDE"/>
    <w:rsid w:val="00193034"/>
    <w:rsid w:val="00193382"/>
    <w:rsid w:val="00193ACC"/>
    <w:rsid w:val="00193BFE"/>
    <w:rsid w:val="00194055"/>
    <w:rsid w:val="00194FDC"/>
    <w:rsid w:val="00195322"/>
    <w:rsid w:val="0019560E"/>
    <w:rsid w:val="001958E3"/>
    <w:rsid w:val="0019601B"/>
    <w:rsid w:val="00196048"/>
    <w:rsid w:val="00196A82"/>
    <w:rsid w:val="0019769B"/>
    <w:rsid w:val="00197798"/>
    <w:rsid w:val="001979F9"/>
    <w:rsid w:val="00197CF3"/>
    <w:rsid w:val="00197FFE"/>
    <w:rsid w:val="001A0D25"/>
    <w:rsid w:val="001A0E14"/>
    <w:rsid w:val="001A142F"/>
    <w:rsid w:val="001A1570"/>
    <w:rsid w:val="001A1917"/>
    <w:rsid w:val="001A19D5"/>
    <w:rsid w:val="001A1C64"/>
    <w:rsid w:val="001A1DFB"/>
    <w:rsid w:val="001A1E7F"/>
    <w:rsid w:val="001A21F1"/>
    <w:rsid w:val="001A240C"/>
    <w:rsid w:val="001A2918"/>
    <w:rsid w:val="001A2D02"/>
    <w:rsid w:val="001A3076"/>
    <w:rsid w:val="001A3163"/>
    <w:rsid w:val="001A31A5"/>
    <w:rsid w:val="001A389C"/>
    <w:rsid w:val="001A3B75"/>
    <w:rsid w:val="001A4027"/>
    <w:rsid w:val="001A46F7"/>
    <w:rsid w:val="001A46FB"/>
    <w:rsid w:val="001A4EA6"/>
    <w:rsid w:val="001A4EC9"/>
    <w:rsid w:val="001A5944"/>
    <w:rsid w:val="001A5DC7"/>
    <w:rsid w:val="001A5FB1"/>
    <w:rsid w:val="001A698A"/>
    <w:rsid w:val="001A6CCC"/>
    <w:rsid w:val="001A6E3B"/>
    <w:rsid w:val="001A6FF4"/>
    <w:rsid w:val="001A70C8"/>
    <w:rsid w:val="001A71C9"/>
    <w:rsid w:val="001A7429"/>
    <w:rsid w:val="001A760C"/>
    <w:rsid w:val="001A770F"/>
    <w:rsid w:val="001A7977"/>
    <w:rsid w:val="001A799B"/>
    <w:rsid w:val="001A7A93"/>
    <w:rsid w:val="001A7AC7"/>
    <w:rsid w:val="001A7C38"/>
    <w:rsid w:val="001A7DEA"/>
    <w:rsid w:val="001B00C5"/>
    <w:rsid w:val="001B02F8"/>
    <w:rsid w:val="001B0ABF"/>
    <w:rsid w:val="001B1921"/>
    <w:rsid w:val="001B2104"/>
    <w:rsid w:val="001B2279"/>
    <w:rsid w:val="001B24BA"/>
    <w:rsid w:val="001B2729"/>
    <w:rsid w:val="001B2866"/>
    <w:rsid w:val="001B2881"/>
    <w:rsid w:val="001B2B5B"/>
    <w:rsid w:val="001B2B73"/>
    <w:rsid w:val="001B3675"/>
    <w:rsid w:val="001B37C8"/>
    <w:rsid w:val="001B3EFC"/>
    <w:rsid w:val="001B485D"/>
    <w:rsid w:val="001B48BA"/>
    <w:rsid w:val="001B4B2C"/>
    <w:rsid w:val="001B4E9C"/>
    <w:rsid w:val="001B4F10"/>
    <w:rsid w:val="001B5154"/>
    <w:rsid w:val="001B54BF"/>
    <w:rsid w:val="001B5BD0"/>
    <w:rsid w:val="001B5CF6"/>
    <w:rsid w:val="001B600E"/>
    <w:rsid w:val="001B6149"/>
    <w:rsid w:val="001B6E30"/>
    <w:rsid w:val="001B7B44"/>
    <w:rsid w:val="001B7C83"/>
    <w:rsid w:val="001B7D67"/>
    <w:rsid w:val="001B7F9E"/>
    <w:rsid w:val="001C0206"/>
    <w:rsid w:val="001C0246"/>
    <w:rsid w:val="001C04D4"/>
    <w:rsid w:val="001C0654"/>
    <w:rsid w:val="001C0B1A"/>
    <w:rsid w:val="001C0B34"/>
    <w:rsid w:val="001C1237"/>
    <w:rsid w:val="001C12A3"/>
    <w:rsid w:val="001C13BA"/>
    <w:rsid w:val="001C17BB"/>
    <w:rsid w:val="001C187E"/>
    <w:rsid w:val="001C1A37"/>
    <w:rsid w:val="001C1B4B"/>
    <w:rsid w:val="001C1C49"/>
    <w:rsid w:val="001C286F"/>
    <w:rsid w:val="001C2B86"/>
    <w:rsid w:val="001C2F54"/>
    <w:rsid w:val="001C3308"/>
    <w:rsid w:val="001C396B"/>
    <w:rsid w:val="001C3A1F"/>
    <w:rsid w:val="001C3BBB"/>
    <w:rsid w:val="001C40D1"/>
    <w:rsid w:val="001C468A"/>
    <w:rsid w:val="001C4A38"/>
    <w:rsid w:val="001C4A9E"/>
    <w:rsid w:val="001C4DF2"/>
    <w:rsid w:val="001C5001"/>
    <w:rsid w:val="001C5103"/>
    <w:rsid w:val="001C52A8"/>
    <w:rsid w:val="001C5ADF"/>
    <w:rsid w:val="001C5E8E"/>
    <w:rsid w:val="001C6120"/>
    <w:rsid w:val="001C6175"/>
    <w:rsid w:val="001C6516"/>
    <w:rsid w:val="001C6865"/>
    <w:rsid w:val="001C6B5C"/>
    <w:rsid w:val="001C6D0D"/>
    <w:rsid w:val="001C7155"/>
    <w:rsid w:val="001C7E48"/>
    <w:rsid w:val="001D039B"/>
    <w:rsid w:val="001D078D"/>
    <w:rsid w:val="001D0849"/>
    <w:rsid w:val="001D088F"/>
    <w:rsid w:val="001D11A9"/>
    <w:rsid w:val="001D1258"/>
    <w:rsid w:val="001D1AB8"/>
    <w:rsid w:val="001D1CD7"/>
    <w:rsid w:val="001D1D5E"/>
    <w:rsid w:val="001D286F"/>
    <w:rsid w:val="001D2C94"/>
    <w:rsid w:val="001D33D9"/>
    <w:rsid w:val="001D36F6"/>
    <w:rsid w:val="001D3C23"/>
    <w:rsid w:val="001D3E35"/>
    <w:rsid w:val="001D409B"/>
    <w:rsid w:val="001D4303"/>
    <w:rsid w:val="001D45E5"/>
    <w:rsid w:val="001D461A"/>
    <w:rsid w:val="001D4A9D"/>
    <w:rsid w:val="001D4AAD"/>
    <w:rsid w:val="001D4C2F"/>
    <w:rsid w:val="001D4FE9"/>
    <w:rsid w:val="001D565A"/>
    <w:rsid w:val="001D5AFA"/>
    <w:rsid w:val="001D5CDC"/>
    <w:rsid w:val="001D652D"/>
    <w:rsid w:val="001D6A35"/>
    <w:rsid w:val="001D728B"/>
    <w:rsid w:val="001D784A"/>
    <w:rsid w:val="001D79E3"/>
    <w:rsid w:val="001E03B4"/>
    <w:rsid w:val="001E04A4"/>
    <w:rsid w:val="001E07C5"/>
    <w:rsid w:val="001E0CFA"/>
    <w:rsid w:val="001E0DA8"/>
    <w:rsid w:val="001E176D"/>
    <w:rsid w:val="001E1BCE"/>
    <w:rsid w:val="001E1E05"/>
    <w:rsid w:val="001E2086"/>
    <w:rsid w:val="001E2750"/>
    <w:rsid w:val="001E339F"/>
    <w:rsid w:val="001E3629"/>
    <w:rsid w:val="001E3E7D"/>
    <w:rsid w:val="001E40F0"/>
    <w:rsid w:val="001E4172"/>
    <w:rsid w:val="001E42A9"/>
    <w:rsid w:val="001E477B"/>
    <w:rsid w:val="001E47F5"/>
    <w:rsid w:val="001E4F08"/>
    <w:rsid w:val="001E5490"/>
    <w:rsid w:val="001E5730"/>
    <w:rsid w:val="001E5A97"/>
    <w:rsid w:val="001E5E2E"/>
    <w:rsid w:val="001E6352"/>
    <w:rsid w:val="001E6984"/>
    <w:rsid w:val="001E6ADE"/>
    <w:rsid w:val="001E70AD"/>
    <w:rsid w:val="001E7237"/>
    <w:rsid w:val="001E7AD1"/>
    <w:rsid w:val="001E7AF6"/>
    <w:rsid w:val="001E7D9D"/>
    <w:rsid w:val="001F01B8"/>
    <w:rsid w:val="001F0FC3"/>
    <w:rsid w:val="001F1188"/>
    <w:rsid w:val="001F1549"/>
    <w:rsid w:val="001F15D9"/>
    <w:rsid w:val="001F1B8D"/>
    <w:rsid w:val="001F248C"/>
    <w:rsid w:val="001F274F"/>
    <w:rsid w:val="001F289C"/>
    <w:rsid w:val="001F2A19"/>
    <w:rsid w:val="001F2BF9"/>
    <w:rsid w:val="001F2EE1"/>
    <w:rsid w:val="001F3AF2"/>
    <w:rsid w:val="001F5D7B"/>
    <w:rsid w:val="001F6008"/>
    <w:rsid w:val="001F604B"/>
    <w:rsid w:val="001F6387"/>
    <w:rsid w:val="001F641B"/>
    <w:rsid w:val="001F6D4D"/>
    <w:rsid w:val="001F6DB9"/>
    <w:rsid w:val="001F6EBA"/>
    <w:rsid w:val="001F75DA"/>
    <w:rsid w:val="001F78BE"/>
    <w:rsid w:val="00200434"/>
    <w:rsid w:val="0020079C"/>
    <w:rsid w:val="00200D69"/>
    <w:rsid w:val="00200D9B"/>
    <w:rsid w:val="00200F9D"/>
    <w:rsid w:val="0020130D"/>
    <w:rsid w:val="002013C5"/>
    <w:rsid w:val="00201916"/>
    <w:rsid w:val="002019FA"/>
    <w:rsid w:val="00201D06"/>
    <w:rsid w:val="00201E9F"/>
    <w:rsid w:val="00201F1D"/>
    <w:rsid w:val="0020217D"/>
    <w:rsid w:val="002022D2"/>
    <w:rsid w:val="00202D15"/>
    <w:rsid w:val="00202F25"/>
    <w:rsid w:val="002035B3"/>
    <w:rsid w:val="00203664"/>
    <w:rsid w:val="00203929"/>
    <w:rsid w:val="00203CD6"/>
    <w:rsid w:val="00203D01"/>
    <w:rsid w:val="00203E7A"/>
    <w:rsid w:val="0020406E"/>
    <w:rsid w:val="00204460"/>
    <w:rsid w:val="00205151"/>
    <w:rsid w:val="002051EA"/>
    <w:rsid w:val="00205CBC"/>
    <w:rsid w:val="00205DFD"/>
    <w:rsid w:val="00205FCE"/>
    <w:rsid w:val="00206121"/>
    <w:rsid w:val="00206259"/>
    <w:rsid w:val="00206342"/>
    <w:rsid w:val="002065BD"/>
    <w:rsid w:val="002074B7"/>
    <w:rsid w:val="0020758D"/>
    <w:rsid w:val="00207C7B"/>
    <w:rsid w:val="00207D5D"/>
    <w:rsid w:val="00210487"/>
    <w:rsid w:val="00210ABD"/>
    <w:rsid w:val="00211267"/>
    <w:rsid w:val="00211470"/>
    <w:rsid w:val="00211922"/>
    <w:rsid w:val="0021213A"/>
    <w:rsid w:val="002121B4"/>
    <w:rsid w:val="0021265F"/>
    <w:rsid w:val="00213232"/>
    <w:rsid w:val="002132CD"/>
    <w:rsid w:val="00213817"/>
    <w:rsid w:val="0021423F"/>
    <w:rsid w:val="00214428"/>
    <w:rsid w:val="002145EB"/>
    <w:rsid w:val="00214F82"/>
    <w:rsid w:val="00215033"/>
    <w:rsid w:val="00215356"/>
    <w:rsid w:val="00215786"/>
    <w:rsid w:val="00215834"/>
    <w:rsid w:val="00215A2A"/>
    <w:rsid w:val="00215CC2"/>
    <w:rsid w:val="00215ED8"/>
    <w:rsid w:val="00215FAF"/>
    <w:rsid w:val="002162C6"/>
    <w:rsid w:val="00216AE1"/>
    <w:rsid w:val="00217700"/>
    <w:rsid w:val="002177E2"/>
    <w:rsid w:val="0021783B"/>
    <w:rsid w:val="002205F3"/>
    <w:rsid w:val="002206D4"/>
    <w:rsid w:val="0022085B"/>
    <w:rsid w:val="00220BC9"/>
    <w:rsid w:val="00220E53"/>
    <w:rsid w:val="00220F3E"/>
    <w:rsid w:val="0022176C"/>
    <w:rsid w:val="002225D1"/>
    <w:rsid w:val="0022267D"/>
    <w:rsid w:val="002229B6"/>
    <w:rsid w:val="002230FA"/>
    <w:rsid w:val="00223D8B"/>
    <w:rsid w:val="00223DF2"/>
    <w:rsid w:val="002246C2"/>
    <w:rsid w:val="002247FA"/>
    <w:rsid w:val="002249A2"/>
    <w:rsid w:val="00224C0C"/>
    <w:rsid w:val="002256C2"/>
    <w:rsid w:val="002256D0"/>
    <w:rsid w:val="00225C8E"/>
    <w:rsid w:val="00226428"/>
    <w:rsid w:val="002265A9"/>
    <w:rsid w:val="002266CB"/>
    <w:rsid w:val="00227052"/>
    <w:rsid w:val="00227194"/>
    <w:rsid w:val="002272D5"/>
    <w:rsid w:val="0022738E"/>
    <w:rsid w:val="00227906"/>
    <w:rsid w:val="00227934"/>
    <w:rsid w:val="00227E21"/>
    <w:rsid w:val="00230A10"/>
    <w:rsid w:val="0023104C"/>
    <w:rsid w:val="00231132"/>
    <w:rsid w:val="00231D05"/>
    <w:rsid w:val="00232001"/>
    <w:rsid w:val="0023241A"/>
    <w:rsid w:val="00232DE6"/>
    <w:rsid w:val="002332AC"/>
    <w:rsid w:val="002336E2"/>
    <w:rsid w:val="00233AC2"/>
    <w:rsid w:val="00233BAF"/>
    <w:rsid w:val="00233E3A"/>
    <w:rsid w:val="00233F80"/>
    <w:rsid w:val="00235420"/>
    <w:rsid w:val="00235610"/>
    <w:rsid w:val="00235700"/>
    <w:rsid w:val="00235A56"/>
    <w:rsid w:val="00235DE0"/>
    <w:rsid w:val="00236882"/>
    <w:rsid w:val="00236F0A"/>
    <w:rsid w:val="002374CA"/>
    <w:rsid w:val="00237A6E"/>
    <w:rsid w:val="00237B47"/>
    <w:rsid w:val="00237D60"/>
    <w:rsid w:val="0024065B"/>
    <w:rsid w:val="002409A6"/>
    <w:rsid w:val="00240C63"/>
    <w:rsid w:val="00240D91"/>
    <w:rsid w:val="00240EA5"/>
    <w:rsid w:val="00241132"/>
    <w:rsid w:val="00241205"/>
    <w:rsid w:val="002418C5"/>
    <w:rsid w:val="00241AB6"/>
    <w:rsid w:val="00241F90"/>
    <w:rsid w:val="002421FD"/>
    <w:rsid w:val="0024261D"/>
    <w:rsid w:val="00242712"/>
    <w:rsid w:val="00242820"/>
    <w:rsid w:val="0024298E"/>
    <w:rsid w:val="00242DFB"/>
    <w:rsid w:val="00243807"/>
    <w:rsid w:val="002440AC"/>
    <w:rsid w:val="00244365"/>
    <w:rsid w:val="0024459A"/>
    <w:rsid w:val="002446A3"/>
    <w:rsid w:val="00244771"/>
    <w:rsid w:val="00244903"/>
    <w:rsid w:val="00244AFB"/>
    <w:rsid w:val="002451AD"/>
    <w:rsid w:val="002453DF"/>
    <w:rsid w:val="00245A81"/>
    <w:rsid w:val="00246010"/>
    <w:rsid w:val="002462A5"/>
    <w:rsid w:val="002469D4"/>
    <w:rsid w:val="00246B86"/>
    <w:rsid w:val="00246CFB"/>
    <w:rsid w:val="00247334"/>
    <w:rsid w:val="00247335"/>
    <w:rsid w:val="002473EF"/>
    <w:rsid w:val="00247598"/>
    <w:rsid w:val="002477B9"/>
    <w:rsid w:val="00247B69"/>
    <w:rsid w:val="00247CBE"/>
    <w:rsid w:val="00250A1F"/>
    <w:rsid w:val="00250ADA"/>
    <w:rsid w:val="00250DDB"/>
    <w:rsid w:val="00250EB6"/>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36D"/>
    <w:rsid w:val="0025462B"/>
    <w:rsid w:val="0025486F"/>
    <w:rsid w:val="002549E9"/>
    <w:rsid w:val="00254FF6"/>
    <w:rsid w:val="00255099"/>
    <w:rsid w:val="00255221"/>
    <w:rsid w:val="002555C6"/>
    <w:rsid w:val="00255E14"/>
    <w:rsid w:val="00255FF9"/>
    <w:rsid w:val="00256225"/>
    <w:rsid w:val="00256292"/>
    <w:rsid w:val="00257059"/>
    <w:rsid w:val="0025712F"/>
    <w:rsid w:val="002571C5"/>
    <w:rsid w:val="00257395"/>
    <w:rsid w:val="00257550"/>
    <w:rsid w:val="00257857"/>
    <w:rsid w:val="002578DA"/>
    <w:rsid w:val="00257CBC"/>
    <w:rsid w:val="00257F0F"/>
    <w:rsid w:val="002602C2"/>
    <w:rsid w:val="002602DA"/>
    <w:rsid w:val="0026040B"/>
    <w:rsid w:val="002604F2"/>
    <w:rsid w:val="00260802"/>
    <w:rsid w:val="002609E3"/>
    <w:rsid w:val="00260C18"/>
    <w:rsid w:val="00261223"/>
    <w:rsid w:val="002617AB"/>
    <w:rsid w:val="00261D08"/>
    <w:rsid w:val="00261DA3"/>
    <w:rsid w:val="00261DCC"/>
    <w:rsid w:val="00262121"/>
    <w:rsid w:val="00262160"/>
    <w:rsid w:val="002624D0"/>
    <w:rsid w:val="00262F9F"/>
    <w:rsid w:val="0026338A"/>
    <w:rsid w:val="00263EC7"/>
    <w:rsid w:val="002647F7"/>
    <w:rsid w:val="002648E7"/>
    <w:rsid w:val="0026491B"/>
    <w:rsid w:val="00264A36"/>
    <w:rsid w:val="00264AE4"/>
    <w:rsid w:val="00264B06"/>
    <w:rsid w:val="00264C1B"/>
    <w:rsid w:val="00264E10"/>
    <w:rsid w:val="00265D10"/>
    <w:rsid w:val="00265E2E"/>
    <w:rsid w:val="002661AB"/>
    <w:rsid w:val="0026742B"/>
    <w:rsid w:val="002674FE"/>
    <w:rsid w:val="0026782E"/>
    <w:rsid w:val="00267E59"/>
    <w:rsid w:val="002702F6"/>
    <w:rsid w:val="00270310"/>
    <w:rsid w:val="00270748"/>
    <w:rsid w:val="002708B7"/>
    <w:rsid w:val="00270CAB"/>
    <w:rsid w:val="0027117F"/>
    <w:rsid w:val="002712B2"/>
    <w:rsid w:val="002712DC"/>
    <w:rsid w:val="00271875"/>
    <w:rsid w:val="002718FF"/>
    <w:rsid w:val="00271955"/>
    <w:rsid w:val="00271C68"/>
    <w:rsid w:val="00272278"/>
    <w:rsid w:val="00272432"/>
    <w:rsid w:val="00272633"/>
    <w:rsid w:val="00272D2C"/>
    <w:rsid w:val="00272E48"/>
    <w:rsid w:val="00272FBF"/>
    <w:rsid w:val="0027352A"/>
    <w:rsid w:val="002739B5"/>
    <w:rsid w:val="00273A10"/>
    <w:rsid w:val="00273A58"/>
    <w:rsid w:val="002744BD"/>
    <w:rsid w:val="00274513"/>
    <w:rsid w:val="00274638"/>
    <w:rsid w:val="00274CAB"/>
    <w:rsid w:val="00274E8A"/>
    <w:rsid w:val="00275A53"/>
    <w:rsid w:val="00275FCE"/>
    <w:rsid w:val="002766B8"/>
    <w:rsid w:val="0027680F"/>
    <w:rsid w:val="00276DEF"/>
    <w:rsid w:val="0027708D"/>
    <w:rsid w:val="002777C0"/>
    <w:rsid w:val="0028044D"/>
    <w:rsid w:val="002804F1"/>
    <w:rsid w:val="00281006"/>
    <w:rsid w:val="002815B1"/>
    <w:rsid w:val="00281893"/>
    <w:rsid w:val="00281C1F"/>
    <w:rsid w:val="00281EEA"/>
    <w:rsid w:val="00281F88"/>
    <w:rsid w:val="0028288D"/>
    <w:rsid w:val="002829B7"/>
    <w:rsid w:val="00282B82"/>
    <w:rsid w:val="00282C74"/>
    <w:rsid w:val="00282E5B"/>
    <w:rsid w:val="002831D0"/>
    <w:rsid w:val="002834D5"/>
    <w:rsid w:val="00283995"/>
    <w:rsid w:val="00283B11"/>
    <w:rsid w:val="002841A9"/>
    <w:rsid w:val="00284313"/>
    <w:rsid w:val="00284554"/>
    <w:rsid w:val="00284759"/>
    <w:rsid w:val="002848AD"/>
    <w:rsid w:val="002849C2"/>
    <w:rsid w:val="00284DE4"/>
    <w:rsid w:val="00285154"/>
    <w:rsid w:val="00285BF2"/>
    <w:rsid w:val="00285C78"/>
    <w:rsid w:val="00285DF8"/>
    <w:rsid w:val="00285E54"/>
    <w:rsid w:val="0028619E"/>
    <w:rsid w:val="00286238"/>
    <w:rsid w:val="0028625F"/>
    <w:rsid w:val="002863CE"/>
    <w:rsid w:val="0028781A"/>
    <w:rsid w:val="00287B7E"/>
    <w:rsid w:val="00287BF8"/>
    <w:rsid w:val="00287E20"/>
    <w:rsid w:val="002900EB"/>
    <w:rsid w:val="002902D6"/>
    <w:rsid w:val="00290B8A"/>
    <w:rsid w:val="00290DF5"/>
    <w:rsid w:val="0029110F"/>
    <w:rsid w:val="00291492"/>
    <w:rsid w:val="00291527"/>
    <w:rsid w:val="0029199A"/>
    <w:rsid w:val="00291BBE"/>
    <w:rsid w:val="00291FEB"/>
    <w:rsid w:val="00292B17"/>
    <w:rsid w:val="00293146"/>
    <w:rsid w:val="0029361E"/>
    <w:rsid w:val="002939F4"/>
    <w:rsid w:val="00293D68"/>
    <w:rsid w:val="0029408A"/>
    <w:rsid w:val="00294352"/>
    <w:rsid w:val="002944A0"/>
    <w:rsid w:val="002946E4"/>
    <w:rsid w:val="0029495C"/>
    <w:rsid w:val="002957D9"/>
    <w:rsid w:val="00295B52"/>
    <w:rsid w:val="00295B96"/>
    <w:rsid w:val="00296024"/>
    <w:rsid w:val="00296293"/>
    <w:rsid w:val="00296AF7"/>
    <w:rsid w:val="00297047"/>
    <w:rsid w:val="002972F9"/>
    <w:rsid w:val="00297612"/>
    <w:rsid w:val="002977CA"/>
    <w:rsid w:val="00297837"/>
    <w:rsid w:val="00297ED7"/>
    <w:rsid w:val="002A0007"/>
    <w:rsid w:val="002A03AA"/>
    <w:rsid w:val="002A056D"/>
    <w:rsid w:val="002A07FE"/>
    <w:rsid w:val="002A094D"/>
    <w:rsid w:val="002A0C7D"/>
    <w:rsid w:val="002A0CAF"/>
    <w:rsid w:val="002A0DDB"/>
    <w:rsid w:val="002A1565"/>
    <w:rsid w:val="002A16A9"/>
    <w:rsid w:val="002A175E"/>
    <w:rsid w:val="002A1F96"/>
    <w:rsid w:val="002A2941"/>
    <w:rsid w:val="002A2DC4"/>
    <w:rsid w:val="002A33DB"/>
    <w:rsid w:val="002A399B"/>
    <w:rsid w:val="002A3B11"/>
    <w:rsid w:val="002A3BB9"/>
    <w:rsid w:val="002A3E69"/>
    <w:rsid w:val="002A44F9"/>
    <w:rsid w:val="002A493F"/>
    <w:rsid w:val="002A49EF"/>
    <w:rsid w:val="002A4B8B"/>
    <w:rsid w:val="002A5107"/>
    <w:rsid w:val="002A5193"/>
    <w:rsid w:val="002A535E"/>
    <w:rsid w:val="002A5DBD"/>
    <w:rsid w:val="002A6406"/>
    <w:rsid w:val="002A6432"/>
    <w:rsid w:val="002A6CF0"/>
    <w:rsid w:val="002A6FFC"/>
    <w:rsid w:val="002A7010"/>
    <w:rsid w:val="002A70BA"/>
    <w:rsid w:val="002A724C"/>
    <w:rsid w:val="002A750E"/>
    <w:rsid w:val="002A7A57"/>
    <w:rsid w:val="002A7BB2"/>
    <w:rsid w:val="002A7BFB"/>
    <w:rsid w:val="002A7DCB"/>
    <w:rsid w:val="002B0685"/>
    <w:rsid w:val="002B0B53"/>
    <w:rsid w:val="002B124F"/>
    <w:rsid w:val="002B1617"/>
    <w:rsid w:val="002B1A90"/>
    <w:rsid w:val="002B1B4F"/>
    <w:rsid w:val="002B1D11"/>
    <w:rsid w:val="002B1E8B"/>
    <w:rsid w:val="002B273B"/>
    <w:rsid w:val="002B29AA"/>
    <w:rsid w:val="002B2A7E"/>
    <w:rsid w:val="002B2D11"/>
    <w:rsid w:val="002B2D75"/>
    <w:rsid w:val="002B2F1B"/>
    <w:rsid w:val="002B3332"/>
    <w:rsid w:val="002B34C7"/>
    <w:rsid w:val="002B3C2C"/>
    <w:rsid w:val="002B4B18"/>
    <w:rsid w:val="002B4DCA"/>
    <w:rsid w:val="002B5269"/>
    <w:rsid w:val="002B5AFB"/>
    <w:rsid w:val="002B6254"/>
    <w:rsid w:val="002B6320"/>
    <w:rsid w:val="002B6499"/>
    <w:rsid w:val="002B66AC"/>
    <w:rsid w:val="002B6852"/>
    <w:rsid w:val="002B691B"/>
    <w:rsid w:val="002B6BED"/>
    <w:rsid w:val="002B6D39"/>
    <w:rsid w:val="002B6D81"/>
    <w:rsid w:val="002B6DC8"/>
    <w:rsid w:val="002B720D"/>
    <w:rsid w:val="002B76E3"/>
    <w:rsid w:val="002B77E1"/>
    <w:rsid w:val="002C0325"/>
    <w:rsid w:val="002C0656"/>
    <w:rsid w:val="002C0714"/>
    <w:rsid w:val="002C08AA"/>
    <w:rsid w:val="002C0A79"/>
    <w:rsid w:val="002C0A96"/>
    <w:rsid w:val="002C1422"/>
    <w:rsid w:val="002C152B"/>
    <w:rsid w:val="002C1697"/>
    <w:rsid w:val="002C1BF4"/>
    <w:rsid w:val="002C1E0D"/>
    <w:rsid w:val="002C2266"/>
    <w:rsid w:val="002C2356"/>
    <w:rsid w:val="002C2752"/>
    <w:rsid w:val="002C28EB"/>
    <w:rsid w:val="002C316C"/>
    <w:rsid w:val="002C322C"/>
    <w:rsid w:val="002C3265"/>
    <w:rsid w:val="002C39E8"/>
    <w:rsid w:val="002C3AED"/>
    <w:rsid w:val="002C3E56"/>
    <w:rsid w:val="002C3E8A"/>
    <w:rsid w:val="002C414C"/>
    <w:rsid w:val="002C4692"/>
    <w:rsid w:val="002C49F8"/>
    <w:rsid w:val="002C4B49"/>
    <w:rsid w:val="002C4C2F"/>
    <w:rsid w:val="002C5522"/>
    <w:rsid w:val="002C5776"/>
    <w:rsid w:val="002C5EED"/>
    <w:rsid w:val="002C66DE"/>
    <w:rsid w:val="002C6CA4"/>
    <w:rsid w:val="002C7193"/>
    <w:rsid w:val="002C7699"/>
    <w:rsid w:val="002C7A49"/>
    <w:rsid w:val="002D0128"/>
    <w:rsid w:val="002D0638"/>
    <w:rsid w:val="002D0B52"/>
    <w:rsid w:val="002D0E85"/>
    <w:rsid w:val="002D0FA7"/>
    <w:rsid w:val="002D12FB"/>
    <w:rsid w:val="002D13AA"/>
    <w:rsid w:val="002D147F"/>
    <w:rsid w:val="002D19D1"/>
    <w:rsid w:val="002D1F35"/>
    <w:rsid w:val="002D1FA3"/>
    <w:rsid w:val="002D20CD"/>
    <w:rsid w:val="002D23C6"/>
    <w:rsid w:val="002D24F0"/>
    <w:rsid w:val="002D25EB"/>
    <w:rsid w:val="002D2992"/>
    <w:rsid w:val="002D29F3"/>
    <w:rsid w:val="002D2DC5"/>
    <w:rsid w:val="002D3126"/>
    <w:rsid w:val="002D3381"/>
    <w:rsid w:val="002D3427"/>
    <w:rsid w:val="002D3529"/>
    <w:rsid w:val="002D3A96"/>
    <w:rsid w:val="002D3AE7"/>
    <w:rsid w:val="002D3D0A"/>
    <w:rsid w:val="002D3EF0"/>
    <w:rsid w:val="002D478E"/>
    <w:rsid w:val="002D47AE"/>
    <w:rsid w:val="002D4A94"/>
    <w:rsid w:val="002D4C7C"/>
    <w:rsid w:val="002D59C6"/>
    <w:rsid w:val="002D5D5C"/>
    <w:rsid w:val="002D6216"/>
    <w:rsid w:val="002D65FF"/>
    <w:rsid w:val="002D6925"/>
    <w:rsid w:val="002D6D10"/>
    <w:rsid w:val="002D71E2"/>
    <w:rsid w:val="002D77F4"/>
    <w:rsid w:val="002D7B6A"/>
    <w:rsid w:val="002E0026"/>
    <w:rsid w:val="002E047F"/>
    <w:rsid w:val="002E06D1"/>
    <w:rsid w:val="002E08E8"/>
    <w:rsid w:val="002E0918"/>
    <w:rsid w:val="002E0BAA"/>
    <w:rsid w:val="002E0C70"/>
    <w:rsid w:val="002E0D96"/>
    <w:rsid w:val="002E0EA5"/>
    <w:rsid w:val="002E0F1C"/>
    <w:rsid w:val="002E1BCE"/>
    <w:rsid w:val="002E1DD4"/>
    <w:rsid w:val="002E1E19"/>
    <w:rsid w:val="002E1FAC"/>
    <w:rsid w:val="002E283F"/>
    <w:rsid w:val="002E2854"/>
    <w:rsid w:val="002E2DC2"/>
    <w:rsid w:val="002E2E69"/>
    <w:rsid w:val="002E2E74"/>
    <w:rsid w:val="002E32D2"/>
    <w:rsid w:val="002E331E"/>
    <w:rsid w:val="002E361B"/>
    <w:rsid w:val="002E37AB"/>
    <w:rsid w:val="002E3A80"/>
    <w:rsid w:val="002E3B13"/>
    <w:rsid w:val="002E3ECB"/>
    <w:rsid w:val="002E3FB9"/>
    <w:rsid w:val="002E41C7"/>
    <w:rsid w:val="002E51DF"/>
    <w:rsid w:val="002E5455"/>
    <w:rsid w:val="002E57B9"/>
    <w:rsid w:val="002E6127"/>
    <w:rsid w:val="002E6885"/>
    <w:rsid w:val="002E698A"/>
    <w:rsid w:val="002E70EA"/>
    <w:rsid w:val="002E72E4"/>
    <w:rsid w:val="002E739D"/>
    <w:rsid w:val="002E7731"/>
    <w:rsid w:val="002E7D4B"/>
    <w:rsid w:val="002F0F36"/>
    <w:rsid w:val="002F0F9A"/>
    <w:rsid w:val="002F1276"/>
    <w:rsid w:val="002F175B"/>
    <w:rsid w:val="002F1986"/>
    <w:rsid w:val="002F1E5F"/>
    <w:rsid w:val="002F224E"/>
    <w:rsid w:val="002F253C"/>
    <w:rsid w:val="002F2A49"/>
    <w:rsid w:val="002F3275"/>
    <w:rsid w:val="002F3550"/>
    <w:rsid w:val="002F3A4F"/>
    <w:rsid w:val="002F3B63"/>
    <w:rsid w:val="002F3C56"/>
    <w:rsid w:val="002F3D4D"/>
    <w:rsid w:val="002F4390"/>
    <w:rsid w:val="002F46B0"/>
    <w:rsid w:val="002F4A4C"/>
    <w:rsid w:val="002F4B17"/>
    <w:rsid w:val="002F5150"/>
    <w:rsid w:val="002F5463"/>
    <w:rsid w:val="002F58C2"/>
    <w:rsid w:val="002F5932"/>
    <w:rsid w:val="002F5C85"/>
    <w:rsid w:val="002F603B"/>
    <w:rsid w:val="002F6201"/>
    <w:rsid w:val="002F6493"/>
    <w:rsid w:val="002F669F"/>
    <w:rsid w:val="002F724B"/>
    <w:rsid w:val="002F72BA"/>
    <w:rsid w:val="002F7383"/>
    <w:rsid w:val="00300196"/>
    <w:rsid w:val="00300267"/>
    <w:rsid w:val="003004D2"/>
    <w:rsid w:val="00300543"/>
    <w:rsid w:val="00300B0E"/>
    <w:rsid w:val="00300C4B"/>
    <w:rsid w:val="00300D6B"/>
    <w:rsid w:val="00301380"/>
    <w:rsid w:val="00301E89"/>
    <w:rsid w:val="00302052"/>
    <w:rsid w:val="003020C2"/>
    <w:rsid w:val="00302142"/>
    <w:rsid w:val="00302169"/>
    <w:rsid w:val="00302612"/>
    <w:rsid w:val="0030268B"/>
    <w:rsid w:val="003028A4"/>
    <w:rsid w:val="00302F7D"/>
    <w:rsid w:val="0030305F"/>
    <w:rsid w:val="00303093"/>
    <w:rsid w:val="00303254"/>
    <w:rsid w:val="003032D8"/>
    <w:rsid w:val="003033FA"/>
    <w:rsid w:val="00303A0D"/>
    <w:rsid w:val="00303D2F"/>
    <w:rsid w:val="00304052"/>
    <w:rsid w:val="003044D9"/>
    <w:rsid w:val="003049D2"/>
    <w:rsid w:val="00304C15"/>
    <w:rsid w:val="00304D8A"/>
    <w:rsid w:val="00305216"/>
    <w:rsid w:val="0030555B"/>
    <w:rsid w:val="00305B7A"/>
    <w:rsid w:val="003061F5"/>
    <w:rsid w:val="0030628F"/>
    <w:rsid w:val="0030694D"/>
    <w:rsid w:val="00306A49"/>
    <w:rsid w:val="00306D27"/>
    <w:rsid w:val="00307117"/>
    <w:rsid w:val="0030722F"/>
    <w:rsid w:val="0030739C"/>
    <w:rsid w:val="0030766B"/>
    <w:rsid w:val="00307A2C"/>
    <w:rsid w:val="00310229"/>
    <w:rsid w:val="00310446"/>
    <w:rsid w:val="00310D51"/>
    <w:rsid w:val="003113C7"/>
    <w:rsid w:val="00311B36"/>
    <w:rsid w:val="00311C92"/>
    <w:rsid w:val="003126C1"/>
    <w:rsid w:val="00312BF9"/>
    <w:rsid w:val="00313321"/>
    <w:rsid w:val="003133AE"/>
    <w:rsid w:val="0031371B"/>
    <w:rsid w:val="00314156"/>
    <w:rsid w:val="00314CF8"/>
    <w:rsid w:val="00314FAF"/>
    <w:rsid w:val="0031535B"/>
    <w:rsid w:val="003154DD"/>
    <w:rsid w:val="00315FEA"/>
    <w:rsid w:val="003168BE"/>
    <w:rsid w:val="00316EC4"/>
    <w:rsid w:val="00316F76"/>
    <w:rsid w:val="003170F4"/>
    <w:rsid w:val="0031738F"/>
    <w:rsid w:val="003176EA"/>
    <w:rsid w:val="00317974"/>
    <w:rsid w:val="0032035D"/>
    <w:rsid w:val="003205E9"/>
    <w:rsid w:val="0032067C"/>
    <w:rsid w:val="00320A73"/>
    <w:rsid w:val="00320B28"/>
    <w:rsid w:val="00320C31"/>
    <w:rsid w:val="00320CB9"/>
    <w:rsid w:val="0032123E"/>
    <w:rsid w:val="00321311"/>
    <w:rsid w:val="003216D5"/>
    <w:rsid w:val="003216FF"/>
    <w:rsid w:val="00321866"/>
    <w:rsid w:val="00321A83"/>
    <w:rsid w:val="00321C1A"/>
    <w:rsid w:val="00321F6B"/>
    <w:rsid w:val="00322179"/>
    <w:rsid w:val="00322389"/>
    <w:rsid w:val="003223CA"/>
    <w:rsid w:val="00322BE5"/>
    <w:rsid w:val="00322E87"/>
    <w:rsid w:val="003230DD"/>
    <w:rsid w:val="0032312D"/>
    <w:rsid w:val="00323466"/>
    <w:rsid w:val="003234ED"/>
    <w:rsid w:val="00323AA5"/>
    <w:rsid w:val="00323F73"/>
    <w:rsid w:val="00324249"/>
    <w:rsid w:val="003242E4"/>
    <w:rsid w:val="00324525"/>
    <w:rsid w:val="0032468D"/>
    <w:rsid w:val="00324926"/>
    <w:rsid w:val="00324B25"/>
    <w:rsid w:val="00325005"/>
    <w:rsid w:val="0032522F"/>
    <w:rsid w:val="003253C4"/>
    <w:rsid w:val="0032550F"/>
    <w:rsid w:val="00325992"/>
    <w:rsid w:val="00325B74"/>
    <w:rsid w:val="0032626F"/>
    <w:rsid w:val="0032638F"/>
    <w:rsid w:val="00326B59"/>
    <w:rsid w:val="00326BD4"/>
    <w:rsid w:val="00326E49"/>
    <w:rsid w:val="003272C6"/>
    <w:rsid w:val="00327752"/>
    <w:rsid w:val="00327C7C"/>
    <w:rsid w:val="00327CE3"/>
    <w:rsid w:val="00327E25"/>
    <w:rsid w:val="00330009"/>
    <w:rsid w:val="003301E6"/>
    <w:rsid w:val="00330710"/>
    <w:rsid w:val="0033085E"/>
    <w:rsid w:val="00330FA2"/>
    <w:rsid w:val="003310AB"/>
    <w:rsid w:val="0033119E"/>
    <w:rsid w:val="003314D2"/>
    <w:rsid w:val="003315A9"/>
    <w:rsid w:val="00331712"/>
    <w:rsid w:val="00331A3F"/>
    <w:rsid w:val="00332191"/>
    <w:rsid w:val="003323DC"/>
    <w:rsid w:val="003325E0"/>
    <w:rsid w:val="00332720"/>
    <w:rsid w:val="00332D8B"/>
    <w:rsid w:val="00332EED"/>
    <w:rsid w:val="00332F1F"/>
    <w:rsid w:val="00332FB1"/>
    <w:rsid w:val="00332FF3"/>
    <w:rsid w:val="003333AB"/>
    <w:rsid w:val="003333AD"/>
    <w:rsid w:val="003334A7"/>
    <w:rsid w:val="003337E8"/>
    <w:rsid w:val="00333A14"/>
    <w:rsid w:val="00333B2A"/>
    <w:rsid w:val="00333FD5"/>
    <w:rsid w:val="003340CB"/>
    <w:rsid w:val="003345B8"/>
    <w:rsid w:val="003350E9"/>
    <w:rsid w:val="003351BA"/>
    <w:rsid w:val="0033520F"/>
    <w:rsid w:val="003358A3"/>
    <w:rsid w:val="0033596B"/>
    <w:rsid w:val="00335A93"/>
    <w:rsid w:val="00336070"/>
    <w:rsid w:val="0033650E"/>
    <w:rsid w:val="00336907"/>
    <w:rsid w:val="003369DF"/>
    <w:rsid w:val="00336AD1"/>
    <w:rsid w:val="00336B95"/>
    <w:rsid w:val="00336C71"/>
    <w:rsid w:val="00336D96"/>
    <w:rsid w:val="00336DFC"/>
    <w:rsid w:val="00337230"/>
    <w:rsid w:val="003377D0"/>
    <w:rsid w:val="00337A3F"/>
    <w:rsid w:val="00337D75"/>
    <w:rsid w:val="00340020"/>
    <w:rsid w:val="003404E2"/>
    <w:rsid w:val="00340AFD"/>
    <w:rsid w:val="00341162"/>
    <w:rsid w:val="00341360"/>
    <w:rsid w:val="00341866"/>
    <w:rsid w:val="00341DAF"/>
    <w:rsid w:val="00342181"/>
    <w:rsid w:val="0034268A"/>
    <w:rsid w:val="0034288F"/>
    <w:rsid w:val="003428B4"/>
    <w:rsid w:val="00342B37"/>
    <w:rsid w:val="00343560"/>
    <w:rsid w:val="00343A20"/>
    <w:rsid w:val="0034402B"/>
    <w:rsid w:val="0034449E"/>
    <w:rsid w:val="0034472A"/>
    <w:rsid w:val="003447B2"/>
    <w:rsid w:val="00344D46"/>
    <w:rsid w:val="003451F0"/>
    <w:rsid w:val="003461CB"/>
    <w:rsid w:val="003465A5"/>
    <w:rsid w:val="00346817"/>
    <w:rsid w:val="00346F1B"/>
    <w:rsid w:val="003470A1"/>
    <w:rsid w:val="00347440"/>
    <w:rsid w:val="003475EA"/>
    <w:rsid w:val="00347A27"/>
    <w:rsid w:val="00347BC0"/>
    <w:rsid w:val="00347CD4"/>
    <w:rsid w:val="00347E2E"/>
    <w:rsid w:val="0035033D"/>
    <w:rsid w:val="00350375"/>
    <w:rsid w:val="00350A55"/>
    <w:rsid w:val="00350DF8"/>
    <w:rsid w:val="00351386"/>
    <w:rsid w:val="00351708"/>
    <w:rsid w:val="00351A8A"/>
    <w:rsid w:val="003522E8"/>
    <w:rsid w:val="0035266A"/>
    <w:rsid w:val="0035279C"/>
    <w:rsid w:val="003535D2"/>
    <w:rsid w:val="0035384D"/>
    <w:rsid w:val="00353C0B"/>
    <w:rsid w:val="0035450D"/>
    <w:rsid w:val="0035460D"/>
    <w:rsid w:val="00354AE4"/>
    <w:rsid w:val="00354B0A"/>
    <w:rsid w:val="00355264"/>
    <w:rsid w:val="00355445"/>
    <w:rsid w:val="0035551B"/>
    <w:rsid w:val="003555ED"/>
    <w:rsid w:val="00355911"/>
    <w:rsid w:val="00355BFC"/>
    <w:rsid w:val="00355F90"/>
    <w:rsid w:val="0035636B"/>
    <w:rsid w:val="00356433"/>
    <w:rsid w:val="00357424"/>
    <w:rsid w:val="00357B95"/>
    <w:rsid w:val="00357BE9"/>
    <w:rsid w:val="00357E83"/>
    <w:rsid w:val="00357F44"/>
    <w:rsid w:val="003601A2"/>
    <w:rsid w:val="003605DB"/>
    <w:rsid w:val="00360624"/>
    <w:rsid w:val="00360D9B"/>
    <w:rsid w:val="00360F79"/>
    <w:rsid w:val="00361327"/>
    <w:rsid w:val="00361789"/>
    <w:rsid w:val="0036196D"/>
    <w:rsid w:val="00361A59"/>
    <w:rsid w:val="00362136"/>
    <w:rsid w:val="0036268A"/>
    <w:rsid w:val="003627BD"/>
    <w:rsid w:val="00362997"/>
    <w:rsid w:val="00362C59"/>
    <w:rsid w:val="00362F94"/>
    <w:rsid w:val="00363040"/>
    <w:rsid w:val="003630B7"/>
    <w:rsid w:val="003630EE"/>
    <w:rsid w:val="00363786"/>
    <w:rsid w:val="003638A4"/>
    <w:rsid w:val="003639BF"/>
    <w:rsid w:val="00363E41"/>
    <w:rsid w:val="00363FD2"/>
    <w:rsid w:val="00364091"/>
    <w:rsid w:val="003641F6"/>
    <w:rsid w:val="0036447A"/>
    <w:rsid w:val="0036560B"/>
    <w:rsid w:val="0036572E"/>
    <w:rsid w:val="00366005"/>
    <w:rsid w:val="00366168"/>
    <w:rsid w:val="003663D9"/>
    <w:rsid w:val="003666BF"/>
    <w:rsid w:val="00366707"/>
    <w:rsid w:val="003668D4"/>
    <w:rsid w:val="00366BC3"/>
    <w:rsid w:val="00366FA9"/>
    <w:rsid w:val="0036713F"/>
    <w:rsid w:val="00367B19"/>
    <w:rsid w:val="00367DE3"/>
    <w:rsid w:val="00367E49"/>
    <w:rsid w:val="003700E6"/>
    <w:rsid w:val="0037017C"/>
    <w:rsid w:val="00370490"/>
    <w:rsid w:val="00370633"/>
    <w:rsid w:val="00371C86"/>
    <w:rsid w:val="0037229E"/>
    <w:rsid w:val="003722CE"/>
    <w:rsid w:val="0037236C"/>
    <w:rsid w:val="003729DE"/>
    <w:rsid w:val="003735D3"/>
    <w:rsid w:val="0037386D"/>
    <w:rsid w:val="00373956"/>
    <w:rsid w:val="003739A4"/>
    <w:rsid w:val="00374153"/>
    <w:rsid w:val="00374671"/>
    <w:rsid w:val="003750E0"/>
    <w:rsid w:val="00375AF1"/>
    <w:rsid w:val="00375C2F"/>
    <w:rsid w:val="00375FC5"/>
    <w:rsid w:val="00376281"/>
    <w:rsid w:val="003762F8"/>
    <w:rsid w:val="00376599"/>
    <w:rsid w:val="00376943"/>
    <w:rsid w:val="0037698E"/>
    <w:rsid w:val="003769BA"/>
    <w:rsid w:val="00377871"/>
    <w:rsid w:val="003778B2"/>
    <w:rsid w:val="00377D0E"/>
    <w:rsid w:val="00377E58"/>
    <w:rsid w:val="003804EE"/>
    <w:rsid w:val="003805E3"/>
    <w:rsid w:val="00380618"/>
    <w:rsid w:val="0038062E"/>
    <w:rsid w:val="003806D7"/>
    <w:rsid w:val="00380757"/>
    <w:rsid w:val="003807F7"/>
    <w:rsid w:val="00380F88"/>
    <w:rsid w:val="00381610"/>
    <w:rsid w:val="00382106"/>
    <w:rsid w:val="00382657"/>
    <w:rsid w:val="00382708"/>
    <w:rsid w:val="00382ADF"/>
    <w:rsid w:val="00382B82"/>
    <w:rsid w:val="00383050"/>
    <w:rsid w:val="00383399"/>
    <w:rsid w:val="003834CE"/>
    <w:rsid w:val="00383FFA"/>
    <w:rsid w:val="003844BF"/>
    <w:rsid w:val="00384E30"/>
    <w:rsid w:val="00384F87"/>
    <w:rsid w:val="003850F9"/>
    <w:rsid w:val="0038518F"/>
    <w:rsid w:val="003854D5"/>
    <w:rsid w:val="0038552A"/>
    <w:rsid w:val="003856F1"/>
    <w:rsid w:val="003859EA"/>
    <w:rsid w:val="003862DC"/>
    <w:rsid w:val="00386649"/>
    <w:rsid w:val="0038709E"/>
    <w:rsid w:val="00387965"/>
    <w:rsid w:val="00387D30"/>
    <w:rsid w:val="00390B1E"/>
    <w:rsid w:val="00391753"/>
    <w:rsid w:val="00391C7F"/>
    <w:rsid w:val="00391EC3"/>
    <w:rsid w:val="00392454"/>
    <w:rsid w:val="003924A8"/>
    <w:rsid w:val="00392C85"/>
    <w:rsid w:val="00392D29"/>
    <w:rsid w:val="00392FD8"/>
    <w:rsid w:val="0039390C"/>
    <w:rsid w:val="00393E11"/>
    <w:rsid w:val="00394475"/>
    <w:rsid w:val="00394AE6"/>
    <w:rsid w:val="00394C70"/>
    <w:rsid w:val="00394FCC"/>
    <w:rsid w:val="0039517A"/>
    <w:rsid w:val="003958B9"/>
    <w:rsid w:val="00395B51"/>
    <w:rsid w:val="0039624D"/>
    <w:rsid w:val="003964DD"/>
    <w:rsid w:val="00396796"/>
    <w:rsid w:val="00396EC6"/>
    <w:rsid w:val="003970BA"/>
    <w:rsid w:val="0039746C"/>
    <w:rsid w:val="003978CA"/>
    <w:rsid w:val="00397DC6"/>
    <w:rsid w:val="003A0E82"/>
    <w:rsid w:val="003A0F54"/>
    <w:rsid w:val="003A0FAC"/>
    <w:rsid w:val="003A1584"/>
    <w:rsid w:val="003A184D"/>
    <w:rsid w:val="003A1959"/>
    <w:rsid w:val="003A1F3A"/>
    <w:rsid w:val="003A1F68"/>
    <w:rsid w:val="003A1FB7"/>
    <w:rsid w:val="003A228C"/>
    <w:rsid w:val="003A2EDC"/>
    <w:rsid w:val="003A313C"/>
    <w:rsid w:val="003A371E"/>
    <w:rsid w:val="003A3794"/>
    <w:rsid w:val="003A3957"/>
    <w:rsid w:val="003A3A9D"/>
    <w:rsid w:val="003A41DC"/>
    <w:rsid w:val="003A4316"/>
    <w:rsid w:val="003A4530"/>
    <w:rsid w:val="003A45C2"/>
    <w:rsid w:val="003A462A"/>
    <w:rsid w:val="003A47D9"/>
    <w:rsid w:val="003A580B"/>
    <w:rsid w:val="003A595F"/>
    <w:rsid w:val="003A5EEC"/>
    <w:rsid w:val="003A693E"/>
    <w:rsid w:val="003A6B7A"/>
    <w:rsid w:val="003A721D"/>
    <w:rsid w:val="003A79AE"/>
    <w:rsid w:val="003A7CA3"/>
    <w:rsid w:val="003B00B6"/>
    <w:rsid w:val="003B01C4"/>
    <w:rsid w:val="003B09D5"/>
    <w:rsid w:val="003B0BB0"/>
    <w:rsid w:val="003B0E8E"/>
    <w:rsid w:val="003B11EE"/>
    <w:rsid w:val="003B15F8"/>
    <w:rsid w:val="003B1B18"/>
    <w:rsid w:val="003B1B60"/>
    <w:rsid w:val="003B1D0E"/>
    <w:rsid w:val="003B20F5"/>
    <w:rsid w:val="003B230B"/>
    <w:rsid w:val="003B23BC"/>
    <w:rsid w:val="003B28BA"/>
    <w:rsid w:val="003B28F6"/>
    <w:rsid w:val="003B2DB5"/>
    <w:rsid w:val="003B2F05"/>
    <w:rsid w:val="003B3331"/>
    <w:rsid w:val="003B354B"/>
    <w:rsid w:val="003B3966"/>
    <w:rsid w:val="003B39B7"/>
    <w:rsid w:val="003B4754"/>
    <w:rsid w:val="003B4C10"/>
    <w:rsid w:val="003B4C78"/>
    <w:rsid w:val="003B4EB0"/>
    <w:rsid w:val="003B5094"/>
    <w:rsid w:val="003B51F2"/>
    <w:rsid w:val="003B5F6A"/>
    <w:rsid w:val="003B64C4"/>
    <w:rsid w:val="003B6B7F"/>
    <w:rsid w:val="003B6BFA"/>
    <w:rsid w:val="003B6C4B"/>
    <w:rsid w:val="003B6E93"/>
    <w:rsid w:val="003B7091"/>
    <w:rsid w:val="003B75DB"/>
    <w:rsid w:val="003B7820"/>
    <w:rsid w:val="003C01A4"/>
    <w:rsid w:val="003C0219"/>
    <w:rsid w:val="003C0C12"/>
    <w:rsid w:val="003C14D1"/>
    <w:rsid w:val="003C16EE"/>
    <w:rsid w:val="003C1B38"/>
    <w:rsid w:val="003C1C87"/>
    <w:rsid w:val="003C21DF"/>
    <w:rsid w:val="003C21EA"/>
    <w:rsid w:val="003C26B6"/>
    <w:rsid w:val="003C2C85"/>
    <w:rsid w:val="003C2F61"/>
    <w:rsid w:val="003C324E"/>
    <w:rsid w:val="003C345E"/>
    <w:rsid w:val="003C3DD8"/>
    <w:rsid w:val="003C4409"/>
    <w:rsid w:val="003C4725"/>
    <w:rsid w:val="003C4997"/>
    <w:rsid w:val="003C4B0B"/>
    <w:rsid w:val="003C4DA5"/>
    <w:rsid w:val="003C502A"/>
    <w:rsid w:val="003C55EF"/>
    <w:rsid w:val="003C5666"/>
    <w:rsid w:val="003C60CC"/>
    <w:rsid w:val="003C63DB"/>
    <w:rsid w:val="003C64F4"/>
    <w:rsid w:val="003C6D4E"/>
    <w:rsid w:val="003C6FD1"/>
    <w:rsid w:val="003C724B"/>
    <w:rsid w:val="003C73DB"/>
    <w:rsid w:val="003D0185"/>
    <w:rsid w:val="003D01B2"/>
    <w:rsid w:val="003D02CB"/>
    <w:rsid w:val="003D0382"/>
    <w:rsid w:val="003D069C"/>
    <w:rsid w:val="003D0FA0"/>
    <w:rsid w:val="003D1315"/>
    <w:rsid w:val="003D18F6"/>
    <w:rsid w:val="003D191E"/>
    <w:rsid w:val="003D1A19"/>
    <w:rsid w:val="003D1A40"/>
    <w:rsid w:val="003D1DD4"/>
    <w:rsid w:val="003D1F99"/>
    <w:rsid w:val="003D2027"/>
    <w:rsid w:val="003D2253"/>
    <w:rsid w:val="003D22A5"/>
    <w:rsid w:val="003D23A4"/>
    <w:rsid w:val="003D2592"/>
    <w:rsid w:val="003D29A3"/>
    <w:rsid w:val="003D3414"/>
    <w:rsid w:val="003D3426"/>
    <w:rsid w:val="003D358F"/>
    <w:rsid w:val="003D3654"/>
    <w:rsid w:val="003D3721"/>
    <w:rsid w:val="003D413A"/>
    <w:rsid w:val="003D42B5"/>
    <w:rsid w:val="003D454F"/>
    <w:rsid w:val="003D4A86"/>
    <w:rsid w:val="003D4A9F"/>
    <w:rsid w:val="003D4B23"/>
    <w:rsid w:val="003D4C5D"/>
    <w:rsid w:val="003D5B38"/>
    <w:rsid w:val="003D5BB5"/>
    <w:rsid w:val="003D5C14"/>
    <w:rsid w:val="003D6287"/>
    <w:rsid w:val="003D643B"/>
    <w:rsid w:val="003D654B"/>
    <w:rsid w:val="003D6722"/>
    <w:rsid w:val="003D7428"/>
    <w:rsid w:val="003D77F2"/>
    <w:rsid w:val="003D78CC"/>
    <w:rsid w:val="003D7D01"/>
    <w:rsid w:val="003D7D25"/>
    <w:rsid w:val="003D7ED8"/>
    <w:rsid w:val="003E0003"/>
    <w:rsid w:val="003E0099"/>
    <w:rsid w:val="003E0237"/>
    <w:rsid w:val="003E08C7"/>
    <w:rsid w:val="003E1180"/>
    <w:rsid w:val="003E1427"/>
    <w:rsid w:val="003E1A72"/>
    <w:rsid w:val="003E1C35"/>
    <w:rsid w:val="003E1CF0"/>
    <w:rsid w:val="003E2582"/>
    <w:rsid w:val="003E2880"/>
    <w:rsid w:val="003E28FB"/>
    <w:rsid w:val="003E2A00"/>
    <w:rsid w:val="003E2C34"/>
    <w:rsid w:val="003E2CCD"/>
    <w:rsid w:val="003E2E2B"/>
    <w:rsid w:val="003E382C"/>
    <w:rsid w:val="003E3C08"/>
    <w:rsid w:val="003E3D00"/>
    <w:rsid w:val="003E4531"/>
    <w:rsid w:val="003E4771"/>
    <w:rsid w:val="003E4BBD"/>
    <w:rsid w:val="003E4D4C"/>
    <w:rsid w:val="003E54A8"/>
    <w:rsid w:val="003E5833"/>
    <w:rsid w:val="003E5A41"/>
    <w:rsid w:val="003E5DA8"/>
    <w:rsid w:val="003E60EC"/>
    <w:rsid w:val="003E6149"/>
    <w:rsid w:val="003E7109"/>
    <w:rsid w:val="003E74D7"/>
    <w:rsid w:val="003E75F8"/>
    <w:rsid w:val="003E77DC"/>
    <w:rsid w:val="003E7BC1"/>
    <w:rsid w:val="003F0045"/>
    <w:rsid w:val="003F0453"/>
    <w:rsid w:val="003F0C9F"/>
    <w:rsid w:val="003F144A"/>
    <w:rsid w:val="003F15D8"/>
    <w:rsid w:val="003F18FB"/>
    <w:rsid w:val="003F1B02"/>
    <w:rsid w:val="003F1EFE"/>
    <w:rsid w:val="003F2240"/>
    <w:rsid w:val="003F2460"/>
    <w:rsid w:val="003F2E7B"/>
    <w:rsid w:val="003F3172"/>
    <w:rsid w:val="003F3467"/>
    <w:rsid w:val="003F35F4"/>
    <w:rsid w:val="003F392E"/>
    <w:rsid w:val="003F39C5"/>
    <w:rsid w:val="003F3CD5"/>
    <w:rsid w:val="003F3D16"/>
    <w:rsid w:val="003F4033"/>
    <w:rsid w:val="003F4473"/>
    <w:rsid w:val="003F449F"/>
    <w:rsid w:val="003F4953"/>
    <w:rsid w:val="003F4B02"/>
    <w:rsid w:val="003F4CF5"/>
    <w:rsid w:val="003F4E31"/>
    <w:rsid w:val="003F51EE"/>
    <w:rsid w:val="003F5248"/>
    <w:rsid w:val="003F574E"/>
    <w:rsid w:val="003F6079"/>
    <w:rsid w:val="003F60D6"/>
    <w:rsid w:val="003F6428"/>
    <w:rsid w:val="003F68E9"/>
    <w:rsid w:val="003F728C"/>
    <w:rsid w:val="003F77C5"/>
    <w:rsid w:val="003F7E15"/>
    <w:rsid w:val="003F7FDA"/>
    <w:rsid w:val="004000F4"/>
    <w:rsid w:val="00400E65"/>
    <w:rsid w:val="00401282"/>
    <w:rsid w:val="00401296"/>
    <w:rsid w:val="004013AD"/>
    <w:rsid w:val="00401E20"/>
    <w:rsid w:val="004021C0"/>
    <w:rsid w:val="004024F9"/>
    <w:rsid w:val="004028CE"/>
    <w:rsid w:val="00402A12"/>
    <w:rsid w:val="00402F22"/>
    <w:rsid w:val="0040313D"/>
    <w:rsid w:val="0040360E"/>
    <w:rsid w:val="00403CBD"/>
    <w:rsid w:val="004043FA"/>
    <w:rsid w:val="0040480F"/>
    <w:rsid w:val="00404970"/>
    <w:rsid w:val="00405181"/>
    <w:rsid w:val="0040567F"/>
    <w:rsid w:val="00405873"/>
    <w:rsid w:val="00405969"/>
    <w:rsid w:val="00405F09"/>
    <w:rsid w:val="00405F3A"/>
    <w:rsid w:val="004066F4"/>
    <w:rsid w:val="00406A32"/>
    <w:rsid w:val="0040760B"/>
    <w:rsid w:val="00410117"/>
    <w:rsid w:val="00410C32"/>
    <w:rsid w:val="00411237"/>
    <w:rsid w:val="004113D2"/>
    <w:rsid w:val="00411557"/>
    <w:rsid w:val="00411994"/>
    <w:rsid w:val="00411B64"/>
    <w:rsid w:val="00411D03"/>
    <w:rsid w:val="00411D74"/>
    <w:rsid w:val="00411D8F"/>
    <w:rsid w:val="00411DDE"/>
    <w:rsid w:val="00411F84"/>
    <w:rsid w:val="00412069"/>
    <w:rsid w:val="004121A1"/>
    <w:rsid w:val="004122D1"/>
    <w:rsid w:val="00412477"/>
    <w:rsid w:val="0041256D"/>
    <w:rsid w:val="00412570"/>
    <w:rsid w:val="004125B0"/>
    <w:rsid w:val="004127A2"/>
    <w:rsid w:val="0041280A"/>
    <w:rsid w:val="004128A7"/>
    <w:rsid w:val="00412A9D"/>
    <w:rsid w:val="00412CB1"/>
    <w:rsid w:val="00412EF3"/>
    <w:rsid w:val="004133A5"/>
    <w:rsid w:val="004134A6"/>
    <w:rsid w:val="00413D45"/>
    <w:rsid w:val="00414197"/>
    <w:rsid w:val="004144D7"/>
    <w:rsid w:val="00414BB4"/>
    <w:rsid w:val="00414D68"/>
    <w:rsid w:val="00414FD9"/>
    <w:rsid w:val="00415773"/>
    <w:rsid w:val="00415C4F"/>
    <w:rsid w:val="00415CAE"/>
    <w:rsid w:val="00415EE7"/>
    <w:rsid w:val="004160FA"/>
    <w:rsid w:val="0041626B"/>
    <w:rsid w:val="0041669E"/>
    <w:rsid w:val="00416ACA"/>
    <w:rsid w:val="00416C56"/>
    <w:rsid w:val="00416D7F"/>
    <w:rsid w:val="00416F06"/>
    <w:rsid w:val="0041709D"/>
    <w:rsid w:val="00417294"/>
    <w:rsid w:val="004176B8"/>
    <w:rsid w:val="00417B99"/>
    <w:rsid w:val="00417CE0"/>
    <w:rsid w:val="00417E0E"/>
    <w:rsid w:val="004209D5"/>
    <w:rsid w:val="00420C2D"/>
    <w:rsid w:val="00420FAF"/>
    <w:rsid w:val="00421184"/>
    <w:rsid w:val="004212C1"/>
    <w:rsid w:val="004214B7"/>
    <w:rsid w:val="00421510"/>
    <w:rsid w:val="00421B04"/>
    <w:rsid w:val="00421C84"/>
    <w:rsid w:val="00421FB5"/>
    <w:rsid w:val="00422115"/>
    <w:rsid w:val="004226ED"/>
    <w:rsid w:val="004228EA"/>
    <w:rsid w:val="00422AF4"/>
    <w:rsid w:val="004235F4"/>
    <w:rsid w:val="004236C9"/>
    <w:rsid w:val="00423CF3"/>
    <w:rsid w:val="00423E18"/>
    <w:rsid w:val="00423F4D"/>
    <w:rsid w:val="004245E4"/>
    <w:rsid w:val="00424B7C"/>
    <w:rsid w:val="0042500C"/>
    <w:rsid w:val="00425514"/>
    <w:rsid w:val="004256BD"/>
    <w:rsid w:val="00425863"/>
    <w:rsid w:val="00425B05"/>
    <w:rsid w:val="00425D02"/>
    <w:rsid w:val="00425EDC"/>
    <w:rsid w:val="00426C3E"/>
    <w:rsid w:val="00426F98"/>
    <w:rsid w:val="004275CD"/>
    <w:rsid w:val="00427E74"/>
    <w:rsid w:val="00427F6C"/>
    <w:rsid w:val="00427FEB"/>
    <w:rsid w:val="00427FF2"/>
    <w:rsid w:val="004305C0"/>
    <w:rsid w:val="00430ADA"/>
    <w:rsid w:val="00430B20"/>
    <w:rsid w:val="00430B6C"/>
    <w:rsid w:val="00431DE0"/>
    <w:rsid w:val="00431F6F"/>
    <w:rsid w:val="0043227C"/>
    <w:rsid w:val="00432E85"/>
    <w:rsid w:val="00433580"/>
    <w:rsid w:val="004335C0"/>
    <w:rsid w:val="00434193"/>
    <w:rsid w:val="004345E1"/>
    <w:rsid w:val="00434A64"/>
    <w:rsid w:val="00435121"/>
    <w:rsid w:val="00435715"/>
    <w:rsid w:val="0043571B"/>
    <w:rsid w:val="00435EE0"/>
    <w:rsid w:val="00435F29"/>
    <w:rsid w:val="0043610C"/>
    <w:rsid w:val="0043637A"/>
    <w:rsid w:val="004366FF"/>
    <w:rsid w:val="00436918"/>
    <w:rsid w:val="004375A9"/>
    <w:rsid w:val="00437D83"/>
    <w:rsid w:val="0044014D"/>
    <w:rsid w:val="004401DD"/>
    <w:rsid w:val="00440344"/>
    <w:rsid w:val="00441264"/>
    <w:rsid w:val="00441A6E"/>
    <w:rsid w:val="00441B0F"/>
    <w:rsid w:val="0044208D"/>
    <w:rsid w:val="004425C6"/>
    <w:rsid w:val="0044275F"/>
    <w:rsid w:val="00442A34"/>
    <w:rsid w:val="0044393A"/>
    <w:rsid w:val="00443D5D"/>
    <w:rsid w:val="00444086"/>
    <w:rsid w:val="00444351"/>
    <w:rsid w:val="00444483"/>
    <w:rsid w:val="004458E6"/>
    <w:rsid w:val="00445CBA"/>
    <w:rsid w:val="004463CB"/>
    <w:rsid w:val="00446458"/>
    <w:rsid w:val="004466F7"/>
    <w:rsid w:val="00446858"/>
    <w:rsid w:val="00446878"/>
    <w:rsid w:val="00446BF6"/>
    <w:rsid w:val="00446C99"/>
    <w:rsid w:val="0044707B"/>
    <w:rsid w:val="00447304"/>
    <w:rsid w:val="004476F6"/>
    <w:rsid w:val="00447CDD"/>
    <w:rsid w:val="00447D6D"/>
    <w:rsid w:val="00450127"/>
    <w:rsid w:val="0045075F"/>
    <w:rsid w:val="004511DC"/>
    <w:rsid w:val="0045138C"/>
    <w:rsid w:val="0045147F"/>
    <w:rsid w:val="004516AD"/>
    <w:rsid w:val="004518A5"/>
    <w:rsid w:val="00451E84"/>
    <w:rsid w:val="00451EA3"/>
    <w:rsid w:val="00451F01"/>
    <w:rsid w:val="00452335"/>
    <w:rsid w:val="004524F6"/>
    <w:rsid w:val="00454145"/>
    <w:rsid w:val="00454660"/>
    <w:rsid w:val="004546A7"/>
    <w:rsid w:val="00454831"/>
    <w:rsid w:val="004548DF"/>
    <w:rsid w:val="0045578E"/>
    <w:rsid w:val="00455C3A"/>
    <w:rsid w:val="00456CC0"/>
    <w:rsid w:val="00457933"/>
    <w:rsid w:val="00457C78"/>
    <w:rsid w:val="00460735"/>
    <w:rsid w:val="00460AD5"/>
    <w:rsid w:val="00460EB8"/>
    <w:rsid w:val="00461090"/>
    <w:rsid w:val="004611A7"/>
    <w:rsid w:val="00461991"/>
    <w:rsid w:val="00461ACB"/>
    <w:rsid w:val="00461C43"/>
    <w:rsid w:val="00462125"/>
    <w:rsid w:val="0046223B"/>
    <w:rsid w:val="00462C64"/>
    <w:rsid w:val="00462EE5"/>
    <w:rsid w:val="00463216"/>
    <w:rsid w:val="0046334D"/>
    <w:rsid w:val="00463911"/>
    <w:rsid w:val="00463976"/>
    <w:rsid w:val="00463C95"/>
    <w:rsid w:val="00463E1C"/>
    <w:rsid w:val="00464052"/>
    <w:rsid w:val="00464236"/>
    <w:rsid w:val="00464542"/>
    <w:rsid w:val="00465153"/>
    <w:rsid w:val="00465602"/>
    <w:rsid w:val="004656A4"/>
    <w:rsid w:val="004656B4"/>
    <w:rsid w:val="0046599C"/>
    <w:rsid w:val="00465B4E"/>
    <w:rsid w:val="00465F01"/>
    <w:rsid w:val="00466224"/>
    <w:rsid w:val="00466A4A"/>
    <w:rsid w:val="00466AFD"/>
    <w:rsid w:val="00466BA2"/>
    <w:rsid w:val="00466DFB"/>
    <w:rsid w:val="00467497"/>
    <w:rsid w:val="004700C5"/>
    <w:rsid w:val="00470696"/>
    <w:rsid w:val="004707C3"/>
    <w:rsid w:val="00470EB5"/>
    <w:rsid w:val="004713A5"/>
    <w:rsid w:val="00471415"/>
    <w:rsid w:val="00471707"/>
    <w:rsid w:val="004718E1"/>
    <w:rsid w:val="00471FEC"/>
    <w:rsid w:val="00472177"/>
    <w:rsid w:val="00472234"/>
    <w:rsid w:val="004724C9"/>
    <w:rsid w:val="00472585"/>
    <w:rsid w:val="0047278F"/>
    <w:rsid w:val="00472C4E"/>
    <w:rsid w:val="00472EBA"/>
    <w:rsid w:val="004735F6"/>
    <w:rsid w:val="00474130"/>
    <w:rsid w:val="0047486A"/>
    <w:rsid w:val="00474A79"/>
    <w:rsid w:val="00474EDD"/>
    <w:rsid w:val="0047510C"/>
    <w:rsid w:val="004758F7"/>
    <w:rsid w:val="00475A6C"/>
    <w:rsid w:val="004764AF"/>
    <w:rsid w:val="00476D04"/>
    <w:rsid w:val="00476F58"/>
    <w:rsid w:val="00476F7F"/>
    <w:rsid w:val="0047775E"/>
    <w:rsid w:val="00477AAE"/>
    <w:rsid w:val="00477AF6"/>
    <w:rsid w:val="00477B3B"/>
    <w:rsid w:val="00477BCB"/>
    <w:rsid w:val="004801A7"/>
    <w:rsid w:val="00480E47"/>
    <w:rsid w:val="0048145D"/>
    <w:rsid w:val="00481562"/>
    <w:rsid w:val="00481666"/>
    <w:rsid w:val="0048181B"/>
    <w:rsid w:val="00481AFA"/>
    <w:rsid w:val="00481B2B"/>
    <w:rsid w:val="00481F2B"/>
    <w:rsid w:val="004820C5"/>
    <w:rsid w:val="00482198"/>
    <w:rsid w:val="004823D8"/>
    <w:rsid w:val="00482F20"/>
    <w:rsid w:val="00483196"/>
    <w:rsid w:val="0048340F"/>
    <w:rsid w:val="004839B4"/>
    <w:rsid w:val="00483A2B"/>
    <w:rsid w:val="0048423C"/>
    <w:rsid w:val="00484449"/>
    <w:rsid w:val="004852CE"/>
    <w:rsid w:val="0048540C"/>
    <w:rsid w:val="00485B5F"/>
    <w:rsid w:val="00485F92"/>
    <w:rsid w:val="004860BD"/>
    <w:rsid w:val="0048660A"/>
    <w:rsid w:val="004866E1"/>
    <w:rsid w:val="004867B2"/>
    <w:rsid w:val="00486BAF"/>
    <w:rsid w:val="00486C72"/>
    <w:rsid w:val="00487AC8"/>
    <w:rsid w:val="00487D3A"/>
    <w:rsid w:val="0049017A"/>
    <w:rsid w:val="00490954"/>
    <w:rsid w:val="0049102F"/>
    <w:rsid w:val="00491602"/>
    <w:rsid w:val="0049277A"/>
    <w:rsid w:val="00492B38"/>
    <w:rsid w:val="00492FE4"/>
    <w:rsid w:val="00493035"/>
    <w:rsid w:val="004930F5"/>
    <w:rsid w:val="00493321"/>
    <w:rsid w:val="004936DE"/>
    <w:rsid w:val="004949B0"/>
    <w:rsid w:val="0049521C"/>
    <w:rsid w:val="0049544E"/>
    <w:rsid w:val="00495492"/>
    <w:rsid w:val="00495670"/>
    <w:rsid w:val="0049567B"/>
    <w:rsid w:val="0049604B"/>
    <w:rsid w:val="00496607"/>
    <w:rsid w:val="00496666"/>
    <w:rsid w:val="00496AC9"/>
    <w:rsid w:val="00497A8E"/>
    <w:rsid w:val="00497A9D"/>
    <w:rsid w:val="00497C60"/>
    <w:rsid w:val="004A040E"/>
    <w:rsid w:val="004A042D"/>
    <w:rsid w:val="004A11E0"/>
    <w:rsid w:val="004A1953"/>
    <w:rsid w:val="004A1FC5"/>
    <w:rsid w:val="004A2158"/>
    <w:rsid w:val="004A29A5"/>
    <w:rsid w:val="004A2C0D"/>
    <w:rsid w:val="004A3225"/>
    <w:rsid w:val="004A3569"/>
    <w:rsid w:val="004A374A"/>
    <w:rsid w:val="004A395B"/>
    <w:rsid w:val="004A3C59"/>
    <w:rsid w:val="004A3FB9"/>
    <w:rsid w:val="004A3FE2"/>
    <w:rsid w:val="004A4195"/>
    <w:rsid w:val="004A480D"/>
    <w:rsid w:val="004A4D76"/>
    <w:rsid w:val="004A5851"/>
    <w:rsid w:val="004A5A91"/>
    <w:rsid w:val="004A5B0F"/>
    <w:rsid w:val="004A5CF1"/>
    <w:rsid w:val="004A5D48"/>
    <w:rsid w:val="004A66E0"/>
    <w:rsid w:val="004A7AAE"/>
    <w:rsid w:val="004A7B6D"/>
    <w:rsid w:val="004A7D49"/>
    <w:rsid w:val="004A7E52"/>
    <w:rsid w:val="004A7F21"/>
    <w:rsid w:val="004B056F"/>
    <w:rsid w:val="004B07C6"/>
    <w:rsid w:val="004B08DB"/>
    <w:rsid w:val="004B0A3A"/>
    <w:rsid w:val="004B13BB"/>
    <w:rsid w:val="004B1422"/>
    <w:rsid w:val="004B1DF2"/>
    <w:rsid w:val="004B24EB"/>
    <w:rsid w:val="004B29AC"/>
    <w:rsid w:val="004B2BB2"/>
    <w:rsid w:val="004B2C4E"/>
    <w:rsid w:val="004B2E75"/>
    <w:rsid w:val="004B3C8B"/>
    <w:rsid w:val="004B44A9"/>
    <w:rsid w:val="004B4509"/>
    <w:rsid w:val="004B452A"/>
    <w:rsid w:val="004B4871"/>
    <w:rsid w:val="004B4ADF"/>
    <w:rsid w:val="004B4C00"/>
    <w:rsid w:val="004B4E06"/>
    <w:rsid w:val="004B5493"/>
    <w:rsid w:val="004B5914"/>
    <w:rsid w:val="004B5A08"/>
    <w:rsid w:val="004B60C0"/>
    <w:rsid w:val="004B60F3"/>
    <w:rsid w:val="004B6585"/>
    <w:rsid w:val="004B6C77"/>
    <w:rsid w:val="004B6D0A"/>
    <w:rsid w:val="004B6DA4"/>
    <w:rsid w:val="004B794C"/>
    <w:rsid w:val="004B7995"/>
    <w:rsid w:val="004C02B3"/>
    <w:rsid w:val="004C098E"/>
    <w:rsid w:val="004C0BBE"/>
    <w:rsid w:val="004C0E2F"/>
    <w:rsid w:val="004C1705"/>
    <w:rsid w:val="004C222E"/>
    <w:rsid w:val="004C2246"/>
    <w:rsid w:val="004C23D4"/>
    <w:rsid w:val="004C2561"/>
    <w:rsid w:val="004C25B4"/>
    <w:rsid w:val="004C2806"/>
    <w:rsid w:val="004C29BD"/>
    <w:rsid w:val="004C3120"/>
    <w:rsid w:val="004C3A7A"/>
    <w:rsid w:val="004C3ADD"/>
    <w:rsid w:val="004C3C00"/>
    <w:rsid w:val="004C4104"/>
    <w:rsid w:val="004C428E"/>
    <w:rsid w:val="004C441A"/>
    <w:rsid w:val="004C4775"/>
    <w:rsid w:val="004C483D"/>
    <w:rsid w:val="004C48A9"/>
    <w:rsid w:val="004C4D05"/>
    <w:rsid w:val="004C57C0"/>
    <w:rsid w:val="004C590B"/>
    <w:rsid w:val="004C5BF4"/>
    <w:rsid w:val="004C5E9D"/>
    <w:rsid w:val="004C6017"/>
    <w:rsid w:val="004C62DE"/>
    <w:rsid w:val="004C63C7"/>
    <w:rsid w:val="004C6860"/>
    <w:rsid w:val="004C6D39"/>
    <w:rsid w:val="004C6D98"/>
    <w:rsid w:val="004C7217"/>
    <w:rsid w:val="004C7743"/>
    <w:rsid w:val="004C77A7"/>
    <w:rsid w:val="004C7B38"/>
    <w:rsid w:val="004D039E"/>
    <w:rsid w:val="004D04A3"/>
    <w:rsid w:val="004D0B93"/>
    <w:rsid w:val="004D0C9F"/>
    <w:rsid w:val="004D0E9D"/>
    <w:rsid w:val="004D14B6"/>
    <w:rsid w:val="004D15FD"/>
    <w:rsid w:val="004D1A0A"/>
    <w:rsid w:val="004D2369"/>
    <w:rsid w:val="004D2485"/>
    <w:rsid w:val="004D27A8"/>
    <w:rsid w:val="004D2CFC"/>
    <w:rsid w:val="004D316D"/>
    <w:rsid w:val="004D36BA"/>
    <w:rsid w:val="004D3A57"/>
    <w:rsid w:val="004D3CFD"/>
    <w:rsid w:val="004D4164"/>
    <w:rsid w:val="004D47FF"/>
    <w:rsid w:val="004D4D35"/>
    <w:rsid w:val="004D4E8D"/>
    <w:rsid w:val="004D518F"/>
    <w:rsid w:val="004D5394"/>
    <w:rsid w:val="004D54D7"/>
    <w:rsid w:val="004D5BB7"/>
    <w:rsid w:val="004D6053"/>
    <w:rsid w:val="004D6CF6"/>
    <w:rsid w:val="004D6FA4"/>
    <w:rsid w:val="004D715A"/>
    <w:rsid w:val="004D753A"/>
    <w:rsid w:val="004D7C23"/>
    <w:rsid w:val="004E01C6"/>
    <w:rsid w:val="004E0212"/>
    <w:rsid w:val="004E042E"/>
    <w:rsid w:val="004E0ADC"/>
    <w:rsid w:val="004E0FB1"/>
    <w:rsid w:val="004E1043"/>
    <w:rsid w:val="004E19DB"/>
    <w:rsid w:val="004E1DCA"/>
    <w:rsid w:val="004E1EEC"/>
    <w:rsid w:val="004E202D"/>
    <w:rsid w:val="004E21A9"/>
    <w:rsid w:val="004E21B4"/>
    <w:rsid w:val="004E252B"/>
    <w:rsid w:val="004E2861"/>
    <w:rsid w:val="004E2A85"/>
    <w:rsid w:val="004E3016"/>
    <w:rsid w:val="004E3C42"/>
    <w:rsid w:val="004E3F72"/>
    <w:rsid w:val="004E47D5"/>
    <w:rsid w:val="004E4A5C"/>
    <w:rsid w:val="004E4A78"/>
    <w:rsid w:val="004E551E"/>
    <w:rsid w:val="004E584D"/>
    <w:rsid w:val="004E58F6"/>
    <w:rsid w:val="004E5E37"/>
    <w:rsid w:val="004E5E4C"/>
    <w:rsid w:val="004E5F79"/>
    <w:rsid w:val="004E623E"/>
    <w:rsid w:val="004E6587"/>
    <w:rsid w:val="004E6589"/>
    <w:rsid w:val="004E6608"/>
    <w:rsid w:val="004E6A1D"/>
    <w:rsid w:val="004E6C10"/>
    <w:rsid w:val="004E6C25"/>
    <w:rsid w:val="004E6CF9"/>
    <w:rsid w:val="004E6F3C"/>
    <w:rsid w:val="004E7152"/>
    <w:rsid w:val="004E734E"/>
    <w:rsid w:val="004E7EC0"/>
    <w:rsid w:val="004E7F48"/>
    <w:rsid w:val="004F014E"/>
    <w:rsid w:val="004F023B"/>
    <w:rsid w:val="004F0BC6"/>
    <w:rsid w:val="004F1123"/>
    <w:rsid w:val="004F12F0"/>
    <w:rsid w:val="004F1715"/>
    <w:rsid w:val="004F17DA"/>
    <w:rsid w:val="004F1C82"/>
    <w:rsid w:val="004F1D81"/>
    <w:rsid w:val="004F2CC2"/>
    <w:rsid w:val="004F355B"/>
    <w:rsid w:val="004F393E"/>
    <w:rsid w:val="004F3BD2"/>
    <w:rsid w:val="004F3CBF"/>
    <w:rsid w:val="004F4372"/>
    <w:rsid w:val="004F43E0"/>
    <w:rsid w:val="004F45EB"/>
    <w:rsid w:val="004F5079"/>
    <w:rsid w:val="004F521B"/>
    <w:rsid w:val="004F52BB"/>
    <w:rsid w:val="004F5582"/>
    <w:rsid w:val="004F59B8"/>
    <w:rsid w:val="004F62A7"/>
    <w:rsid w:val="004F62F9"/>
    <w:rsid w:val="004F66B3"/>
    <w:rsid w:val="004F6F24"/>
    <w:rsid w:val="004F6FA7"/>
    <w:rsid w:val="004F7070"/>
    <w:rsid w:val="004F71FB"/>
    <w:rsid w:val="004F7352"/>
    <w:rsid w:val="004F7889"/>
    <w:rsid w:val="00500148"/>
    <w:rsid w:val="0050015C"/>
    <w:rsid w:val="00500418"/>
    <w:rsid w:val="00500CCF"/>
    <w:rsid w:val="00500E62"/>
    <w:rsid w:val="005010DE"/>
    <w:rsid w:val="005011FD"/>
    <w:rsid w:val="0050164B"/>
    <w:rsid w:val="00501665"/>
    <w:rsid w:val="00501A86"/>
    <w:rsid w:val="00501AA5"/>
    <w:rsid w:val="00502958"/>
    <w:rsid w:val="00502BD2"/>
    <w:rsid w:val="00502DA4"/>
    <w:rsid w:val="00503319"/>
    <w:rsid w:val="00503CFF"/>
    <w:rsid w:val="00503F83"/>
    <w:rsid w:val="00503FCC"/>
    <w:rsid w:val="005040BB"/>
    <w:rsid w:val="0050421C"/>
    <w:rsid w:val="00504A9B"/>
    <w:rsid w:val="00504E9A"/>
    <w:rsid w:val="00504F83"/>
    <w:rsid w:val="00505574"/>
    <w:rsid w:val="005059B9"/>
    <w:rsid w:val="00505E0F"/>
    <w:rsid w:val="00505F64"/>
    <w:rsid w:val="00506452"/>
    <w:rsid w:val="00506DCD"/>
    <w:rsid w:val="00507325"/>
    <w:rsid w:val="00507583"/>
    <w:rsid w:val="00507C36"/>
    <w:rsid w:val="00507C56"/>
    <w:rsid w:val="00507F13"/>
    <w:rsid w:val="005109D4"/>
    <w:rsid w:val="00510CF4"/>
    <w:rsid w:val="0051105A"/>
    <w:rsid w:val="0051126F"/>
    <w:rsid w:val="0051160A"/>
    <w:rsid w:val="0051170D"/>
    <w:rsid w:val="00511735"/>
    <w:rsid w:val="005118BA"/>
    <w:rsid w:val="00511A4E"/>
    <w:rsid w:val="00511F61"/>
    <w:rsid w:val="005123C0"/>
    <w:rsid w:val="005128B2"/>
    <w:rsid w:val="00512D87"/>
    <w:rsid w:val="0051301A"/>
    <w:rsid w:val="005130DA"/>
    <w:rsid w:val="00513430"/>
    <w:rsid w:val="0051354B"/>
    <w:rsid w:val="00513A23"/>
    <w:rsid w:val="00513C18"/>
    <w:rsid w:val="00513DDA"/>
    <w:rsid w:val="00513E19"/>
    <w:rsid w:val="005148B4"/>
    <w:rsid w:val="00514B29"/>
    <w:rsid w:val="00514E8C"/>
    <w:rsid w:val="005152B1"/>
    <w:rsid w:val="005152F0"/>
    <w:rsid w:val="0051532D"/>
    <w:rsid w:val="00515832"/>
    <w:rsid w:val="00515856"/>
    <w:rsid w:val="00515F50"/>
    <w:rsid w:val="005162B7"/>
    <w:rsid w:val="005163E6"/>
    <w:rsid w:val="00516804"/>
    <w:rsid w:val="005172EC"/>
    <w:rsid w:val="0051740D"/>
    <w:rsid w:val="0051746E"/>
    <w:rsid w:val="005178CE"/>
    <w:rsid w:val="00517D9B"/>
    <w:rsid w:val="00517DF6"/>
    <w:rsid w:val="00517EBF"/>
    <w:rsid w:val="005205FF"/>
    <w:rsid w:val="00521356"/>
    <w:rsid w:val="00521955"/>
    <w:rsid w:val="00521CAB"/>
    <w:rsid w:val="00521DFB"/>
    <w:rsid w:val="005224EF"/>
    <w:rsid w:val="00522654"/>
    <w:rsid w:val="00522835"/>
    <w:rsid w:val="0052293D"/>
    <w:rsid w:val="00522AF4"/>
    <w:rsid w:val="00522F6E"/>
    <w:rsid w:val="00523499"/>
    <w:rsid w:val="0052373F"/>
    <w:rsid w:val="00523BC7"/>
    <w:rsid w:val="00523C08"/>
    <w:rsid w:val="00523C10"/>
    <w:rsid w:val="00523E23"/>
    <w:rsid w:val="005245D5"/>
    <w:rsid w:val="005247FE"/>
    <w:rsid w:val="00524889"/>
    <w:rsid w:val="0052575D"/>
    <w:rsid w:val="00525985"/>
    <w:rsid w:val="005259FC"/>
    <w:rsid w:val="00525A53"/>
    <w:rsid w:val="005260C7"/>
    <w:rsid w:val="005260F1"/>
    <w:rsid w:val="00526569"/>
    <w:rsid w:val="00526726"/>
    <w:rsid w:val="00526A27"/>
    <w:rsid w:val="00526F91"/>
    <w:rsid w:val="00527256"/>
    <w:rsid w:val="00527934"/>
    <w:rsid w:val="00527AC0"/>
    <w:rsid w:val="00527B57"/>
    <w:rsid w:val="00527C8D"/>
    <w:rsid w:val="00527C9C"/>
    <w:rsid w:val="00530034"/>
    <w:rsid w:val="005309A4"/>
    <w:rsid w:val="00530AC4"/>
    <w:rsid w:val="00531143"/>
    <w:rsid w:val="00531F4B"/>
    <w:rsid w:val="00531F7B"/>
    <w:rsid w:val="00532064"/>
    <w:rsid w:val="0053264D"/>
    <w:rsid w:val="0053268A"/>
    <w:rsid w:val="0053309E"/>
    <w:rsid w:val="005330FE"/>
    <w:rsid w:val="00533169"/>
    <w:rsid w:val="00533194"/>
    <w:rsid w:val="005332C8"/>
    <w:rsid w:val="00533B31"/>
    <w:rsid w:val="00534021"/>
    <w:rsid w:val="0053464E"/>
    <w:rsid w:val="005348C2"/>
    <w:rsid w:val="00534CBD"/>
    <w:rsid w:val="00534D48"/>
    <w:rsid w:val="005352C8"/>
    <w:rsid w:val="00535490"/>
    <w:rsid w:val="005354C1"/>
    <w:rsid w:val="00535975"/>
    <w:rsid w:val="00535F99"/>
    <w:rsid w:val="00536356"/>
    <w:rsid w:val="0053691D"/>
    <w:rsid w:val="00536BBB"/>
    <w:rsid w:val="00536CBB"/>
    <w:rsid w:val="00536DDD"/>
    <w:rsid w:val="00537033"/>
    <w:rsid w:val="005370FC"/>
    <w:rsid w:val="005371E8"/>
    <w:rsid w:val="0053735E"/>
    <w:rsid w:val="00537403"/>
    <w:rsid w:val="0053743F"/>
    <w:rsid w:val="0053745D"/>
    <w:rsid w:val="005376F8"/>
    <w:rsid w:val="005379EF"/>
    <w:rsid w:val="00537CBA"/>
    <w:rsid w:val="00540A37"/>
    <w:rsid w:val="00540B49"/>
    <w:rsid w:val="00541415"/>
    <w:rsid w:val="005418DB"/>
    <w:rsid w:val="00541B51"/>
    <w:rsid w:val="00542751"/>
    <w:rsid w:val="005434EA"/>
    <w:rsid w:val="005435CD"/>
    <w:rsid w:val="005436B8"/>
    <w:rsid w:val="00544E94"/>
    <w:rsid w:val="00545AA7"/>
    <w:rsid w:val="00545D55"/>
    <w:rsid w:val="005461A7"/>
    <w:rsid w:val="005461AB"/>
    <w:rsid w:val="0054659D"/>
    <w:rsid w:val="00546C6A"/>
    <w:rsid w:val="00546FBA"/>
    <w:rsid w:val="00547F04"/>
    <w:rsid w:val="005506BD"/>
    <w:rsid w:val="00550924"/>
    <w:rsid w:val="00550952"/>
    <w:rsid w:val="00550B1F"/>
    <w:rsid w:val="00550D63"/>
    <w:rsid w:val="00550E75"/>
    <w:rsid w:val="00550EF1"/>
    <w:rsid w:val="00550FC4"/>
    <w:rsid w:val="0055101E"/>
    <w:rsid w:val="00551075"/>
    <w:rsid w:val="005513C8"/>
    <w:rsid w:val="00551E07"/>
    <w:rsid w:val="00552204"/>
    <w:rsid w:val="0055236E"/>
    <w:rsid w:val="005524F7"/>
    <w:rsid w:val="00552AAB"/>
    <w:rsid w:val="00553274"/>
    <w:rsid w:val="0055352C"/>
    <w:rsid w:val="005538A6"/>
    <w:rsid w:val="0055396C"/>
    <w:rsid w:val="00554CAB"/>
    <w:rsid w:val="00554F94"/>
    <w:rsid w:val="00555161"/>
    <w:rsid w:val="00555A59"/>
    <w:rsid w:val="00555BB7"/>
    <w:rsid w:val="00555DE6"/>
    <w:rsid w:val="00555EB3"/>
    <w:rsid w:val="005567F6"/>
    <w:rsid w:val="0055695F"/>
    <w:rsid w:val="00556E29"/>
    <w:rsid w:val="00556EC2"/>
    <w:rsid w:val="00557474"/>
    <w:rsid w:val="00557674"/>
    <w:rsid w:val="00557DAA"/>
    <w:rsid w:val="00557DAD"/>
    <w:rsid w:val="005605A8"/>
    <w:rsid w:val="00560721"/>
    <w:rsid w:val="00561138"/>
    <w:rsid w:val="00561443"/>
    <w:rsid w:val="00561572"/>
    <w:rsid w:val="00561699"/>
    <w:rsid w:val="0056194F"/>
    <w:rsid w:val="005619E1"/>
    <w:rsid w:val="00561A6A"/>
    <w:rsid w:val="00561EEE"/>
    <w:rsid w:val="00562152"/>
    <w:rsid w:val="00562629"/>
    <w:rsid w:val="005628FE"/>
    <w:rsid w:val="00562CAD"/>
    <w:rsid w:val="0056364B"/>
    <w:rsid w:val="00563D49"/>
    <w:rsid w:val="00564191"/>
    <w:rsid w:val="00564557"/>
    <w:rsid w:val="0056458C"/>
    <w:rsid w:val="00564628"/>
    <w:rsid w:val="005648B9"/>
    <w:rsid w:val="00564A3C"/>
    <w:rsid w:val="00564C5F"/>
    <w:rsid w:val="00564F82"/>
    <w:rsid w:val="005653AF"/>
    <w:rsid w:val="00565501"/>
    <w:rsid w:val="00565755"/>
    <w:rsid w:val="0056601E"/>
    <w:rsid w:val="00566406"/>
    <w:rsid w:val="005664A6"/>
    <w:rsid w:val="00566519"/>
    <w:rsid w:val="00566538"/>
    <w:rsid w:val="0056663C"/>
    <w:rsid w:val="0056725A"/>
    <w:rsid w:val="0056741F"/>
    <w:rsid w:val="00567647"/>
    <w:rsid w:val="0056781B"/>
    <w:rsid w:val="00567BE2"/>
    <w:rsid w:val="00567F96"/>
    <w:rsid w:val="00570102"/>
    <w:rsid w:val="00570505"/>
    <w:rsid w:val="00570541"/>
    <w:rsid w:val="00570FDD"/>
    <w:rsid w:val="005712E6"/>
    <w:rsid w:val="0057153C"/>
    <w:rsid w:val="00571E47"/>
    <w:rsid w:val="00572942"/>
    <w:rsid w:val="005730DB"/>
    <w:rsid w:val="00573251"/>
    <w:rsid w:val="005733A8"/>
    <w:rsid w:val="00573B5B"/>
    <w:rsid w:val="00573F55"/>
    <w:rsid w:val="00574070"/>
    <w:rsid w:val="00574468"/>
    <w:rsid w:val="00575148"/>
    <w:rsid w:val="0057540E"/>
    <w:rsid w:val="005757B6"/>
    <w:rsid w:val="005761E2"/>
    <w:rsid w:val="00576F44"/>
    <w:rsid w:val="0058000F"/>
    <w:rsid w:val="00580557"/>
    <w:rsid w:val="0058074F"/>
    <w:rsid w:val="00580A76"/>
    <w:rsid w:val="00581042"/>
    <w:rsid w:val="00581703"/>
    <w:rsid w:val="00581B15"/>
    <w:rsid w:val="00581E0A"/>
    <w:rsid w:val="005821DD"/>
    <w:rsid w:val="00583908"/>
    <w:rsid w:val="005844A7"/>
    <w:rsid w:val="00584757"/>
    <w:rsid w:val="00584E21"/>
    <w:rsid w:val="00584EF8"/>
    <w:rsid w:val="00585063"/>
    <w:rsid w:val="00585CD7"/>
    <w:rsid w:val="00585E41"/>
    <w:rsid w:val="0058608B"/>
    <w:rsid w:val="005863C1"/>
    <w:rsid w:val="0058654D"/>
    <w:rsid w:val="00586786"/>
    <w:rsid w:val="00586E49"/>
    <w:rsid w:val="005874AF"/>
    <w:rsid w:val="00587729"/>
    <w:rsid w:val="00587886"/>
    <w:rsid w:val="005878F7"/>
    <w:rsid w:val="00587A66"/>
    <w:rsid w:val="00590147"/>
    <w:rsid w:val="0059028F"/>
    <w:rsid w:val="0059045E"/>
    <w:rsid w:val="0059068C"/>
    <w:rsid w:val="00590BD1"/>
    <w:rsid w:val="00590D26"/>
    <w:rsid w:val="00591276"/>
    <w:rsid w:val="00591490"/>
    <w:rsid w:val="0059151A"/>
    <w:rsid w:val="005916C9"/>
    <w:rsid w:val="00591883"/>
    <w:rsid w:val="00591C7E"/>
    <w:rsid w:val="00591D27"/>
    <w:rsid w:val="00591DCF"/>
    <w:rsid w:val="005929B4"/>
    <w:rsid w:val="00592A3C"/>
    <w:rsid w:val="005935DF"/>
    <w:rsid w:val="0059367F"/>
    <w:rsid w:val="00593720"/>
    <w:rsid w:val="00593909"/>
    <w:rsid w:val="00593A71"/>
    <w:rsid w:val="005941E1"/>
    <w:rsid w:val="005943E2"/>
    <w:rsid w:val="00594B8A"/>
    <w:rsid w:val="00595009"/>
    <w:rsid w:val="005954B7"/>
    <w:rsid w:val="0059571E"/>
    <w:rsid w:val="00595A05"/>
    <w:rsid w:val="00595F17"/>
    <w:rsid w:val="00595F3D"/>
    <w:rsid w:val="00595F89"/>
    <w:rsid w:val="00596053"/>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146"/>
    <w:rsid w:val="005A1270"/>
    <w:rsid w:val="005A1295"/>
    <w:rsid w:val="005A1FBF"/>
    <w:rsid w:val="005A29B1"/>
    <w:rsid w:val="005A2DDF"/>
    <w:rsid w:val="005A2EBF"/>
    <w:rsid w:val="005A380B"/>
    <w:rsid w:val="005A3B9E"/>
    <w:rsid w:val="005A4056"/>
    <w:rsid w:val="005A4890"/>
    <w:rsid w:val="005A49D4"/>
    <w:rsid w:val="005A4D7C"/>
    <w:rsid w:val="005A51C9"/>
    <w:rsid w:val="005A5A96"/>
    <w:rsid w:val="005A5D7F"/>
    <w:rsid w:val="005A5DC0"/>
    <w:rsid w:val="005A6B6D"/>
    <w:rsid w:val="005A6ED5"/>
    <w:rsid w:val="005A6F0E"/>
    <w:rsid w:val="005A6F57"/>
    <w:rsid w:val="005A71E8"/>
    <w:rsid w:val="005A7235"/>
    <w:rsid w:val="005A78B3"/>
    <w:rsid w:val="005A795B"/>
    <w:rsid w:val="005A7BAF"/>
    <w:rsid w:val="005B05FA"/>
    <w:rsid w:val="005B0652"/>
    <w:rsid w:val="005B09D6"/>
    <w:rsid w:val="005B1213"/>
    <w:rsid w:val="005B1957"/>
    <w:rsid w:val="005B1B07"/>
    <w:rsid w:val="005B1B55"/>
    <w:rsid w:val="005B1C52"/>
    <w:rsid w:val="005B1DBD"/>
    <w:rsid w:val="005B2387"/>
    <w:rsid w:val="005B2414"/>
    <w:rsid w:val="005B26B0"/>
    <w:rsid w:val="005B330E"/>
    <w:rsid w:val="005B383D"/>
    <w:rsid w:val="005B3EBD"/>
    <w:rsid w:val="005B3F0C"/>
    <w:rsid w:val="005B43A8"/>
    <w:rsid w:val="005B48E8"/>
    <w:rsid w:val="005B4A25"/>
    <w:rsid w:val="005B4FFF"/>
    <w:rsid w:val="005B5093"/>
    <w:rsid w:val="005B564F"/>
    <w:rsid w:val="005B56D9"/>
    <w:rsid w:val="005B56EA"/>
    <w:rsid w:val="005B5BA3"/>
    <w:rsid w:val="005B5E62"/>
    <w:rsid w:val="005B6A8B"/>
    <w:rsid w:val="005B7230"/>
    <w:rsid w:val="005B78CE"/>
    <w:rsid w:val="005B7D76"/>
    <w:rsid w:val="005B7E97"/>
    <w:rsid w:val="005B7F46"/>
    <w:rsid w:val="005C07D2"/>
    <w:rsid w:val="005C09A7"/>
    <w:rsid w:val="005C102D"/>
    <w:rsid w:val="005C132C"/>
    <w:rsid w:val="005C17E7"/>
    <w:rsid w:val="005C17FB"/>
    <w:rsid w:val="005C1833"/>
    <w:rsid w:val="005C1838"/>
    <w:rsid w:val="005C18C2"/>
    <w:rsid w:val="005C1ACE"/>
    <w:rsid w:val="005C2063"/>
    <w:rsid w:val="005C244F"/>
    <w:rsid w:val="005C26AC"/>
    <w:rsid w:val="005C2767"/>
    <w:rsid w:val="005C2922"/>
    <w:rsid w:val="005C2988"/>
    <w:rsid w:val="005C2C01"/>
    <w:rsid w:val="005C2F60"/>
    <w:rsid w:val="005C30A7"/>
    <w:rsid w:val="005C323D"/>
    <w:rsid w:val="005C3772"/>
    <w:rsid w:val="005C39C3"/>
    <w:rsid w:val="005C3D2B"/>
    <w:rsid w:val="005C41F4"/>
    <w:rsid w:val="005C4229"/>
    <w:rsid w:val="005C4580"/>
    <w:rsid w:val="005C49BB"/>
    <w:rsid w:val="005C5065"/>
    <w:rsid w:val="005C52F3"/>
    <w:rsid w:val="005C564C"/>
    <w:rsid w:val="005C56EA"/>
    <w:rsid w:val="005C5803"/>
    <w:rsid w:val="005C6234"/>
    <w:rsid w:val="005C64DC"/>
    <w:rsid w:val="005C6605"/>
    <w:rsid w:val="005C6703"/>
    <w:rsid w:val="005C71A0"/>
    <w:rsid w:val="005C71F5"/>
    <w:rsid w:val="005C75B8"/>
    <w:rsid w:val="005C7802"/>
    <w:rsid w:val="005C7B50"/>
    <w:rsid w:val="005C7C30"/>
    <w:rsid w:val="005D029E"/>
    <w:rsid w:val="005D0427"/>
    <w:rsid w:val="005D0776"/>
    <w:rsid w:val="005D07AE"/>
    <w:rsid w:val="005D0A0B"/>
    <w:rsid w:val="005D0C83"/>
    <w:rsid w:val="005D0F22"/>
    <w:rsid w:val="005D113B"/>
    <w:rsid w:val="005D135F"/>
    <w:rsid w:val="005D1497"/>
    <w:rsid w:val="005D1732"/>
    <w:rsid w:val="005D1AB2"/>
    <w:rsid w:val="005D205F"/>
    <w:rsid w:val="005D2D9A"/>
    <w:rsid w:val="005D2FDD"/>
    <w:rsid w:val="005D35C0"/>
    <w:rsid w:val="005D3A6E"/>
    <w:rsid w:val="005D3B21"/>
    <w:rsid w:val="005D4019"/>
    <w:rsid w:val="005D41DC"/>
    <w:rsid w:val="005D460F"/>
    <w:rsid w:val="005D4DC5"/>
    <w:rsid w:val="005D51B6"/>
    <w:rsid w:val="005D522A"/>
    <w:rsid w:val="005D5442"/>
    <w:rsid w:val="005D5BA4"/>
    <w:rsid w:val="005D5C22"/>
    <w:rsid w:val="005D5E6C"/>
    <w:rsid w:val="005D63A9"/>
    <w:rsid w:val="005D6558"/>
    <w:rsid w:val="005D65D5"/>
    <w:rsid w:val="005D6C56"/>
    <w:rsid w:val="005D6F49"/>
    <w:rsid w:val="005D74FC"/>
    <w:rsid w:val="005D7A66"/>
    <w:rsid w:val="005D7BD5"/>
    <w:rsid w:val="005D7E8A"/>
    <w:rsid w:val="005E06FA"/>
    <w:rsid w:val="005E0C6E"/>
    <w:rsid w:val="005E11A5"/>
    <w:rsid w:val="005E13D4"/>
    <w:rsid w:val="005E1435"/>
    <w:rsid w:val="005E17E9"/>
    <w:rsid w:val="005E1CC7"/>
    <w:rsid w:val="005E21F3"/>
    <w:rsid w:val="005E235C"/>
    <w:rsid w:val="005E3078"/>
    <w:rsid w:val="005E34C0"/>
    <w:rsid w:val="005E392E"/>
    <w:rsid w:val="005E4514"/>
    <w:rsid w:val="005E4565"/>
    <w:rsid w:val="005E45F3"/>
    <w:rsid w:val="005E48EA"/>
    <w:rsid w:val="005E49CA"/>
    <w:rsid w:val="005E4ADD"/>
    <w:rsid w:val="005E5384"/>
    <w:rsid w:val="005E5427"/>
    <w:rsid w:val="005E5428"/>
    <w:rsid w:val="005E54CA"/>
    <w:rsid w:val="005E5A74"/>
    <w:rsid w:val="005E5A7C"/>
    <w:rsid w:val="005E5C33"/>
    <w:rsid w:val="005E5D8E"/>
    <w:rsid w:val="005E6319"/>
    <w:rsid w:val="005E6472"/>
    <w:rsid w:val="005E6976"/>
    <w:rsid w:val="005E6C7A"/>
    <w:rsid w:val="005E703B"/>
    <w:rsid w:val="005E721A"/>
    <w:rsid w:val="005E74EC"/>
    <w:rsid w:val="005E784C"/>
    <w:rsid w:val="005E7917"/>
    <w:rsid w:val="005E7AB6"/>
    <w:rsid w:val="005E7B1E"/>
    <w:rsid w:val="005E7CBC"/>
    <w:rsid w:val="005E7E4D"/>
    <w:rsid w:val="005F0854"/>
    <w:rsid w:val="005F0A62"/>
    <w:rsid w:val="005F0D33"/>
    <w:rsid w:val="005F0FA8"/>
    <w:rsid w:val="005F1C5D"/>
    <w:rsid w:val="005F2317"/>
    <w:rsid w:val="005F2550"/>
    <w:rsid w:val="005F262B"/>
    <w:rsid w:val="005F2758"/>
    <w:rsid w:val="005F28A5"/>
    <w:rsid w:val="005F2B2D"/>
    <w:rsid w:val="005F2FD5"/>
    <w:rsid w:val="005F340A"/>
    <w:rsid w:val="005F3AE8"/>
    <w:rsid w:val="005F3B09"/>
    <w:rsid w:val="005F3B47"/>
    <w:rsid w:val="005F47C1"/>
    <w:rsid w:val="005F4926"/>
    <w:rsid w:val="005F4B6F"/>
    <w:rsid w:val="005F5009"/>
    <w:rsid w:val="005F5054"/>
    <w:rsid w:val="005F530F"/>
    <w:rsid w:val="005F5C41"/>
    <w:rsid w:val="005F60BE"/>
    <w:rsid w:val="005F65D9"/>
    <w:rsid w:val="005F6768"/>
    <w:rsid w:val="005F699C"/>
    <w:rsid w:val="005F69CF"/>
    <w:rsid w:val="005F6E39"/>
    <w:rsid w:val="005F6E58"/>
    <w:rsid w:val="005F7031"/>
    <w:rsid w:val="005F704C"/>
    <w:rsid w:val="005F789D"/>
    <w:rsid w:val="005F7A22"/>
    <w:rsid w:val="005F7B9D"/>
    <w:rsid w:val="005F7CF0"/>
    <w:rsid w:val="00600501"/>
    <w:rsid w:val="006009D5"/>
    <w:rsid w:val="00600B0C"/>
    <w:rsid w:val="00600B99"/>
    <w:rsid w:val="00600D1A"/>
    <w:rsid w:val="00601038"/>
    <w:rsid w:val="00601E52"/>
    <w:rsid w:val="00602C4B"/>
    <w:rsid w:val="00602DFA"/>
    <w:rsid w:val="006031D1"/>
    <w:rsid w:val="006033BF"/>
    <w:rsid w:val="00603589"/>
    <w:rsid w:val="00603702"/>
    <w:rsid w:val="00603B4B"/>
    <w:rsid w:val="00603F20"/>
    <w:rsid w:val="006046B5"/>
    <w:rsid w:val="00604F37"/>
    <w:rsid w:val="0060508A"/>
    <w:rsid w:val="006055AF"/>
    <w:rsid w:val="00605942"/>
    <w:rsid w:val="00605C9F"/>
    <w:rsid w:val="00606366"/>
    <w:rsid w:val="006068E8"/>
    <w:rsid w:val="00606ADB"/>
    <w:rsid w:val="00606C07"/>
    <w:rsid w:val="006072DE"/>
    <w:rsid w:val="006075F4"/>
    <w:rsid w:val="006078A8"/>
    <w:rsid w:val="00607BAD"/>
    <w:rsid w:val="00607EC7"/>
    <w:rsid w:val="0061048A"/>
    <w:rsid w:val="00610959"/>
    <w:rsid w:val="006109B7"/>
    <w:rsid w:val="00610AE7"/>
    <w:rsid w:val="00610EC7"/>
    <w:rsid w:val="00611178"/>
    <w:rsid w:val="0061148D"/>
    <w:rsid w:val="00611A29"/>
    <w:rsid w:val="00611D01"/>
    <w:rsid w:val="00611F1E"/>
    <w:rsid w:val="00612010"/>
    <w:rsid w:val="006122EC"/>
    <w:rsid w:val="006124B3"/>
    <w:rsid w:val="00612611"/>
    <w:rsid w:val="00612622"/>
    <w:rsid w:val="0061279A"/>
    <w:rsid w:val="00612C60"/>
    <w:rsid w:val="00613009"/>
    <w:rsid w:val="006132EA"/>
    <w:rsid w:val="00613CA5"/>
    <w:rsid w:val="00613E24"/>
    <w:rsid w:val="0061401C"/>
    <w:rsid w:val="0061420B"/>
    <w:rsid w:val="00614287"/>
    <w:rsid w:val="00614BD4"/>
    <w:rsid w:val="00614D33"/>
    <w:rsid w:val="0061537D"/>
    <w:rsid w:val="0061537F"/>
    <w:rsid w:val="006156D7"/>
    <w:rsid w:val="00615CF1"/>
    <w:rsid w:val="00615DEA"/>
    <w:rsid w:val="00615E26"/>
    <w:rsid w:val="00616675"/>
    <w:rsid w:val="006166CD"/>
    <w:rsid w:val="00616A60"/>
    <w:rsid w:val="00616D0C"/>
    <w:rsid w:val="00616EE6"/>
    <w:rsid w:val="006171FB"/>
    <w:rsid w:val="00617283"/>
    <w:rsid w:val="006175AE"/>
    <w:rsid w:val="006177B0"/>
    <w:rsid w:val="00617A2A"/>
    <w:rsid w:val="00617B5B"/>
    <w:rsid w:val="0062036B"/>
    <w:rsid w:val="006207F4"/>
    <w:rsid w:val="00620C67"/>
    <w:rsid w:val="00621407"/>
    <w:rsid w:val="00621479"/>
    <w:rsid w:val="006214D7"/>
    <w:rsid w:val="00621646"/>
    <w:rsid w:val="00621711"/>
    <w:rsid w:val="00621803"/>
    <w:rsid w:val="00621A34"/>
    <w:rsid w:val="006220F1"/>
    <w:rsid w:val="0062269A"/>
    <w:rsid w:val="00623099"/>
    <w:rsid w:val="006237F5"/>
    <w:rsid w:val="00623C54"/>
    <w:rsid w:val="00623E46"/>
    <w:rsid w:val="00623E5A"/>
    <w:rsid w:val="00624104"/>
    <w:rsid w:val="00624604"/>
    <w:rsid w:val="00624A17"/>
    <w:rsid w:val="00624BA2"/>
    <w:rsid w:val="00624D2C"/>
    <w:rsid w:val="00624DD0"/>
    <w:rsid w:val="00624F7F"/>
    <w:rsid w:val="00625145"/>
    <w:rsid w:val="00625367"/>
    <w:rsid w:val="00625447"/>
    <w:rsid w:val="00625EB0"/>
    <w:rsid w:val="00625ED6"/>
    <w:rsid w:val="006262EE"/>
    <w:rsid w:val="006266AC"/>
    <w:rsid w:val="00626768"/>
    <w:rsid w:val="0062677B"/>
    <w:rsid w:val="00626DE4"/>
    <w:rsid w:val="00627402"/>
    <w:rsid w:val="00627474"/>
    <w:rsid w:val="006274D8"/>
    <w:rsid w:val="006278D2"/>
    <w:rsid w:val="006279F9"/>
    <w:rsid w:val="00627A1B"/>
    <w:rsid w:val="00627CEA"/>
    <w:rsid w:val="00627E37"/>
    <w:rsid w:val="00630480"/>
    <w:rsid w:val="0063058E"/>
    <w:rsid w:val="006305F8"/>
    <w:rsid w:val="00630E44"/>
    <w:rsid w:val="006313F7"/>
    <w:rsid w:val="006315CB"/>
    <w:rsid w:val="0063197B"/>
    <w:rsid w:val="00631DA7"/>
    <w:rsid w:val="00632200"/>
    <w:rsid w:val="006327BB"/>
    <w:rsid w:val="00632B9C"/>
    <w:rsid w:val="00632F18"/>
    <w:rsid w:val="006332D7"/>
    <w:rsid w:val="0063333D"/>
    <w:rsid w:val="00633C7B"/>
    <w:rsid w:val="00633E38"/>
    <w:rsid w:val="00634225"/>
    <w:rsid w:val="0063436D"/>
    <w:rsid w:val="00635003"/>
    <w:rsid w:val="006351CE"/>
    <w:rsid w:val="006352FD"/>
    <w:rsid w:val="00635B15"/>
    <w:rsid w:val="00635D02"/>
    <w:rsid w:val="00635D76"/>
    <w:rsid w:val="00636037"/>
    <w:rsid w:val="006362E1"/>
    <w:rsid w:val="006367DA"/>
    <w:rsid w:val="00636B49"/>
    <w:rsid w:val="00637053"/>
    <w:rsid w:val="006370E1"/>
    <w:rsid w:val="00637382"/>
    <w:rsid w:val="006375B2"/>
    <w:rsid w:val="006375BB"/>
    <w:rsid w:val="00637865"/>
    <w:rsid w:val="0063788C"/>
    <w:rsid w:val="00640059"/>
    <w:rsid w:val="00640304"/>
    <w:rsid w:val="00640713"/>
    <w:rsid w:val="006409EE"/>
    <w:rsid w:val="00640BF7"/>
    <w:rsid w:val="00640FFF"/>
    <w:rsid w:val="00641436"/>
    <w:rsid w:val="00641761"/>
    <w:rsid w:val="00641A73"/>
    <w:rsid w:val="006420C2"/>
    <w:rsid w:val="006425FC"/>
    <w:rsid w:val="00642631"/>
    <w:rsid w:val="0064289D"/>
    <w:rsid w:val="00642DF5"/>
    <w:rsid w:val="0064304A"/>
    <w:rsid w:val="00643765"/>
    <w:rsid w:val="0064380B"/>
    <w:rsid w:val="00643A4F"/>
    <w:rsid w:val="00643AAB"/>
    <w:rsid w:val="00643FF5"/>
    <w:rsid w:val="006440D9"/>
    <w:rsid w:val="006441FD"/>
    <w:rsid w:val="006442BE"/>
    <w:rsid w:val="00644354"/>
    <w:rsid w:val="00644CB1"/>
    <w:rsid w:val="00644E5A"/>
    <w:rsid w:val="00644F2C"/>
    <w:rsid w:val="00644F8F"/>
    <w:rsid w:val="006450DD"/>
    <w:rsid w:val="00645141"/>
    <w:rsid w:val="00645349"/>
    <w:rsid w:val="00645AEE"/>
    <w:rsid w:val="00646428"/>
    <w:rsid w:val="00646677"/>
    <w:rsid w:val="00646984"/>
    <w:rsid w:val="00646AFD"/>
    <w:rsid w:val="0064707F"/>
    <w:rsid w:val="0064717F"/>
    <w:rsid w:val="006471E8"/>
    <w:rsid w:val="00647E90"/>
    <w:rsid w:val="00647FA3"/>
    <w:rsid w:val="006500F7"/>
    <w:rsid w:val="00650400"/>
    <w:rsid w:val="0065052D"/>
    <w:rsid w:val="00650732"/>
    <w:rsid w:val="00650743"/>
    <w:rsid w:val="00650769"/>
    <w:rsid w:val="00651012"/>
    <w:rsid w:val="006516B7"/>
    <w:rsid w:val="006518E4"/>
    <w:rsid w:val="00651FB8"/>
    <w:rsid w:val="006520D5"/>
    <w:rsid w:val="0065239B"/>
    <w:rsid w:val="00652BA0"/>
    <w:rsid w:val="00653045"/>
    <w:rsid w:val="0065375E"/>
    <w:rsid w:val="00653A25"/>
    <w:rsid w:val="00653D93"/>
    <w:rsid w:val="00653FDA"/>
    <w:rsid w:val="006541A0"/>
    <w:rsid w:val="006541FE"/>
    <w:rsid w:val="00654723"/>
    <w:rsid w:val="006547BF"/>
    <w:rsid w:val="00654E99"/>
    <w:rsid w:val="00654ED0"/>
    <w:rsid w:val="00655104"/>
    <w:rsid w:val="0065541B"/>
    <w:rsid w:val="0065548F"/>
    <w:rsid w:val="00655633"/>
    <w:rsid w:val="0065573C"/>
    <w:rsid w:val="006559BB"/>
    <w:rsid w:val="00655A99"/>
    <w:rsid w:val="00655D93"/>
    <w:rsid w:val="00655E86"/>
    <w:rsid w:val="00656614"/>
    <w:rsid w:val="00656C4D"/>
    <w:rsid w:val="006577CD"/>
    <w:rsid w:val="00657CCC"/>
    <w:rsid w:val="00657DB6"/>
    <w:rsid w:val="00660162"/>
    <w:rsid w:val="0066036D"/>
    <w:rsid w:val="006604FA"/>
    <w:rsid w:val="006606AA"/>
    <w:rsid w:val="00660879"/>
    <w:rsid w:val="00660B3F"/>
    <w:rsid w:val="006610B1"/>
    <w:rsid w:val="00661639"/>
    <w:rsid w:val="00661655"/>
    <w:rsid w:val="0066174D"/>
    <w:rsid w:val="00661DC2"/>
    <w:rsid w:val="00661E36"/>
    <w:rsid w:val="00661F16"/>
    <w:rsid w:val="0066318A"/>
    <w:rsid w:val="006631D3"/>
    <w:rsid w:val="00663D0F"/>
    <w:rsid w:val="006643E8"/>
    <w:rsid w:val="00664525"/>
    <w:rsid w:val="0066465B"/>
    <w:rsid w:val="00664975"/>
    <w:rsid w:val="00664C81"/>
    <w:rsid w:val="0066500E"/>
    <w:rsid w:val="0066521A"/>
    <w:rsid w:val="0066540C"/>
    <w:rsid w:val="00665E70"/>
    <w:rsid w:val="00665EAE"/>
    <w:rsid w:val="00665FF1"/>
    <w:rsid w:val="0066617C"/>
    <w:rsid w:val="006661EA"/>
    <w:rsid w:val="00666749"/>
    <w:rsid w:val="00666909"/>
    <w:rsid w:val="00666EBC"/>
    <w:rsid w:val="00667189"/>
    <w:rsid w:val="006671F0"/>
    <w:rsid w:val="0066749E"/>
    <w:rsid w:val="00667C84"/>
    <w:rsid w:val="00667CCB"/>
    <w:rsid w:val="00667EFD"/>
    <w:rsid w:val="00670475"/>
    <w:rsid w:val="00670770"/>
    <w:rsid w:val="00670B8C"/>
    <w:rsid w:val="00670C4A"/>
    <w:rsid w:val="00671F3E"/>
    <w:rsid w:val="006723C0"/>
    <w:rsid w:val="00672482"/>
    <w:rsid w:val="00672947"/>
    <w:rsid w:val="00672A18"/>
    <w:rsid w:val="0067322C"/>
    <w:rsid w:val="006735D0"/>
    <w:rsid w:val="0067365C"/>
    <w:rsid w:val="006739E9"/>
    <w:rsid w:val="00673DC9"/>
    <w:rsid w:val="006741CE"/>
    <w:rsid w:val="006746BD"/>
    <w:rsid w:val="00674B90"/>
    <w:rsid w:val="00674BF2"/>
    <w:rsid w:val="00674D52"/>
    <w:rsid w:val="00674E43"/>
    <w:rsid w:val="00674F93"/>
    <w:rsid w:val="0067546F"/>
    <w:rsid w:val="00675A06"/>
    <w:rsid w:val="00675F8E"/>
    <w:rsid w:val="00676287"/>
    <w:rsid w:val="00676CE4"/>
    <w:rsid w:val="00676D4B"/>
    <w:rsid w:val="00676EC2"/>
    <w:rsid w:val="00676F61"/>
    <w:rsid w:val="00676FA5"/>
    <w:rsid w:val="006770EF"/>
    <w:rsid w:val="006771A4"/>
    <w:rsid w:val="006771AD"/>
    <w:rsid w:val="0067728F"/>
    <w:rsid w:val="006774A8"/>
    <w:rsid w:val="00677572"/>
    <w:rsid w:val="00677DC1"/>
    <w:rsid w:val="00680064"/>
    <w:rsid w:val="006802E6"/>
    <w:rsid w:val="00681229"/>
    <w:rsid w:val="00681514"/>
    <w:rsid w:val="0068185E"/>
    <w:rsid w:val="006819B3"/>
    <w:rsid w:val="00681BE5"/>
    <w:rsid w:val="00681E30"/>
    <w:rsid w:val="0068228F"/>
    <w:rsid w:val="0068329C"/>
    <w:rsid w:val="0068379B"/>
    <w:rsid w:val="00683D79"/>
    <w:rsid w:val="00683D98"/>
    <w:rsid w:val="00683D99"/>
    <w:rsid w:val="00684079"/>
    <w:rsid w:val="00684482"/>
    <w:rsid w:val="0068484C"/>
    <w:rsid w:val="0068489C"/>
    <w:rsid w:val="006848EE"/>
    <w:rsid w:val="006856AA"/>
    <w:rsid w:val="0068629B"/>
    <w:rsid w:val="00686425"/>
    <w:rsid w:val="0068645C"/>
    <w:rsid w:val="006865C2"/>
    <w:rsid w:val="00686C12"/>
    <w:rsid w:val="00686C91"/>
    <w:rsid w:val="00686D75"/>
    <w:rsid w:val="006870D6"/>
    <w:rsid w:val="006872D8"/>
    <w:rsid w:val="0068736A"/>
    <w:rsid w:val="0068749F"/>
    <w:rsid w:val="00687D17"/>
    <w:rsid w:val="00690024"/>
    <w:rsid w:val="0069024D"/>
    <w:rsid w:val="006903A4"/>
    <w:rsid w:val="00690CAA"/>
    <w:rsid w:val="00690EFB"/>
    <w:rsid w:val="0069137B"/>
    <w:rsid w:val="006913EC"/>
    <w:rsid w:val="006914B7"/>
    <w:rsid w:val="00691742"/>
    <w:rsid w:val="00691A66"/>
    <w:rsid w:val="00691DEE"/>
    <w:rsid w:val="00692242"/>
    <w:rsid w:val="0069236E"/>
    <w:rsid w:val="0069256F"/>
    <w:rsid w:val="0069263F"/>
    <w:rsid w:val="00692704"/>
    <w:rsid w:val="00692A9C"/>
    <w:rsid w:val="00692D88"/>
    <w:rsid w:val="00692E67"/>
    <w:rsid w:val="00692F9E"/>
    <w:rsid w:val="00693ACF"/>
    <w:rsid w:val="00693EE5"/>
    <w:rsid w:val="00694081"/>
    <w:rsid w:val="006944C5"/>
    <w:rsid w:val="00694B8D"/>
    <w:rsid w:val="006951DB"/>
    <w:rsid w:val="0069561C"/>
    <w:rsid w:val="00695634"/>
    <w:rsid w:val="00695CA9"/>
    <w:rsid w:val="0069600D"/>
    <w:rsid w:val="006963AE"/>
    <w:rsid w:val="00697053"/>
    <w:rsid w:val="0069732F"/>
    <w:rsid w:val="00697912"/>
    <w:rsid w:val="006A02DC"/>
    <w:rsid w:val="006A0402"/>
    <w:rsid w:val="006A066A"/>
    <w:rsid w:val="006A06CA"/>
    <w:rsid w:val="006A083E"/>
    <w:rsid w:val="006A0D86"/>
    <w:rsid w:val="006A0FFD"/>
    <w:rsid w:val="006A1170"/>
    <w:rsid w:val="006A14A3"/>
    <w:rsid w:val="006A159D"/>
    <w:rsid w:val="006A18BF"/>
    <w:rsid w:val="006A1AD3"/>
    <w:rsid w:val="006A1D3E"/>
    <w:rsid w:val="006A1F58"/>
    <w:rsid w:val="006A242E"/>
    <w:rsid w:val="006A26AB"/>
    <w:rsid w:val="006A298D"/>
    <w:rsid w:val="006A2BB4"/>
    <w:rsid w:val="006A2F80"/>
    <w:rsid w:val="006A3CD3"/>
    <w:rsid w:val="006A3F19"/>
    <w:rsid w:val="006A3FD6"/>
    <w:rsid w:val="006A4076"/>
    <w:rsid w:val="006A436F"/>
    <w:rsid w:val="006A4E5B"/>
    <w:rsid w:val="006A4FA5"/>
    <w:rsid w:val="006A59D8"/>
    <w:rsid w:val="006A5A4B"/>
    <w:rsid w:val="006A62F1"/>
    <w:rsid w:val="006A673F"/>
    <w:rsid w:val="006A6B7B"/>
    <w:rsid w:val="006A6BD1"/>
    <w:rsid w:val="006A7279"/>
    <w:rsid w:val="006A77B1"/>
    <w:rsid w:val="006A7855"/>
    <w:rsid w:val="006A78F8"/>
    <w:rsid w:val="006A7A03"/>
    <w:rsid w:val="006A7C26"/>
    <w:rsid w:val="006A7CD2"/>
    <w:rsid w:val="006A7E27"/>
    <w:rsid w:val="006B010E"/>
    <w:rsid w:val="006B03CA"/>
    <w:rsid w:val="006B0494"/>
    <w:rsid w:val="006B091F"/>
    <w:rsid w:val="006B0B1E"/>
    <w:rsid w:val="006B0CAF"/>
    <w:rsid w:val="006B0ED0"/>
    <w:rsid w:val="006B0EED"/>
    <w:rsid w:val="006B147E"/>
    <w:rsid w:val="006B14F8"/>
    <w:rsid w:val="006B1DF6"/>
    <w:rsid w:val="006B233F"/>
    <w:rsid w:val="006B275E"/>
    <w:rsid w:val="006B28EA"/>
    <w:rsid w:val="006B2B2C"/>
    <w:rsid w:val="006B2DA3"/>
    <w:rsid w:val="006B2FBB"/>
    <w:rsid w:val="006B378A"/>
    <w:rsid w:val="006B3BD5"/>
    <w:rsid w:val="006B4185"/>
    <w:rsid w:val="006B4224"/>
    <w:rsid w:val="006B4493"/>
    <w:rsid w:val="006B453E"/>
    <w:rsid w:val="006B4772"/>
    <w:rsid w:val="006B4B62"/>
    <w:rsid w:val="006B53DC"/>
    <w:rsid w:val="006B5423"/>
    <w:rsid w:val="006B5855"/>
    <w:rsid w:val="006B5AB2"/>
    <w:rsid w:val="006B5BB6"/>
    <w:rsid w:val="006B5BC7"/>
    <w:rsid w:val="006B5C67"/>
    <w:rsid w:val="006B6B5D"/>
    <w:rsid w:val="006B6BF6"/>
    <w:rsid w:val="006B6C0D"/>
    <w:rsid w:val="006B7652"/>
    <w:rsid w:val="006B7A88"/>
    <w:rsid w:val="006C031D"/>
    <w:rsid w:val="006C08D5"/>
    <w:rsid w:val="006C166D"/>
    <w:rsid w:val="006C1818"/>
    <w:rsid w:val="006C1BA7"/>
    <w:rsid w:val="006C1D7E"/>
    <w:rsid w:val="006C1F8B"/>
    <w:rsid w:val="006C2721"/>
    <w:rsid w:val="006C2B18"/>
    <w:rsid w:val="006C2BE5"/>
    <w:rsid w:val="006C316A"/>
    <w:rsid w:val="006C3674"/>
    <w:rsid w:val="006C3868"/>
    <w:rsid w:val="006C38FF"/>
    <w:rsid w:val="006C3E6E"/>
    <w:rsid w:val="006C3EC0"/>
    <w:rsid w:val="006C3EEA"/>
    <w:rsid w:val="006C3F92"/>
    <w:rsid w:val="006C42FA"/>
    <w:rsid w:val="006C43A6"/>
    <w:rsid w:val="006C4694"/>
    <w:rsid w:val="006C4A4A"/>
    <w:rsid w:val="006C4E89"/>
    <w:rsid w:val="006C53EB"/>
    <w:rsid w:val="006C5434"/>
    <w:rsid w:val="006C5D29"/>
    <w:rsid w:val="006C6277"/>
    <w:rsid w:val="006C650D"/>
    <w:rsid w:val="006C69A5"/>
    <w:rsid w:val="006C6FA0"/>
    <w:rsid w:val="006C702F"/>
    <w:rsid w:val="006C7740"/>
    <w:rsid w:val="006D0389"/>
    <w:rsid w:val="006D03CD"/>
    <w:rsid w:val="006D07E5"/>
    <w:rsid w:val="006D0848"/>
    <w:rsid w:val="006D0BA5"/>
    <w:rsid w:val="006D0C15"/>
    <w:rsid w:val="006D0D8B"/>
    <w:rsid w:val="006D0FBF"/>
    <w:rsid w:val="006D10DC"/>
    <w:rsid w:val="006D10F2"/>
    <w:rsid w:val="006D11C4"/>
    <w:rsid w:val="006D1586"/>
    <w:rsid w:val="006D19C1"/>
    <w:rsid w:val="006D258E"/>
    <w:rsid w:val="006D2785"/>
    <w:rsid w:val="006D2827"/>
    <w:rsid w:val="006D2848"/>
    <w:rsid w:val="006D2B19"/>
    <w:rsid w:val="006D2EC9"/>
    <w:rsid w:val="006D336E"/>
    <w:rsid w:val="006D3592"/>
    <w:rsid w:val="006D3A05"/>
    <w:rsid w:val="006D3B62"/>
    <w:rsid w:val="006D3EF8"/>
    <w:rsid w:val="006D3FDF"/>
    <w:rsid w:val="006D4527"/>
    <w:rsid w:val="006D4A72"/>
    <w:rsid w:val="006D4B05"/>
    <w:rsid w:val="006D4F86"/>
    <w:rsid w:val="006D5B35"/>
    <w:rsid w:val="006D5F98"/>
    <w:rsid w:val="006D6237"/>
    <w:rsid w:val="006D6665"/>
    <w:rsid w:val="006D7098"/>
    <w:rsid w:val="006D740E"/>
    <w:rsid w:val="006D779A"/>
    <w:rsid w:val="006D7F72"/>
    <w:rsid w:val="006E00B7"/>
    <w:rsid w:val="006E0E29"/>
    <w:rsid w:val="006E0E5B"/>
    <w:rsid w:val="006E12A0"/>
    <w:rsid w:val="006E154E"/>
    <w:rsid w:val="006E17DD"/>
    <w:rsid w:val="006E1AF3"/>
    <w:rsid w:val="006E2F03"/>
    <w:rsid w:val="006E3023"/>
    <w:rsid w:val="006E3369"/>
    <w:rsid w:val="006E3525"/>
    <w:rsid w:val="006E3D12"/>
    <w:rsid w:val="006E4234"/>
    <w:rsid w:val="006E449C"/>
    <w:rsid w:val="006E4713"/>
    <w:rsid w:val="006E4726"/>
    <w:rsid w:val="006E4A1C"/>
    <w:rsid w:val="006E4E72"/>
    <w:rsid w:val="006E4E82"/>
    <w:rsid w:val="006E50D0"/>
    <w:rsid w:val="006E56FE"/>
    <w:rsid w:val="006E5F41"/>
    <w:rsid w:val="006E643E"/>
    <w:rsid w:val="006E64BD"/>
    <w:rsid w:val="006E663E"/>
    <w:rsid w:val="006E6EDF"/>
    <w:rsid w:val="006E6FEA"/>
    <w:rsid w:val="006E7BA5"/>
    <w:rsid w:val="006E7E8C"/>
    <w:rsid w:val="006F01B0"/>
    <w:rsid w:val="006F01E8"/>
    <w:rsid w:val="006F02D7"/>
    <w:rsid w:val="006F0864"/>
    <w:rsid w:val="006F0EBB"/>
    <w:rsid w:val="006F0FCF"/>
    <w:rsid w:val="006F1177"/>
    <w:rsid w:val="006F174D"/>
    <w:rsid w:val="006F1A6A"/>
    <w:rsid w:val="006F1C00"/>
    <w:rsid w:val="006F1E96"/>
    <w:rsid w:val="006F21C0"/>
    <w:rsid w:val="006F2706"/>
    <w:rsid w:val="006F2990"/>
    <w:rsid w:val="006F2B33"/>
    <w:rsid w:val="006F2D24"/>
    <w:rsid w:val="006F2F8E"/>
    <w:rsid w:val="006F34BB"/>
    <w:rsid w:val="006F352A"/>
    <w:rsid w:val="006F37F7"/>
    <w:rsid w:val="006F3909"/>
    <w:rsid w:val="006F4036"/>
    <w:rsid w:val="006F41CC"/>
    <w:rsid w:val="006F4284"/>
    <w:rsid w:val="006F428E"/>
    <w:rsid w:val="006F48E1"/>
    <w:rsid w:val="006F4B9B"/>
    <w:rsid w:val="006F4CCE"/>
    <w:rsid w:val="006F4FA0"/>
    <w:rsid w:val="006F5096"/>
    <w:rsid w:val="006F5160"/>
    <w:rsid w:val="006F5374"/>
    <w:rsid w:val="006F60DF"/>
    <w:rsid w:val="006F64DE"/>
    <w:rsid w:val="006F6766"/>
    <w:rsid w:val="006F68C1"/>
    <w:rsid w:val="006F6CE2"/>
    <w:rsid w:val="006F6E10"/>
    <w:rsid w:val="006F7A2E"/>
    <w:rsid w:val="006F7A80"/>
    <w:rsid w:val="007004E2"/>
    <w:rsid w:val="00700F4A"/>
    <w:rsid w:val="00700F57"/>
    <w:rsid w:val="007014F8"/>
    <w:rsid w:val="0070150D"/>
    <w:rsid w:val="007016D2"/>
    <w:rsid w:val="007018D8"/>
    <w:rsid w:val="00701979"/>
    <w:rsid w:val="00701C6E"/>
    <w:rsid w:val="007029E8"/>
    <w:rsid w:val="00703107"/>
    <w:rsid w:val="00703138"/>
    <w:rsid w:val="0070315D"/>
    <w:rsid w:val="00703277"/>
    <w:rsid w:val="0070356D"/>
    <w:rsid w:val="007038A6"/>
    <w:rsid w:val="00703981"/>
    <w:rsid w:val="007039A6"/>
    <w:rsid w:val="00703B92"/>
    <w:rsid w:val="00703CD7"/>
    <w:rsid w:val="00703CDF"/>
    <w:rsid w:val="00703D7E"/>
    <w:rsid w:val="00703E73"/>
    <w:rsid w:val="0070495F"/>
    <w:rsid w:val="00704A08"/>
    <w:rsid w:val="00704B6E"/>
    <w:rsid w:val="00704F10"/>
    <w:rsid w:val="00704F73"/>
    <w:rsid w:val="0070508D"/>
    <w:rsid w:val="007052F5"/>
    <w:rsid w:val="0070542E"/>
    <w:rsid w:val="00705849"/>
    <w:rsid w:val="00705949"/>
    <w:rsid w:val="00705A8B"/>
    <w:rsid w:val="00705E33"/>
    <w:rsid w:val="0070604A"/>
    <w:rsid w:val="007060D4"/>
    <w:rsid w:val="0070624C"/>
    <w:rsid w:val="00706451"/>
    <w:rsid w:val="00707724"/>
    <w:rsid w:val="00707E0F"/>
    <w:rsid w:val="007104D4"/>
    <w:rsid w:val="0071068A"/>
    <w:rsid w:val="007106CE"/>
    <w:rsid w:val="00710E19"/>
    <w:rsid w:val="00710E52"/>
    <w:rsid w:val="007114C9"/>
    <w:rsid w:val="0071154B"/>
    <w:rsid w:val="0071174F"/>
    <w:rsid w:val="0071196A"/>
    <w:rsid w:val="007120FD"/>
    <w:rsid w:val="0071243C"/>
    <w:rsid w:val="007129A4"/>
    <w:rsid w:val="007130CA"/>
    <w:rsid w:val="007131CF"/>
    <w:rsid w:val="007133C0"/>
    <w:rsid w:val="00713613"/>
    <w:rsid w:val="007137C6"/>
    <w:rsid w:val="007138FC"/>
    <w:rsid w:val="0071393D"/>
    <w:rsid w:val="00713BEF"/>
    <w:rsid w:val="00713E79"/>
    <w:rsid w:val="00714073"/>
    <w:rsid w:val="00714245"/>
    <w:rsid w:val="00715441"/>
    <w:rsid w:val="00715739"/>
    <w:rsid w:val="0071576C"/>
    <w:rsid w:val="00715C94"/>
    <w:rsid w:val="007165F0"/>
    <w:rsid w:val="0071671B"/>
    <w:rsid w:val="00716759"/>
    <w:rsid w:val="00716A09"/>
    <w:rsid w:val="007170DB"/>
    <w:rsid w:val="00717847"/>
    <w:rsid w:val="00717880"/>
    <w:rsid w:val="00717CA8"/>
    <w:rsid w:val="007205E7"/>
    <w:rsid w:val="007209C4"/>
    <w:rsid w:val="00721E9E"/>
    <w:rsid w:val="00722246"/>
    <w:rsid w:val="0072247D"/>
    <w:rsid w:val="007227FE"/>
    <w:rsid w:val="007233C3"/>
    <w:rsid w:val="007238D7"/>
    <w:rsid w:val="00723C95"/>
    <w:rsid w:val="007244E7"/>
    <w:rsid w:val="0072505F"/>
    <w:rsid w:val="00725261"/>
    <w:rsid w:val="00725B00"/>
    <w:rsid w:val="00725E9F"/>
    <w:rsid w:val="00726012"/>
    <w:rsid w:val="0072680C"/>
    <w:rsid w:val="00726B3D"/>
    <w:rsid w:val="00726C64"/>
    <w:rsid w:val="00727FCC"/>
    <w:rsid w:val="007302C6"/>
    <w:rsid w:val="007307FA"/>
    <w:rsid w:val="007310B7"/>
    <w:rsid w:val="00731237"/>
    <w:rsid w:val="00731245"/>
    <w:rsid w:val="00731A22"/>
    <w:rsid w:val="0073207E"/>
    <w:rsid w:val="00732523"/>
    <w:rsid w:val="00732664"/>
    <w:rsid w:val="007328B9"/>
    <w:rsid w:val="00732BA7"/>
    <w:rsid w:val="007333EA"/>
    <w:rsid w:val="00733601"/>
    <w:rsid w:val="00733A57"/>
    <w:rsid w:val="00733F36"/>
    <w:rsid w:val="00733F6F"/>
    <w:rsid w:val="007340CE"/>
    <w:rsid w:val="00734781"/>
    <w:rsid w:val="007349FC"/>
    <w:rsid w:val="00734B6F"/>
    <w:rsid w:val="00734DFD"/>
    <w:rsid w:val="00734FF5"/>
    <w:rsid w:val="007351A5"/>
    <w:rsid w:val="00735293"/>
    <w:rsid w:val="00735376"/>
    <w:rsid w:val="0073558F"/>
    <w:rsid w:val="007363EA"/>
    <w:rsid w:val="00736A02"/>
    <w:rsid w:val="00736E06"/>
    <w:rsid w:val="00736E37"/>
    <w:rsid w:val="00737286"/>
    <w:rsid w:val="007373DB"/>
    <w:rsid w:val="00737847"/>
    <w:rsid w:val="00737F27"/>
    <w:rsid w:val="00737FD3"/>
    <w:rsid w:val="00740240"/>
    <w:rsid w:val="007403D5"/>
    <w:rsid w:val="007407DB"/>
    <w:rsid w:val="00740AF0"/>
    <w:rsid w:val="00740BFC"/>
    <w:rsid w:val="00740E4A"/>
    <w:rsid w:val="00740F76"/>
    <w:rsid w:val="00741037"/>
    <w:rsid w:val="00741D4D"/>
    <w:rsid w:val="00742088"/>
    <w:rsid w:val="007422B3"/>
    <w:rsid w:val="00742402"/>
    <w:rsid w:val="007424BF"/>
    <w:rsid w:val="00742997"/>
    <w:rsid w:val="00743442"/>
    <w:rsid w:val="007435F1"/>
    <w:rsid w:val="00743DDD"/>
    <w:rsid w:val="00744620"/>
    <w:rsid w:val="00744625"/>
    <w:rsid w:val="007446BB"/>
    <w:rsid w:val="00744AF1"/>
    <w:rsid w:val="00744C06"/>
    <w:rsid w:val="007455BB"/>
    <w:rsid w:val="00745882"/>
    <w:rsid w:val="00745A04"/>
    <w:rsid w:val="00745A0F"/>
    <w:rsid w:val="00745C91"/>
    <w:rsid w:val="00745DFD"/>
    <w:rsid w:val="00746048"/>
    <w:rsid w:val="00746197"/>
    <w:rsid w:val="0074689C"/>
    <w:rsid w:val="00746B3F"/>
    <w:rsid w:val="00747117"/>
    <w:rsid w:val="00747314"/>
    <w:rsid w:val="007473A9"/>
    <w:rsid w:val="007479C2"/>
    <w:rsid w:val="00747B0D"/>
    <w:rsid w:val="00747BB8"/>
    <w:rsid w:val="007501EC"/>
    <w:rsid w:val="007503EA"/>
    <w:rsid w:val="00750C74"/>
    <w:rsid w:val="00751452"/>
    <w:rsid w:val="007521A5"/>
    <w:rsid w:val="00752488"/>
    <w:rsid w:val="00753566"/>
    <w:rsid w:val="00753704"/>
    <w:rsid w:val="00753959"/>
    <w:rsid w:val="00753A39"/>
    <w:rsid w:val="00753DD6"/>
    <w:rsid w:val="00754A4A"/>
    <w:rsid w:val="00754FC1"/>
    <w:rsid w:val="00755466"/>
    <w:rsid w:val="007566FB"/>
    <w:rsid w:val="007567A8"/>
    <w:rsid w:val="00756D6A"/>
    <w:rsid w:val="0075728B"/>
    <w:rsid w:val="007575F6"/>
    <w:rsid w:val="0075761B"/>
    <w:rsid w:val="00760141"/>
    <w:rsid w:val="0076043F"/>
    <w:rsid w:val="00760D17"/>
    <w:rsid w:val="00760E3D"/>
    <w:rsid w:val="00760F66"/>
    <w:rsid w:val="00761150"/>
    <w:rsid w:val="007611F8"/>
    <w:rsid w:val="00761200"/>
    <w:rsid w:val="00761931"/>
    <w:rsid w:val="00761BD1"/>
    <w:rsid w:val="007627BA"/>
    <w:rsid w:val="0076291E"/>
    <w:rsid w:val="00762B16"/>
    <w:rsid w:val="00762C76"/>
    <w:rsid w:val="00762D81"/>
    <w:rsid w:val="0076317B"/>
    <w:rsid w:val="007634D0"/>
    <w:rsid w:val="00763541"/>
    <w:rsid w:val="007643D5"/>
    <w:rsid w:val="0076473C"/>
    <w:rsid w:val="00765366"/>
    <w:rsid w:val="00765914"/>
    <w:rsid w:val="00765F7A"/>
    <w:rsid w:val="0076614D"/>
    <w:rsid w:val="0076624C"/>
    <w:rsid w:val="0076627D"/>
    <w:rsid w:val="00766304"/>
    <w:rsid w:val="007668D4"/>
    <w:rsid w:val="00766AAD"/>
    <w:rsid w:val="00767A28"/>
    <w:rsid w:val="00767DD2"/>
    <w:rsid w:val="00770264"/>
    <w:rsid w:val="0077082B"/>
    <w:rsid w:val="00770E60"/>
    <w:rsid w:val="007710D0"/>
    <w:rsid w:val="00771C8F"/>
    <w:rsid w:val="0077266E"/>
    <w:rsid w:val="0077292E"/>
    <w:rsid w:val="00772A5F"/>
    <w:rsid w:val="00772FED"/>
    <w:rsid w:val="007737D4"/>
    <w:rsid w:val="007737D8"/>
    <w:rsid w:val="0077391C"/>
    <w:rsid w:val="00773D24"/>
    <w:rsid w:val="00774375"/>
    <w:rsid w:val="00774576"/>
    <w:rsid w:val="007745DA"/>
    <w:rsid w:val="007746C2"/>
    <w:rsid w:val="0077508A"/>
    <w:rsid w:val="00775475"/>
    <w:rsid w:val="00775567"/>
    <w:rsid w:val="00775E0D"/>
    <w:rsid w:val="00776343"/>
    <w:rsid w:val="00776416"/>
    <w:rsid w:val="00776C7B"/>
    <w:rsid w:val="00776CEF"/>
    <w:rsid w:val="00777423"/>
    <w:rsid w:val="00777DA3"/>
    <w:rsid w:val="00777E7E"/>
    <w:rsid w:val="00777EFA"/>
    <w:rsid w:val="007804DD"/>
    <w:rsid w:val="00780663"/>
    <w:rsid w:val="00780C09"/>
    <w:rsid w:val="00780EC1"/>
    <w:rsid w:val="00780F3B"/>
    <w:rsid w:val="0078115B"/>
    <w:rsid w:val="007816EE"/>
    <w:rsid w:val="00781C50"/>
    <w:rsid w:val="00781E77"/>
    <w:rsid w:val="00782071"/>
    <w:rsid w:val="00782432"/>
    <w:rsid w:val="00782783"/>
    <w:rsid w:val="00782946"/>
    <w:rsid w:val="00782ECD"/>
    <w:rsid w:val="0078324C"/>
    <w:rsid w:val="007835E1"/>
    <w:rsid w:val="0078363B"/>
    <w:rsid w:val="00783CCF"/>
    <w:rsid w:val="00783F5B"/>
    <w:rsid w:val="00784609"/>
    <w:rsid w:val="00784720"/>
    <w:rsid w:val="0078481D"/>
    <w:rsid w:val="00784D91"/>
    <w:rsid w:val="007855E1"/>
    <w:rsid w:val="007859FC"/>
    <w:rsid w:val="00785B55"/>
    <w:rsid w:val="00785F1E"/>
    <w:rsid w:val="00785F4C"/>
    <w:rsid w:val="0078609C"/>
    <w:rsid w:val="00786355"/>
    <w:rsid w:val="0078678B"/>
    <w:rsid w:val="007867D3"/>
    <w:rsid w:val="00787370"/>
    <w:rsid w:val="007874AE"/>
    <w:rsid w:val="0078750B"/>
    <w:rsid w:val="00787A31"/>
    <w:rsid w:val="00787F5E"/>
    <w:rsid w:val="0079024D"/>
    <w:rsid w:val="00791069"/>
    <w:rsid w:val="007911B8"/>
    <w:rsid w:val="00791DAE"/>
    <w:rsid w:val="007926AF"/>
    <w:rsid w:val="00792872"/>
    <w:rsid w:val="007930E8"/>
    <w:rsid w:val="00793747"/>
    <w:rsid w:val="00793759"/>
    <w:rsid w:val="00793A57"/>
    <w:rsid w:val="00793A9C"/>
    <w:rsid w:val="00793D67"/>
    <w:rsid w:val="00793EF6"/>
    <w:rsid w:val="00793F28"/>
    <w:rsid w:val="007944D2"/>
    <w:rsid w:val="0079457A"/>
    <w:rsid w:val="007945A9"/>
    <w:rsid w:val="00794AC7"/>
    <w:rsid w:val="00794B19"/>
    <w:rsid w:val="00794B83"/>
    <w:rsid w:val="00794FFA"/>
    <w:rsid w:val="00795B8D"/>
    <w:rsid w:val="00795E34"/>
    <w:rsid w:val="00795F0E"/>
    <w:rsid w:val="007961D5"/>
    <w:rsid w:val="00796B21"/>
    <w:rsid w:val="007973B9"/>
    <w:rsid w:val="0079798B"/>
    <w:rsid w:val="00797D8F"/>
    <w:rsid w:val="007A0501"/>
    <w:rsid w:val="007A0C00"/>
    <w:rsid w:val="007A0E15"/>
    <w:rsid w:val="007A137F"/>
    <w:rsid w:val="007A176E"/>
    <w:rsid w:val="007A18A2"/>
    <w:rsid w:val="007A19BF"/>
    <w:rsid w:val="007A1D59"/>
    <w:rsid w:val="007A211D"/>
    <w:rsid w:val="007A23CE"/>
    <w:rsid w:val="007A2A69"/>
    <w:rsid w:val="007A2CF1"/>
    <w:rsid w:val="007A3290"/>
    <w:rsid w:val="007A349D"/>
    <w:rsid w:val="007A3579"/>
    <w:rsid w:val="007A384E"/>
    <w:rsid w:val="007A3DA8"/>
    <w:rsid w:val="007A3EDF"/>
    <w:rsid w:val="007A41B5"/>
    <w:rsid w:val="007A41E2"/>
    <w:rsid w:val="007A4486"/>
    <w:rsid w:val="007A4682"/>
    <w:rsid w:val="007A4DDF"/>
    <w:rsid w:val="007A5879"/>
    <w:rsid w:val="007A58A8"/>
    <w:rsid w:val="007A5B3D"/>
    <w:rsid w:val="007A5BDC"/>
    <w:rsid w:val="007A6194"/>
    <w:rsid w:val="007A6276"/>
    <w:rsid w:val="007A629D"/>
    <w:rsid w:val="007A64DF"/>
    <w:rsid w:val="007A6610"/>
    <w:rsid w:val="007A69FA"/>
    <w:rsid w:val="007A6D51"/>
    <w:rsid w:val="007A6DD3"/>
    <w:rsid w:val="007A6FF3"/>
    <w:rsid w:val="007A70BB"/>
    <w:rsid w:val="007A714F"/>
    <w:rsid w:val="007A7169"/>
    <w:rsid w:val="007A71DC"/>
    <w:rsid w:val="007A76B8"/>
    <w:rsid w:val="007A7963"/>
    <w:rsid w:val="007A7A04"/>
    <w:rsid w:val="007B04FF"/>
    <w:rsid w:val="007B0976"/>
    <w:rsid w:val="007B0CAC"/>
    <w:rsid w:val="007B149B"/>
    <w:rsid w:val="007B15F3"/>
    <w:rsid w:val="007B1701"/>
    <w:rsid w:val="007B1B5F"/>
    <w:rsid w:val="007B1C32"/>
    <w:rsid w:val="007B1DBB"/>
    <w:rsid w:val="007B1E0F"/>
    <w:rsid w:val="007B2319"/>
    <w:rsid w:val="007B2DBF"/>
    <w:rsid w:val="007B2FBF"/>
    <w:rsid w:val="007B3BCD"/>
    <w:rsid w:val="007B3E13"/>
    <w:rsid w:val="007B4044"/>
    <w:rsid w:val="007B4046"/>
    <w:rsid w:val="007B4300"/>
    <w:rsid w:val="007B4DF0"/>
    <w:rsid w:val="007B4FCE"/>
    <w:rsid w:val="007B520F"/>
    <w:rsid w:val="007B55D5"/>
    <w:rsid w:val="007B5602"/>
    <w:rsid w:val="007B565C"/>
    <w:rsid w:val="007B595F"/>
    <w:rsid w:val="007B5D75"/>
    <w:rsid w:val="007B5E97"/>
    <w:rsid w:val="007B6177"/>
    <w:rsid w:val="007B63C4"/>
    <w:rsid w:val="007B6D5E"/>
    <w:rsid w:val="007B7115"/>
    <w:rsid w:val="007B736B"/>
    <w:rsid w:val="007B7851"/>
    <w:rsid w:val="007C012E"/>
    <w:rsid w:val="007C055A"/>
    <w:rsid w:val="007C0853"/>
    <w:rsid w:val="007C0C90"/>
    <w:rsid w:val="007C0E07"/>
    <w:rsid w:val="007C0E86"/>
    <w:rsid w:val="007C1CD7"/>
    <w:rsid w:val="007C1D04"/>
    <w:rsid w:val="007C21CD"/>
    <w:rsid w:val="007C249E"/>
    <w:rsid w:val="007C26CF"/>
    <w:rsid w:val="007C271B"/>
    <w:rsid w:val="007C2C14"/>
    <w:rsid w:val="007C2D63"/>
    <w:rsid w:val="007C2ECF"/>
    <w:rsid w:val="007C3A55"/>
    <w:rsid w:val="007C3D67"/>
    <w:rsid w:val="007C404B"/>
    <w:rsid w:val="007C4166"/>
    <w:rsid w:val="007C44E1"/>
    <w:rsid w:val="007C479E"/>
    <w:rsid w:val="007C48DD"/>
    <w:rsid w:val="007C4A05"/>
    <w:rsid w:val="007C5711"/>
    <w:rsid w:val="007C57B9"/>
    <w:rsid w:val="007C5969"/>
    <w:rsid w:val="007C6325"/>
    <w:rsid w:val="007C6CAD"/>
    <w:rsid w:val="007C73A3"/>
    <w:rsid w:val="007C7669"/>
    <w:rsid w:val="007C7975"/>
    <w:rsid w:val="007C7CC3"/>
    <w:rsid w:val="007C7EF5"/>
    <w:rsid w:val="007D003E"/>
    <w:rsid w:val="007D0227"/>
    <w:rsid w:val="007D0500"/>
    <w:rsid w:val="007D061F"/>
    <w:rsid w:val="007D06AC"/>
    <w:rsid w:val="007D0741"/>
    <w:rsid w:val="007D09C6"/>
    <w:rsid w:val="007D0A53"/>
    <w:rsid w:val="007D0FFC"/>
    <w:rsid w:val="007D1013"/>
    <w:rsid w:val="007D140E"/>
    <w:rsid w:val="007D1618"/>
    <w:rsid w:val="007D1794"/>
    <w:rsid w:val="007D19AD"/>
    <w:rsid w:val="007D19EC"/>
    <w:rsid w:val="007D1B28"/>
    <w:rsid w:val="007D2608"/>
    <w:rsid w:val="007D30C3"/>
    <w:rsid w:val="007D315E"/>
    <w:rsid w:val="007D3351"/>
    <w:rsid w:val="007D35AC"/>
    <w:rsid w:val="007D36B1"/>
    <w:rsid w:val="007D36D7"/>
    <w:rsid w:val="007D3BA1"/>
    <w:rsid w:val="007D3EC8"/>
    <w:rsid w:val="007D3FAA"/>
    <w:rsid w:val="007D4074"/>
    <w:rsid w:val="007D40AC"/>
    <w:rsid w:val="007D4317"/>
    <w:rsid w:val="007D45D6"/>
    <w:rsid w:val="007D4C12"/>
    <w:rsid w:val="007D4E34"/>
    <w:rsid w:val="007D57E0"/>
    <w:rsid w:val="007D5962"/>
    <w:rsid w:val="007D5A2B"/>
    <w:rsid w:val="007D6213"/>
    <w:rsid w:val="007D63B2"/>
    <w:rsid w:val="007D651D"/>
    <w:rsid w:val="007D6FEE"/>
    <w:rsid w:val="007D71B7"/>
    <w:rsid w:val="007D73D5"/>
    <w:rsid w:val="007D7C66"/>
    <w:rsid w:val="007D7CF3"/>
    <w:rsid w:val="007D7DC0"/>
    <w:rsid w:val="007E0274"/>
    <w:rsid w:val="007E02A7"/>
    <w:rsid w:val="007E0358"/>
    <w:rsid w:val="007E0415"/>
    <w:rsid w:val="007E0991"/>
    <w:rsid w:val="007E0B2C"/>
    <w:rsid w:val="007E0BD1"/>
    <w:rsid w:val="007E0F93"/>
    <w:rsid w:val="007E107F"/>
    <w:rsid w:val="007E22C2"/>
    <w:rsid w:val="007E2463"/>
    <w:rsid w:val="007E264C"/>
    <w:rsid w:val="007E2FD7"/>
    <w:rsid w:val="007E310B"/>
    <w:rsid w:val="007E3275"/>
    <w:rsid w:val="007E38DA"/>
    <w:rsid w:val="007E3D65"/>
    <w:rsid w:val="007E3EE2"/>
    <w:rsid w:val="007E47E7"/>
    <w:rsid w:val="007E4A98"/>
    <w:rsid w:val="007E4EB6"/>
    <w:rsid w:val="007E5DD7"/>
    <w:rsid w:val="007E6228"/>
    <w:rsid w:val="007E6636"/>
    <w:rsid w:val="007E6A2D"/>
    <w:rsid w:val="007E6FB9"/>
    <w:rsid w:val="007E709D"/>
    <w:rsid w:val="007E7139"/>
    <w:rsid w:val="007E7366"/>
    <w:rsid w:val="007E7499"/>
    <w:rsid w:val="007E7805"/>
    <w:rsid w:val="007E7EA1"/>
    <w:rsid w:val="007E7EA4"/>
    <w:rsid w:val="007E7FC5"/>
    <w:rsid w:val="007F03CE"/>
    <w:rsid w:val="007F04D3"/>
    <w:rsid w:val="007F0F0B"/>
    <w:rsid w:val="007F113C"/>
    <w:rsid w:val="007F137D"/>
    <w:rsid w:val="007F17B5"/>
    <w:rsid w:val="007F182A"/>
    <w:rsid w:val="007F234A"/>
    <w:rsid w:val="007F25BA"/>
    <w:rsid w:val="007F2D8D"/>
    <w:rsid w:val="007F2EBF"/>
    <w:rsid w:val="007F3044"/>
    <w:rsid w:val="007F3249"/>
    <w:rsid w:val="007F36DC"/>
    <w:rsid w:val="007F3704"/>
    <w:rsid w:val="007F4657"/>
    <w:rsid w:val="007F4A02"/>
    <w:rsid w:val="007F5609"/>
    <w:rsid w:val="007F5625"/>
    <w:rsid w:val="007F568A"/>
    <w:rsid w:val="007F59F7"/>
    <w:rsid w:val="007F5E21"/>
    <w:rsid w:val="007F6413"/>
    <w:rsid w:val="007F676E"/>
    <w:rsid w:val="007F6B11"/>
    <w:rsid w:val="007F6E2B"/>
    <w:rsid w:val="007F7D12"/>
    <w:rsid w:val="007F7F02"/>
    <w:rsid w:val="0080005F"/>
    <w:rsid w:val="00800258"/>
    <w:rsid w:val="00800C97"/>
    <w:rsid w:val="00801C16"/>
    <w:rsid w:val="0080220F"/>
    <w:rsid w:val="008022B6"/>
    <w:rsid w:val="008026A7"/>
    <w:rsid w:val="00802735"/>
    <w:rsid w:val="00802770"/>
    <w:rsid w:val="008028C2"/>
    <w:rsid w:val="00802DDB"/>
    <w:rsid w:val="00802FC1"/>
    <w:rsid w:val="00803445"/>
    <w:rsid w:val="008037D8"/>
    <w:rsid w:val="00803B7E"/>
    <w:rsid w:val="00803DA6"/>
    <w:rsid w:val="00803FB9"/>
    <w:rsid w:val="008040D9"/>
    <w:rsid w:val="0080436E"/>
    <w:rsid w:val="0080473B"/>
    <w:rsid w:val="00804937"/>
    <w:rsid w:val="00804C02"/>
    <w:rsid w:val="00804C07"/>
    <w:rsid w:val="00804E1E"/>
    <w:rsid w:val="00804E43"/>
    <w:rsid w:val="008050F5"/>
    <w:rsid w:val="0080519C"/>
    <w:rsid w:val="0080553F"/>
    <w:rsid w:val="0080571C"/>
    <w:rsid w:val="0080582F"/>
    <w:rsid w:val="00805B7A"/>
    <w:rsid w:val="00805C55"/>
    <w:rsid w:val="00805E3C"/>
    <w:rsid w:val="00805E48"/>
    <w:rsid w:val="00806036"/>
    <w:rsid w:val="00806397"/>
    <w:rsid w:val="00806552"/>
    <w:rsid w:val="00807ADD"/>
    <w:rsid w:val="008108E5"/>
    <w:rsid w:val="00810BC2"/>
    <w:rsid w:val="00810C1E"/>
    <w:rsid w:val="00811647"/>
    <w:rsid w:val="00811683"/>
    <w:rsid w:val="00811AFF"/>
    <w:rsid w:val="00812373"/>
    <w:rsid w:val="00812C7C"/>
    <w:rsid w:val="00812D30"/>
    <w:rsid w:val="00813394"/>
    <w:rsid w:val="00813677"/>
    <w:rsid w:val="00813CAF"/>
    <w:rsid w:val="00813F3A"/>
    <w:rsid w:val="008140E8"/>
    <w:rsid w:val="008148D4"/>
    <w:rsid w:val="0081491F"/>
    <w:rsid w:val="00814941"/>
    <w:rsid w:val="00814A65"/>
    <w:rsid w:val="00814BD9"/>
    <w:rsid w:val="008158AC"/>
    <w:rsid w:val="00815BEC"/>
    <w:rsid w:val="00815F76"/>
    <w:rsid w:val="008161B8"/>
    <w:rsid w:val="00816805"/>
    <w:rsid w:val="00816BE8"/>
    <w:rsid w:val="00816CD5"/>
    <w:rsid w:val="00816DBD"/>
    <w:rsid w:val="00816FE2"/>
    <w:rsid w:val="00817062"/>
    <w:rsid w:val="0081739E"/>
    <w:rsid w:val="0081785D"/>
    <w:rsid w:val="00817991"/>
    <w:rsid w:val="00817F58"/>
    <w:rsid w:val="008203C5"/>
    <w:rsid w:val="00820684"/>
    <w:rsid w:val="00820B84"/>
    <w:rsid w:val="00821748"/>
    <w:rsid w:val="0082199B"/>
    <w:rsid w:val="00821C2A"/>
    <w:rsid w:val="00821C61"/>
    <w:rsid w:val="00822350"/>
    <w:rsid w:val="008227B7"/>
    <w:rsid w:val="008230E9"/>
    <w:rsid w:val="008238E7"/>
    <w:rsid w:val="00823915"/>
    <w:rsid w:val="008243A8"/>
    <w:rsid w:val="00824925"/>
    <w:rsid w:val="00824C8B"/>
    <w:rsid w:val="008252E8"/>
    <w:rsid w:val="00825BA8"/>
    <w:rsid w:val="00825C14"/>
    <w:rsid w:val="00826313"/>
    <w:rsid w:val="0082641D"/>
    <w:rsid w:val="008267CA"/>
    <w:rsid w:val="0082691A"/>
    <w:rsid w:val="00826ADE"/>
    <w:rsid w:val="00826E45"/>
    <w:rsid w:val="008270EE"/>
    <w:rsid w:val="0082722B"/>
    <w:rsid w:val="0082745B"/>
    <w:rsid w:val="00827C1B"/>
    <w:rsid w:val="00827F76"/>
    <w:rsid w:val="00827FF9"/>
    <w:rsid w:val="00830048"/>
    <w:rsid w:val="0083016B"/>
    <w:rsid w:val="008301F1"/>
    <w:rsid w:val="00830235"/>
    <w:rsid w:val="008303F1"/>
    <w:rsid w:val="008306AB"/>
    <w:rsid w:val="00830C0E"/>
    <w:rsid w:val="00830DD6"/>
    <w:rsid w:val="008313E0"/>
    <w:rsid w:val="008317EC"/>
    <w:rsid w:val="0083195D"/>
    <w:rsid w:val="00831B7B"/>
    <w:rsid w:val="00831D90"/>
    <w:rsid w:val="00832485"/>
    <w:rsid w:val="008324F3"/>
    <w:rsid w:val="00832691"/>
    <w:rsid w:val="008327F2"/>
    <w:rsid w:val="0083296B"/>
    <w:rsid w:val="00832B8A"/>
    <w:rsid w:val="00833547"/>
    <w:rsid w:val="00833852"/>
    <w:rsid w:val="00833967"/>
    <w:rsid w:val="00833AB9"/>
    <w:rsid w:val="00833B62"/>
    <w:rsid w:val="0083407C"/>
    <w:rsid w:val="0083436A"/>
    <w:rsid w:val="00834820"/>
    <w:rsid w:val="00834A6D"/>
    <w:rsid w:val="00834C82"/>
    <w:rsid w:val="00834DB6"/>
    <w:rsid w:val="00834F93"/>
    <w:rsid w:val="00835063"/>
    <w:rsid w:val="00835F72"/>
    <w:rsid w:val="00840C4A"/>
    <w:rsid w:val="00841029"/>
    <w:rsid w:val="008411B9"/>
    <w:rsid w:val="0084122F"/>
    <w:rsid w:val="00841573"/>
    <w:rsid w:val="00841D08"/>
    <w:rsid w:val="00842A0F"/>
    <w:rsid w:val="00842D43"/>
    <w:rsid w:val="0084323E"/>
    <w:rsid w:val="00843D50"/>
    <w:rsid w:val="008441D9"/>
    <w:rsid w:val="0084464E"/>
    <w:rsid w:val="008458BF"/>
    <w:rsid w:val="008461BA"/>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708"/>
    <w:rsid w:val="008529FD"/>
    <w:rsid w:val="00852F9E"/>
    <w:rsid w:val="00854053"/>
    <w:rsid w:val="008543AC"/>
    <w:rsid w:val="008548B8"/>
    <w:rsid w:val="00854965"/>
    <w:rsid w:val="008554D1"/>
    <w:rsid w:val="00855897"/>
    <w:rsid w:val="008558E0"/>
    <w:rsid w:val="00856456"/>
    <w:rsid w:val="00856570"/>
    <w:rsid w:val="008568BD"/>
    <w:rsid w:val="008569E0"/>
    <w:rsid w:val="008570C0"/>
    <w:rsid w:val="0085745B"/>
    <w:rsid w:val="00857AF7"/>
    <w:rsid w:val="00857BE5"/>
    <w:rsid w:val="00860109"/>
    <w:rsid w:val="008601BD"/>
    <w:rsid w:val="00860324"/>
    <w:rsid w:val="00860359"/>
    <w:rsid w:val="00860942"/>
    <w:rsid w:val="00860C5B"/>
    <w:rsid w:val="00860E43"/>
    <w:rsid w:val="00861252"/>
    <w:rsid w:val="008612CB"/>
    <w:rsid w:val="0086171A"/>
    <w:rsid w:val="0086226C"/>
    <w:rsid w:val="008629A1"/>
    <w:rsid w:val="008637E1"/>
    <w:rsid w:val="00863AA8"/>
    <w:rsid w:val="00863B23"/>
    <w:rsid w:val="00863C07"/>
    <w:rsid w:val="00863DD4"/>
    <w:rsid w:val="008640B7"/>
    <w:rsid w:val="00864379"/>
    <w:rsid w:val="008644A4"/>
    <w:rsid w:val="0086476A"/>
    <w:rsid w:val="00864A6C"/>
    <w:rsid w:val="00864B5C"/>
    <w:rsid w:val="00864BB1"/>
    <w:rsid w:val="00864DF7"/>
    <w:rsid w:val="00865278"/>
    <w:rsid w:val="008654F9"/>
    <w:rsid w:val="008658C0"/>
    <w:rsid w:val="00865DB2"/>
    <w:rsid w:val="00866388"/>
    <w:rsid w:val="008666E8"/>
    <w:rsid w:val="0086676C"/>
    <w:rsid w:val="00866FE3"/>
    <w:rsid w:val="0086716F"/>
    <w:rsid w:val="0086722D"/>
    <w:rsid w:val="00867459"/>
    <w:rsid w:val="00867D56"/>
    <w:rsid w:val="00867D70"/>
    <w:rsid w:val="0087018F"/>
    <w:rsid w:val="0087051D"/>
    <w:rsid w:val="00870646"/>
    <w:rsid w:val="008706C3"/>
    <w:rsid w:val="00870BAA"/>
    <w:rsid w:val="00870D91"/>
    <w:rsid w:val="008710C1"/>
    <w:rsid w:val="008716D1"/>
    <w:rsid w:val="008716ED"/>
    <w:rsid w:val="008718AD"/>
    <w:rsid w:val="0087193F"/>
    <w:rsid w:val="008724E6"/>
    <w:rsid w:val="008728C8"/>
    <w:rsid w:val="0087317F"/>
    <w:rsid w:val="00873205"/>
    <w:rsid w:val="008735E8"/>
    <w:rsid w:val="00873662"/>
    <w:rsid w:val="0087377E"/>
    <w:rsid w:val="00873A1D"/>
    <w:rsid w:val="008741EE"/>
    <w:rsid w:val="008742F7"/>
    <w:rsid w:val="00874594"/>
    <w:rsid w:val="00874776"/>
    <w:rsid w:val="0087487C"/>
    <w:rsid w:val="00874A07"/>
    <w:rsid w:val="00874B75"/>
    <w:rsid w:val="00874DCF"/>
    <w:rsid w:val="00874F2B"/>
    <w:rsid w:val="00875007"/>
    <w:rsid w:val="008750DB"/>
    <w:rsid w:val="008751B4"/>
    <w:rsid w:val="0087527F"/>
    <w:rsid w:val="008754B5"/>
    <w:rsid w:val="00875AF3"/>
    <w:rsid w:val="008765E9"/>
    <w:rsid w:val="00876605"/>
    <w:rsid w:val="00876B13"/>
    <w:rsid w:val="00876E47"/>
    <w:rsid w:val="00877940"/>
    <w:rsid w:val="00877A52"/>
    <w:rsid w:val="00877B67"/>
    <w:rsid w:val="00880017"/>
    <w:rsid w:val="00880305"/>
    <w:rsid w:val="0088088A"/>
    <w:rsid w:val="00880A3F"/>
    <w:rsid w:val="00880EE2"/>
    <w:rsid w:val="00881155"/>
    <w:rsid w:val="008813BC"/>
    <w:rsid w:val="00881604"/>
    <w:rsid w:val="00881732"/>
    <w:rsid w:val="008818A2"/>
    <w:rsid w:val="008818AC"/>
    <w:rsid w:val="00881B6D"/>
    <w:rsid w:val="00881FF9"/>
    <w:rsid w:val="0088213D"/>
    <w:rsid w:val="008821C6"/>
    <w:rsid w:val="0088243D"/>
    <w:rsid w:val="0088251A"/>
    <w:rsid w:val="00882530"/>
    <w:rsid w:val="00882D28"/>
    <w:rsid w:val="008836B1"/>
    <w:rsid w:val="00883A35"/>
    <w:rsid w:val="00883A67"/>
    <w:rsid w:val="00883E35"/>
    <w:rsid w:val="00884319"/>
    <w:rsid w:val="008848E9"/>
    <w:rsid w:val="00884B74"/>
    <w:rsid w:val="00884FD8"/>
    <w:rsid w:val="00885244"/>
    <w:rsid w:val="008857C7"/>
    <w:rsid w:val="008858B3"/>
    <w:rsid w:val="00885BF6"/>
    <w:rsid w:val="00885EAD"/>
    <w:rsid w:val="008866CF"/>
    <w:rsid w:val="00886782"/>
    <w:rsid w:val="008867F7"/>
    <w:rsid w:val="008869A1"/>
    <w:rsid w:val="00886B3F"/>
    <w:rsid w:val="00887756"/>
    <w:rsid w:val="008878B9"/>
    <w:rsid w:val="0089015D"/>
    <w:rsid w:val="0089021A"/>
    <w:rsid w:val="0089022E"/>
    <w:rsid w:val="00890475"/>
    <w:rsid w:val="00890A7C"/>
    <w:rsid w:val="00890CE5"/>
    <w:rsid w:val="00890D11"/>
    <w:rsid w:val="00891095"/>
    <w:rsid w:val="008910EE"/>
    <w:rsid w:val="00891A26"/>
    <w:rsid w:val="00891BCE"/>
    <w:rsid w:val="008921A8"/>
    <w:rsid w:val="008923F8"/>
    <w:rsid w:val="008928F1"/>
    <w:rsid w:val="00892BBF"/>
    <w:rsid w:val="00892DB5"/>
    <w:rsid w:val="0089314F"/>
    <w:rsid w:val="0089387F"/>
    <w:rsid w:val="00893F27"/>
    <w:rsid w:val="00893F8F"/>
    <w:rsid w:val="008942BD"/>
    <w:rsid w:val="008945D8"/>
    <w:rsid w:val="00894654"/>
    <w:rsid w:val="0089478A"/>
    <w:rsid w:val="0089480A"/>
    <w:rsid w:val="00894B91"/>
    <w:rsid w:val="00894D46"/>
    <w:rsid w:val="00894EF0"/>
    <w:rsid w:val="00894FE5"/>
    <w:rsid w:val="00895658"/>
    <w:rsid w:val="008956DA"/>
    <w:rsid w:val="00895BA9"/>
    <w:rsid w:val="00895D44"/>
    <w:rsid w:val="00895D79"/>
    <w:rsid w:val="0089601B"/>
    <w:rsid w:val="0089655D"/>
    <w:rsid w:val="00896784"/>
    <w:rsid w:val="00896C56"/>
    <w:rsid w:val="00897051"/>
    <w:rsid w:val="00897824"/>
    <w:rsid w:val="00897BCB"/>
    <w:rsid w:val="00897C07"/>
    <w:rsid w:val="00897DBA"/>
    <w:rsid w:val="008A02FA"/>
    <w:rsid w:val="008A06A8"/>
    <w:rsid w:val="008A0BCE"/>
    <w:rsid w:val="008A0E6C"/>
    <w:rsid w:val="008A1187"/>
    <w:rsid w:val="008A1AAC"/>
    <w:rsid w:val="008A204E"/>
    <w:rsid w:val="008A2081"/>
    <w:rsid w:val="008A20CA"/>
    <w:rsid w:val="008A21A9"/>
    <w:rsid w:val="008A239B"/>
    <w:rsid w:val="008A25DA"/>
    <w:rsid w:val="008A28B6"/>
    <w:rsid w:val="008A2956"/>
    <w:rsid w:val="008A2B59"/>
    <w:rsid w:val="008A2B69"/>
    <w:rsid w:val="008A2BE6"/>
    <w:rsid w:val="008A2EA1"/>
    <w:rsid w:val="008A2EF6"/>
    <w:rsid w:val="008A325B"/>
    <w:rsid w:val="008A332F"/>
    <w:rsid w:val="008A3480"/>
    <w:rsid w:val="008A3642"/>
    <w:rsid w:val="008A3C36"/>
    <w:rsid w:val="008A4F3C"/>
    <w:rsid w:val="008A51AD"/>
    <w:rsid w:val="008A53BA"/>
    <w:rsid w:val="008A551D"/>
    <w:rsid w:val="008A56BA"/>
    <w:rsid w:val="008A570A"/>
    <w:rsid w:val="008A58E4"/>
    <w:rsid w:val="008A58E7"/>
    <w:rsid w:val="008A5945"/>
    <w:rsid w:val="008A595E"/>
    <w:rsid w:val="008A5C1D"/>
    <w:rsid w:val="008A5E85"/>
    <w:rsid w:val="008A615A"/>
    <w:rsid w:val="008A6255"/>
    <w:rsid w:val="008A6357"/>
    <w:rsid w:val="008A64AA"/>
    <w:rsid w:val="008A650C"/>
    <w:rsid w:val="008A659A"/>
    <w:rsid w:val="008A66E1"/>
    <w:rsid w:val="008A66E8"/>
    <w:rsid w:val="008A6A36"/>
    <w:rsid w:val="008A6CB9"/>
    <w:rsid w:val="008A6DC1"/>
    <w:rsid w:val="008A6DD4"/>
    <w:rsid w:val="008A7083"/>
    <w:rsid w:val="008A7100"/>
    <w:rsid w:val="008A7139"/>
    <w:rsid w:val="008A7387"/>
    <w:rsid w:val="008A776D"/>
    <w:rsid w:val="008A7BE8"/>
    <w:rsid w:val="008A7C74"/>
    <w:rsid w:val="008B003F"/>
    <w:rsid w:val="008B03BD"/>
    <w:rsid w:val="008B04C0"/>
    <w:rsid w:val="008B04FC"/>
    <w:rsid w:val="008B09E1"/>
    <w:rsid w:val="008B0A83"/>
    <w:rsid w:val="008B0DCF"/>
    <w:rsid w:val="008B0E93"/>
    <w:rsid w:val="008B0F7E"/>
    <w:rsid w:val="008B0F8D"/>
    <w:rsid w:val="008B198D"/>
    <w:rsid w:val="008B1FC5"/>
    <w:rsid w:val="008B23A8"/>
    <w:rsid w:val="008B24AB"/>
    <w:rsid w:val="008B2645"/>
    <w:rsid w:val="008B29A4"/>
    <w:rsid w:val="008B2BB4"/>
    <w:rsid w:val="008B2C30"/>
    <w:rsid w:val="008B320E"/>
    <w:rsid w:val="008B36FB"/>
    <w:rsid w:val="008B3C2B"/>
    <w:rsid w:val="008B4679"/>
    <w:rsid w:val="008B494B"/>
    <w:rsid w:val="008B4D00"/>
    <w:rsid w:val="008B4D13"/>
    <w:rsid w:val="008B4E78"/>
    <w:rsid w:val="008B4FE2"/>
    <w:rsid w:val="008B53A1"/>
    <w:rsid w:val="008B5C7B"/>
    <w:rsid w:val="008B61A1"/>
    <w:rsid w:val="008B66EE"/>
    <w:rsid w:val="008B6793"/>
    <w:rsid w:val="008B6E87"/>
    <w:rsid w:val="008B7588"/>
    <w:rsid w:val="008B75C2"/>
    <w:rsid w:val="008B787A"/>
    <w:rsid w:val="008B7921"/>
    <w:rsid w:val="008C077D"/>
    <w:rsid w:val="008C09DB"/>
    <w:rsid w:val="008C0A89"/>
    <w:rsid w:val="008C0CBD"/>
    <w:rsid w:val="008C0E71"/>
    <w:rsid w:val="008C17D1"/>
    <w:rsid w:val="008C1852"/>
    <w:rsid w:val="008C29AF"/>
    <w:rsid w:val="008C2AF0"/>
    <w:rsid w:val="008C2CFF"/>
    <w:rsid w:val="008C2E1E"/>
    <w:rsid w:val="008C2E22"/>
    <w:rsid w:val="008C2E93"/>
    <w:rsid w:val="008C2ED2"/>
    <w:rsid w:val="008C3BD8"/>
    <w:rsid w:val="008C3D4D"/>
    <w:rsid w:val="008C4026"/>
    <w:rsid w:val="008C417E"/>
    <w:rsid w:val="008C5B51"/>
    <w:rsid w:val="008C5F0A"/>
    <w:rsid w:val="008C6105"/>
    <w:rsid w:val="008C6124"/>
    <w:rsid w:val="008C6334"/>
    <w:rsid w:val="008C66BD"/>
    <w:rsid w:val="008C6968"/>
    <w:rsid w:val="008C6DA1"/>
    <w:rsid w:val="008C742A"/>
    <w:rsid w:val="008C74C7"/>
    <w:rsid w:val="008C7648"/>
    <w:rsid w:val="008C76A5"/>
    <w:rsid w:val="008C76D5"/>
    <w:rsid w:val="008C7714"/>
    <w:rsid w:val="008C7F4F"/>
    <w:rsid w:val="008D007F"/>
    <w:rsid w:val="008D00F3"/>
    <w:rsid w:val="008D03C3"/>
    <w:rsid w:val="008D07D7"/>
    <w:rsid w:val="008D0F27"/>
    <w:rsid w:val="008D11F0"/>
    <w:rsid w:val="008D15A2"/>
    <w:rsid w:val="008D1839"/>
    <w:rsid w:val="008D18CD"/>
    <w:rsid w:val="008D1C12"/>
    <w:rsid w:val="008D1F4E"/>
    <w:rsid w:val="008D1F86"/>
    <w:rsid w:val="008D20E0"/>
    <w:rsid w:val="008D2126"/>
    <w:rsid w:val="008D2B6E"/>
    <w:rsid w:val="008D335C"/>
    <w:rsid w:val="008D341F"/>
    <w:rsid w:val="008D35B7"/>
    <w:rsid w:val="008D3D10"/>
    <w:rsid w:val="008D4007"/>
    <w:rsid w:val="008D436A"/>
    <w:rsid w:val="008D46D3"/>
    <w:rsid w:val="008D4C72"/>
    <w:rsid w:val="008D4CF8"/>
    <w:rsid w:val="008D5291"/>
    <w:rsid w:val="008D5368"/>
    <w:rsid w:val="008D561B"/>
    <w:rsid w:val="008D582B"/>
    <w:rsid w:val="008D5CF9"/>
    <w:rsid w:val="008D5D0A"/>
    <w:rsid w:val="008D6794"/>
    <w:rsid w:val="008D6F61"/>
    <w:rsid w:val="008D7282"/>
    <w:rsid w:val="008D77AE"/>
    <w:rsid w:val="008D7F65"/>
    <w:rsid w:val="008E004A"/>
    <w:rsid w:val="008E0178"/>
    <w:rsid w:val="008E02F8"/>
    <w:rsid w:val="008E089B"/>
    <w:rsid w:val="008E12AF"/>
    <w:rsid w:val="008E1342"/>
    <w:rsid w:val="008E17F3"/>
    <w:rsid w:val="008E1DC9"/>
    <w:rsid w:val="008E1F11"/>
    <w:rsid w:val="008E211C"/>
    <w:rsid w:val="008E24E4"/>
    <w:rsid w:val="008E25C5"/>
    <w:rsid w:val="008E26AB"/>
    <w:rsid w:val="008E28EC"/>
    <w:rsid w:val="008E2BB3"/>
    <w:rsid w:val="008E2BC5"/>
    <w:rsid w:val="008E2C79"/>
    <w:rsid w:val="008E3176"/>
    <w:rsid w:val="008E3564"/>
    <w:rsid w:val="008E3A0B"/>
    <w:rsid w:val="008E3A90"/>
    <w:rsid w:val="008E3AAB"/>
    <w:rsid w:val="008E4043"/>
    <w:rsid w:val="008E42BF"/>
    <w:rsid w:val="008E4520"/>
    <w:rsid w:val="008E4F0F"/>
    <w:rsid w:val="008E54E8"/>
    <w:rsid w:val="008E5740"/>
    <w:rsid w:val="008E5868"/>
    <w:rsid w:val="008E5ADB"/>
    <w:rsid w:val="008E5DC8"/>
    <w:rsid w:val="008E5F70"/>
    <w:rsid w:val="008E6465"/>
    <w:rsid w:val="008E6C57"/>
    <w:rsid w:val="008E6FEF"/>
    <w:rsid w:val="008E7082"/>
    <w:rsid w:val="008E725B"/>
    <w:rsid w:val="008E72AF"/>
    <w:rsid w:val="008F0062"/>
    <w:rsid w:val="008F069E"/>
    <w:rsid w:val="008F0952"/>
    <w:rsid w:val="008F1154"/>
    <w:rsid w:val="008F1B84"/>
    <w:rsid w:val="008F1B9D"/>
    <w:rsid w:val="008F1DB6"/>
    <w:rsid w:val="008F337C"/>
    <w:rsid w:val="008F33A8"/>
    <w:rsid w:val="008F3563"/>
    <w:rsid w:val="008F39C0"/>
    <w:rsid w:val="008F39E4"/>
    <w:rsid w:val="008F408D"/>
    <w:rsid w:val="008F4E63"/>
    <w:rsid w:val="008F57CD"/>
    <w:rsid w:val="008F5960"/>
    <w:rsid w:val="008F5CD0"/>
    <w:rsid w:val="008F629A"/>
    <w:rsid w:val="008F6422"/>
    <w:rsid w:val="008F648A"/>
    <w:rsid w:val="008F6A9B"/>
    <w:rsid w:val="008F6AFD"/>
    <w:rsid w:val="008F6F03"/>
    <w:rsid w:val="008F7603"/>
    <w:rsid w:val="008F769D"/>
    <w:rsid w:val="008F76B7"/>
    <w:rsid w:val="008F76D4"/>
    <w:rsid w:val="008F76DC"/>
    <w:rsid w:val="008F7AC2"/>
    <w:rsid w:val="008F7D2F"/>
    <w:rsid w:val="009001BF"/>
    <w:rsid w:val="00900201"/>
    <w:rsid w:val="00900274"/>
    <w:rsid w:val="0090066C"/>
    <w:rsid w:val="00900DF7"/>
    <w:rsid w:val="009013C5"/>
    <w:rsid w:val="0090147B"/>
    <w:rsid w:val="00901499"/>
    <w:rsid w:val="00901649"/>
    <w:rsid w:val="009019D7"/>
    <w:rsid w:val="00901AB6"/>
    <w:rsid w:val="00901CBA"/>
    <w:rsid w:val="00901CBF"/>
    <w:rsid w:val="00901DC6"/>
    <w:rsid w:val="009021DC"/>
    <w:rsid w:val="0090254E"/>
    <w:rsid w:val="00903026"/>
    <w:rsid w:val="009030A8"/>
    <w:rsid w:val="0090313D"/>
    <w:rsid w:val="0090357B"/>
    <w:rsid w:val="009036DC"/>
    <w:rsid w:val="00903832"/>
    <w:rsid w:val="00903A97"/>
    <w:rsid w:val="009042D0"/>
    <w:rsid w:val="009044BE"/>
    <w:rsid w:val="009046B1"/>
    <w:rsid w:val="009048EB"/>
    <w:rsid w:val="00904913"/>
    <w:rsid w:val="009049AC"/>
    <w:rsid w:val="00904B73"/>
    <w:rsid w:val="00904B8A"/>
    <w:rsid w:val="00904C15"/>
    <w:rsid w:val="009050B3"/>
    <w:rsid w:val="00905298"/>
    <w:rsid w:val="00905593"/>
    <w:rsid w:val="00905945"/>
    <w:rsid w:val="00905FEB"/>
    <w:rsid w:val="00906164"/>
    <w:rsid w:val="00906252"/>
    <w:rsid w:val="0090672E"/>
    <w:rsid w:val="009067F3"/>
    <w:rsid w:val="009068C6"/>
    <w:rsid w:val="00906A4F"/>
    <w:rsid w:val="00906BD6"/>
    <w:rsid w:val="00906EFF"/>
    <w:rsid w:val="00907074"/>
    <w:rsid w:val="009073C7"/>
    <w:rsid w:val="009078B7"/>
    <w:rsid w:val="009078BA"/>
    <w:rsid w:val="009079C7"/>
    <w:rsid w:val="009079F7"/>
    <w:rsid w:val="00907B44"/>
    <w:rsid w:val="00907B56"/>
    <w:rsid w:val="00907C33"/>
    <w:rsid w:val="009108D2"/>
    <w:rsid w:val="00910C20"/>
    <w:rsid w:val="00910FE1"/>
    <w:rsid w:val="00910FE6"/>
    <w:rsid w:val="0091106A"/>
    <w:rsid w:val="00911C09"/>
    <w:rsid w:val="00911D1C"/>
    <w:rsid w:val="00912BFF"/>
    <w:rsid w:val="00912F38"/>
    <w:rsid w:val="00912F45"/>
    <w:rsid w:val="00912F55"/>
    <w:rsid w:val="0091340D"/>
    <w:rsid w:val="00913C58"/>
    <w:rsid w:val="009140B4"/>
    <w:rsid w:val="00914174"/>
    <w:rsid w:val="0091428A"/>
    <w:rsid w:val="00914733"/>
    <w:rsid w:val="0091495E"/>
    <w:rsid w:val="00914AA5"/>
    <w:rsid w:val="0091574C"/>
    <w:rsid w:val="009162DD"/>
    <w:rsid w:val="009163E7"/>
    <w:rsid w:val="0091640E"/>
    <w:rsid w:val="00916431"/>
    <w:rsid w:val="009166F2"/>
    <w:rsid w:val="0091671A"/>
    <w:rsid w:val="009169F6"/>
    <w:rsid w:val="00916C33"/>
    <w:rsid w:val="0091719D"/>
    <w:rsid w:val="009175AB"/>
    <w:rsid w:val="00917903"/>
    <w:rsid w:val="00917B9D"/>
    <w:rsid w:val="00917BEA"/>
    <w:rsid w:val="00917C12"/>
    <w:rsid w:val="00917CB0"/>
    <w:rsid w:val="00920189"/>
    <w:rsid w:val="00920203"/>
    <w:rsid w:val="009203A2"/>
    <w:rsid w:val="00920410"/>
    <w:rsid w:val="0092041E"/>
    <w:rsid w:val="009204EC"/>
    <w:rsid w:val="00920666"/>
    <w:rsid w:val="00920997"/>
    <w:rsid w:val="00920B1E"/>
    <w:rsid w:val="00920DD5"/>
    <w:rsid w:val="00921161"/>
    <w:rsid w:val="00921577"/>
    <w:rsid w:val="00922077"/>
    <w:rsid w:val="0092236D"/>
    <w:rsid w:val="00922492"/>
    <w:rsid w:val="009224EB"/>
    <w:rsid w:val="009225DD"/>
    <w:rsid w:val="00922621"/>
    <w:rsid w:val="0092270B"/>
    <w:rsid w:val="0092272F"/>
    <w:rsid w:val="00922BE2"/>
    <w:rsid w:val="00922EDE"/>
    <w:rsid w:val="009237D9"/>
    <w:rsid w:val="00923A17"/>
    <w:rsid w:val="00923D1C"/>
    <w:rsid w:val="00923EB9"/>
    <w:rsid w:val="0092406C"/>
    <w:rsid w:val="00924096"/>
    <w:rsid w:val="009240D8"/>
    <w:rsid w:val="009243BC"/>
    <w:rsid w:val="009244D5"/>
    <w:rsid w:val="0092523A"/>
    <w:rsid w:val="009252F1"/>
    <w:rsid w:val="00925366"/>
    <w:rsid w:val="00925588"/>
    <w:rsid w:val="00925A0E"/>
    <w:rsid w:val="00925AF5"/>
    <w:rsid w:val="00925C4F"/>
    <w:rsid w:val="00925EA0"/>
    <w:rsid w:val="009261C1"/>
    <w:rsid w:val="009261FC"/>
    <w:rsid w:val="00926268"/>
    <w:rsid w:val="00926416"/>
    <w:rsid w:val="009264A2"/>
    <w:rsid w:val="00926DF4"/>
    <w:rsid w:val="0092715D"/>
    <w:rsid w:val="00927299"/>
    <w:rsid w:val="00927585"/>
    <w:rsid w:val="00927E88"/>
    <w:rsid w:val="00930632"/>
    <w:rsid w:val="009310BC"/>
    <w:rsid w:val="0093163A"/>
    <w:rsid w:val="00931D3F"/>
    <w:rsid w:val="009324C4"/>
    <w:rsid w:val="00932671"/>
    <w:rsid w:val="00932928"/>
    <w:rsid w:val="00932A7A"/>
    <w:rsid w:val="00932D12"/>
    <w:rsid w:val="00932D26"/>
    <w:rsid w:val="00932D49"/>
    <w:rsid w:val="009330BF"/>
    <w:rsid w:val="00933817"/>
    <w:rsid w:val="00933C87"/>
    <w:rsid w:val="00933EE7"/>
    <w:rsid w:val="00934510"/>
    <w:rsid w:val="0093476C"/>
    <w:rsid w:val="00935640"/>
    <w:rsid w:val="00935A1E"/>
    <w:rsid w:val="00935AA3"/>
    <w:rsid w:val="00935B7C"/>
    <w:rsid w:val="00935BC9"/>
    <w:rsid w:val="00935E3A"/>
    <w:rsid w:val="00936005"/>
    <w:rsid w:val="0093607C"/>
    <w:rsid w:val="009363E8"/>
    <w:rsid w:val="00936939"/>
    <w:rsid w:val="00936C5C"/>
    <w:rsid w:val="00936DE8"/>
    <w:rsid w:val="00937F4A"/>
    <w:rsid w:val="00940008"/>
    <w:rsid w:val="0094088F"/>
    <w:rsid w:val="00940FFA"/>
    <w:rsid w:val="00941503"/>
    <w:rsid w:val="0094187D"/>
    <w:rsid w:val="00941937"/>
    <w:rsid w:val="00941A4A"/>
    <w:rsid w:val="00942134"/>
    <w:rsid w:val="009423ED"/>
    <w:rsid w:val="00942C90"/>
    <w:rsid w:val="00942F29"/>
    <w:rsid w:val="00942FB6"/>
    <w:rsid w:val="00942FEB"/>
    <w:rsid w:val="009430E1"/>
    <w:rsid w:val="009434EB"/>
    <w:rsid w:val="00943EA6"/>
    <w:rsid w:val="00944089"/>
    <w:rsid w:val="009443F2"/>
    <w:rsid w:val="00944510"/>
    <w:rsid w:val="009448F2"/>
    <w:rsid w:val="009451E0"/>
    <w:rsid w:val="0094524B"/>
    <w:rsid w:val="009456E3"/>
    <w:rsid w:val="00945759"/>
    <w:rsid w:val="00945925"/>
    <w:rsid w:val="00945949"/>
    <w:rsid w:val="00945FEB"/>
    <w:rsid w:val="009466E9"/>
    <w:rsid w:val="00946C02"/>
    <w:rsid w:val="00946CB3"/>
    <w:rsid w:val="00946D20"/>
    <w:rsid w:val="00946E51"/>
    <w:rsid w:val="009470FE"/>
    <w:rsid w:val="009473F4"/>
    <w:rsid w:val="0094767D"/>
    <w:rsid w:val="009478DA"/>
    <w:rsid w:val="00947930"/>
    <w:rsid w:val="009479B2"/>
    <w:rsid w:val="00947C9D"/>
    <w:rsid w:val="00947D89"/>
    <w:rsid w:val="00947EB9"/>
    <w:rsid w:val="00950231"/>
    <w:rsid w:val="00950794"/>
    <w:rsid w:val="009507AA"/>
    <w:rsid w:val="009509EF"/>
    <w:rsid w:val="009515CA"/>
    <w:rsid w:val="00951691"/>
    <w:rsid w:val="00951FCE"/>
    <w:rsid w:val="0095200F"/>
    <w:rsid w:val="009521CC"/>
    <w:rsid w:val="0095226C"/>
    <w:rsid w:val="0095251C"/>
    <w:rsid w:val="0095269B"/>
    <w:rsid w:val="00952C05"/>
    <w:rsid w:val="00952D52"/>
    <w:rsid w:val="00952D88"/>
    <w:rsid w:val="0095382B"/>
    <w:rsid w:val="009540B7"/>
    <w:rsid w:val="009543D0"/>
    <w:rsid w:val="00954405"/>
    <w:rsid w:val="0095448C"/>
    <w:rsid w:val="00954AF9"/>
    <w:rsid w:val="00954DAE"/>
    <w:rsid w:val="00954E43"/>
    <w:rsid w:val="00955410"/>
    <w:rsid w:val="009558EE"/>
    <w:rsid w:val="009559D5"/>
    <w:rsid w:val="00955C17"/>
    <w:rsid w:val="00955EC5"/>
    <w:rsid w:val="00955FFA"/>
    <w:rsid w:val="00956170"/>
    <w:rsid w:val="00956BA1"/>
    <w:rsid w:val="00956D42"/>
    <w:rsid w:val="00956F0F"/>
    <w:rsid w:val="0095727F"/>
    <w:rsid w:val="009572AF"/>
    <w:rsid w:val="00957BAF"/>
    <w:rsid w:val="00957E41"/>
    <w:rsid w:val="0096016E"/>
    <w:rsid w:val="0096023A"/>
    <w:rsid w:val="009607AB"/>
    <w:rsid w:val="00961154"/>
    <w:rsid w:val="00961243"/>
    <w:rsid w:val="009615DB"/>
    <w:rsid w:val="00961B2E"/>
    <w:rsid w:val="009625E6"/>
    <w:rsid w:val="00962683"/>
    <w:rsid w:val="00962760"/>
    <w:rsid w:val="00962E23"/>
    <w:rsid w:val="009633ED"/>
    <w:rsid w:val="00964622"/>
    <w:rsid w:val="0096487C"/>
    <w:rsid w:val="00964B45"/>
    <w:rsid w:val="00964BC2"/>
    <w:rsid w:val="00964D4A"/>
    <w:rsid w:val="00964EAE"/>
    <w:rsid w:val="00965023"/>
    <w:rsid w:val="009650B7"/>
    <w:rsid w:val="0096515D"/>
    <w:rsid w:val="00965841"/>
    <w:rsid w:val="00966623"/>
    <w:rsid w:val="00967195"/>
    <w:rsid w:val="009678DB"/>
    <w:rsid w:val="00967F25"/>
    <w:rsid w:val="00970728"/>
    <w:rsid w:val="009707C9"/>
    <w:rsid w:val="00971303"/>
    <w:rsid w:val="00971615"/>
    <w:rsid w:val="00971E0B"/>
    <w:rsid w:val="00972101"/>
    <w:rsid w:val="00972285"/>
    <w:rsid w:val="009723CC"/>
    <w:rsid w:val="0097288E"/>
    <w:rsid w:val="00972947"/>
    <w:rsid w:val="00972FB5"/>
    <w:rsid w:val="00973607"/>
    <w:rsid w:val="009736FE"/>
    <w:rsid w:val="00973B96"/>
    <w:rsid w:val="00973E3C"/>
    <w:rsid w:val="009742EA"/>
    <w:rsid w:val="00974763"/>
    <w:rsid w:val="009757CA"/>
    <w:rsid w:val="00976E76"/>
    <w:rsid w:val="00977A14"/>
    <w:rsid w:val="00977E58"/>
    <w:rsid w:val="00977E9B"/>
    <w:rsid w:val="009807BF"/>
    <w:rsid w:val="00980848"/>
    <w:rsid w:val="009809CE"/>
    <w:rsid w:val="0098131F"/>
    <w:rsid w:val="00981479"/>
    <w:rsid w:val="009814DA"/>
    <w:rsid w:val="00981614"/>
    <w:rsid w:val="00981A85"/>
    <w:rsid w:val="00981C0B"/>
    <w:rsid w:val="00981CF0"/>
    <w:rsid w:val="00981E05"/>
    <w:rsid w:val="00981F74"/>
    <w:rsid w:val="0098237C"/>
    <w:rsid w:val="009829B3"/>
    <w:rsid w:val="00982C31"/>
    <w:rsid w:val="00982D45"/>
    <w:rsid w:val="00983131"/>
    <w:rsid w:val="00983165"/>
    <w:rsid w:val="00983343"/>
    <w:rsid w:val="009833C4"/>
    <w:rsid w:val="009833C6"/>
    <w:rsid w:val="009834E0"/>
    <w:rsid w:val="009838FF"/>
    <w:rsid w:val="0098410C"/>
    <w:rsid w:val="00984149"/>
    <w:rsid w:val="009843F8"/>
    <w:rsid w:val="00984788"/>
    <w:rsid w:val="00984909"/>
    <w:rsid w:val="00984AC9"/>
    <w:rsid w:val="00984FF3"/>
    <w:rsid w:val="00984FF9"/>
    <w:rsid w:val="009850C5"/>
    <w:rsid w:val="009851A6"/>
    <w:rsid w:val="0098581A"/>
    <w:rsid w:val="00985AED"/>
    <w:rsid w:val="00985DAD"/>
    <w:rsid w:val="00986326"/>
    <w:rsid w:val="00986849"/>
    <w:rsid w:val="00986852"/>
    <w:rsid w:val="00986BB7"/>
    <w:rsid w:val="00986D32"/>
    <w:rsid w:val="00986D4B"/>
    <w:rsid w:val="00986F6D"/>
    <w:rsid w:val="0098727C"/>
    <w:rsid w:val="00987708"/>
    <w:rsid w:val="00987944"/>
    <w:rsid w:val="00987DF0"/>
    <w:rsid w:val="00987E2E"/>
    <w:rsid w:val="0099008B"/>
    <w:rsid w:val="00990101"/>
    <w:rsid w:val="0099031D"/>
    <w:rsid w:val="00990AD3"/>
    <w:rsid w:val="0099177B"/>
    <w:rsid w:val="00991B8C"/>
    <w:rsid w:val="00991C48"/>
    <w:rsid w:val="00991DED"/>
    <w:rsid w:val="00991FAA"/>
    <w:rsid w:val="00993060"/>
    <w:rsid w:val="0099367E"/>
    <w:rsid w:val="00993E67"/>
    <w:rsid w:val="00993FE4"/>
    <w:rsid w:val="0099425E"/>
    <w:rsid w:val="0099439D"/>
    <w:rsid w:val="00994592"/>
    <w:rsid w:val="00994942"/>
    <w:rsid w:val="00994A58"/>
    <w:rsid w:val="00994CDC"/>
    <w:rsid w:val="0099510E"/>
    <w:rsid w:val="00995AB4"/>
    <w:rsid w:val="00995AC3"/>
    <w:rsid w:val="0099687C"/>
    <w:rsid w:val="009969CD"/>
    <w:rsid w:val="009974EA"/>
    <w:rsid w:val="0099770A"/>
    <w:rsid w:val="00997769"/>
    <w:rsid w:val="00997A2E"/>
    <w:rsid w:val="009A02E8"/>
    <w:rsid w:val="009A048E"/>
    <w:rsid w:val="009A0CDA"/>
    <w:rsid w:val="009A107E"/>
    <w:rsid w:val="009A119F"/>
    <w:rsid w:val="009A1609"/>
    <w:rsid w:val="009A16A3"/>
    <w:rsid w:val="009A1702"/>
    <w:rsid w:val="009A1A7E"/>
    <w:rsid w:val="009A297F"/>
    <w:rsid w:val="009A2F4C"/>
    <w:rsid w:val="009A3480"/>
    <w:rsid w:val="009A3DB8"/>
    <w:rsid w:val="009A41B4"/>
    <w:rsid w:val="009A43B3"/>
    <w:rsid w:val="009A464D"/>
    <w:rsid w:val="009A496F"/>
    <w:rsid w:val="009A4B78"/>
    <w:rsid w:val="009A4C02"/>
    <w:rsid w:val="009A4D73"/>
    <w:rsid w:val="009A4E41"/>
    <w:rsid w:val="009A5297"/>
    <w:rsid w:val="009A5851"/>
    <w:rsid w:val="009A58E0"/>
    <w:rsid w:val="009A5D40"/>
    <w:rsid w:val="009A5E10"/>
    <w:rsid w:val="009A5E40"/>
    <w:rsid w:val="009A5EF4"/>
    <w:rsid w:val="009A6273"/>
    <w:rsid w:val="009A6665"/>
    <w:rsid w:val="009A72AC"/>
    <w:rsid w:val="009A743F"/>
    <w:rsid w:val="009A74F7"/>
    <w:rsid w:val="009A7D55"/>
    <w:rsid w:val="009A7FF0"/>
    <w:rsid w:val="009B00F2"/>
    <w:rsid w:val="009B0602"/>
    <w:rsid w:val="009B0FB2"/>
    <w:rsid w:val="009B1113"/>
    <w:rsid w:val="009B17CB"/>
    <w:rsid w:val="009B19C0"/>
    <w:rsid w:val="009B1C34"/>
    <w:rsid w:val="009B1D22"/>
    <w:rsid w:val="009B1E86"/>
    <w:rsid w:val="009B1EA3"/>
    <w:rsid w:val="009B24B1"/>
    <w:rsid w:val="009B27C4"/>
    <w:rsid w:val="009B2BE6"/>
    <w:rsid w:val="009B2CAF"/>
    <w:rsid w:val="009B2D92"/>
    <w:rsid w:val="009B31DE"/>
    <w:rsid w:val="009B3250"/>
    <w:rsid w:val="009B333D"/>
    <w:rsid w:val="009B33C3"/>
    <w:rsid w:val="009B3CB5"/>
    <w:rsid w:val="009B3D24"/>
    <w:rsid w:val="009B42D2"/>
    <w:rsid w:val="009B4A06"/>
    <w:rsid w:val="009B60EA"/>
    <w:rsid w:val="009B6B3C"/>
    <w:rsid w:val="009B6DAB"/>
    <w:rsid w:val="009B70C8"/>
    <w:rsid w:val="009B737C"/>
    <w:rsid w:val="009B73E7"/>
    <w:rsid w:val="009B742E"/>
    <w:rsid w:val="009B7AA2"/>
    <w:rsid w:val="009C0AC6"/>
    <w:rsid w:val="009C0D5F"/>
    <w:rsid w:val="009C11B2"/>
    <w:rsid w:val="009C1456"/>
    <w:rsid w:val="009C164F"/>
    <w:rsid w:val="009C1C30"/>
    <w:rsid w:val="009C1F38"/>
    <w:rsid w:val="009C1F6E"/>
    <w:rsid w:val="009C22DD"/>
    <w:rsid w:val="009C26AB"/>
    <w:rsid w:val="009C29D5"/>
    <w:rsid w:val="009C30A0"/>
    <w:rsid w:val="009C359E"/>
    <w:rsid w:val="009C37FE"/>
    <w:rsid w:val="009C3D5F"/>
    <w:rsid w:val="009C3F1E"/>
    <w:rsid w:val="009C4082"/>
    <w:rsid w:val="009C48F7"/>
    <w:rsid w:val="009C4A38"/>
    <w:rsid w:val="009C4A72"/>
    <w:rsid w:val="009C4AD8"/>
    <w:rsid w:val="009C4D3D"/>
    <w:rsid w:val="009C5303"/>
    <w:rsid w:val="009C55E2"/>
    <w:rsid w:val="009C5A4E"/>
    <w:rsid w:val="009C5EE5"/>
    <w:rsid w:val="009C61E3"/>
    <w:rsid w:val="009C6B56"/>
    <w:rsid w:val="009C7018"/>
    <w:rsid w:val="009C7335"/>
    <w:rsid w:val="009C774B"/>
    <w:rsid w:val="009C79D9"/>
    <w:rsid w:val="009C7DB8"/>
    <w:rsid w:val="009C7E6D"/>
    <w:rsid w:val="009C7FF0"/>
    <w:rsid w:val="009D010D"/>
    <w:rsid w:val="009D0130"/>
    <w:rsid w:val="009D0244"/>
    <w:rsid w:val="009D0AAD"/>
    <w:rsid w:val="009D0F71"/>
    <w:rsid w:val="009D111C"/>
    <w:rsid w:val="009D13FB"/>
    <w:rsid w:val="009D16CA"/>
    <w:rsid w:val="009D17A0"/>
    <w:rsid w:val="009D1903"/>
    <w:rsid w:val="009D1F7A"/>
    <w:rsid w:val="009D2873"/>
    <w:rsid w:val="009D2942"/>
    <w:rsid w:val="009D2BE9"/>
    <w:rsid w:val="009D31E4"/>
    <w:rsid w:val="009D3A1A"/>
    <w:rsid w:val="009D426A"/>
    <w:rsid w:val="009D4275"/>
    <w:rsid w:val="009D493E"/>
    <w:rsid w:val="009D51C2"/>
    <w:rsid w:val="009D5BDB"/>
    <w:rsid w:val="009D6B03"/>
    <w:rsid w:val="009D6B3D"/>
    <w:rsid w:val="009D72F7"/>
    <w:rsid w:val="009D7422"/>
    <w:rsid w:val="009D78E7"/>
    <w:rsid w:val="009D7979"/>
    <w:rsid w:val="009D7E96"/>
    <w:rsid w:val="009E0742"/>
    <w:rsid w:val="009E0B29"/>
    <w:rsid w:val="009E0B97"/>
    <w:rsid w:val="009E1291"/>
    <w:rsid w:val="009E12BC"/>
    <w:rsid w:val="009E139D"/>
    <w:rsid w:val="009E1BE9"/>
    <w:rsid w:val="009E224D"/>
    <w:rsid w:val="009E26D5"/>
    <w:rsid w:val="009E2A07"/>
    <w:rsid w:val="009E2B4F"/>
    <w:rsid w:val="009E3398"/>
    <w:rsid w:val="009E3577"/>
    <w:rsid w:val="009E37A5"/>
    <w:rsid w:val="009E395B"/>
    <w:rsid w:val="009E3D2B"/>
    <w:rsid w:val="009E3E84"/>
    <w:rsid w:val="009E4097"/>
    <w:rsid w:val="009E44B3"/>
    <w:rsid w:val="009E4664"/>
    <w:rsid w:val="009E4D8E"/>
    <w:rsid w:val="009E4E90"/>
    <w:rsid w:val="009E4EB7"/>
    <w:rsid w:val="009E57C1"/>
    <w:rsid w:val="009E624A"/>
    <w:rsid w:val="009E640E"/>
    <w:rsid w:val="009E6566"/>
    <w:rsid w:val="009E6B32"/>
    <w:rsid w:val="009E7039"/>
    <w:rsid w:val="009E70F3"/>
    <w:rsid w:val="009E7308"/>
    <w:rsid w:val="009E750E"/>
    <w:rsid w:val="009E7B71"/>
    <w:rsid w:val="009E7E98"/>
    <w:rsid w:val="009E7FFE"/>
    <w:rsid w:val="009F00EE"/>
    <w:rsid w:val="009F0827"/>
    <w:rsid w:val="009F0A07"/>
    <w:rsid w:val="009F0BED"/>
    <w:rsid w:val="009F0F55"/>
    <w:rsid w:val="009F1673"/>
    <w:rsid w:val="009F25D5"/>
    <w:rsid w:val="009F263A"/>
    <w:rsid w:val="009F2A4E"/>
    <w:rsid w:val="009F3255"/>
    <w:rsid w:val="009F34AA"/>
    <w:rsid w:val="009F3A19"/>
    <w:rsid w:val="009F3C63"/>
    <w:rsid w:val="009F3DCE"/>
    <w:rsid w:val="009F3F29"/>
    <w:rsid w:val="009F4298"/>
    <w:rsid w:val="009F44FF"/>
    <w:rsid w:val="009F45E2"/>
    <w:rsid w:val="009F46E8"/>
    <w:rsid w:val="009F472D"/>
    <w:rsid w:val="009F4CF0"/>
    <w:rsid w:val="009F4E88"/>
    <w:rsid w:val="009F50D1"/>
    <w:rsid w:val="009F539C"/>
    <w:rsid w:val="009F573B"/>
    <w:rsid w:val="009F5918"/>
    <w:rsid w:val="009F596D"/>
    <w:rsid w:val="009F6A91"/>
    <w:rsid w:val="009F6AA9"/>
    <w:rsid w:val="009F6C72"/>
    <w:rsid w:val="009F71A6"/>
    <w:rsid w:val="009F71AA"/>
    <w:rsid w:val="009F754A"/>
    <w:rsid w:val="009F791F"/>
    <w:rsid w:val="009F7A7E"/>
    <w:rsid w:val="009F7F86"/>
    <w:rsid w:val="00A00164"/>
    <w:rsid w:val="00A0034D"/>
    <w:rsid w:val="00A00970"/>
    <w:rsid w:val="00A00BFB"/>
    <w:rsid w:val="00A00DCF"/>
    <w:rsid w:val="00A01105"/>
    <w:rsid w:val="00A0126C"/>
    <w:rsid w:val="00A012DA"/>
    <w:rsid w:val="00A0187E"/>
    <w:rsid w:val="00A0193F"/>
    <w:rsid w:val="00A023A6"/>
    <w:rsid w:val="00A026F0"/>
    <w:rsid w:val="00A02F2D"/>
    <w:rsid w:val="00A02F61"/>
    <w:rsid w:val="00A03E0E"/>
    <w:rsid w:val="00A040D1"/>
    <w:rsid w:val="00A0441D"/>
    <w:rsid w:val="00A044B7"/>
    <w:rsid w:val="00A04A0A"/>
    <w:rsid w:val="00A04EB8"/>
    <w:rsid w:val="00A050A8"/>
    <w:rsid w:val="00A0537E"/>
    <w:rsid w:val="00A054F5"/>
    <w:rsid w:val="00A056A3"/>
    <w:rsid w:val="00A059AF"/>
    <w:rsid w:val="00A05B51"/>
    <w:rsid w:val="00A05B6F"/>
    <w:rsid w:val="00A05FF0"/>
    <w:rsid w:val="00A06089"/>
    <w:rsid w:val="00A06286"/>
    <w:rsid w:val="00A06318"/>
    <w:rsid w:val="00A063BC"/>
    <w:rsid w:val="00A067D7"/>
    <w:rsid w:val="00A068E1"/>
    <w:rsid w:val="00A06A80"/>
    <w:rsid w:val="00A06D8A"/>
    <w:rsid w:val="00A0711F"/>
    <w:rsid w:val="00A0777B"/>
    <w:rsid w:val="00A07B0B"/>
    <w:rsid w:val="00A07E2F"/>
    <w:rsid w:val="00A102A0"/>
    <w:rsid w:val="00A10860"/>
    <w:rsid w:val="00A10B6F"/>
    <w:rsid w:val="00A114FA"/>
    <w:rsid w:val="00A11527"/>
    <w:rsid w:val="00A11AF3"/>
    <w:rsid w:val="00A122B3"/>
    <w:rsid w:val="00A122BB"/>
    <w:rsid w:val="00A12ACF"/>
    <w:rsid w:val="00A12C09"/>
    <w:rsid w:val="00A13084"/>
    <w:rsid w:val="00A1327F"/>
    <w:rsid w:val="00A13817"/>
    <w:rsid w:val="00A13859"/>
    <w:rsid w:val="00A138D3"/>
    <w:rsid w:val="00A139E1"/>
    <w:rsid w:val="00A13E0F"/>
    <w:rsid w:val="00A144B7"/>
    <w:rsid w:val="00A149B4"/>
    <w:rsid w:val="00A152A0"/>
    <w:rsid w:val="00A152D3"/>
    <w:rsid w:val="00A15F4F"/>
    <w:rsid w:val="00A160AB"/>
    <w:rsid w:val="00A16745"/>
    <w:rsid w:val="00A16747"/>
    <w:rsid w:val="00A16B03"/>
    <w:rsid w:val="00A17E24"/>
    <w:rsid w:val="00A17E93"/>
    <w:rsid w:val="00A20013"/>
    <w:rsid w:val="00A200E6"/>
    <w:rsid w:val="00A2056F"/>
    <w:rsid w:val="00A20582"/>
    <w:rsid w:val="00A20C65"/>
    <w:rsid w:val="00A2106B"/>
    <w:rsid w:val="00A21767"/>
    <w:rsid w:val="00A21FD5"/>
    <w:rsid w:val="00A22751"/>
    <w:rsid w:val="00A22940"/>
    <w:rsid w:val="00A22C96"/>
    <w:rsid w:val="00A23102"/>
    <w:rsid w:val="00A233D8"/>
    <w:rsid w:val="00A2343F"/>
    <w:rsid w:val="00A23505"/>
    <w:rsid w:val="00A236AC"/>
    <w:rsid w:val="00A236B1"/>
    <w:rsid w:val="00A237D0"/>
    <w:rsid w:val="00A23A4D"/>
    <w:rsid w:val="00A2428B"/>
    <w:rsid w:val="00A2433B"/>
    <w:rsid w:val="00A247E5"/>
    <w:rsid w:val="00A248BD"/>
    <w:rsid w:val="00A24D81"/>
    <w:rsid w:val="00A24EA5"/>
    <w:rsid w:val="00A25173"/>
    <w:rsid w:val="00A252F0"/>
    <w:rsid w:val="00A254EA"/>
    <w:rsid w:val="00A25602"/>
    <w:rsid w:val="00A259F2"/>
    <w:rsid w:val="00A263F6"/>
    <w:rsid w:val="00A26463"/>
    <w:rsid w:val="00A2660E"/>
    <w:rsid w:val="00A26916"/>
    <w:rsid w:val="00A26B47"/>
    <w:rsid w:val="00A26C56"/>
    <w:rsid w:val="00A26FF1"/>
    <w:rsid w:val="00A27547"/>
    <w:rsid w:val="00A27776"/>
    <w:rsid w:val="00A27806"/>
    <w:rsid w:val="00A27E86"/>
    <w:rsid w:val="00A3068C"/>
    <w:rsid w:val="00A30881"/>
    <w:rsid w:val="00A30D88"/>
    <w:rsid w:val="00A30EC5"/>
    <w:rsid w:val="00A31193"/>
    <w:rsid w:val="00A3127F"/>
    <w:rsid w:val="00A31922"/>
    <w:rsid w:val="00A31A00"/>
    <w:rsid w:val="00A31BCC"/>
    <w:rsid w:val="00A31C70"/>
    <w:rsid w:val="00A31C87"/>
    <w:rsid w:val="00A325BB"/>
    <w:rsid w:val="00A3297A"/>
    <w:rsid w:val="00A32A58"/>
    <w:rsid w:val="00A32EEC"/>
    <w:rsid w:val="00A336C5"/>
    <w:rsid w:val="00A339D9"/>
    <w:rsid w:val="00A33AD0"/>
    <w:rsid w:val="00A33BD6"/>
    <w:rsid w:val="00A3510A"/>
    <w:rsid w:val="00A3515F"/>
    <w:rsid w:val="00A35751"/>
    <w:rsid w:val="00A3577F"/>
    <w:rsid w:val="00A358C3"/>
    <w:rsid w:val="00A35BBC"/>
    <w:rsid w:val="00A35DAB"/>
    <w:rsid w:val="00A35EDE"/>
    <w:rsid w:val="00A35F0D"/>
    <w:rsid w:val="00A36724"/>
    <w:rsid w:val="00A367AF"/>
    <w:rsid w:val="00A36C13"/>
    <w:rsid w:val="00A371D8"/>
    <w:rsid w:val="00A377C2"/>
    <w:rsid w:val="00A378E3"/>
    <w:rsid w:val="00A37A31"/>
    <w:rsid w:val="00A37DE0"/>
    <w:rsid w:val="00A40B1F"/>
    <w:rsid w:val="00A40B31"/>
    <w:rsid w:val="00A40B4D"/>
    <w:rsid w:val="00A411E2"/>
    <w:rsid w:val="00A41373"/>
    <w:rsid w:val="00A41638"/>
    <w:rsid w:val="00A41959"/>
    <w:rsid w:val="00A41A3F"/>
    <w:rsid w:val="00A41B15"/>
    <w:rsid w:val="00A41DE9"/>
    <w:rsid w:val="00A4224E"/>
    <w:rsid w:val="00A4229F"/>
    <w:rsid w:val="00A423DC"/>
    <w:rsid w:val="00A4240E"/>
    <w:rsid w:val="00A425DA"/>
    <w:rsid w:val="00A428A9"/>
    <w:rsid w:val="00A42962"/>
    <w:rsid w:val="00A42ACA"/>
    <w:rsid w:val="00A42D5F"/>
    <w:rsid w:val="00A4327C"/>
    <w:rsid w:val="00A43A2F"/>
    <w:rsid w:val="00A43AAB"/>
    <w:rsid w:val="00A43AFE"/>
    <w:rsid w:val="00A43BF6"/>
    <w:rsid w:val="00A44734"/>
    <w:rsid w:val="00A447E3"/>
    <w:rsid w:val="00A448CD"/>
    <w:rsid w:val="00A44AAD"/>
    <w:rsid w:val="00A44D3B"/>
    <w:rsid w:val="00A4513A"/>
    <w:rsid w:val="00A45241"/>
    <w:rsid w:val="00A45280"/>
    <w:rsid w:val="00A452B8"/>
    <w:rsid w:val="00A45BF7"/>
    <w:rsid w:val="00A463B5"/>
    <w:rsid w:val="00A463BA"/>
    <w:rsid w:val="00A46675"/>
    <w:rsid w:val="00A46A5F"/>
    <w:rsid w:val="00A46C85"/>
    <w:rsid w:val="00A46ECC"/>
    <w:rsid w:val="00A471A3"/>
    <w:rsid w:val="00A4731A"/>
    <w:rsid w:val="00A474D7"/>
    <w:rsid w:val="00A47597"/>
    <w:rsid w:val="00A477AC"/>
    <w:rsid w:val="00A47E44"/>
    <w:rsid w:val="00A47F91"/>
    <w:rsid w:val="00A507D7"/>
    <w:rsid w:val="00A50A5C"/>
    <w:rsid w:val="00A50BE2"/>
    <w:rsid w:val="00A50C1A"/>
    <w:rsid w:val="00A50CC6"/>
    <w:rsid w:val="00A50DF3"/>
    <w:rsid w:val="00A50E40"/>
    <w:rsid w:val="00A51462"/>
    <w:rsid w:val="00A51946"/>
    <w:rsid w:val="00A51FF7"/>
    <w:rsid w:val="00A52079"/>
    <w:rsid w:val="00A52143"/>
    <w:rsid w:val="00A521E9"/>
    <w:rsid w:val="00A5298E"/>
    <w:rsid w:val="00A52B3E"/>
    <w:rsid w:val="00A5313B"/>
    <w:rsid w:val="00A5320E"/>
    <w:rsid w:val="00A5366D"/>
    <w:rsid w:val="00A53F7B"/>
    <w:rsid w:val="00A54090"/>
    <w:rsid w:val="00A54282"/>
    <w:rsid w:val="00A54373"/>
    <w:rsid w:val="00A5442A"/>
    <w:rsid w:val="00A546F1"/>
    <w:rsid w:val="00A549D3"/>
    <w:rsid w:val="00A54DF0"/>
    <w:rsid w:val="00A55691"/>
    <w:rsid w:val="00A567CB"/>
    <w:rsid w:val="00A57E98"/>
    <w:rsid w:val="00A60017"/>
    <w:rsid w:val="00A60849"/>
    <w:rsid w:val="00A60E46"/>
    <w:rsid w:val="00A6105B"/>
    <w:rsid w:val="00A61355"/>
    <w:rsid w:val="00A61668"/>
    <w:rsid w:val="00A621D3"/>
    <w:rsid w:val="00A6287C"/>
    <w:rsid w:val="00A628F8"/>
    <w:rsid w:val="00A62B7A"/>
    <w:rsid w:val="00A62C7E"/>
    <w:rsid w:val="00A62D09"/>
    <w:rsid w:val="00A631A1"/>
    <w:rsid w:val="00A632EA"/>
    <w:rsid w:val="00A6339D"/>
    <w:rsid w:val="00A634BE"/>
    <w:rsid w:val="00A63836"/>
    <w:rsid w:val="00A63847"/>
    <w:rsid w:val="00A6386B"/>
    <w:rsid w:val="00A63AD7"/>
    <w:rsid w:val="00A63BFD"/>
    <w:rsid w:val="00A63D5D"/>
    <w:rsid w:val="00A6491F"/>
    <w:rsid w:val="00A64C72"/>
    <w:rsid w:val="00A64D1A"/>
    <w:rsid w:val="00A65320"/>
    <w:rsid w:val="00A65615"/>
    <w:rsid w:val="00A65BA5"/>
    <w:rsid w:val="00A66354"/>
    <w:rsid w:val="00A66DC5"/>
    <w:rsid w:val="00A66E37"/>
    <w:rsid w:val="00A66ECF"/>
    <w:rsid w:val="00A66FB5"/>
    <w:rsid w:val="00A67736"/>
    <w:rsid w:val="00A67769"/>
    <w:rsid w:val="00A67E38"/>
    <w:rsid w:val="00A703E4"/>
    <w:rsid w:val="00A704C9"/>
    <w:rsid w:val="00A70B7C"/>
    <w:rsid w:val="00A70DC6"/>
    <w:rsid w:val="00A71080"/>
    <w:rsid w:val="00A71986"/>
    <w:rsid w:val="00A71E3D"/>
    <w:rsid w:val="00A71E73"/>
    <w:rsid w:val="00A71FBA"/>
    <w:rsid w:val="00A72410"/>
    <w:rsid w:val="00A72740"/>
    <w:rsid w:val="00A7289A"/>
    <w:rsid w:val="00A73109"/>
    <w:rsid w:val="00A739A8"/>
    <w:rsid w:val="00A73A64"/>
    <w:rsid w:val="00A73E93"/>
    <w:rsid w:val="00A742AD"/>
    <w:rsid w:val="00A746D7"/>
    <w:rsid w:val="00A74AB2"/>
    <w:rsid w:val="00A758DC"/>
    <w:rsid w:val="00A75A27"/>
    <w:rsid w:val="00A75A46"/>
    <w:rsid w:val="00A75B36"/>
    <w:rsid w:val="00A7663A"/>
    <w:rsid w:val="00A7696B"/>
    <w:rsid w:val="00A769D4"/>
    <w:rsid w:val="00A77207"/>
    <w:rsid w:val="00A7773C"/>
    <w:rsid w:val="00A77EFF"/>
    <w:rsid w:val="00A8008F"/>
    <w:rsid w:val="00A800AF"/>
    <w:rsid w:val="00A804C7"/>
    <w:rsid w:val="00A80625"/>
    <w:rsid w:val="00A80857"/>
    <w:rsid w:val="00A80A39"/>
    <w:rsid w:val="00A80D41"/>
    <w:rsid w:val="00A80DF0"/>
    <w:rsid w:val="00A80E64"/>
    <w:rsid w:val="00A8193F"/>
    <w:rsid w:val="00A81A16"/>
    <w:rsid w:val="00A823A7"/>
    <w:rsid w:val="00A824D4"/>
    <w:rsid w:val="00A825C8"/>
    <w:rsid w:val="00A82742"/>
    <w:rsid w:val="00A82954"/>
    <w:rsid w:val="00A82A29"/>
    <w:rsid w:val="00A83984"/>
    <w:rsid w:val="00A83A1E"/>
    <w:rsid w:val="00A84198"/>
    <w:rsid w:val="00A841AB"/>
    <w:rsid w:val="00A84A93"/>
    <w:rsid w:val="00A84FFD"/>
    <w:rsid w:val="00A85056"/>
    <w:rsid w:val="00A85172"/>
    <w:rsid w:val="00A854AF"/>
    <w:rsid w:val="00A85B06"/>
    <w:rsid w:val="00A86104"/>
    <w:rsid w:val="00A86266"/>
    <w:rsid w:val="00A8655A"/>
    <w:rsid w:val="00A87203"/>
    <w:rsid w:val="00A87432"/>
    <w:rsid w:val="00A87744"/>
    <w:rsid w:val="00A87AE6"/>
    <w:rsid w:val="00A87B09"/>
    <w:rsid w:val="00A87C22"/>
    <w:rsid w:val="00A87F74"/>
    <w:rsid w:val="00A90590"/>
    <w:rsid w:val="00A90A97"/>
    <w:rsid w:val="00A90CB4"/>
    <w:rsid w:val="00A910DA"/>
    <w:rsid w:val="00A920E1"/>
    <w:rsid w:val="00A92667"/>
    <w:rsid w:val="00A92859"/>
    <w:rsid w:val="00A92AFD"/>
    <w:rsid w:val="00A92DC4"/>
    <w:rsid w:val="00A933AE"/>
    <w:rsid w:val="00A933B2"/>
    <w:rsid w:val="00A93863"/>
    <w:rsid w:val="00A93928"/>
    <w:rsid w:val="00A93D80"/>
    <w:rsid w:val="00A9415E"/>
    <w:rsid w:val="00A9423F"/>
    <w:rsid w:val="00A94EBD"/>
    <w:rsid w:val="00A9510A"/>
    <w:rsid w:val="00A9510D"/>
    <w:rsid w:val="00A95580"/>
    <w:rsid w:val="00A95673"/>
    <w:rsid w:val="00A956AC"/>
    <w:rsid w:val="00A95D2A"/>
    <w:rsid w:val="00A96214"/>
    <w:rsid w:val="00A967E8"/>
    <w:rsid w:val="00A978D3"/>
    <w:rsid w:val="00A97F4B"/>
    <w:rsid w:val="00AA04C5"/>
    <w:rsid w:val="00AA10B1"/>
    <w:rsid w:val="00AA1104"/>
    <w:rsid w:val="00AA2803"/>
    <w:rsid w:val="00AA2AB3"/>
    <w:rsid w:val="00AA2BF2"/>
    <w:rsid w:val="00AA2D68"/>
    <w:rsid w:val="00AA2D6F"/>
    <w:rsid w:val="00AA3351"/>
    <w:rsid w:val="00AA3709"/>
    <w:rsid w:val="00AA3987"/>
    <w:rsid w:val="00AA3B68"/>
    <w:rsid w:val="00AA3E79"/>
    <w:rsid w:val="00AA3F06"/>
    <w:rsid w:val="00AA42D3"/>
    <w:rsid w:val="00AA4ABB"/>
    <w:rsid w:val="00AA4F2C"/>
    <w:rsid w:val="00AA4FB4"/>
    <w:rsid w:val="00AA4FE5"/>
    <w:rsid w:val="00AA5C0B"/>
    <w:rsid w:val="00AA5E3B"/>
    <w:rsid w:val="00AA63AD"/>
    <w:rsid w:val="00AA65B4"/>
    <w:rsid w:val="00AA6A75"/>
    <w:rsid w:val="00AA6CB9"/>
    <w:rsid w:val="00AA745E"/>
    <w:rsid w:val="00AA7D4D"/>
    <w:rsid w:val="00AB04AB"/>
    <w:rsid w:val="00AB05A4"/>
    <w:rsid w:val="00AB0733"/>
    <w:rsid w:val="00AB0743"/>
    <w:rsid w:val="00AB09D2"/>
    <w:rsid w:val="00AB0B64"/>
    <w:rsid w:val="00AB0C30"/>
    <w:rsid w:val="00AB0E97"/>
    <w:rsid w:val="00AB156E"/>
    <w:rsid w:val="00AB157A"/>
    <w:rsid w:val="00AB176B"/>
    <w:rsid w:val="00AB1F2D"/>
    <w:rsid w:val="00AB32A5"/>
    <w:rsid w:val="00AB3661"/>
    <w:rsid w:val="00AB37E6"/>
    <w:rsid w:val="00AB3DBA"/>
    <w:rsid w:val="00AB4136"/>
    <w:rsid w:val="00AB431C"/>
    <w:rsid w:val="00AB470E"/>
    <w:rsid w:val="00AB51E1"/>
    <w:rsid w:val="00AB5467"/>
    <w:rsid w:val="00AB5514"/>
    <w:rsid w:val="00AB5A7E"/>
    <w:rsid w:val="00AB6979"/>
    <w:rsid w:val="00AB7538"/>
    <w:rsid w:val="00AB75A3"/>
    <w:rsid w:val="00AB77F3"/>
    <w:rsid w:val="00AC0256"/>
    <w:rsid w:val="00AC0334"/>
    <w:rsid w:val="00AC04B9"/>
    <w:rsid w:val="00AC0AAD"/>
    <w:rsid w:val="00AC0C9D"/>
    <w:rsid w:val="00AC1231"/>
    <w:rsid w:val="00AC1992"/>
    <w:rsid w:val="00AC1E14"/>
    <w:rsid w:val="00AC2CFA"/>
    <w:rsid w:val="00AC3263"/>
    <w:rsid w:val="00AC337E"/>
    <w:rsid w:val="00AC3E12"/>
    <w:rsid w:val="00AC406E"/>
    <w:rsid w:val="00AC4087"/>
    <w:rsid w:val="00AC430C"/>
    <w:rsid w:val="00AC4951"/>
    <w:rsid w:val="00AC4A6B"/>
    <w:rsid w:val="00AC51EA"/>
    <w:rsid w:val="00AC579B"/>
    <w:rsid w:val="00AC5C19"/>
    <w:rsid w:val="00AC60F0"/>
    <w:rsid w:val="00AC6385"/>
    <w:rsid w:val="00AC6657"/>
    <w:rsid w:val="00AC6D7A"/>
    <w:rsid w:val="00AC6E9A"/>
    <w:rsid w:val="00AC717E"/>
    <w:rsid w:val="00AC7363"/>
    <w:rsid w:val="00AC7401"/>
    <w:rsid w:val="00AC750C"/>
    <w:rsid w:val="00AC7901"/>
    <w:rsid w:val="00AC79F3"/>
    <w:rsid w:val="00AC7A6A"/>
    <w:rsid w:val="00AC7FDD"/>
    <w:rsid w:val="00AD0949"/>
    <w:rsid w:val="00AD0A20"/>
    <w:rsid w:val="00AD0D5F"/>
    <w:rsid w:val="00AD0F1D"/>
    <w:rsid w:val="00AD0F60"/>
    <w:rsid w:val="00AD1179"/>
    <w:rsid w:val="00AD1359"/>
    <w:rsid w:val="00AD192F"/>
    <w:rsid w:val="00AD19F0"/>
    <w:rsid w:val="00AD1C25"/>
    <w:rsid w:val="00AD1FCE"/>
    <w:rsid w:val="00AD24D1"/>
    <w:rsid w:val="00AD26E1"/>
    <w:rsid w:val="00AD29CC"/>
    <w:rsid w:val="00AD2D18"/>
    <w:rsid w:val="00AD3268"/>
    <w:rsid w:val="00AD3652"/>
    <w:rsid w:val="00AD3DE2"/>
    <w:rsid w:val="00AD4135"/>
    <w:rsid w:val="00AD4261"/>
    <w:rsid w:val="00AD46F5"/>
    <w:rsid w:val="00AD4C64"/>
    <w:rsid w:val="00AD4CB1"/>
    <w:rsid w:val="00AD51A3"/>
    <w:rsid w:val="00AD598B"/>
    <w:rsid w:val="00AD7154"/>
    <w:rsid w:val="00AD797D"/>
    <w:rsid w:val="00AD7E02"/>
    <w:rsid w:val="00AE0034"/>
    <w:rsid w:val="00AE0483"/>
    <w:rsid w:val="00AE08DD"/>
    <w:rsid w:val="00AE1310"/>
    <w:rsid w:val="00AE13BD"/>
    <w:rsid w:val="00AE156F"/>
    <w:rsid w:val="00AE1A0B"/>
    <w:rsid w:val="00AE1ABF"/>
    <w:rsid w:val="00AE1AF9"/>
    <w:rsid w:val="00AE1E60"/>
    <w:rsid w:val="00AE1EAC"/>
    <w:rsid w:val="00AE2068"/>
    <w:rsid w:val="00AE2258"/>
    <w:rsid w:val="00AE277E"/>
    <w:rsid w:val="00AE2A36"/>
    <w:rsid w:val="00AE2BC6"/>
    <w:rsid w:val="00AE2CCC"/>
    <w:rsid w:val="00AE2FDC"/>
    <w:rsid w:val="00AE3251"/>
    <w:rsid w:val="00AE33DA"/>
    <w:rsid w:val="00AE3B0A"/>
    <w:rsid w:val="00AE3FE0"/>
    <w:rsid w:val="00AE491C"/>
    <w:rsid w:val="00AE4D5C"/>
    <w:rsid w:val="00AE4FE1"/>
    <w:rsid w:val="00AE5058"/>
    <w:rsid w:val="00AE51CD"/>
    <w:rsid w:val="00AE5471"/>
    <w:rsid w:val="00AE54AA"/>
    <w:rsid w:val="00AE57AE"/>
    <w:rsid w:val="00AE59A3"/>
    <w:rsid w:val="00AE5F18"/>
    <w:rsid w:val="00AE60E4"/>
    <w:rsid w:val="00AE6872"/>
    <w:rsid w:val="00AE6C58"/>
    <w:rsid w:val="00AE72C4"/>
    <w:rsid w:val="00AE7F05"/>
    <w:rsid w:val="00AE7F38"/>
    <w:rsid w:val="00AF054D"/>
    <w:rsid w:val="00AF0870"/>
    <w:rsid w:val="00AF0939"/>
    <w:rsid w:val="00AF0981"/>
    <w:rsid w:val="00AF0A84"/>
    <w:rsid w:val="00AF0ED8"/>
    <w:rsid w:val="00AF0F9C"/>
    <w:rsid w:val="00AF10F0"/>
    <w:rsid w:val="00AF193F"/>
    <w:rsid w:val="00AF24E7"/>
    <w:rsid w:val="00AF272B"/>
    <w:rsid w:val="00AF291B"/>
    <w:rsid w:val="00AF2C74"/>
    <w:rsid w:val="00AF2DAA"/>
    <w:rsid w:val="00AF2EBD"/>
    <w:rsid w:val="00AF2FF1"/>
    <w:rsid w:val="00AF33AE"/>
    <w:rsid w:val="00AF34C9"/>
    <w:rsid w:val="00AF37AF"/>
    <w:rsid w:val="00AF3C7B"/>
    <w:rsid w:val="00AF3CDC"/>
    <w:rsid w:val="00AF44B1"/>
    <w:rsid w:val="00AF5189"/>
    <w:rsid w:val="00AF51D4"/>
    <w:rsid w:val="00AF5800"/>
    <w:rsid w:val="00AF6986"/>
    <w:rsid w:val="00AF69FE"/>
    <w:rsid w:val="00AF6A77"/>
    <w:rsid w:val="00AF6AD6"/>
    <w:rsid w:val="00AF6BC7"/>
    <w:rsid w:val="00AF6D1B"/>
    <w:rsid w:val="00AF6F4B"/>
    <w:rsid w:val="00AF73ED"/>
    <w:rsid w:val="00AF768E"/>
    <w:rsid w:val="00AF7B5B"/>
    <w:rsid w:val="00AF7D69"/>
    <w:rsid w:val="00AF7ED2"/>
    <w:rsid w:val="00B003BD"/>
    <w:rsid w:val="00B004D8"/>
    <w:rsid w:val="00B00830"/>
    <w:rsid w:val="00B00B72"/>
    <w:rsid w:val="00B00CC5"/>
    <w:rsid w:val="00B016D2"/>
    <w:rsid w:val="00B017BC"/>
    <w:rsid w:val="00B01EEE"/>
    <w:rsid w:val="00B02091"/>
    <w:rsid w:val="00B02B43"/>
    <w:rsid w:val="00B02B73"/>
    <w:rsid w:val="00B03D36"/>
    <w:rsid w:val="00B04540"/>
    <w:rsid w:val="00B046F1"/>
    <w:rsid w:val="00B05116"/>
    <w:rsid w:val="00B051A7"/>
    <w:rsid w:val="00B05D46"/>
    <w:rsid w:val="00B05F1A"/>
    <w:rsid w:val="00B06DF8"/>
    <w:rsid w:val="00B07B33"/>
    <w:rsid w:val="00B07B78"/>
    <w:rsid w:val="00B07FA2"/>
    <w:rsid w:val="00B07FCE"/>
    <w:rsid w:val="00B1005E"/>
    <w:rsid w:val="00B100CF"/>
    <w:rsid w:val="00B10262"/>
    <w:rsid w:val="00B1074F"/>
    <w:rsid w:val="00B10E82"/>
    <w:rsid w:val="00B110A3"/>
    <w:rsid w:val="00B111A6"/>
    <w:rsid w:val="00B115E5"/>
    <w:rsid w:val="00B118EE"/>
    <w:rsid w:val="00B11B03"/>
    <w:rsid w:val="00B11B79"/>
    <w:rsid w:val="00B11C5B"/>
    <w:rsid w:val="00B11C91"/>
    <w:rsid w:val="00B121CD"/>
    <w:rsid w:val="00B12343"/>
    <w:rsid w:val="00B12529"/>
    <w:rsid w:val="00B12675"/>
    <w:rsid w:val="00B128C5"/>
    <w:rsid w:val="00B12B11"/>
    <w:rsid w:val="00B12C94"/>
    <w:rsid w:val="00B12D5B"/>
    <w:rsid w:val="00B135AB"/>
    <w:rsid w:val="00B135D7"/>
    <w:rsid w:val="00B13797"/>
    <w:rsid w:val="00B137BF"/>
    <w:rsid w:val="00B137C2"/>
    <w:rsid w:val="00B13A1B"/>
    <w:rsid w:val="00B13A76"/>
    <w:rsid w:val="00B13DC3"/>
    <w:rsid w:val="00B142D9"/>
    <w:rsid w:val="00B148DD"/>
    <w:rsid w:val="00B14B3E"/>
    <w:rsid w:val="00B14BC4"/>
    <w:rsid w:val="00B158A3"/>
    <w:rsid w:val="00B15B25"/>
    <w:rsid w:val="00B15C36"/>
    <w:rsid w:val="00B15EA0"/>
    <w:rsid w:val="00B16028"/>
    <w:rsid w:val="00B16069"/>
    <w:rsid w:val="00B17A4E"/>
    <w:rsid w:val="00B17B30"/>
    <w:rsid w:val="00B17C2F"/>
    <w:rsid w:val="00B17C6E"/>
    <w:rsid w:val="00B20A9E"/>
    <w:rsid w:val="00B21048"/>
    <w:rsid w:val="00B213A7"/>
    <w:rsid w:val="00B2153E"/>
    <w:rsid w:val="00B21C64"/>
    <w:rsid w:val="00B21F72"/>
    <w:rsid w:val="00B21FA7"/>
    <w:rsid w:val="00B22022"/>
    <w:rsid w:val="00B225E4"/>
    <w:rsid w:val="00B231C5"/>
    <w:rsid w:val="00B23803"/>
    <w:rsid w:val="00B23F7A"/>
    <w:rsid w:val="00B240B1"/>
    <w:rsid w:val="00B24208"/>
    <w:rsid w:val="00B24374"/>
    <w:rsid w:val="00B2438B"/>
    <w:rsid w:val="00B24728"/>
    <w:rsid w:val="00B248A9"/>
    <w:rsid w:val="00B2490A"/>
    <w:rsid w:val="00B24BE3"/>
    <w:rsid w:val="00B24D28"/>
    <w:rsid w:val="00B24F1C"/>
    <w:rsid w:val="00B25454"/>
    <w:rsid w:val="00B2580C"/>
    <w:rsid w:val="00B25D76"/>
    <w:rsid w:val="00B2681D"/>
    <w:rsid w:val="00B27032"/>
    <w:rsid w:val="00B27085"/>
    <w:rsid w:val="00B2775E"/>
    <w:rsid w:val="00B30003"/>
    <w:rsid w:val="00B3015C"/>
    <w:rsid w:val="00B30AD9"/>
    <w:rsid w:val="00B31201"/>
    <w:rsid w:val="00B31B00"/>
    <w:rsid w:val="00B31B4B"/>
    <w:rsid w:val="00B31E36"/>
    <w:rsid w:val="00B32697"/>
    <w:rsid w:val="00B32E26"/>
    <w:rsid w:val="00B338B7"/>
    <w:rsid w:val="00B34061"/>
    <w:rsid w:val="00B34376"/>
    <w:rsid w:val="00B3440A"/>
    <w:rsid w:val="00B34441"/>
    <w:rsid w:val="00B34608"/>
    <w:rsid w:val="00B34B0E"/>
    <w:rsid w:val="00B350F3"/>
    <w:rsid w:val="00B35338"/>
    <w:rsid w:val="00B35533"/>
    <w:rsid w:val="00B35534"/>
    <w:rsid w:val="00B35A87"/>
    <w:rsid w:val="00B35AFD"/>
    <w:rsid w:val="00B35DB3"/>
    <w:rsid w:val="00B35F9A"/>
    <w:rsid w:val="00B3609C"/>
    <w:rsid w:val="00B36236"/>
    <w:rsid w:val="00B3632F"/>
    <w:rsid w:val="00B3662E"/>
    <w:rsid w:val="00B366D2"/>
    <w:rsid w:val="00B366FA"/>
    <w:rsid w:val="00B36E86"/>
    <w:rsid w:val="00B3796A"/>
    <w:rsid w:val="00B379BA"/>
    <w:rsid w:val="00B412FD"/>
    <w:rsid w:val="00B41B15"/>
    <w:rsid w:val="00B41D87"/>
    <w:rsid w:val="00B421EC"/>
    <w:rsid w:val="00B422BE"/>
    <w:rsid w:val="00B4241D"/>
    <w:rsid w:val="00B426BB"/>
    <w:rsid w:val="00B427AF"/>
    <w:rsid w:val="00B42EB9"/>
    <w:rsid w:val="00B435BD"/>
    <w:rsid w:val="00B436F0"/>
    <w:rsid w:val="00B43A03"/>
    <w:rsid w:val="00B440B8"/>
    <w:rsid w:val="00B441FE"/>
    <w:rsid w:val="00B44317"/>
    <w:rsid w:val="00B44821"/>
    <w:rsid w:val="00B44AD3"/>
    <w:rsid w:val="00B450EB"/>
    <w:rsid w:val="00B45152"/>
    <w:rsid w:val="00B451AC"/>
    <w:rsid w:val="00B455D2"/>
    <w:rsid w:val="00B45E54"/>
    <w:rsid w:val="00B45E9C"/>
    <w:rsid w:val="00B464E4"/>
    <w:rsid w:val="00B4689A"/>
    <w:rsid w:val="00B46D5F"/>
    <w:rsid w:val="00B46E7B"/>
    <w:rsid w:val="00B47DC5"/>
    <w:rsid w:val="00B47E1B"/>
    <w:rsid w:val="00B505B3"/>
    <w:rsid w:val="00B50882"/>
    <w:rsid w:val="00B50A74"/>
    <w:rsid w:val="00B520A0"/>
    <w:rsid w:val="00B5220F"/>
    <w:rsid w:val="00B5257E"/>
    <w:rsid w:val="00B525CE"/>
    <w:rsid w:val="00B52795"/>
    <w:rsid w:val="00B52809"/>
    <w:rsid w:val="00B52CFD"/>
    <w:rsid w:val="00B52EED"/>
    <w:rsid w:val="00B53103"/>
    <w:rsid w:val="00B53507"/>
    <w:rsid w:val="00B5353D"/>
    <w:rsid w:val="00B53E64"/>
    <w:rsid w:val="00B54057"/>
    <w:rsid w:val="00B545A8"/>
    <w:rsid w:val="00B54C1A"/>
    <w:rsid w:val="00B55006"/>
    <w:rsid w:val="00B55F22"/>
    <w:rsid w:val="00B56312"/>
    <w:rsid w:val="00B56527"/>
    <w:rsid w:val="00B56B97"/>
    <w:rsid w:val="00B57019"/>
    <w:rsid w:val="00B576DA"/>
    <w:rsid w:val="00B57710"/>
    <w:rsid w:val="00B57B1A"/>
    <w:rsid w:val="00B57DF5"/>
    <w:rsid w:val="00B601C9"/>
    <w:rsid w:val="00B60D04"/>
    <w:rsid w:val="00B6158F"/>
    <w:rsid w:val="00B61D5D"/>
    <w:rsid w:val="00B61EE8"/>
    <w:rsid w:val="00B628C3"/>
    <w:rsid w:val="00B633A3"/>
    <w:rsid w:val="00B63533"/>
    <w:rsid w:val="00B6394E"/>
    <w:rsid w:val="00B63BDB"/>
    <w:rsid w:val="00B64009"/>
    <w:rsid w:val="00B64106"/>
    <w:rsid w:val="00B645A7"/>
    <w:rsid w:val="00B64A0E"/>
    <w:rsid w:val="00B64DDF"/>
    <w:rsid w:val="00B64F40"/>
    <w:rsid w:val="00B6601E"/>
    <w:rsid w:val="00B663AA"/>
    <w:rsid w:val="00B66816"/>
    <w:rsid w:val="00B66909"/>
    <w:rsid w:val="00B66DD5"/>
    <w:rsid w:val="00B672B4"/>
    <w:rsid w:val="00B67722"/>
    <w:rsid w:val="00B67783"/>
    <w:rsid w:val="00B67B97"/>
    <w:rsid w:val="00B67F01"/>
    <w:rsid w:val="00B70329"/>
    <w:rsid w:val="00B70764"/>
    <w:rsid w:val="00B70C9E"/>
    <w:rsid w:val="00B711AB"/>
    <w:rsid w:val="00B714F0"/>
    <w:rsid w:val="00B71A40"/>
    <w:rsid w:val="00B71C52"/>
    <w:rsid w:val="00B71C8C"/>
    <w:rsid w:val="00B71CB4"/>
    <w:rsid w:val="00B71FD7"/>
    <w:rsid w:val="00B725E7"/>
    <w:rsid w:val="00B727DA"/>
    <w:rsid w:val="00B72C07"/>
    <w:rsid w:val="00B72DF7"/>
    <w:rsid w:val="00B72F42"/>
    <w:rsid w:val="00B733FB"/>
    <w:rsid w:val="00B738C0"/>
    <w:rsid w:val="00B73E44"/>
    <w:rsid w:val="00B74290"/>
    <w:rsid w:val="00B74510"/>
    <w:rsid w:val="00B74BD4"/>
    <w:rsid w:val="00B74BF7"/>
    <w:rsid w:val="00B75B72"/>
    <w:rsid w:val="00B76185"/>
    <w:rsid w:val="00B761BB"/>
    <w:rsid w:val="00B76BCD"/>
    <w:rsid w:val="00B77080"/>
    <w:rsid w:val="00B7786D"/>
    <w:rsid w:val="00B779E6"/>
    <w:rsid w:val="00B77A85"/>
    <w:rsid w:val="00B804E2"/>
    <w:rsid w:val="00B80E8E"/>
    <w:rsid w:val="00B80F9D"/>
    <w:rsid w:val="00B811B2"/>
    <w:rsid w:val="00B8130C"/>
    <w:rsid w:val="00B81BA3"/>
    <w:rsid w:val="00B81BBB"/>
    <w:rsid w:val="00B82213"/>
    <w:rsid w:val="00B8239F"/>
    <w:rsid w:val="00B8276E"/>
    <w:rsid w:val="00B82A5D"/>
    <w:rsid w:val="00B834BD"/>
    <w:rsid w:val="00B83A62"/>
    <w:rsid w:val="00B83AC4"/>
    <w:rsid w:val="00B83B59"/>
    <w:rsid w:val="00B83D1B"/>
    <w:rsid w:val="00B84252"/>
    <w:rsid w:val="00B8468F"/>
    <w:rsid w:val="00B849F1"/>
    <w:rsid w:val="00B84FC6"/>
    <w:rsid w:val="00B857F5"/>
    <w:rsid w:val="00B86AEC"/>
    <w:rsid w:val="00B86D6C"/>
    <w:rsid w:val="00B86EB5"/>
    <w:rsid w:val="00B86F47"/>
    <w:rsid w:val="00B871F7"/>
    <w:rsid w:val="00B874B4"/>
    <w:rsid w:val="00B876C1"/>
    <w:rsid w:val="00B8787A"/>
    <w:rsid w:val="00B87887"/>
    <w:rsid w:val="00B90123"/>
    <w:rsid w:val="00B90196"/>
    <w:rsid w:val="00B902F5"/>
    <w:rsid w:val="00B90518"/>
    <w:rsid w:val="00B90845"/>
    <w:rsid w:val="00B90F83"/>
    <w:rsid w:val="00B911C1"/>
    <w:rsid w:val="00B91374"/>
    <w:rsid w:val="00B91AC1"/>
    <w:rsid w:val="00B91B7F"/>
    <w:rsid w:val="00B921B2"/>
    <w:rsid w:val="00B922C3"/>
    <w:rsid w:val="00B9272A"/>
    <w:rsid w:val="00B9272E"/>
    <w:rsid w:val="00B927A7"/>
    <w:rsid w:val="00B92B9E"/>
    <w:rsid w:val="00B93315"/>
    <w:rsid w:val="00B93457"/>
    <w:rsid w:val="00B93519"/>
    <w:rsid w:val="00B9372A"/>
    <w:rsid w:val="00B9425C"/>
    <w:rsid w:val="00B94AAF"/>
    <w:rsid w:val="00B953FF"/>
    <w:rsid w:val="00B9565B"/>
    <w:rsid w:val="00B95DB7"/>
    <w:rsid w:val="00B9622D"/>
    <w:rsid w:val="00B96263"/>
    <w:rsid w:val="00B968A5"/>
    <w:rsid w:val="00B972CD"/>
    <w:rsid w:val="00B97D02"/>
    <w:rsid w:val="00B97DDD"/>
    <w:rsid w:val="00BA0304"/>
    <w:rsid w:val="00BA0557"/>
    <w:rsid w:val="00BA08B0"/>
    <w:rsid w:val="00BA0DFD"/>
    <w:rsid w:val="00BA19C4"/>
    <w:rsid w:val="00BA2C59"/>
    <w:rsid w:val="00BA3038"/>
    <w:rsid w:val="00BA360A"/>
    <w:rsid w:val="00BA370A"/>
    <w:rsid w:val="00BA37FD"/>
    <w:rsid w:val="00BA4032"/>
    <w:rsid w:val="00BA4268"/>
    <w:rsid w:val="00BA435D"/>
    <w:rsid w:val="00BA48BC"/>
    <w:rsid w:val="00BA4A29"/>
    <w:rsid w:val="00BA4A43"/>
    <w:rsid w:val="00BA4BE7"/>
    <w:rsid w:val="00BA5242"/>
    <w:rsid w:val="00BA5982"/>
    <w:rsid w:val="00BA5F20"/>
    <w:rsid w:val="00BA5F44"/>
    <w:rsid w:val="00BA68D9"/>
    <w:rsid w:val="00BA6FD8"/>
    <w:rsid w:val="00BA712E"/>
    <w:rsid w:val="00BA7172"/>
    <w:rsid w:val="00BA72CF"/>
    <w:rsid w:val="00BA781E"/>
    <w:rsid w:val="00BA7830"/>
    <w:rsid w:val="00BA79A1"/>
    <w:rsid w:val="00BA7B01"/>
    <w:rsid w:val="00BB02D7"/>
    <w:rsid w:val="00BB0D9F"/>
    <w:rsid w:val="00BB0DEE"/>
    <w:rsid w:val="00BB0F06"/>
    <w:rsid w:val="00BB0F93"/>
    <w:rsid w:val="00BB1031"/>
    <w:rsid w:val="00BB16A7"/>
    <w:rsid w:val="00BB1B33"/>
    <w:rsid w:val="00BB1D1F"/>
    <w:rsid w:val="00BB2073"/>
    <w:rsid w:val="00BB2350"/>
    <w:rsid w:val="00BB2480"/>
    <w:rsid w:val="00BB27FD"/>
    <w:rsid w:val="00BB2C4E"/>
    <w:rsid w:val="00BB2E29"/>
    <w:rsid w:val="00BB2F74"/>
    <w:rsid w:val="00BB3206"/>
    <w:rsid w:val="00BB32C2"/>
    <w:rsid w:val="00BB3B0D"/>
    <w:rsid w:val="00BB41FB"/>
    <w:rsid w:val="00BB4369"/>
    <w:rsid w:val="00BB524C"/>
    <w:rsid w:val="00BB5DAB"/>
    <w:rsid w:val="00BB5F1E"/>
    <w:rsid w:val="00BB6076"/>
    <w:rsid w:val="00BB6195"/>
    <w:rsid w:val="00BB61A3"/>
    <w:rsid w:val="00BB67CE"/>
    <w:rsid w:val="00BB67EA"/>
    <w:rsid w:val="00BB707E"/>
    <w:rsid w:val="00BB7568"/>
    <w:rsid w:val="00BC007C"/>
    <w:rsid w:val="00BC0157"/>
    <w:rsid w:val="00BC0247"/>
    <w:rsid w:val="00BC0497"/>
    <w:rsid w:val="00BC0900"/>
    <w:rsid w:val="00BC0986"/>
    <w:rsid w:val="00BC0AB2"/>
    <w:rsid w:val="00BC1308"/>
    <w:rsid w:val="00BC19A5"/>
    <w:rsid w:val="00BC1BF4"/>
    <w:rsid w:val="00BC2012"/>
    <w:rsid w:val="00BC2600"/>
    <w:rsid w:val="00BC2F24"/>
    <w:rsid w:val="00BC3063"/>
    <w:rsid w:val="00BC3254"/>
    <w:rsid w:val="00BC33BE"/>
    <w:rsid w:val="00BC3A47"/>
    <w:rsid w:val="00BC3EEB"/>
    <w:rsid w:val="00BC4780"/>
    <w:rsid w:val="00BC505B"/>
    <w:rsid w:val="00BC52C8"/>
    <w:rsid w:val="00BC5485"/>
    <w:rsid w:val="00BC549C"/>
    <w:rsid w:val="00BC570E"/>
    <w:rsid w:val="00BC5A6C"/>
    <w:rsid w:val="00BC5AF6"/>
    <w:rsid w:val="00BC5B4B"/>
    <w:rsid w:val="00BC5EDB"/>
    <w:rsid w:val="00BC69A2"/>
    <w:rsid w:val="00BC6ED6"/>
    <w:rsid w:val="00BC6F03"/>
    <w:rsid w:val="00BC6FA1"/>
    <w:rsid w:val="00BC70CE"/>
    <w:rsid w:val="00BC7487"/>
    <w:rsid w:val="00BD03F5"/>
    <w:rsid w:val="00BD0570"/>
    <w:rsid w:val="00BD06F9"/>
    <w:rsid w:val="00BD0853"/>
    <w:rsid w:val="00BD0EE1"/>
    <w:rsid w:val="00BD10FE"/>
    <w:rsid w:val="00BD112D"/>
    <w:rsid w:val="00BD1267"/>
    <w:rsid w:val="00BD214E"/>
    <w:rsid w:val="00BD2199"/>
    <w:rsid w:val="00BD2395"/>
    <w:rsid w:val="00BD25B8"/>
    <w:rsid w:val="00BD2827"/>
    <w:rsid w:val="00BD2842"/>
    <w:rsid w:val="00BD29E9"/>
    <w:rsid w:val="00BD3120"/>
    <w:rsid w:val="00BD3354"/>
    <w:rsid w:val="00BD378D"/>
    <w:rsid w:val="00BD384E"/>
    <w:rsid w:val="00BD3E76"/>
    <w:rsid w:val="00BD3EE2"/>
    <w:rsid w:val="00BD3FCF"/>
    <w:rsid w:val="00BD42D2"/>
    <w:rsid w:val="00BD44F0"/>
    <w:rsid w:val="00BD451B"/>
    <w:rsid w:val="00BD47D7"/>
    <w:rsid w:val="00BD4EFB"/>
    <w:rsid w:val="00BD5076"/>
    <w:rsid w:val="00BD5551"/>
    <w:rsid w:val="00BD5984"/>
    <w:rsid w:val="00BD60EB"/>
    <w:rsid w:val="00BD6474"/>
    <w:rsid w:val="00BD6D43"/>
    <w:rsid w:val="00BD6F81"/>
    <w:rsid w:val="00BD7090"/>
    <w:rsid w:val="00BD7490"/>
    <w:rsid w:val="00BD767F"/>
    <w:rsid w:val="00BD7979"/>
    <w:rsid w:val="00BD7DA0"/>
    <w:rsid w:val="00BE05DB"/>
    <w:rsid w:val="00BE096B"/>
    <w:rsid w:val="00BE09C3"/>
    <w:rsid w:val="00BE0B10"/>
    <w:rsid w:val="00BE0BB8"/>
    <w:rsid w:val="00BE0C27"/>
    <w:rsid w:val="00BE15BB"/>
    <w:rsid w:val="00BE198F"/>
    <w:rsid w:val="00BE316D"/>
    <w:rsid w:val="00BE38FB"/>
    <w:rsid w:val="00BE3FA4"/>
    <w:rsid w:val="00BE4BE9"/>
    <w:rsid w:val="00BE4CCF"/>
    <w:rsid w:val="00BE5964"/>
    <w:rsid w:val="00BE5D68"/>
    <w:rsid w:val="00BE617C"/>
    <w:rsid w:val="00BE660B"/>
    <w:rsid w:val="00BE6A40"/>
    <w:rsid w:val="00BE6AFE"/>
    <w:rsid w:val="00BE6BBE"/>
    <w:rsid w:val="00BE6C12"/>
    <w:rsid w:val="00BE7021"/>
    <w:rsid w:val="00BE7300"/>
    <w:rsid w:val="00BE76F7"/>
    <w:rsid w:val="00BE784F"/>
    <w:rsid w:val="00BE79C6"/>
    <w:rsid w:val="00BE7E37"/>
    <w:rsid w:val="00BF0238"/>
    <w:rsid w:val="00BF04AF"/>
    <w:rsid w:val="00BF0717"/>
    <w:rsid w:val="00BF0749"/>
    <w:rsid w:val="00BF09F0"/>
    <w:rsid w:val="00BF1750"/>
    <w:rsid w:val="00BF178E"/>
    <w:rsid w:val="00BF189F"/>
    <w:rsid w:val="00BF18F2"/>
    <w:rsid w:val="00BF1B44"/>
    <w:rsid w:val="00BF1CBF"/>
    <w:rsid w:val="00BF1F01"/>
    <w:rsid w:val="00BF1FC2"/>
    <w:rsid w:val="00BF23CC"/>
    <w:rsid w:val="00BF243F"/>
    <w:rsid w:val="00BF2708"/>
    <w:rsid w:val="00BF4C2B"/>
    <w:rsid w:val="00BF507A"/>
    <w:rsid w:val="00BF5217"/>
    <w:rsid w:val="00BF53F1"/>
    <w:rsid w:val="00BF5717"/>
    <w:rsid w:val="00BF585E"/>
    <w:rsid w:val="00BF58AA"/>
    <w:rsid w:val="00BF5B9D"/>
    <w:rsid w:val="00BF5C45"/>
    <w:rsid w:val="00BF5FA3"/>
    <w:rsid w:val="00BF62F2"/>
    <w:rsid w:val="00BF63A5"/>
    <w:rsid w:val="00BF69C0"/>
    <w:rsid w:val="00BF6E34"/>
    <w:rsid w:val="00BF72A7"/>
    <w:rsid w:val="00BF7558"/>
    <w:rsid w:val="00BF7DD2"/>
    <w:rsid w:val="00C0111E"/>
    <w:rsid w:val="00C021FD"/>
    <w:rsid w:val="00C02376"/>
    <w:rsid w:val="00C02676"/>
    <w:rsid w:val="00C029AB"/>
    <w:rsid w:val="00C029B7"/>
    <w:rsid w:val="00C02BAF"/>
    <w:rsid w:val="00C02D74"/>
    <w:rsid w:val="00C033ED"/>
    <w:rsid w:val="00C035AD"/>
    <w:rsid w:val="00C03BD5"/>
    <w:rsid w:val="00C03C8B"/>
    <w:rsid w:val="00C03F3C"/>
    <w:rsid w:val="00C0425C"/>
    <w:rsid w:val="00C049BE"/>
    <w:rsid w:val="00C04A71"/>
    <w:rsid w:val="00C04DD4"/>
    <w:rsid w:val="00C04DF0"/>
    <w:rsid w:val="00C050BB"/>
    <w:rsid w:val="00C055B3"/>
    <w:rsid w:val="00C05A4C"/>
    <w:rsid w:val="00C05A67"/>
    <w:rsid w:val="00C05BDA"/>
    <w:rsid w:val="00C05E30"/>
    <w:rsid w:val="00C0641F"/>
    <w:rsid w:val="00C065AC"/>
    <w:rsid w:val="00C06E6F"/>
    <w:rsid w:val="00C07371"/>
    <w:rsid w:val="00C075DB"/>
    <w:rsid w:val="00C07EBA"/>
    <w:rsid w:val="00C07FBC"/>
    <w:rsid w:val="00C100E7"/>
    <w:rsid w:val="00C10BFB"/>
    <w:rsid w:val="00C10D84"/>
    <w:rsid w:val="00C1106B"/>
    <w:rsid w:val="00C11113"/>
    <w:rsid w:val="00C11687"/>
    <w:rsid w:val="00C11E28"/>
    <w:rsid w:val="00C11F66"/>
    <w:rsid w:val="00C1225B"/>
    <w:rsid w:val="00C122F9"/>
    <w:rsid w:val="00C1253A"/>
    <w:rsid w:val="00C128C9"/>
    <w:rsid w:val="00C12CF3"/>
    <w:rsid w:val="00C12F88"/>
    <w:rsid w:val="00C131A8"/>
    <w:rsid w:val="00C1322D"/>
    <w:rsid w:val="00C135A3"/>
    <w:rsid w:val="00C146E8"/>
    <w:rsid w:val="00C1477A"/>
    <w:rsid w:val="00C14A62"/>
    <w:rsid w:val="00C150EE"/>
    <w:rsid w:val="00C150EF"/>
    <w:rsid w:val="00C151F5"/>
    <w:rsid w:val="00C157F2"/>
    <w:rsid w:val="00C158EB"/>
    <w:rsid w:val="00C159B1"/>
    <w:rsid w:val="00C15D51"/>
    <w:rsid w:val="00C161F5"/>
    <w:rsid w:val="00C16BE6"/>
    <w:rsid w:val="00C16C92"/>
    <w:rsid w:val="00C1706B"/>
    <w:rsid w:val="00C1749D"/>
    <w:rsid w:val="00C17BB2"/>
    <w:rsid w:val="00C17DB7"/>
    <w:rsid w:val="00C17E48"/>
    <w:rsid w:val="00C17F0B"/>
    <w:rsid w:val="00C201E7"/>
    <w:rsid w:val="00C20374"/>
    <w:rsid w:val="00C20506"/>
    <w:rsid w:val="00C2054A"/>
    <w:rsid w:val="00C20AA2"/>
    <w:rsid w:val="00C20B91"/>
    <w:rsid w:val="00C20C36"/>
    <w:rsid w:val="00C20F8D"/>
    <w:rsid w:val="00C21155"/>
    <w:rsid w:val="00C21468"/>
    <w:rsid w:val="00C2146C"/>
    <w:rsid w:val="00C214D7"/>
    <w:rsid w:val="00C21561"/>
    <w:rsid w:val="00C217EE"/>
    <w:rsid w:val="00C22487"/>
    <w:rsid w:val="00C22784"/>
    <w:rsid w:val="00C23843"/>
    <w:rsid w:val="00C23A4C"/>
    <w:rsid w:val="00C240D3"/>
    <w:rsid w:val="00C2419D"/>
    <w:rsid w:val="00C243A4"/>
    <w:rsid w:val="00C24416"/>
    <w:rsid w:val="00C248DB"/>
    <w:rsid w:val="00C24E56"/>
    <w:rsid w:val="00C25070"/>
    <w:rsid w:val="00C25B4E"/>
    <w:rsid w:val="00C26170"/>
    <w:rsid w:val="00C26B5A"/>
    <w:rsid w:val="00C26D52"/>
    <w:rsid w:val="00C26D81"/>
    <w:rsid w:val="00C30084"/>
    <w:rsid w:val="00C303E4"/>
    <w:rsid w:val="00C30775"/>
    <w:rsid w:val="00C30B8D"/>
    <w:rsid w:val="00C3104F"/>
    <w:rsid w:val="00C3134E"/>
    <w:rsid w:val="00C315D8"/>
    <w:rsid w:val="00C31C4A"/>
    <w:rsid w:val="00C31D2D"/>
    <w:rsid w:val="00C31FCD"/>
    <w:rsid w:val="00C32062"/>
    <w:rsid w:val="00C3209A"/>
    <w:rsid w:val="00C323D7"/>
    <w:rsid w:val="00C32638"/>
    <w:rsid w:val="00C32639"/>
    <w:rsid w:val="00C32808"/>
    <w:rsid w:val="00C32AD2"/>
    <w:rsid w:val="00C32DE8"/>
    <w:rsid w:val="00C32E33"/>
    <w:rsid w:val="00C33114"/>
    <w:rsid w:val="00C34193"/>
    <w:rsid w:val="00C347FD"/>
    <w:rsid w:val="00C34C1E"/>
    <w:rsid w:val="00C34DAE"/>
    <w:rsid w:val="00C34E1E"/>
    <w:rsid w:val="00C34E5A"/>
    <w:rsid w:val="00C353D2"/>
    <w:rsid w:val="00C35797"/>
    <w:rsid w:val="00C35D9C"/>
    <w:rsid w:val="00C36219"/>
    <w:rsid w:val="00C3698E"/>
    <w:rsid w:val="00C36CCA"/>
    <w:rsid w:val="00C36E1C"/>
    <w:rsid w:val="00C36F42"/>
    <w:rsid w:val="00C3718A"/>
    <w:rsid w:val="00C371A8"/>
    <w:rsid w:val="00C3728D"/>
    <w:rsid w:val="00C377C6"/>
    <w:rsid w:val="00C379C5"/>
    <w:rsid w:val="00C37EC9"/>
    <w:rsid w:val="00C37EEE"/>
    <w:rsid w:val="00C40453"/>
    <w:rsid w:val="00C40E71"/>
    <w:rsid w:val="00C40FBC"/>
    <w:rsid w:val="00C4141D"/>
    <w:rsid w:val="00C41879"/>
    <w:rsid w:val="00C419E6"/>
    <w:rsid w:val="00C41A7C"/>
    <w:rsid w:val="00C41D64"/>
    <w:rsid w:val="00C4204C"/>
    <w:rsid w:val="00C42CEF"/>
    <w:rsid w:val="00C42D55"/>
    <w:rsid w:val="00C43080"/>
    <w:rsid w:val="00C4370E"/>
    <w:rsid w:val="00C43823"/>
    <w:rsid w:val="00C4384B"/>
    <w:rsid w:val="00C4393C"/>
    <w:rsid w:val="00C43A22"/>
    <w:rsid w:val="00C43F2D"/>
    <w:rsid w:val="00C44068"/>
    <w:rsid w:val="00C442AE"/>
    <w:rsid w:val="00C44B32"/>
    <w:rsid w:val="00C44DCD"/>
    <w:rsid w:val="00C4518B"/>
    <w:rsid w:val="00C45780"/>
    <w:rsid w:val="00C458D6"/>
    <w:rsid w:val="00C45919"/>
    <w:rsid w:val="00C45C79"/>
    <w:rsid w:val="00C4655A"/>
    <w:rsid w:val="00C466BF"/>
    <w:rsid w:val="00C46968"/>
    <w:rsid w:val="00C46BF1"/>
    <w:rsid w:val="00C47385"/>
    <w:rsid w:val="00C47555"/>
    <w:rsid w:val="00C476AC"/>
    <w:rsid w:val="00C47E67"/>
    <w:rsid w:val="00C47F68"/>
    <w:rsid w:val="00C47FD9"/>
    <w:rsid w:val="00C504C1"/>
    <w:rsid w:val="00C509CE"/>
    <w:rsid w:val="00C50A5C"/>
    <w:rsid w:val="00C50C1A"/>
    <w:rsid w:val="00C50E1E"/>
    <w:rsid w:val="00C50FB8"/>
    <w:rsid w:val="00C51508"/>
    <w:rsid w:val="00C51D73"/>
    <w:rsid w:val="00C52A05"/>
    <w:rsid w:val="00C52E97"/>
    <w:rsid w:val="00C52EAF"/>
    <w:rsid w:val="00C53189"/>
    <w:rsid w:val="00C534E5"/>
    <w:rsid w:val="00C534F4"/>
    <w:rsid w:val="00C5375B"/>
    <w:rsid w:val="00C53B15"/>
    <w:rsid w:val="00C53DA9"/>
    <w:rsid w:val="00C53EF7"/>
    <w:rsid w:val="00C54280"/>
    <w:rsid w:val="00C54490"/>
    <w:rsid w:val="00C54616"/>
    <w:rsid w:val="00C54929"/>
    <w:rsid w:val="00C550B6"/>
    <w:rsid w:val="00C55373"/>
    <w:rsid w:val="00C556B1"/>
    <w:rsid w:val="00C557BE"/>
    <w:rsid w:val="00C55A05"/>
    <w:rsid w:val="00C56101"/>
    <w:rsid w:val="00C565F2"/>
    <w:rsid w:val="00C567A8"/>
    <w:rsid w:val="00C567E3"/>
    <w:rsid w:val="00C56979"/>
    <w:rsid w:val="00C5698C"/>
    <w:rsid w:val="00C56C45"/>
    <w:rsid w:val="00C573CC"/>
    <w:rsid w:val="00C575BE"/>
    <w:rsid w:val="00C57AD5"/>
    <w:rsid w:val="00C57B81"/>
    <w:rsid w:val="00C57FB9"/>
    <w:rsid w:val="00C6077B"/>
    <w:rsid w:val="00C60950"/>
    <w:rsid w:val="00C609C2"/>
    <w:rsid w:val="00C60D8A"/>
    <w:rsid w:val="00C60DD1"/>
    <w:rsid w:val="00C6151E"/>
    <w:rsid w:val="00C61565"/>
    <w:rsid w:val="00C61574"/>
    <w:rsid w:val="00C615B4"/>
    <w:rsid w:val="00C616CA"/>
    <w:rsid w:val="00C61AC6"/>
    <w:rsid w:val="00C61ACF"/>
    <w:rsid w:val="00C61F5C"/>
    <w:rsid w:val="00C6211D"/>
    <w:rsid w:val="00C622D1"/>
    <w:rsid w:val="00C62537"/>
    <w:rsid w:val="00C62AAC"/>
    <w:rsid w:val="00C62AE0"/>
    <w:rsid w:val="00C62B32"/>
    <w:rsid w:val="00C632E7"/>
    <w:rsid w:val="00C63796"/>
    <w:rsid w:val="00C63DED"/>
    <w:rsid w:val="00C63E88"/>
    <w:rsid w:val="00C6436D"/>
    <w:rsid w:val="00C64F97"/>
    <w:rsid w:val="00C651E4"/>
    <w:rsid w:val="00C65585"/>
    <w:rsid w:val="00C656EB"/>
    <w:rsid w:val="00C65DF4"/>
    <w:rsid w:val="00C661C6"/>
    <w:rsid w:val="00C673D9"/>
    <w:rsid w:val="00C674A0"/>
    <w:rsid w:val="00C6773B"/>
    <w:rsid w:val="00C67B49"/>
    <w:rsid w:val="00C703D1"/>
    <w:rsid w:val="00C70AB9"/>
    <w:rsid w:val="00C710E1"/>
    <w:rsid w:val="00C711F5"/>
    <w:rsid w:val="00C71326"/>
    <w:rsid w:val="00C713A1"/>
    <w:rsid w:val="00C71828"/>
    <w:rsid w:val="00C72030"/>
    <w:rsid w:val="00C72105"/>
    <w:rsid w:val="00C726B9"/>
    <w:rsid w:val="00C73B6E"/>
    <w:rsid w:val="00C73E08"/>
    <w:rsid w:val="00C74503"/>
    <w:rsid w:val="00C74520"/>
    <w:rsid w:val="00C74954"/>
    <w:rsid w:val="00C76028"/>
    <w:rsid w:val="00C76184"/>
    <w:rsid w:val="00C76462"/>
    <w:rsid w:val="00C7673D"/>
    <w:rsid w:val="00C76A80"/>
    <w:rsid w:val="00C76C27"/>
    <w:rsid w:val="00C76F07"/>
    <w:rsid w:val="00C77602"/>
    <w:rsid w:val="00C77960"/>
    <w:rsid w:val="00C77A13"/>
    <w:rsid w:val="00C77EF6"/>
    <w:rsid w:val="00C809E5"/>
    <w:rsid w:val="00C80A20"/>
    <w:rsid w:val="00C80A4A"/>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4DA"/>
    <w:rsid w:val="00C8466F"/>
    <w:rsid w:val="00C8493B"/>
    <w:rsid w:val="00C849E0"/>
    <w:rsid w:val="00C84B74"/>
    <w:rsid w:val="00C8512A"/>
    <w:rsid w:val="00C85342"/>
    <w:rsid w:val="00C85378"/>
    <w:rsid w:val="00C85856"/>
    <w:rsid w:val="00C85970"/>
    <w:rsid w:val="00C85E9B"/>
    <w:rsid w:val="00C8645C"/>
    <w:rsid w:val="00C867C8"/>
    <w:rsid w:val="00C86D71"/>
    <w:rsid w:val="00C874C8"/>
    <w:rsid w:val="00C90165"/>
    <w:rsid w:val="00C901AC"/>
    <w:rsid w:val="00C902DA"/>
    <w:rsid w:val="00C90733"/>
    <w:rsid w:val="00C910FA"/>
    <w:rsid w:val="00C91177"/>
    <w:rsid w:val="00C91E7B"/>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72E"/>
    <w:rsid w:val="00C969DB"/>
    <w:rsid w:val="00C96A6E"/>
    <w:rsid w:val="00C96E7F"/>
    <w:rsid w:val="00C97751"/>
    <w:rsid w:val="00C97A4A"/>
    <w:rsid w:val="00C97DC9"/>
    <w:rsid w:val="00C97EE3"/>
    <w:rsid w:val="00CA00ED"/>
    <w:rsid w:val="00CA042A"/>
    <w:rsid w:val="00CA1098"/>
    <w:rsid w:val="00CA12BA"/>
    <w:rsid w:val="00CA12E4"/>
    <w:rsid w:val="00CA165C"/>
    <w:rsid w:val="00CA1913"/>
    <w:rsid w:val="00CA1C0D"/>
    <w:rsid w:val="00CA1DAE"/>
    <w:rsid w:val="00CA1E62"/>
    <w:rsid w:val="00CA2267"/>
    <w:rsid w:val="00CA3726"/>
    <w:rsid w:val="00CA38AD"/>
    <w:rsid w:val="00CA3E41"/>
    <w:rsid w:val="00CA3EEE"/>
    <w:rsid w:val="00CA4527"/>
    <w:rsid w:val="00CA4668"/>
    <w:rsid w:val="00CA4682"/>
    <w:rsid w:val="00CA4D68"/>
    <w:rsid w:val="00CA5098"/>
    <w:rsid w:val="00CA5503"/>
    <w:rsid w:val="00CA5E99"/>
    <w:rsid w:val="00CA642A"/>
    <w:rsid w:val="00CA664A"/>
    <w:rsid w:val="00CA66C3"/>
    <w:rsid w:val="00CA6CAD"/>
    <w:rsid w:val="00CA70A8"/>
    <w:rsid w:val="00CA70D0"/>
    <w:rsid w:val="00CA74A4"/>
    <w:rsid w:val="00CA7683"/>
    <w:rsid w:val="00CA7D87"/>
    <w:rsid w:val="00CA7E74"/>
    <w:rsid w:val="00CA7EA1"/>
    <w:rsid w:val="00CA7EEB"/>
    <w:rsid w:val="00CB009B"/>
    <w:rsid w:val="00CB0231"/>
    <w:rsid w:val="00CB0838"/>
    <w:rsid w:val="00CB092E"/>
    <w:rsid w:val="00CB0D7F"/>
    <w:rsid w:val="00CB11DB"/>
    <w:rsid w:val="00CB145F"/>
    <w:rsid w:val="00CB1697"/>
    <w:rsid w:val="00CB1803"/>
    <w:rsid w:val="00CB1AFD"/>
    <w:rsid w:val="00CB1EB3"/>
    <w:rsid w:val="00CB2126"/>
    <w:rsid w:val="00CB2308"/>
    <w:rsid w:val="00CB24AD"/>
    <w:rsid w:val="00CB2828"/>
    <w:rsid w:val="00CB2C59"/>
    <w:rsid w:val="00CB2D9C"/>
    <w:rsid w:val="00CB2FD3"/>
    <w:rsid w:val="00CB3135"/>
    <w:rsid w:val="00CB322A"/>
    <w:rsid w:val="00CB3384"/>
    <w:rsid w:val="00CB33CC"/>
    <w:rsid w:val="00CB34AB"/>
    <w:rsid w:val="00CB3529"/>
    <w:rsid w:val="00CB38A9"/>
    <w:rsid w:val="00CB3A45"/>
    <w:rsid w:val="00CB4183"/>
    <w:rsid w:val="00CB4728"/>
    <w:rsid w:val="00CB58FB"/>
    <w:rsid w:val="00CB59E7"/>
    <w:rsid w:val="00CB5D27"/>
    <w:rsid w:val="00CB5E4A"/>
    <w:rsid w:val="00CB6FCA"/>
    <w:rsid w:val="00CB724D"/>
    <w:rsid w:val="00CB73EA"/>
    <w:rsid w:val="00CB76E3"/>
    <w:rsid w:val="00CB7BAC"/>
    <w:rsid w:val="00CB7D4E"/>
    <w:rsid w:val="00CB7F1F"/>
    <w:rsid w:val="00CB7F2A"/>
    <w:rsid w:val="00CC002B"/>
    <w:rsid w:val="00CC07E5"/>
    <w:rsid w:val="00CC09F0"/>
    <w:rsid w:val="00CC0AB5"/>
    <w:rsid w:val="00CC0C11"/>
    <w:rsid w:val="00CC1F52"/>
    <w:rsid w:val="00CC1FB7"/>
    <w:rsid w:val="00CC1FEE"/>
    <w:rsid w:val="00CC233F"/>
    <w:rsid w:val="00CC26B5"/>
    <w:rsid w:val="00CC27FD"/>
    <w:rsid w:val="00CC29A4"/>
    <w:rsid w:val="00CC2EC7"/>
    <w:rsid w:val="00CC2FC2"/>
    <w:rsid w:val="00CC3180"/>
    <w:rsid w:val="00CC31E8"/>
    <w:rsid w:val="00CC3AB9"/>
    <w:rsid w:val="00CC3C9E"/>
    <w:rsid w:val="00CC3FDB"/>
    <w:rsid w:val="00CC442F"/>
    <w:rsid w:val="00CC457D"/>
    <w:rsid w:val="00CC45E0"/>
    <w:rsid w:val="00CC4BBE"/>
    <w:rsid w:val="00CC4BC3"/>
    <w:rsid w:val="00CC4C4B"/>
    <w:rsid w:val="00CC50C7"/>
    <w:rsid w:val="00CC55AC"/>
    <w:rsid w:val="00CC5859"/>
    <w:rsid w:val="00CC5C91"/>
    <w:rsid w:val="00CC6D1C"/>
    <w:rsid w:val="00CC6DCA"/>
    <w:rsid w:val="00CC71DD"/>
    <w:rsid w:val="00CC71F3"/>
    <w:rsid w:val="00CC72C0"/>
    <w:rsid w:val="00CC7502"/>
    <w:rsid w:val="00CC757D"/>
    <w:rsid w:val="00CC798D"/>
    <w:rsid w:val="00CC7C74"/>
    <w:rsid w:val="00CD00DB"/>
    <w:rsid w:val="00CD0119"/>
    <w:rsid w:val="00CD07FD"/>
    <w:rsid w:val="00CD0866"/>
    <w:rsid w:val="00CD0DEA"/>
    <w:rsid w:val="00CD1169"/>
    <w:rsid w:val="00CD15F1"/>
    <w:rsid w:val="00CD16C7"/>
    <w:rsid w:val="00CD1A40"/>
    <w:rsid w:val="00CD1B33"/>
    <w:rsid w:val="00CD1C47"/>
    <w:rsid w:val="00CD22C2"/>
    <w:rsid w:val="00CD23E3"/>
    <w:rsid w:val="00CD25F3"/>
    <w:rsid w:val="00CD27FF"/>
    <w:rsid w:val="00CD2875"/>
    <w:rsid w:val="00CD2DF3"/>
    <w:rsid w:val="00CD305C"/>
    <w:rsid w:val="00CD3218"/>
    <w:rsid w:val="00CD3263"/>
    <w:rsid w:val="00CD356C"/>
    <w:rsid w:val="00CD3A6D"/>
    <w:rsid w:val="00CD3E5A"/>
    <w:rsid w:val="00CD3E63"/>
    <w:rsid w:val="00CD4073"/>
    <w:rsid w:val="00CD40A3"/>
    <w:rsid w:val="00CD425B"/>
    <w:rsid w:val="00CD4461"/>
    <w:rsid w:val="00CD47EC"/>
    <w:rsid w:val="00CD4CD3"/>
    <w:rsid w:val="00CD5249"/>
    <w:rsid w:val="00CD5854"/>
    <w:rsid w:val="00CD589F"/>
    <w:rsid w:val="00CD5CAE"/>
    <w:rsid w:val="00CD5E82"/>
    <w:rsid w:val="00CD5FE2"/>
    <w:rsid w:val="00CD60C9"/>
    <w:rsid w:val="00CD6345"/>
    <w:rsid w:val="00CD6596"/>
    <w:rsid w:val="00CD6BBB"/>
    <w:rsid w:val="00CD6EC2"/>
    <w:rsid w:val="00CD70BF"/>
    <w:rsid w:val="00CD7319"/>
    <w:rsid w:val="00CD7482"/>
    <w:rsid w:val="00CE02FE"/>
    <w:rsid w:val="00CE03CB"/>
    <w:rsid w:val="00CE07C1"/>
    <w:rsid w:val="00CE0A2C"/>
    <w:rsid w:val="00CE1171"/>
    <w:rsid w:val="00CE1303"/>
    <w:rsid w:val="00CE1567"/>
    <w:rsid w:val="00CE15E9"/>
    <w:rsid w:val="00CE1859"/>
    <w:rsid w:val="00CE186F"/>
    <w:rsid w:val="00CE20E3"/>
    <w:rsid w:val="00CE273A"/>
    <w:rsid w:val="00CE321C"/>
    <w:rsid w:val="00CE32E8"/>
    <w:rsid w:val="00CE353C"/>
    <w:rsid w:val="00CE3700"/>
    <w:rsid w:val="00CE38E9"/>
    <w:rsid w:val="00CE3B69"/>
    <w:rsid w:val="00CE4559"/>
    <w:rsid w:val="00CE4CE5"/>
    <w:rsid w:val="00CE5118"/>
    <w:rsid w:val="00CE5487"/>
    <w:rsid w:val="00CE54D8"/>
    <w:rsid w:val="00CE59B5"/>
    <w:rsid w:val="00CE59DB"/>
    <w:rsid w:val="00CE5B6A"/>
    <w:rsid w:val="00CE5D3A"/>
    <w:rsid w:val="00CE67D8"/>
    <w:rsid w:val="00CE68EA"/>
    <w:rsid w:val="00CE6AF8"/>
    <w:rsid w:val="00CE7381"/>
    <w:rsid w:val="00CE7447"/>
    <w:rsid w:val="00CE74CE"/>
    <w:rsid w:val="00CE7B94"/>
    <w:rsid w:val="00CE7C74"/>
    <w:rsid w:val="00CE7E05"/>
    <w:rsid w:val="00CF0464"/>
    <w:rsid w:val="00CF0829"/>
    <w:rsid w:val="00CF0B67"/>
    <w:rsid w:val="00CF0BF9"/>
    <w:rsid w:val="00CF0E74"/>
    <w:rsid w:val="00CF1156"/>
    <w:rsid w:val="00CF1833"/>
    <w:rsid w:val="00CF1853"/>
    <w:rsid w:val="00CF1AA1"/>
    <w:rsid w:val="00CF1AEA"/>
    <w:rsid w:val="00CF1AEE"/>
    <w:rsid w:val="00CF2091"/>
    <w:rsid w:val="00CF2191"/>
    <w:rsid w:val="00CF21F6"/>
    <w:rsid w:val="00CF2278"/>
    <w:rsid w:val="00CF2B55"/>
    <w:rsid w:val="00CF2C62"/>
    <w:rsid w:val="00CF2F66"/>
    <w:rsid w:val="00CF337B"/>
    <w:rsid w:val="00CF3FE7"/>
    <w:rsid w:val="00CF4416"/>
    <w:rsid w:val="00CF485B"/>
    <w:rsid w:val="00CF4F87"/>
    <w:rsid w:val="00CF4FF3"/>
    <w:rsid w:val="00CF56B3"/>
    <w:rsid w:val="00CF5762"/>
    <w:rsid w:val="00CF64EF"/>
    <w:rsid w:val="00CF65B4"/>
    <w:rsid w:val="00CF69B0"/>
    <w:rsid w:val="00CF6C05"/>
    <w:rsid w:val="00CF7285"/>
    <w:rsid w:val="00CF7485"/>
    <w:rsid w:val="00CF764E"/>
    <w:rsid w:val="00CF7E56"/>
    <w:rsid w:val="00D000B5"/>
    <w:rsid w:val="00D01502"/>
    <w:rsid w:val="00D01744"/>
    <w:rsid w:val="00D01984"/>
    <w:rsid w:val="00D019CB"/>
    <w:rsid w:val="00D01AEB"/>
    <w:rsid w:val="00D01C03"/>
    <w:rsid w:val="00D025CE"/>
    <w:rsid w:val="00D02A0F"/>
    <w:rsid w:val="00D02CA6"/>
    <w:rsid w:val="00D02DF3"/>
    <w:rsid w:val="00D02F5A"/>
    <w:rsid w:val="00D03181"/>
    <w:rsid w:val="00D0343C"/>
    <w:rsid w:val="00D037DC"/>
    <w:rsid w:val="00D0383B"/>
    <w:rsid w:val="00D03A8A"/>
    <w:rsid w:val="00D03DA5"/>
    <w:rsid w:val="00D03F27"/>
    <w:rsid w:val="00D043EE"/>
    <w:rsid w:val="00D0470D"/>
    <w:rsid w:val="00D05249"/>
    <w:rsid w:val="00D055A8"/>
    <w:rsid w:val="00D055CA"/>
    <w:rsid w:val="00D057A1"/>
    <w:rsid w:val="00D059FC"/>
    <w:rsid w:val="00D05DEF"/>
    <w:rsid w:val="00D062A6"/>
    <w:rsid w:val="00D0630D"/>
    <w:rsid w:val="00D06861"/>
    <w:rsid w:val="00D0688A"/>
    <w:rsid w:val="00D06BBB"/>
    <w:rsid w:val="00D06F22"/>
    <w:rsid w:val="00D07A9C"/>
    <w:rsid w:val="00D07C8C"/>
    <w:rsid w:val="00D1000D"/>
    <w:rsid w:val="00D10076"/>
    <w:rsid w:val="00D1033B"/>
    <w:rsid w:val="00D10360"/>
    <w:rsid w:val="00D10477"/>
    <w:rsid w:val="00D107E2"/>
    <w:rsid w:val="00D11A41"/>
    <w:rsid w:val="00D11D76"/>
    <w:rsid w:val="00D11F5E"/>
    <w:rsid w:val="00D121F5"/>
    <w:rsid w:val="00D126E4"/>
    <w:rsid w:val="00D12D1B"/>
    <w:rsid w:val="00D12D44"/>
    <w:rsid w:val="00D12E6B"/>
    <w:rsid w:val="00D130E2"/>
    <w:rsid w:val="00D131BF"/>
    <w:rsid w:val="00D13A90"/>
    <w:rsid w:val="00D13DCD"/>
    <w:rsid w:val="00D13DFF"/>
    <w:rsid w:val="00D140E6"/>
    <w:rsid w:val="00D141A3"/>
    <w:rsid w:val="00D147C9"/>
    <w:rsid w:val="00D14DD4"/>
    <w:rsid w:val="00D1540A"/>
    <w:rsid w:val="00D158EF"/>
    <w:rsid w:val="00D15C14"/>
    <w:rsid w:val="00D15E74"/>
    <w:rsid w:val="00D15FAA"/>
    <w:rsid w:val="00D1629A"/>
    <w:rsid w:val="00D16B7C"/>
    <w:rsid w:val="00D16ECB"/>
    <w:rsid w:val="00D16EEE"/>
    <w:rsid w:val="00D17167"/>
    <w:rsid w:val="00D17BA5"/>
    <w:rsid w:val="00D17CBF"/>
    <w:rsid w:val="00D17E2E"/>
    <w:rsid w:val="00D2058D"/>
    <w:rsid w:val="00D206A3"/>
    <w:rsid w:val="00D20DEF"/>
    <w:rsid w:val="00D20F35"/>
    <w:rsid w:val="00D2176E"/>
    <w:rsid w:val="00D2182A"/>
    <w:rsid w:val="00D2193D"/>
    <w:rsid w:val="00D21BCD"/>
    <w:rsid w:val="00D21F79"/>
    <w:rsid w:val="00D22105"/>
    <w:rsid w:val="00D2211C"/>
    <w:rsid w:val="00D22259"/>
    <w:rsid w:val="00D2263F"/>
    <w:rsid w:val="00D22996"/>
    <w:rsid w:val="00D22B55"/>
    <w:rsid w:val="00D22C81"/>
    <w:rsid w:val="00D22CE5"/>
    <w:rsid w:val="00D23055"/>
    <w:rsid w:val="00D230AD"/>
    <w:rsid w:val="00D2316A"/>
    <w:rsid w:val="00D2320E"/>
    <w:rsid w:val="00D2327A"/>
    <w:rsid w:val="00D237D2"/>
    <w:rsid w:val="00D23C7C"/>
    <w:rsid w:val="00D24790"/>
    <w:rsid w:val="00D24C7B"/>
    <w:rsid w:val="00D25000"/>
    <w:rsid w:val="00D2518E"/>
    <w:rsid w:val="00D251A1"/>
    <w:rsid w:val="00D251AB"/>
    <w:rsid w:val="00D25240"/>
    <w:rsid w:val="00D25AC6"/>
    <w:rsid w:val="00D26025"/>
    <w:rsid w:val="00D261D3"/>
    <w:rsid w:val="00D2684B"/>
    <w:rsid w:val="00D30109"/>
    <w:rsid w:val="00D30463"/>
    <w:rsid w:val="00D307B9"/>
    <w:rsid w:val="00D30952"/>
    <w:rsid w:val="00D319DF"/>
    <w:rsid w:val="00D31C02"/>
    <w:rsid w:val="00D3225E"/>
    <w:rsid w:val="00D324BC"/>
    <w:rsid w:val="00D32B9F"/>
    <w:rsid w:val="00D33565"/>
    <w:rsid w:val="00D336D4"/>
    <w:rsid w:val="00D33761"/>
    <w:rsid w:val="00D33762"/>
    <w:rsid w:val="00D341C7"/>
    <w:rsid w:val="00D344B7"/>
    <w:rsid w:val="00D344EB"/>
    <w:rsid w:val="00D34BD1"/>
    <w:rsid w:val="00D35177"/>
    <w:rsid w:val="00D35699"/>
    <w:rsid w:val="00D356CB"/>
    <w:rsid w:val="00D356E1"/>
    <w:rsid w:val="00D3573E"/>
    <w:rsid w:val="00D36EF3"/>
    <w:rsid w:val="00D373AA"/>
    <w:rsid w:val="00D37C2F"/>
    <w:rsid w:val="00D40340"/>
    <w:rsid w:val="00D403B0"/>
    <w:rsid w:val="00D40609"/>
    <w:rsid w:val="00D40983"/>
    <w:rsid w:val="00D41188"/>
    <w:rsid w:val="00D417D3"/>
    <w:rsid w:val="00D418D5"/>
    <w:rsid w:val="00D41940"/>
    <w:rsid w:val="00D41DB1"/>
    <w:rsid w:val="00D4249C"/>
    <w:rsid w:val="00D4276D"/>
    <w:rsid w:val="00D42798"/>
    <w:rsid w:val="00D42963"/>
    <w:rsid w:val="00D42970"/>
    <w:rsid w:val="00D43AED"/>
    <w:rsid w:val="00D44916"/>
    <w:rsid w:val="00D44AA9"/>
    <w:rsid w:val="00D450C7"/>
    <w:rsid w:val="00D451EF"/>
    <w:rsid w:val="00D45526"/>
    <w:rsid w:val="00D45999"/>
    <w:rsid w:val="00D45AE4"/>
    <w:rsid w:val="00D45CA4"/>
    <w:rsid w:val="00D45EA7"/>
    <w:rsid w:val="00D45EE7"/>
    <w:rsid w:val="00D45F22"/>
    <w:rsid w:val="00D46109"/>
    <w:rsid w:val="00D466E8"/>
    <w:rsid w:val="00D469C6"/>
    <w:rsid w:val="00D46AB9"/>
    <w:rsid w:val="00D47178"/>
    <w:rsid w:val="00D4730F"/>
    <w:rsid w:val="00D4752E"/>
    <w:rsid w:val="00D47842"/>
    <w:rsid w:val="00D47BEF"/>
    <w:rsid w:val="00D50323"/>
    <w:rsid w:val="00D50826"/>
    <w:rsid w:val="00D50BEB"/>
    <w:rsid w:val="00D50C9B"/>
    <w:rsid w:val="00D51675"/>
    <w:rsid w:val="00D51F73"/>
    <w:rsid w:val="00D522D6"/>
    <w:rsid w:val="00D52827"/>
    <w:rsid w:val="00D529BE"/>
    <w:rsid w:val="00D52CF6"/>
    <w:rsid w:val="00D5332D"/>
    <w:rsid w:val="00D5339B"/>
    <w:rsid w:val="00D53A68"/>
    <w:rsid w:val="00D53D3E"/>
    <w:rsid w:val="00D5410C"/>
    <w:rsid w:val="00D5455E"/>
    <w:rsid w:val="00D547E0"/>
    <w:rsid w:val="00D54901"/>
    <w:rsid w:val="00D54992"/>
    <w:rsid w:val="00D55291"/>
    <w:rsid w:val="00D55C48"/>
    <w:rsid w:val="00D55D65"/>
    <w:rsid w:val="00D55E47"/>
    <w:rsid w:val="00D56392"/>
    <w:rsid w:val="00D56997"/>
    <w:rsid w:val="00D570E6"/>
    <w:rsid w:val="00D5730F"/>
    <w:rsid w:val="00D5774F"/>
    <w:rsid w:val="00D60809"/>
    <w:rsid w:val="00D60D7F"/>
    <w:rsid w:val="00D6152D"/>
    <w:rsid w:val="00D6164F"/>
    <w:rsid w:val="00D61C9C"/>
    <w:rsid w:val="00D61FC2"/>
    <w:rsid w:val="00D62111"/>
    <w:rsid w:val="00D62229"/>
    <w:rsid w:val="00D625B8"/>
    <w:rsid w:val="00D626F8"/>
    <w:rsid w:val="00D62A03"/>
    <w:rsid w:val="00D632D9"/>
    <w:rsid w:val="00D636DC"/>
    <w:rsid w:val="00D63F14"/>
    <w:rsid w:val="00D63F4C"/>
    <w:rsid w:val="00D64613"/>
    <w:rsid w:val="00D6467E"/>
    <w:rsid w:val="00D64702"/>
    <w:rsid w:val="00D66BFD"/>
    <w:rsid w:val="00D66C91"/>
    <w:rsid w:val="00D674EE"/>
    <w:rsid w:val="00D67535"/>
    <w:rsid w:val="00D67A4D"/>
    <w:rsid w:val="00D67BC9"/>
    <w:rsid w:val="00D67DBC"/>
    <w:rsid w:val="00D704D9"/>
    <w:rsid w:val="00D70806"/>
    <w:rsid w:val="00D70934"/>
    <w:rsid w:val="00D70BD2"/>
    <w:rsid w:val="00D70DAB"/>
    <w:rsid w:val="00D713F2"/>
    <w:rsid w:val="00D721B1"/>
    <w:rsid w:val="00D7226B"/>
    <w:rsid w:val="00D72370"/>
    <w:rsid w:val="00D72705"/>
    <w:rsid w:val="00D72F93"/>
    <w:rsid w:val="00D730EE"/>
    <w:rsid w:val="00D738BF"/>
    <w:rsid w:val="00D73B93"/>
    <w:rsid w:val="00D73C95"/>
    <w:rsid w:val="00D7400F"/>
    <w:rsid w:val="00D745C1"/>
    <w:rsid w:val="00D74784"/>
    <w:rsid w:val="00D756F6"/>
    <w:rsid w:val="00D75731"/>
    <w:rsid w:val="00D75B45"/>
    <w:rsid w:val="00D75B5C"/>
    <w:rsid w:val="00D75E2C"/>
    <w:rsid w:val="00D75F30"/>
    <w:rsid w:val="00D75F8C"/>
    <w:rsid w:val="00D76050"/>
    <w:rsid w:val="00D761DD"/>
    <w:rsid w:val="00D76309"/>
    <w:rsid w:val="00D76423"/>
    <w:rsid w:val="00D766DD"/>
    <w:rsid w:val="00D767BF"/>
    <w:rsid w:val="00D768D9"/>
    <w:rsid w:val="00D76990"/>
    <w:rsid w:val="00D76D88"/>
    <w:rsid w:val="00D77278"/>
    <w:rsid w:val="00D7749B"/>
    <w:rsid w:val="00D775B5"/>
    <w:rsid w:val="00D77961"/>
    <w:rsid w:val="00D77A47"/>
    <w:rsid w:val="00D77B20"/>
    <w:rsid w:val="00D77B3B"/>
    <w:rsid w:val="00D77C5A"/>
    <w:rsid w:val="00D8007C"/>
    <w:rsid w:val="00D800BF"/>
    <w:rsid w:val="00D800D8"/>
    <w:rsid w:val="00D8079F"/>
    <w:rsid w:val="00D80C00"/>
    <w:rsid w:val="00D80D0D"/>
    <w:rsid w:val="00D8103B"/>
    <w:rsid w:val="00D8111B"/>
    <w:rsid w:val="00D81242"/>
    <w:rsid w:val="00D812D2"/>
    <w:rsid w:val="00D81764"/>
    <w:rsid w:val="00D81D10"/>
    <w:rsid w:val="00D82C80"/>
    <w:rsid w:val="00D82D02"/>
    <w:rsid w:val="00D82D0F"/>
    <w:rsid w:val="00D82E41"/>
    <w:rsid w:val="00D83A5A"/>
    <w:rsid w:val="00D83E9B"/>
    <w:rsid w:val="00D84157"/>
    <w:rsid w:val="00D84641"/>
    <w:rsid w:val="00D848ED"/>
    <w:rsid w:val="00D84BD7"/>
    <w:rsid w:val="00D84DCA"/>
    <w:rsid w:val="00D85114"/>
    <w:rsid w:val="00D857BC"/>
    <w:rsid w:val="00D85CC6"/>
    <w:rsid w:val="00D861E5"/>
    <w:rsid w:val="00D86A92"/>
    <w:rsid w:val="00D871B6"/>
    <w:rsid w:val="00D875E1"/>
    <w:rsid w:val="00D876AE"/>
    <w:rsid w:val="00D87ACE"/>
    <w:rsid w:val="00D87D2E"/>
    <w:rsid w:val="00D87F1E"/>
    <w:rsid w:val="00D90275"/>
    <w:rsid w:val="00D902F5"/>
    <w:rsid w:val="00D9075D"/>
    <w:rsid w:val="00D90959"/>
    <w:rsid w:val="00D91410"/>
    <w:rsid w:val="00D91438"/>
    <w:rsid w:val="00D91594"/>
    <w:rsid w:val="00D91ABE"/>
    <w:rsid w:val="00D91DFB"/>
    <w:rsid w:val="00D921DA"/>
    <w:rsid w:val="00D92C2F"/>
    <w:rsid w:val="00D92CBF"/>
    <w:rsid w:val="00D92F7F"/>
    <w:rsid w:val="00D930AC"/>
    <w:rsid w:val="00D932B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6DCC"/>
    <w:rsid w:val="00D974B1"/>
    <w:rsid w:val="00D97C27"/>
    <w:rsid w:val="00D97F9C"/>
    <w:rsid w:val="00DA032C"/>
    <w:rsid w:val="00DA0526"/>
    <w:rsid w:val="00DA0639"/>
    <w:rsid w:val="00DA0812"/>
    <w:rsid w:val="00DA0B8C"/>
    <w:rsid w:val="00DA0CF7"/>
    <w:rsid w:val="00DA0E96"/>
    <w:rsid w:val="00DA1203"/>
    <w:rsid w:val="00DA14A0"/>
    <w:rsid w:val="00DA18DA"/>
    <w:rsid w:val="00DA1C31"/>
    <w:rsid w:val="00DA1F0C"/>
    <w:rsid w:val="00DA1FE8"/>
    <w:rsid w:val="00DA20D8"/>
    <w:rsid w:val="00DA21D9"/>
    <w:rsid w:val="00DA3565"/>
    <w:rsid w:val="00DA3A5B"/>
    <w:rsid w:val="00DA3D0B"/>
    <w:rsid w:val="00DA3F51"/>
    <w:rsid w:val="00DA45DB"/>
    <w:rsid w:val="00DA48D9"/>
    <w:rsid w:val="00DA49F8"/>
    <w:rsid w:val="00DA4AAE"/>
    <w:rsid w:val="00DA5572"/>
    <w:rsid w:val="00DA5682"/>
    <w:rsid w:val="00DA5D5D"/>
    <w:rsid w:val="00DA6588"/>
    <w:rsid w:val="00DA6906"/>
    <w:rsid w:val="00DA6A15"/>
    <w:rsid w:val="00DA6CC2"/>
    <w:rsid w:val="00DA6FEC"/>
    <w:rsid w:val="00DA7029"/>
    <w:rsid w:val="00DA726C"/>
    <w:rsid w:val="00DA77A0"/>
    <w:rsid w:val="00DB09A2"/>
    <w:rsid w:val="00DB0DEB"/>
    <w:rsid w:val="00DB103D"/>
    <w:rsid w:val="00DB1060"/>
    <w:rsid w:val="00DB1448"/>
    <w:rsid w:val="00DB1907"/>
    <w:rsid w:val="00DB1998"/>
    <w:rsid w:val="00DB1FC4"/>
    <w:rsid w:val="00DB21F0"/>
    <w:rsid w:val="00DB2C5F"/>
    <w:rsid w:val="00DB2C97"/>
    <w:rsid w:val="00DB3A58"/>
    <w:rsid w:val="00DB3BDF"/>
    <w:rsid w:val="00DB3C58"/>
    <w:rsid w:val="00DB3D46"/>
    <w:rsid w:val="00DB401C"/>
    <w:rsid w:val="00DB46C8"/>
    <w:rsid w:val="00DB540E"/>
    <w:rsid w:val="00DB58EB"/>
    <w:rsid w:val="00DB5A63"/>
    <w:rsid w:val="00DB6166"/>
    <w:rsid w:val="00DB656B"/>
    <w:rsid w:val="00DB691E"/>
    <w:rsid w:val="00DB6C99"/>
    <w:rsid w:val="00DB75A3"/>
    <w:rsid w:val="00DB7F04"/>
    <w:rsid w:val="00DB7FF9"/>
    <w:rsid w:val="00DC0574"/>
    <w:rsid w:val="00DC0C65"/>
    <w:rsid w:val="00DC0EF0"/>
    <w:rsid w:val="00DC1169"/>
    <w:rsid w:val="00DC1275"/>
    <w:rsid w:val="00DC13A8"/>
    <w:rsid w:val="00DC14BA"/>
    <w:rsid w:val="00DC16BF"/>
    <w:rsid w:val="00DC16E1"/>
    <w:rsid w:val="00DC16FC"/>
    <w:rsid w:val="00DC1881"/>
    <w:rsid w:val="00DC1ED7"/>
    <w:rsid w:val="00DC2ADA"/>
    <w:rsid w:val="00DC3993"/>
    <w:rsid w:val="00DC3A6F"/>
    <w:rsid w:val="00DC3D1C"/>
    <w:rsid w:val="00DC43CF"/>
    <w:rsid w:val="00DC43E1"/>
    <w:rsid w:val="00DC50CB"/>
    <w:rsid w:val="00DC5199"/>
    <w:rsid w:val="00DC52BA"/>
    <w:rsid w:val="00DC5A32"/>
    <w:rsid w:val="00DC5BA8"/>
    <w:rsid w:val="00DC5DDC"/>
    <w:rsid w:val="00DC5E2C"/>
    <w:rsid w:val="00DC5E4E"/>
    <w:rsid w:val="00DC5F75"/>
    <w:rsid w:val="00DC6281"/>
    <w:rsid w:val="00DC63E6"/>
    <w:rsid w:val="00DC651B"/>
    <w:rsid w:val="00DC662F"/>
    <w:rsid w:val="00DC6E78"/>
    <w:rsid w:val="00DC729A"/>
    <w:rsid w:val="00DC73B1"/>
    <w:rsid w:val="00DC74A4"/>
    <w:rsid w:val="00DC7519"/>
    <w:rsid w:val="00DC7584"/>
    <w:rsid w:val="00DC7630"/>
    <w:rsid w:val="00DC7E73"/>
    <w:rsid w:val="00DC7EB5"/>
    <w:rsid w:val="00DD02AB"/>
    <w:rsid w:val="00DD04AC"/>
    <w:rsid w:val="00DD04DD"/>
    <w:rsid w:val="00DD0891"/>
    <w:rsid w:val="00DD0B35"/>
    <w:rsid w:val="00DD0C4D"/>
    <w:rsid w:val="00DD0F9F"/>
    <w:rsid w:val="00DD11A7"/>
    <w:rsid w:val="00DD1298"/>
    <w:rsid w:val="00DD1900"/>
    <w:rsid w:val="00DD1A9F"/>
    <w:rsid w:val="00DD2300"/>
    <w:rsid w:val="00DD2309"/>
    <w:rsid w:val="00DD28B3"/>
    <w:rsid w:val="00DD28D1"/>
    <w:rsid w:val="00DD2DE3"/>
    <w:rsid w:val="00DD2DE8"/>
    <w:rsid w:val="00DD316F"/>
    <w:rsid w:val="00DD3268"/>
    <w:rsid w:val="00DD357C"/>
    <w:rsid w:val="00DD37CA"/>
    <w:rsid w:val="00DD3D55"/>
    <w:rsid w:val="00DD3DF7"/>
    <w:rsid w:val="00DD453F"/>
    <w:rsid w:val="00DD4792"/>
    <w:rsid w:val="00DD4AE2"/>
    <w:rsid w:val="00DD4BFA"/>
    <w:rsid w:val="00DD4D84"/>
    <w:rsid w:val="00DD5165"/>
    <w:rsid w:val="00DD51F8"/>
    <w:rsid w:val="00DD54A2"/>
    <w:rsid w:val="00DD5E72"/>
    <w:rsid w:val="00DD6388"/>
    <w:rsid w:val="00DD6C53"/>
    <w:rsid w:val="00DD7198"/>
    <w:rsid w:val="00DD7B21"/>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D83"/>
    <w:rsid w:val="00DE2F4E"/>
    <w:rsid w:val="00DE33CD"/>
    <w:rsid w:val="00DE3849"/>
    <w:rsid w:val="00DE3E48"/>
    <w:rsid w:val="00DE3E66"/>
    <w:rsid w:val="00DE3F75"/>
    <w:rsid w:val="00DE41FC"/>
    <w:rsid w:val="00DE45F5"/>
    <w:rsid w:val="00DE49BE"/>
    <w:rsid w:val="00DE4AAD"/>
    <w:rsid w:val="00DE4C0C"/>
    <w:rsid w:val="00DE4FC8"/>
    <w:rsid w:val="00DE53B5"/>
    <w:rsid w:val="00DE5A50"/>
    <w:rsid w:val="00DE60C5"/>
    <w:rsid w:val="00DE64A9"/>
    <w:rsid w:val="00DE65F4"/>
    <w:rsid w:val="00DE6CAD"/>
    <w:rsid w:val="00DE6D0C"/>
    <w:rsid w:val="00DE7323"/>
    <w:rsid w:val="00DE75F0"/>
    <w:rsid w:val="00DE77CB"/>
    <w:rsid w:val="00DE795A"/>
    <w:rsid w:val="00DE7A6B"/>
    <w:rsid w:val="00DE7EBA"/>
    <w:rsid w:val="00DF00F9"/>
    <w:rsid w:val="00DF04BD"/>
    <w:rsid w:val="00DF068D"/>
    <w:rsid w:val="00DF0D3A"/>
    <w:rsid w:val="00DF140A"/>
    <w:rsid w:val="00DF1A9A"/>
    <w:rsid w:val="00DF1C2D"/>
    <w:rsid w:val="00DF1DE9"/>
    <w:rsid w:val="00DF1F8A"/>
    <w:rsid w:val="00DF2209"/>
    <w:rsid w:val="00DF248E"/>
    <w:rsid w:val="00DF3577"/>
    <w:rsid w:val="00DF377E"/>
    <w:rsid w:val="00DF3F39"/>
    <w:rsid w:val="00DF4063"/>
    <w:rsid w:val="00DF41AD"/>
    <w:rsid w:val="00DF4B0D"/>
    <w:rsid w:val="00DF5487"/>
    <w:rsid w:val="00DF5F13"/>
    <w:rsid w:val="00DF624D"/>
    <w:rsid w:val="00DF63DD"/>
    <w:rsid w:val="00DF6B62"/>
    <w:rsid w:val="00DF7583"/>
    <w:rsid w:val="00DF7BD0"/>
    <w:rsid w:val="00DF7BDF"/>
    <w:rsid w:val="00E00303"/>
    <w:rsid w:val="00E00836"/>
    <w:rsid w:val="00E00983"/>
    <w:rsid w:val="00E00A62"/>
    <w:rsid w:val="00E00CC1"/>
    <w:rsid w:val="00E010A0"/>
    <w:rsid w:val="00E0125E"/>
    <w:rsid w:val="00E01668"/>
    <w:rsid w:val="00E0173A"/>
    <w:rsid w:val="00E01849"/>
    <w:rsid w:val="00E019E0"/>
    <w:rsid w:val="00E01C90"/>
    <w:rsid w:val="00E02010"/>
    <w:rsid w:val="00E020D1"/>
    <w:rsid w:val="00E0252A"/>
    <w:rsid w:val="00E02B64"/>
    <w:rsid w:val="00E02EAD"/>
    <w:rsid w:val="00E03D3F"/>
    <w:rsid w:val="00E03DED"/>
    <w:rsid w:val="00E0437C"/>
    <w:rsid w:val="00E044FC"/>
    <w:rsid w:val="00E0452C"/>
    <w:rsid w:val="00E04600"/>
    <w:rsid w:val="00E04D61"/>
    <w:rsid w:val="00E0504C"/>
    <w:rsid w:val="00E05074"/>
    <w:rsid w:val="00E05489"/>
    <w:rsid w:val="00E055EE"/>
    <w:rsid w:val="00E05741"/>
    <w:rsid w:val="00E05F7F"/>
    <w:rsid w:val="00E0630B"/>
    <w:rsid w:val="00E06549"/>
    <w:rsid w:val="00E06886"/>
    <w:rsid w:val="00E06930"/>
    <w:rsid w:val="00E06971"/>
    <w:rsid w:val="00E069E1"/>
    <w:rsid w:val="00E06C41"/>
    <w:rsid w:val="00E07181"/>
    <w:rsid w:val="00E10183"/>
    <w:rsid w:val="00E105B3"/>
    <w:rsid w:val="00E10846"/>
    <w:rsid w:val="00E10883"/>
    <w:rsid w:val="00E108F4"/>
    <w:rsid w:val="00E10B75"/>
    <w:rsid w:val="00E10D4E"/>
    <w:rsid w:val="00E1100C"/>
    <w:rsid w:val="00E11489"/>
    <w:rsid w:val="00E11711"/>
    <w:rsid w:val="00E11E63"/>
    <w:rsid w:val="00E11F94"/>
    <w:rsid w:val="00E12696"/>
    <w:rsid w:val="00E129E1"/>
    <w:rsid w:val="00E12B8C"/>
    <w:rsid w:val="00E1310D"/>
    <w:rsid w:val="00E13133"/>
    <w:rsid w:val="00E13359"/>
    <w:rsid w:val="00E1345D"/>
    <w:rsid w:val="00E138BF"/>
    <w:rsid w:val="00E142FF"/>
    <w:rsid w:val="00E14874"/>
    <w:rsid w:val="00E14EC9"/>
    <w:rsid w:val="00E14EFA"/>
    <w:rsid w:val="00E1519D"/>
    <w:rsid w:val="00E151B9"/>
    <w:rsid w:val="00E152A7"/>
    <w:rsid w:val="00E15430"/>
    <w:rsid w:val="00E158C4"/>
    <w:rsid w:val="00E15F2E"/>
    <w:rsid w:val="00E161E6"/>
    <w:rsid w:val="00E167C9"/>
    <w:rsid w:val="00E1698C"/>
    <w:rsid w:val="00E16AA0"/>
    <w:rsid w:val="00E16B7E"/>
    <w:rsid w:val="00E16BDB"/>
    <w:rsid w:val="00E16C91"/>
    <w:rsid w:val="00E172BE"/>
    <w:rsid w:val="00E1762A"/>
    <w:rsid w:val="00E17991"/>
    <w:rsid w:val="00E17CF7"/>
    <w:rsid w:val="00E205D6"/>
    <w:rsid w:val="00E209AB"/>
    <w:rsid w:val="00E20B25"/>
    <w:rsid w:val="00E216EC"/>
    <w:rsid w:val="00E2189A"/>
    <w:rsid w:val="00E21A60"/>
    <w:rsid w:val="00E21CE8"/>
    <w:rsid w:val="00E22356"/>
    <w:rsid w:val="00E223C2"/>
    <w:rsid w:val="00E22B5A"/>
    <w:rsid w:val="00E22B68"/>
    <w:rsid w:val="00E231C9"/>
    <w:rsid w:val="00E23EBF"/>
    <w:rsid w:val="00E23FD5"/>
    <w:rsid w:val="00E2422A"/>
    <w:rsid w:val="00E24669"/>
    <w:rsid w:val="00E24836"/>
    <w:rsid w:val="00E24C48"/>
    <w:rsid w:val="00E24EE4"/>
    <w:rsid w:val="00E255D7"/>
    <w:rsid w:val="00E25981"/>
    <w:rsid w:val="00E25996"/>
    <w:rsid w:val="00E26141"/>
    <w:rsid w:val="00E26534"/>
    <w:rsid w:val="00E266F5"/>
    <w:rsid w:val="00E26CCC"/>
    <w:rsid w:val="00E270D3"/>
    <w:rsid w:val="00E27222"/>
    <w:rsid w:val="00E27971"/>
    <w:rsid w:val="00E27FC7"/>
    <w:rsid w:val="00E3050B"/>
    <w:rsid w:val="00E30700"/>
    <w:rsid w:val="00E31360"/>
    <w:rsid w:val="00E31A4F"/>
    <w:rsid w:val="00E31D28"/>
    <w:rsid w:val="00E321F6"/>
    <w:rsid w:val="00E32425"/>
    <w:rsid w:val="00E32506"/>
    <w:rsid w:val="00E3252C"/>
    <w:rsid w:val="00E325FF"/>
    <w:rsid w:val="00E32938"/>
    <w:rsid w:val="00E32CB8"/>
    <w:rsid w:val="00E32EB7"/>
    <w:rsid w:val="00E33367"/>
    <w:rsid w:val="00E3391C"/>
    <w:rsid w:val="00E3440F"/>
    <w:rsid w:val="00E344F2"/>
    <w:rsid w:val="00E34F3A"/>
    <w:rsid w:val="00E35F99"/>
    <w:rsid w:val="00E35F9A"/>
    <w:rsid w:val="00E3637F"/>
    <w:rsid w:val="00E364B6"/>
    <w:rsid w:val="00E36723"/>
    <w:rsid w:val="00E37102"/>
    <w:rsid w:val="00E3713C"/>
    <w:rsid w:val="00E37470"/>
    <w:rsid w:val="00E3767B"/>
    <w:rsid w:val="00E37704"/>
    <w:rsid w:val="00E37E1C"/>
    <w:rsid w:val="00E40126"/>
    <w:rsid w:val="00E4013B"/>
    <w:rsid w:val="00E402D3"/>
    <w:rsid w:val="00E40BC3"/>
    <w:rsid w:val="00E40C85"/>
    <w:rsid w:val="00E40CBF"/>
    <w:rsid w:val="00E40E7D"/>
    <w:rsid w:val="00E40EE4"/>
    <w:rsid w:val="00E413C6"/>
    <w:rsid w:val="00E4141C"/>
    <w:rsid w:val="00E420D5"/>
    <w:rsid w:val="00E42517"/>
    <w:rsid w:val="00E42600"/>
    <w:rsid w:val="00E42948"/>
    <w:rsid w:val="00E42BA3"/>
    <w:rsid w:val="00E42D55"/>
    <w:rsid w:val="00E42D70"/>
    <w:rsid w:val="00E42FFE"/>
    <w:rsid w:val="00E4316E"/>
    <w:rsid w:val="00E435AB"/>
    <w:rsid w:val="00E43ADC"/>
    <w:rsid w:val="00E44275"/>
    <w:rsid w:val="00E44705"/>
    <w:rsid w:val="00E44777"/>
    <w:rsid w:val="00E44F67"/>
    <w:rsid w:val="00E4535F"/>
    <w:rsid w:val="00E4546F"/>
    <w:rsid w:val="00E455E3"/>
    <w:rsid w:val="00E45657"/>
    <w:rsid w:val="00E46370"/>
    <w:rsid w:val="00E466BC"/>
    <w:rsid w:val="00E4686A"/>
    <w:rsid w:val="00E469F2"/>
    <w:rsid w:val="00E46EE9"/>
    <w:rsid w:val="00E46FA1"/>
    <w:rsid w:val="00E472F0"/>
    <w:rsid w:val="00E477DF"/>
    <w:rsid w:val="00E479FD"/>
    <w:rsid w:val="00E47A09"/>
    <w:rsid w:val="00E47F1A"/>
    <w:rsid w:val="00E504D6"/>
    <w:rsid w:val="00E509FF"/>
    <w:rsid w:val="00E50B6F"/>
    <w:rsid w:val="00E50D06"/>
    <w:rsid w:val="00E50EBE"/>
    <w:rsid w:val="00E50F69"/>
    <w:rsid w:val="00E50FC6"/>
    <w:rsid w:val="00E51709"/>
    <w:rsid w:val="00E51D89"/>
    <w:rsid w:val="00E5227B"/>
    <w:rsid w:val="00E52372"/>
    <w:rsid w:val="00E5255A"/>
    <w:rsid w:val="00E52786"/>
    <w:rsid w:val="00E52D79"/>
    <w:rsid w:val="00E52F05"/>
    <w:rsid w:val="00E53579"/>
    <w:rsid w:val="00E53EA2"/>
    <w:rsid w:val="00E53F5F"/>
    <w:rsid w:val="00E540A9"/>
    <w:rsid w:val="00E540CA"/>
    <w:rsid w:val="00E545FD"/>
    <w:rsid w:val="00E54F07"/>
    <w:rsid w:val="00E54F3A"/>
    <w:rsid w:val="00E55560"/>
    <w:rsid w:val="00E55712"/>
    <w:rsid w:val="00E55B28"/>
    <w:rsid w:val="00E55F77"/>
    <w:rsid w:val="00E56079"/>
    <w:rsid w:val="00E56251"/>
    <w:rsid w:val="00E5642F"/>
    <w:rsid w:val="00E56B41"/>
    <w:rsid w:val="00E56D4A"/>
    <w:rsid w:val="00E57119"/>
    <w:rsid w:val="00E5719E"/>
    <w:rsid w:val="00E57708"/>
    <w:rsid w:val="00E57D7B"/>
    <w:rsid w:val="00E57F4B"/>
    <w:rsid w:val="00E60109"/>
    <w:rsid w:val="00E602E5"/>
    <w:rsid w:val="00E602F8"/>
    <w:rsid w:val="00E6085B"/>
    <w:rsid w:val="00E60D01"/>
    <w:rsid w:val="00E60FBA"/>
    <w:rsid w:val="00E60FBF"/>
    <w:rsid w:val="00E611AE"/>
    <w:rsid w:val="00E616F9"/>
    <w:rsid w:val="00E61852"/>
    <w:rsid w:val="00E61A0C"/>
    <w:rsid w:val="00E61B5C"/>
    <w:rsid w:val="00E61D22"/>
    <w:rsid w:val="00E61D96"/>
    <w:rsid w:val="00E61E4B"/>
    <w:rsid w:val="00E622FE"/>
    <w:rsid w:val="00E63DA2"/>
    <w:rsid w:val="00E641E8"/>
    <w:rsid w:val="00E642AF"/>
    <w:rsid w:val="00E644C6"/>
    <w:rsid w:val="00E64555"/>
    <w:rsid w:val="00E64595"/>
    <w:rsid w:val="00E646BB"/>
    <w:rsid w:val="00E64D24"/>
    <w:rsid w:val="00E64FAF"/>
    <w:rsid w:val="00E653A6"/>
    <w:rsid w:val="00E6540C"/>
    <w:rsid w:val="00E6549C"/>
    <w:rsid w:val="00E654B9"/>
    <w:rsid w:val="00E655D4"/>
    <w:rsid w:val="00E6583F"/>
    <w:rsid w:val="00E6589D"/>
    <w:rsid w:val="00E6595B"/>
    <w:rsid w:val="00E65DBD"/>
    <w:rsid w:val="00E65E8C"/>
    <w:rsid w:val="00E665E7"/>
    <w:rsid w:val="00E66C96"/>
    <w:rsid w:val="00E66D89"/>
    <w:rsid w:val="00E675A3"/>
    <w:rsid w:val="00E67D87"/>
    <w:rsid w:val="00E70130"/>
    <w:rsid w:val="00E70684"/>
    <w:rsid w:val="00E70D73"/>
    <w:rsid w:val="00E70F63"/>
    <w:rsid w:val="00E71063"/>
    <w:rsid w:val="00E710E2"/>
    <w:rsid w:val="00E715FC"/>
    <w:rsid w:val="00E71A45"/>
    <w:rsid w:val="00E71B55"/>
    <w:rsid w:val="00E71C21"/>
    <w:rsid w:val="00E72230"/>
    <w:rsid w:val="00E729F7"/>
    <w:rsid w:val="00E72BB7"/>
    <w:rsid w:val="00E72F23"/>
    <w:rsid w:val="00E730FC"/>
    <w:rsid w:val="00E73481"/>
    <w:rsid w:val="00E737D1"/>
    <w:rsid w:val="00E7385A"/>
    <w:rsid w:val="00E7391F"/>
    <w:rsid w:val="00E73CE6"/>
    <w:rsid w:val="00E74780"/>
    <w:rsid w:val="00E74956"/>
    <w:rsid w:val="00E74E39"/>
    <w:rsid w:val="00E752F7"/>
    <w:rsid w:val="00E7572F"/>
    <w:rsid w:val="00E75848"/>
    <w:rsid w:val="00E759D4"/>
    <w:rsid w:val="00E7631B"/>
    <w:rsid w:val="00E76336"/>
    <w:rsid w:val="00E76348"/>
    <w:rsid w:val="00E7660E"/>
    <w:rsid w:val="00E76696"/>
    <w:rsid w:val="00E769DA"/>
    <w:rsid w:val="00E76A3C"/>
    <w:rsid w:val="00E76F9B"/>
    <w:rsid w:val="00E771FC"/>
    <w:rsid w:val="00E773E5"/>
    <w:rsid w:val="00E77BDD"/>
    <w:rsid w:val="00E806D3"/>
    <w:rsid w:val="00E80D3C"/>
    <w:rsid w:val="00E81223"/>
    <w:rsid w:val="00E81C34"/>
    <w:rsid w:val="00E81D83"/>
    <w:rsid w:val="00E821BB"/>
    <w:rsid w:val="00E821CC"/>
    <w:rsid w:val="00E822E9"/>
    <w:rsid w:val="00E826FE"/>
    <w:rsid w:val="00E8275E"/>
    <w:rsid w:val="00E827AF"/>
    <w:rsid w:val="00E82843"/>
    <w:rsid w:val="00E829D3"/>
    <w:rsid w:val="00E82CA6"/>
    <w:rsid w:val="00E82DE9"/>
    <w:rsid w:val="00E83253"/>
    <w:rsid w:val="00E83714"/>
    <w:rsid w:val="00E83831"/>
    <w:rsid w:val="00E84053"/>
    <w:rsid w:val="00E844AB"/>
    <w:rsid w:val="00E84C97"/>
    <w:rsid w:val="00E85005"/>
    <w:rsid w:val="00E85296"/>
    <w:rsid w:val="00E8533B"/>
    <w:rsid w:val="00E85E4E"/>
    <w:rsid w:val="00E85FE5"/>
    <w:rsid w:val="00E86327"/>
    <w:rsid w:val="00E86A7A"/>
    <w:rsid w:val="00E86AC8"/>
    <w:rsid w:val="00E86DF0"/>
    <w:rsid w:val="00E8788A"/>
    <w:rsid w:val="00E87BD2"/>
    <w:rsid w:val="00E87CDC"/>
    <w:rsid w:val="00E87FFB"/>
    <w:rsid w:val="00E902B1"/>
    <w:rsid w:val="00E902E1"/>
    <w:rsid w:val="00E90B33"/>
    <w:rsid w:val="00E90DAF"/>
    <w:rsid w:val="00E911E0"/>
    <w:rsid w:val="00E91863"/>
    <w:rsid w:val="00E9237C"/>
    <w:rsid w:val="00E9250D"/>
    <w:rsid w:val="00E9262F"/>
    <w:rsid w:val="00E92A1F"/>
    <w:rsid w:val="00E93407"/>
    <w:rsid w:val="00E936E9"/>
    <w:rsid w:val="00E93F9D"/>
    <w:rsid w:val="00E940A8"/>
    <w:rsid w:val="00E947E8"/>
    <w:rsid w:val="00E94AB3"/>
    <w:rsid w:val="00E94B0F"/>
    <w:rsid w:val="00E94C6B"/>
    <w:rsid w:val="00E95016"/>
    <w:rsid w:val="00E9503F"/>
    <w:rsid w:val="00E9534E"/>
    <w:rsid w:val="00E953E0"/>
    <w:rsid w:val="00E956F3"/>
    <w:rsid w:val="00E958AA"/>
    <w:rsid w:val="00E96E21"/>
    <w:rsid w:val="00E96E68"/>
    <w:rsid w:val="00E97013"/>
    <w:rsid w:val="00E9782F"/>
    <w:rsid w:val="00E97D34"/>
    <w:rsid w:val="00E97EA1"/>
    <w:rsid w:val="00EA0BBE"/>
    <w:rsid w:val="00EA1650"/>
    <w:rsid w:val="00EA1FBC"/>
    <w:rsid w:val="00EA20A1"/>
    <w:rsid w:val="00EA212B"/>
    <w:rsid w:val="00EA2185"/>
    <w:rsid w:val="00EA24B5"/>
    <w:rsid w:val="00EA2D44"/>
    <w:rsid w:val="00EA3382"/>
    <w:rsid w:val="00EA3A1D"/>
    <w:rsid w:val="00EA3CD7"/>
    <w:rsid w:val="00EA3E2D"/>
    <w:rsid w:val="00EA4010"/>
    <w:rsid w:val="00EA429D"/>
    <w:rsid w:val="00EA43AF"/>
    <w:rsid w:val="00EA44DC"/>
    <w:rsid w:val="00EA4676"/>
    <w:rsid w:val="00EA47FB"/>
    <w:rsid w:val="00EA4C7C"/>
    <w:rsid w:val="00EA4D4C"/>
    <w:rsid w:val="00EA504D"/>
    <w:rsid w:val="00EA554F"/>
    <w:rsid w:val="00EA593B"/>
    <w:rsid w:val="00EA621C"/>
    <w:rsid w:val="00EA6250"/>
    <w:rsid w:val="00EA66A4"/>
    <w:rsid w:val="00EA6819"/>
    <w:rsid w:val="00EA6A1E"/>
    <w:rsid w:val="00EA70B8"/>
    <w:rsid w:val="00EA75BD"/>
    <w:rsid w:val="00EA7C47"/>
    <w:rsid w:val="00EB0F0F"/>
    <w:rsid w:val="00EB12A5"/>
    <w:rsid w:val="00EB166D"/>
    <w:rsid w:val="00EB1AB2"/>
    <w:rsid w:val="00EB1CC9"/>
    <w:rsid w:val="00EB1DEF"/>
    <w:rsid w:val="00EB217D"/>
    <w:rsid w:val="00EB2418"/>
    <w:rsid w:val="00EB24D8"/>
    <w:rsid w:val="00EB277B"/>
    <w:rsid w:val="00EB2994"/>
    <w:rsid w:val="00EB2BE0"/>
    <w:rsid w:val="00EB2F20"/>
    <w:rsid w:val="00EB2F35"/>
    <w:rsid w:val="00EB31DB"/>
    <w:rsid w:val="00EB3422"/>
    <w:rsid w:val="00EB37B3"/>
    <w:rsid w:val="00EB3A31"/>
    <w:rsid w:val="00EB3F0C"/>
    <w:rsid w:val="00EB43B8"/>
    <w:rsid w:val="00EB4EAF"/>
    <w:rsid w:val="00EB5424"/>
    <w:rsid w:val="00EB548E"/>
    <w:rsid w:val="00EB5767"/>
    <w:rsid w:val="00EB5C41"/>
    <w:rsid w:val="00EB5F5A"/>
    <w:rsid w:val="00EB656C"/>
    <w:rsid w:val="00EB657E"/>
    <w:rsid w:val="00EB695E"/>
    <w:rsid w:val="00EB69D1"/>
    <w:rsid w:val="00EB69D4"/>
    <w:rsid w:val="00EB6FE9"/>
    <w:rsid w:val="00EB72FF"/>
    <w:rsid w:val="00EB73B2"/>
    <w:rsid w:val="00EB7403"/>
    <w:rsid w:val="00EB756F"/>
    <w:rsid w:val="00EB79C8"/>
    <w:rsid w:val="00EB7A24"/>
    <w:rsid w:val="00EB7E78"/>
    <w:rsid w:val="00EC0301"/>
    <w:rsid w:val="00EC08B5"/>
    <w:rsid w:val="00EC09C6"/>
    <w:rsid w:val="00EC0AC1"/>
    <w:rsid w:val="00EC0EA5"/>
    <w:rsid w:val="00EC1056"/>
    <w:rsid w:val="00EC1419"/>
    <w:rsid w:val="00EC1470"/>
    <w:rsid w:val="00EC1AA6"/>
    <w:rsid w:val="00EC20E8"/>
    <w:rsid w:val="00EC222E"/>
    <w:rsid w:val="00EC230E"/>
    <w:rsid w:val="00EC2716"/>
    <w:rsid w:val="00EC2BDC"/>
    <w:rsid w:val="00EC2D11"/>
    <w:rsid w:val="00EC2DBB"/>
    <w:rsid w:val="00EC358E"/>
    <w:rsid w:val="00EC3FD2"/>
    <w:rsid w:val="00EC3FF3"/>
    <w:rsid w:val="00EC4095"/>
    <w:rsid w:val="00EC43B5"/>
    <w:rsid w:val="00EC4537"/>
    <w:rsid w:val="00EC459B"/>
    <w:rsid w:val="00EC4960"/>
    <w:rsid w:val="00EC4AE3"/>
    <w:rsid w:val="00EC5414"/>
    <w:rsid w:val="00EC54EE"/>
    <w:rsid w:val="00EC59B2"/>
    <w:rsid w:val="00EC5A3B"/>
    <w:rsid w:val="00EC5BC0"/>
    <w:rsid w:val="00EC6424"/>
    <w:rsid w:val="00EC6820"/>
    <w:rsid w:val="00EC786C"/>
    <w:rsid w:val="00EC7ADD"/>
    <w:rsid w:val="00EC7C26"/>
    <w:rsid w:val="00ED04FE"/>
    <w:rsid w:val="00ED0721"/>
    <w:rsid w:val="00ED0C1D"/>
    <w:rsid w:val="00ED0DD0"/>
    <w:rsid w:val="00ED1122"/>
    <w:rsid w:val="00ED1645"/>
    <w:rsid w:val="00ED1989"/>
    <w:rsid w:val="00ED2130"/>
    <w:rsid w:val="00ED21A9"/>
    <w:rsid w:val="00ED2232"/>
    <w:rsid w:val="00ED25DA"/>
    <w:rsid w:val="00ED28F2"/>
    <w:rsid w:val="00ED2EF1"/>
    <w:rsid w:val="00ED3145"/>
    <w:rsid w:val="00ED3309"/>
    <w:rsid w:val="00ED33DC"/>
    <w:rsid w:val="00ED356E"/>
    <w:rsid w:val="00ED3792"/>
    <w:rsid w:val="00ED3BDA"/>
    <w:rsid w:val="00ED458F"/>
    <w:rsid w:val="00ED4818"/>
    <w:rsid w:val="00ED4A94"/>
    <w:rsid w:val="00ED506C"/>
    <w:rsid w:val="00ED5A3B"/>
    <w:rsid w:val="00ED5C1F"/>
    <w:rsid w:val="00ED5C30"/>
    <w:rsid w:val="00ED5C52"/>
    <w:rsid w:val="00ED5C54"/>
    <w:rsid w:val="00ED5E02"/>
    <w:rsid w:val="00ED5EED"/>
    <w:rsid w:val="00ED6057"/>
    <w:rsid w:val="00ED6062"/>
    <w:rsid w:val="00ED612A"/>
    <w:rsid w:val="00ED6846"/>
    <w:rsid w:val="00ED68D4"/>
    <w:rsid w:val="00ED6B1C"/>
    <w:rsid w:val="00ED6CF7"/>
    <w:rsid w:val="00ED6F33"/>
    <w:rsid w:val="00ED7716"/>
    <w:rsid w:val="00ED7737"/>
    <w:rsid w:val="00ED7747"/>
    <w:rsid w:val="00ED77D8"/>
    <w:rsid w:val="00ED7ABC"/>
    <w:rsid w:val="00ED7C05"/>
    <w:rsid w:val="00ED7CF4"/>
    <w:rsid w:val="00ED7E99"/>
    <w:rsid w:val="00ED7FA2"/>
    <w:rsid w:val="00EE0786"/>
    <w:rsid w:val="00EE0A85"/>
    <w:rsid w:val="00EE18CC"/>
    <w:rsid w:val="00EE1B0E"/>
    <w:rsid w:val="00EE1C30"/>
    <w:rsid w:val="00EE22FB"/>
    <w:rsid w:val="00EE23D6"/>
    <w:rsid w:val="00EE2407"/>
    <w:rsid w:val="00EE26AE"/>
    <w:rsid w:val="00EE29C8"/>
    <w:rsid w:val="00EE2A54"/>
    <w:rsid w:val="00EE2FC2"/>
    <w:rsid w:val="00EE3B6B"/>
    <w:rsid w:val="00EE3B88"/>
    <w:rsid w:val="00EE4742"/>
    <w:rsid w:val="00EE4B75"/>
    <w:rsid w:val="00EE4D34"/>
    <w:rsid w:val="00EE4DBD"/>
    <w:rsid w:val="00EE4F6F"/>
    <w:rsid w:val="00EE5670"/>
    <w:rsid w:val="00EE5E1D"/>
    <w:rsid w:val="00EE5E84"/>
    <w:rsid w:val="00EE6AC6"/>
    <w:rsid w:val="00EE6C2C"/>
    <w:rsid w:val="00EE6E26"/>
    <w:rsid w:val="00EE6EC1"/>
    <w:rsid w:val="00EE75EE"/>
    <w:rsid w:val="00EE784F"/>
    <w:rsid w:val="00EE7A1D"/>
    <w:rsid w:val="00EE7DBD"/>
    <w:rsid w:val="00EE7E4D"/>
    <w:rsid w:val="00EF0500"/>
    <w:rsid w:val="00EF0553"/>
    <w:rsid w:val="00EF0808"/>
    <w:rsid w:val="00EF1002"/>
    <w:rsid w:val="00EF143F"/>
    <w:rsid w:val="00EF1D3B"/>
    <w:rsid w:val="00EF1D95"/>
    <w:rsid w:val="00EF1FE8"/>
    <w:rsid w:val="00EF236B"/>
    <w:rsid w:val="00EF23D8"/>
    <w:rsid w:val="00EF2678"/>
    <w:rsid w:val="00EF2A5A"/>
    <w:rsid w:val="00EF2A87"/>
    <w:rsid w:val="00EF344D"/>
    <w:rsid w:val="00EF3A74"/>
    <w:rsid w:val="00EF3AE9"/>
    <w:rsid w:val="00EF3EA5"/>
    <w:rsid w:val="00EF4567"/>
    <w:rsid w:val="00EF49FB"/>
    <w:rsid w:val="00EF527A"/>
    <w:rsid w:val="00EF55D6"/>
    <w:rsid w:val="00EF644D"/>
    <w:rsid w:val="00EF6502"/>
    <w:rsid w:val="00EF686E"/>
    <w:rsid w:val="00EF6BAD"/>
    <w:rsid w:val="00EF6C05"/>
    <w:rsid w:val="00EF6D29"/>
    <w:rsid w:val="00EF7138"/>
    <w:rsid w:val="00EF7856"/>
    <w:rsid w:val="00EF7A65"/>
    <w:rsid w:val="00EF7E0B"/>
    <w:rsid w:val="00F00165"/>
    <w:rsid w:val="00F00881"/>
    <w:rsid w:val="00F00917"/>
    <w:rsid w:val="00F00B65"/>
    <w:rsid w:val="00F00B7D"/>
    <w:rsid w:val="00F00EB5"/>
    <w:rsid w:val="00F01044"/>
    <w:rsid w:val="00F010BB"/>
    <w:rsid w:val="00F01275"/>
    <w:rsid w:val="00F012C1"/>
    <w:rsid w:val="00F0175F"/>
    <w:rsid w:val="00F01A41"/>
    <w:rsid w:val="00F01B39"/>
    <w:rsid w:val="00F01B5A"/>
    <w:rsid w:val="00F0276D"/>
    <w:rsid w:val="00F0314D"/>
    <w:rsid w:val="00F03280"/>
    <w:rsid w:val="00F0362A"/>
    <w:rsid w:val="00F0385C"/>
    <w:rsid w:val="00F03894"/>
    <w:rsid w:val="00F03ABE"/>
    <w:rsid w:val="00F03B69"/>
    <w:rsid w:val="00F04345"/>
    <w:rsid w:val="00F047A4"/>
    <w:rsid w:val="00F04F52"/>
    <w:rsid w:val="00F0510F"/>
    <w:rsid w:val="00F0563F"/>
    <w:rsid w:val="00F05B61"/>
    <w:rsid w:val="00F064EF"/>
    <w:rsid w:val="00F06558"/>
    <w:rsid w:val="00F069A0"/>
    <w:rsid w:val="00F06F42"/>
    <w:rsid w:val="00F07122"/>
    <w:rsid w:val="00F074C9"/>
    <w:rsid w:val="00F07B54"/>
    <w:rsid w:val="00F07C82"/>
    <w:rsid w:val="00F07F5E"/>
    <w:rsid w:val="00F07FA6"/>
    <w:rsid w:val="00F1001E"/>
    <w:rsid w:val="00F103F7"/>
    <w:rsid w:val="00F1055F"/>
    <w:rsid w:val="00F106BB"/>
    <w:rsid w:val="00F11027"/>
    <w:rsid w:val="00F111BA"/>
    <w:rsid w:val="00F116DD"/>
    <w:rsid w:val="00F11D9F"/>
    <w:rsid w:val="00F11E31"/>
    <w:rsid w:val="00F11E80"/>
    <w:rsid w:val="00F12C53"/>
    <w:rsid w:val="00F12DED"/>
    <w:rsid w:val="00F1360C"/>
    <w:rsid w:val="00F13AA1"/>
    <w:rsid w:val="00F13AD0"/>
    <w:rsid w:val="00F13E15"/>
    <w:rsid w:val="00F13F2A"/>
    <w:rsid w:val="00F1498D"/>
    <w:rsid w:val="00F14CC6"/>
    <w:rsid w:val="00F14D42"/>
    <w:rsid w:val="00F14D9E"/>
    <w:rsid w:val="00F15097"/>
    <w:rsid w:val="00F153F8"/>
    <w:rsid w:val="00F15586"/>
    <w:rsid w:val="00F15671"/>
    <w:rsid w:val="00F1593B"/>
    <w:rsid w:val="00F1643E"/>
    <w:rsid w:val="00F16695"/>
    <w:rsid w:val="00F16811"/>
    <w:rsid w:val="00F16FB6"/>
    <w:rsid w:val="00F1733F"/>
    <w:rsid w:val="00F1745F"/>
    <w:rsid w:val="00F17519"/>
    <w:rsid w:val="00F17749"/>
    <w:rsid w:val="00F179C0"/>
    <w:rsid w:val="00F202E3"/>
    <w:rsid w:val="00F20890"/>
    <w:rsid w:val="00F20C6E"/>
    <w:rsid w:val="00F20D6C"/>
    <w:rsid w:val="00F20E2B"/>
    <w:rsid w:val="00F20F03"/>
    <w:rsid w:val="00F21789"/>
    <w:rsid w:val="00F21D7D"/>
    <w:rsid w:val="00F21F27"/>
    <w:rsid w:val="00F2255F"/>
    <w:rsid w:val="00F225CF"/>
    <w:rsid w:val="00F22882"/>
    <w:rsid w:val="00F22985"/>
    <w:rsid w:val="00F22AAA"/>
    <w:rsid w:val="00F22AEF"/>
    <w:rsid w:val="00F22C54"/>
    <w:rsid w:val="00F22F7A"/>
    <w:rsid w:val="00F2343C"/>
    <w:rsid w:val="00F23CFC"/>
    <w:rsid w:val="00F24076"/>
    <w:rsid w:val="00F240CB"/>
    <w:rsid w:val="00F2492F"/>
    <w:rsid w:val="00F24B74"/>
    <w:rsid w:val="00F24D47"/>
    <w:rsid w:val="00F2500D"/>
    <w:rsid w:val="00F253C3"/>
    <w:rsid w:val="00F256AF"/>
    <w:rsid w:val="00F2596D"/>
    <w:rsid w:val="00F25CAA"/>
    <w:rsid w:val="00F26463"/>
    <w:rsid w:val="00F26AD6"/>
    <w:rsid w:val="00F26F54"/>
    <w:rsid w:val="00F2711C"/>
    <w:rsid w:val="00F27253"/>
    <w:rsid w:val="00F277E8"/>
    <w:rsid w:val="00F27B04"/>
    <w:rsid w:val="00F27E3D"/>
    <w:rsid w:val="00F27EB2"/>
    <w:rsid w:val="00F301D0"/>
    <w:rsid w:val="00F30202"/>
    <w:rsid w:val="00F3069F"/>
    <w:rsid w:val="00F3081C"/>
    <w:rsid w:val="00F30927"/>
    <w:rsid w:val="00F30ADF"/>
    <w:rsid w:val="00F30BD0"/>
    <w:rsid w:val="00F30C3F"/>
    <w:rsid w:val="00F30C60"/>
    <w:rsid w:val="00F30F38"/>
    <w:rsid w:val="00F311D1"/>
    <w:rsid w:val="00F3158A"/>
    <w:rsid w:val="00F315CF"/>
    <w:rsid w:val="00F318DB"/>
    <w:rsid w:val="00F3199C"/>
    <w:rsid w:val="00F319C4"/>
    <w:rsid w:val="00F31F7D"/>
    <w:rsid w:val="00F31FB9"/>
    <w:rsid w:val="00F326F6"/>
    <w:rsid w:val="00F32735"/>
    <w:rsid w:val="00F32AFF"/>
    <w:rsid w:val="00F32D9A"/>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8A0"/>
    <w:rsid w:val="00F36D37"/>
    <w:rsid w:val="00F3719A"/>
    <w:rsid w:val="00F3735F"/>
    <w:rsid w:val="00F379BF"/>
    <w:rsid w:val="00F37EA7"/>
    <w:rsid w:val="00F40259"/>
    <w:rsid w:val="00F40505"/>
    <w:rsid w:val="00F40805"/>
    <w:rsid w:val="00F40B93"/>
    <w:rsid w:val="00F40C5E"/>
    <w:rsid w:val="00F40E3E"/>
    <w:rsid w:val="00F4163A"/>
    <w:rsid w:val="00F41873"/>
    <w:rsid w:val="00F419C3"/>
    <w:rsid w:val="00F41B12"/>
    <w:rsid w:val="00F41D91"/>
    <w:rsid w:val="00F41DAD"/>
    <w:rsid w:val="00F41E2B"/>
    <w:rsid w:val="00F423BE"/>
    <w:rsid w:val="00F424A5"/>
    <w:rsid w:val="00F425EF"/>
    <w:rsid w:val="00F42693"/>
    <w:rsid w:val="00F42868"/>
    <w:rsid w:val="00F428AC"/>
    <w:rsid w:val="00F42EE3"/>
    <w:rsid w:val="00F4300D"/>
    <w:rsid w:val="00F4304C"/>
    <w:rsid w:val="00F43149"/>
    <w:rsid w:val="00F43441"/>
    <w:rsid w:val="00F43660"/>
    <w:rsid w:val="00F4382D"/>
    <w:rsid w:val="00F43888"/>
    <w:rsid w:val="00F438BB"/>
    <w:rsid w:val="00F43B91"/>
    <w:rsid w:val="00F44542"/>
    <w:rsid w:val="00F4461A"/>
    <w:rsid w:val="00F448DD"/>
    <w:rsid w:val="00F44C9E"/>
    <w:rsid w:val="00F44D6A"/>
    <w:rsid w:val="00F44DB8"/>
    <w:rsid w:val="00F45760"/>
    <w:rsid w:val="00F45836"/>
    <w:rsid w:val="00F45925"/>
    <w:rsid w:val="00F461AA"/>
    <w:rsid w:val="00F46BA6"/>
    <w:rsid w:val="00F46C97"/>
    <w:rsid w:val="00F46E44"/>
    <w:rsid w:val="00F4703E"/>
    <w:rsid w:val="00F4775F"/>
    <w:rsid w:val="00F47C3D"/>
    <w:rsid w:val="00F47D25"/>
    <w:rsid w:val="00F50781"/>
    <w:rsid w:val="00F50CA3"/>
    <w:rsid w:val="00F51436"/>
    <w:rsid w:val="00F51689"/>
    <w:rsid w:val="00F517ED"/>
    <w:rsid w:val="00F5195A"/>
    <w:rsid w:val="00F51A7A"/>
    <w:rsid w:val="00F51F3F"/>
    <w:rsid w:val="00F5257A"/>
    <w:rsid w:val="00F528B5"/>
    <w:rsid w:val="00F528E7"/>
    <w:rsid w:val="00F52BD7"/>
    <w:rsid w:val="00F52C8A"/>
    <w:rsid w:val="00F53225"/>
    <w:rsid w:val="00F5352D"/>
    <w:rsid w:val="00F53615"/>
    <w:rsid w:val="00F53A91"/>
    <w:rsid w:val="00F54783"/>
    <w:rsid w:val="00F547E9"/>
    <w:rsid w:val="00F5494E"/>
    <w:rsid w:val="00F54ABD"/>
    <w:rsid w:val="00F54ABE"/>
    <w:rsid w:val="00F554F7"/>
    <w:rsid w:val="00F55804"/>
    <w:rsid w:val="00F55F1A"/>
    <w:rsid w:val="00F55F3E"/>
    <w:rsid w:val="00F56310"/>
    <w:rsid w:val="00F5684C"/>
    <w:rsid w:val="00F56914"/>
    <w:rsid w:val="00F56CCD"/>
    <w:rsid w:val="00F56E83"/>
    <w:rsid w:val="00F57068"/>
    <w:rsid w:val="00F57210"/>
    <w:rsid w:val="00F573C2"/>
    <w:rsid w:val="00F577FC"/>
    <w:rsid w:val="00F57BE9"/>
    <w:rsid w:val="00F602F0"/>
    <w:rsid w:val="00F60622"/>
    <w:rsid w:val="00F60C90"/>
    <w:rsid w:val="00F614BF"/>
    <w:rsid w:val="00F619B7"/>
    <w:rsid w:val="00F619EE"/>
    <w:rsid w:val="00F61CF5"/>
    <w:rsid w:val="00F61FF9"/>
    <w:rsid w:val="00F62069"/>
    <w:rsid w:val="00F62159"/>
    <w:rsid w:val="00F62A7C"/>
    <w:rsid w:val="00F62B93"/>
    <w:rsid w:val="00F633E5"/>
    <w:rsid w:val="00F63C89"/>
    <w:rsid w:val="00F647EC"/>
    <w:rsid w:val="00F64FAB"/>
    <w:rsid w:val="00F65A26"/>
    <w:rsid w:val="00F65AC8"/>
    <w:rsid w:val="00F65CEA"/>
    <w:rsid w:val="00F65EED"/>
    <w:rsid w:val="00F65F15"/>
    <w:rsid w:val="00F66027"/>
    <w:rsid w:val="00F66443"/>
    <w:rsid w:val="00F675EA"/>
    <w:rsid w:val="00F7006B"/>
    <w:rsid w:val="00F701AC"/>
    <w:rsid w:val="00F705B5"/>
    <w:rsid w:val="00F7074A"/>
    <w:rsid w:val="00F70AD6"/>
    <w:rsid w:val="00F70D93"/>
    <w:rsid w:val="00F710A5"/>
    <w:rsid w:val="00F71687"/>
    <w:rsid w:val="00F71708"/>
    <w:rsid w:val="00F717C1"/>
    <w:rsid w:val="00F71AAE"/>
    <w:rsid w:val="00F71CDB"/>
    <w:rsid w:val="00F7238A"/>
    <w:rsid w:val="00F725D3"/>
    <w:rsid w:val="00F7281E"/>
    <w:rsid w:val="00F72C1A"/>
    <w:rsid w:val="00F72C3D"/>
    <w:rsid w:val="00F737AB"/>
    <w:rsid w:val="00F73992"/>
    <w:rsid w:val="00F73A85"/>
    <w:rsid w:val="00F74216"/>
    <w:rsid w:val="00F7480A"/>
    <w:rsid w:val="00F74D1B"/>
    <w:rsid w:val="00F74F0F"/>
    <w:rsid w:val="00F754E8"/>
    <w:rsid w:val="00F75731"/>
    <w:rsid w:val="00F75841"/>
    <w:rsid w:val="00F76333"/>
    <w:rsid w:val="00F76DC0"/>
    <w:rsid w:val="00F76F09"/>
    <w:rsid w:val="00F76FAA"/>
    <w:rsid w:val="00F7704B"/>
    <w:rsid w:val="00F77100"/>
    <w:rsid w:val="00F77423"/>
    <w:rsid w:val="00F77605"/>
    <w:rsid w:val="00F77718"/>
    <w:rsid w:val="00F77B68"/>
    <w:rsid w:val="00F808A4"/>
    <w:rsid w:val="00F8090F"/>
    <w:rsid w:val="00F809D7"/>
    <w:rsid w:val="00F80B4B"/>
    <w:rsid w:val="00F811D9"/>
    <w:rsid w:val="00F8139A"/>
    <w:rsid w:val="00F817C4"/>
    <w:rsid w:val="00F81C1E"/>
    <w:rsid w:val="00F8226D"/>
    <w:rsid w:val="00F8291E"/>
    <w:rsid w:val="00F82AAE"/>
    <w:rsid w:val="00F83112"/>
    <w:rsid w:val="00F834BE"/>
    <w:rsid w:val="00F838A9"/>
    <w:rsid w:val="00F83BAD"/>
    <w:rsid w:val="00F83CCD"/>
    <w:rsid w:val="00F849E3"/>
    <w:rsid w:val="00F84B4E"/>
    <w:rsid w:val="00F84C44"/>
    <w:rsid w:val="00F85019"/>
    <w:rsid w:val="00F85053"/>
    <w:rsid w:val="00F851B7"/>
    <w:rsid w:val="00F8566C"/>
    <w:rsid w:val="00F85693"/>
    <w:rsid w:val="00F858C9"/>
    <w:rsid w:val="00F858D4"/>
    <w:rsid w:val="00F85C65"/>
    <w:rsid w:val="00F860EB"/>
    <w:rsid w:val="00F861BC"/>
    <w:rsid w:val="00F868B6"/>
    <w:rsid w:val="00F86968"/>
    <w:rsid w:val="00F86E42"/>
    <w:rsid w:val="00F87354"/>
    <w:rsid w:val="00F874F8"/>
    <w:rsid w:val="00F876E6"/>
    <w:rsid w:val="00F87825"/>
    <w:rsid w:val="00F87838"/>
    <w:rsid w:val="00F87988"/>
    <w:rsid w:val="00F879E8"/>
    <w:rsid w:val="00F87E60"/>
    <w:rsid w:val="00F87FCE"/>
    <w:rsid w:val="00F9008B"/>
    <w:rsid w:val="00F90320"/>
    <w:rsid w:val="00F90492"/>
    <w:rsid w:val="00F906C1"/>
    <w:rsid w:val="00F909C7"/>
    <w:rsid w:val="00F90C3B"/>
    <w:rsid w:val="00F91669"/>
    <w:rsid w:val="00F916DE"/>
    <w:rsid w:val="00F9184F"/>
    <w:rsid w:val="00F91943"/>
    <w:rsid w:val="00F91B6F"/>
    <w:rsid w:val="00F9204D"/>
    <w:rsid w:val="00F92165"/>
    <w:rsid w:val="00F9231D"/>
    <w:rsid w:val="00F926E7"/>
    <w:rsid w:val="00F92A66"/>
    <w:rsid w:val="00F931CF"/>
    <w:rsid w:val="00F936BE"/>
    <w:rsid w:val="00F9371D"/>
    <w:rsid w:val="00F93A31"/>
    <w:rsid w:val="00F93AFA"/>
    <w:rsid w:val="00F93D6E"/>
    <w:rsid w:val="00F9423D"/>
    <w:rsid w:val="00F943F5"/>
    <w:rsid w:val="00F94437"/>
    <w:rsid w:val="00F94609"/>
    <w:rsid w:val="00F94994"/>
    <w:rsid w:val="00F94E9B"/>
    <w:rsid w:val="00F95182"/>
    <w:rsid w:val="00F95625"/>
    <w:rsid w:val="00F9579D"/>
    <w:rsid w:val="00F957D2"/>
    <w:rsid w:val="00F9580E"/>
    <w:rsid w:val="00F95D94"/>
    <w:rsid w:val="00F96543"/>
    <w:rsid w:val="00F966AC"/>
    <w:rsid w:val="00F96717"/>
    <w:rsid w:val="00F96F86"/>
    <w:rsid w:val="00F977ED"/>
    <w:rsid w:val="00FA02B8"/>
    <w:rsid w:val="00FA0980"/>
    <w:rsid w:val="00FA1028"/>
    <w:rsid w:val="00FA1306"/>
    <w:rsid w:val="00FA133A"/>
    <w:rsid w:val="00FA157E"/>
    <w:rsid w:val="00FA164B"/>
    <w:rsid w:val="00FA16FA"/>
    <w:rsid w:val="00FA181F"/>
    <w:rsid w:val="00FA1C1F"/>
    <w:rsid w:val="00FA1E82"/>
    <w:rsid w:val="00FA2137"/>
    <w:rsid w:val="00FA272D"/>
    <w:rsid w:val="00FA338D"/>
    <w:rsid w:val="00FA34A2"/>
    <w:rsid w:val="00FA3742"/>
    <w:rsid w:val="00FA3837"/>
    <w:rsid w:val="00FA39FC"/>
    <w:rsid w:val="00FA4189"/>
    <w:rsid w:val="00FA44B4"/>
    <w:rsid w:val="00FA4538"/>
    <w:rsid w:val="00FA4998"/>
    <w:rsid w:val="00FA4DC2"/>
    <w:rsid w:val="00FA57D1"/>
    <w:rsid w:val="00FA5CC3"/>
    <w:rsid w:val="00FA67E3"/>
    <w:rsid w:val="00FA6AD2"/>
    <w:rsid w:val="00FA7157"/>
    <w:rsid w:val="00FA73A6"/>
    <w:rsid w:val="00FA7698"/>
    <w:rsid w:val="00FA78C2"/>
    <w:rsid w:val="00FA7A2D"/>
    <w:rsid w:val="00FA7B4F"/>
    <w:rsid w:val="00FA7DA6"/>
    <w:rsid w:val="00FB0071"/>
    <w:rsid w:val="00FB02F8"/>
    <w:rsid w:val="00FB031A"/>
    <w:rsid w:val="00FB06E7"/>
    <w:rsid w:val="00FB0822"/>
    <w:rsid w:val="00FB0C30"/>
    <w:rsid w:val="00FB0C65"/>
    <w:rsid w:val="00FB0CC3"/>
    <w:rsid w:val="00FB1093"/>
    <w:rsid w:val="00FB13A0"/>
    <w:rsid w:val="00FB143A"/>
    <w:rsid w:val="00FB1601"/>
    <w:rsid w:val="00FB1F98"/>
    <w:rsid w:val="00FB2016"/>
    <w:rsid w:val="00FB227E"/>
    <w:rsid w:val="00FB267D"/>
    <w:rsid w:val="00FB29E5"/>
    <w:rsid w:val="00FB2A18"/>
    <w:rsid w:val="00FB2B03"/>
    <w:rsid w:val="00FB2BAA"/>
    <w:rsid w:val="00FB2BF4"/>
    <w:rsid w:val="00FB2C8D"/>
    <w:rsid w:val="00FB2DC6"/>
    <w:rsid w:val="00FB31B5"/>
    <w:rsid w:val="00FB38CF"/>
    <w:rsid w:val="00FB4926"/>
    <w:rsid w:val="00FB4FCB"/>
    <w:rsid w:val="00FB59D4"/>
    <w:rsid w:val="00FB5E81"/>
    <w:rsid w:val="00FB6587"/>
    <w:rsid w:val="00FB6E6C"/>
    <w:rsid w:val="00FB71B0"/>
    <w:rsid w:val="00FB7ABA"/>
    <w:rsid w:val="00FB7C21"/>
    <w:rsid w:val="00FB7C46"/>
    <w:rsid w:val="00FC04E0"/>
    <w:rsid w:val="00FC0D98"/>
    <w:rsid w:val="00FC0E2F"/>
    <w:rsid w:val="00FC1042"/>
    <w:rsid w:val="00FC11C6"/>
    <w:rsid w:val="00FC11CD"/>
    <w:rsid w:val="00FC1323"/>
    <w:rsid w:val="00FC1370"/>
    <w:rsid w:val="00FC143C"/>
    <w:rsid w:val="00FC17D8"/>
    <w:rsid w:val="00FC1807"/>
    <w:rsid w:val="00FC279A"/>
    <w:rsid w:val="00FC31A2"/>
    <w:rsid w:val="00FC321A"/>
    <w:rsid w:val="00FC324D"/>
    <w:rsid w:val="00FC39A1"/>
    <w:rsid w:val="00FC3BC3"/>
    <w:rsid w:val="00FC3E47"/>
    <w:rsid w:val="00FC4361"/>
    <w:rsid w:val="00FC4B53"/>
    <w:rsid w:val="00FC4BAE"/>
    <w:rsid w:val="00FC4C6D"/>
    <w:rsid w:val="00FC4F75"/>
    <w:rsid w:val="00FC5160"/>
    <w:rsid w:val="00FC5598"/>
    <w:rsid w:val="00FC58C8"/>
    <w:rsid w:val="00FC5A36"/>
    <w:rsid w:val="00FC5B51"/>
    <w:rsid w:val="00FC6353"/>
    <w:rsid w:val="00FC671C"/>
    <w:rsid w:val="00FC6918"/>
    <w:rsid w:val="00FC69CF"/>
    <w:rsid w:val="00FC6B0B"/>
    <w:rsid w:val="00FC6C22"/>
    <w:rsid w:val="00FC713B"/>
    <w:rsid w:val="00FC7862"/>
    <w:rsid w:val="00FC79D5"/>
    <w:rsid w:val="00FC7A21"/>
    <w:rsid w:val="00FC7AFB"/>
    <w:rsid w:val="00FC7B35"/>
    <w:rsid w:val="00FC7B53"/>
    <w:rsid w:val="00FC7BD8"/>
    <w:rsid w:val="00FC7D32"/>
    <w:rsid w:val="00FD0177"/>
    <w:rsid w:val="00FD0AE7"/>
    <w:rsid w:val="00FD0B44"/>
    <w:rsid w:val="00FD0F70"/>
    <w:rsid w:val="00FD1312"/>
    <w:rsid w:val="00FD1C09"/>
    <w:rsid w:val="00FD1E48"/>
    <w:rsid w:val="00FD2315"/>
    <w:rsid w:val="00FD29A7"/>
    <w:rsid w:val="00FD29D5"/>
    <w:rsid w:val="00FD2B15"/>
    <w:rsid w:val="00FD3092"/>
    <w:rsid w:val="00FD3368"/>
    <w:rsid w:val="00FD4115"/>
    <w:rsid w:val="00FD412E"/>
    <w:rsid w:val="00FD4138"/>
    <w:rsid w:val="00FD420F"/>
    <w:rsid w:val="00FD4339"/>
    <w:rsid w:val="00FD4B0C"/>
    <w:rsid w:val="00FD4F2F"/>
    <w:rsid w:val="00FD51F7"/>
    <w:rsid w:val="00FD5258"/>
    <w:rsid w:val="00FD544D"/>
    <w:rsid w:val="00FD5602"/>
    <w:rsid w:val="00FD5661"/>
    <w:rsid w:val="00FD5A2A"/>
    <w:rsid w:val="00FD5AE2"/>
    <w:rsid w:val="00FD5F4E"/>
    <w:rsid w:val="00FD62B4"/>
    <w:rsid w:val="00FD7142"/>
    <w:rsid w:val="00FD716E"/>
    <w:rsid w:val="00FD735A"/>
    <w:rsid w:val="00FD750F"/>
    <w:rsid w:val="00FD7836"/>
    <w:rsid w:val="00FD7F7E"/>
    <w:rsid w:val="00FE011C"/>
    <w:rsid w:val="00FE040B"/>
    <w:rsid w:val="00FE07DC"/>
    <w:rsid w:val="00FE08FB"/>
    <w:rsid w:val="00FE0FE2"/>
    <w:rsid w:val="00FE1116"/>
    <w:rsid w:val="00FE16A2"/>
    <w:rsid w:val="00FE16C2"/>
    <w:rsid w:val="00FE1ED5"/>
    <w:rsid w:val="00FE2075"/>
    <w:rsid w:val="00FE2080"/>
    <w:rsid w:val="00FE2310"/>
    <w:rsid w:val="00FE27A9"/>
    <w:rsid w:val="00FE27B9"/>
    <w:rsid w:val="00FE2E37"/>
    <w:rsid w:val="00FE3640"/>
    <w:rsid w:val="00FE3780"/>
    <w:rsid w:val="00FE3954"/>
    <w:rsid w:val="00FE3CF7"/>
    <w:rsid w:val="00FE3E50"/>
    <w:rsid w:val="00FE4071"/>
    <w:rsid w:val="00FE42E3"/>
    <w:rsid w:val="00FE4784"/>
    <w:rsid w:val="00FE4ECD"/>
    <w:rsid w:val="00FE52B7"/>
    <w:rsid w:val="00FE53C5"/>
    <w:rsid w:val="00FE56A8"/>
    <w:rsid w:val="00FE5807"/>
    <w:rsid w:val="00FE5865"/>
    <w:rsid w:val="00FE5C39"/>
    <w:rsid w:val="00FE5C57"/>
    <w:rsid w:val="00FE5FC4"/>
    <w:rsid w:val="00FE624E"/>
    <w:rsid w:val="00FE6415"/>
    <w:rsid w:val="00FE6734"/>
    <w:rsid w:val="00FE69E7"/>
    <w:rsid w:val="00FE6B61"/>
    <w:rsid w:val="00FE6BB8"/>
    <w:rsid w:val="00FE6E76"/>
    <w:rsid w:val="00FE6F5A"/>
    <w:rsid w:val="00FE75A8"/>
    <w:rsid w:val="00FE7AE0"/>
    <w:rsid w:val="00FE7B4D"/>
    <w:rsid w:val="00FE7DEE"/>
    <w:rsid w:val="00FF027B"/>
    <w:rsid w:val="00FF066E"/>
    <w:rsid w:val="00FF10B4"/>
    <w:rsid w:val="00FF1174"/>
    <w:rsid w:val="00FF165A"/>
    <w:rsid w:val="00FF1B72"/>
    <w:rsid w:val="00FF1CF1"/>
    <w:rsid w:val="00FF1F4C"/>
    <w:rsid w:val="00FF222C"/>
    <w:rsid w:val="00FF228F"/>
    <w:rsid w:val="00FF2578"/>
    <w:rsid w:val="00FF324B"/>
    <w:rsid w:val="00FF35DC"/>
    <w:rsid w:val="00FF3A3D"/>
    <w:rsid w:val="00FF3A6A"/>
    <w:rsid w:val="00FF3C7A"/>
    <w:rsid w:val="00FF3E09"/>
    <w:rsid w:val="00FF3E16"/>
    <w:rsid w:val="00FF411C"/>
    <w:rsid w:val="00FF44C6"/>
    <w:rsid w:val="00FF4A20"/>
    <w:rsid w:val="00FF4B2E"/>
    <w:rsid w:val="00FF4E4B"/>
    <w:rsid w:val="00FF4E4E"/>
    <w:rsid w:val="00FF5049"/>
    <w:rsid w:val="00FF516B"/>
    <w:rsid w:val="00FF519C"/>
    <w:rsid w:val="00FF54B4"/>
    <w:rsid w:val="00FF5814"/>
    <w:rsid w:val="00FF5D1F"/>
    <w:rsid w:val="00FF5F95"/>
    <w:rsid w:val="00FF6126"/>
    <w:rsid w:val="00FF61F5"/>
    <w:rsid w:val="00FF62AA"/>
    <w:rsid w:val="00FF64D7"/>
    <w:rsid w:val="00FF69A9"/>
    <w:rsid w:val="00FF6AB8"/>
    <w:rsid w:val="00FF6B3A"/>
    <w:rsid w:val="00FF6B6C"/>
    <w:rsid w:val="00FF6C5A"/>
    <w:rsid w:val="00FF6DD4"/>
    <w:rsid w:val="00FF7269"/>
    <w:rsid w:val="00FF7634"/>
    <w:rsid w:val="00FF76B7"/>
    <w:rsid w:val="010827C0"/>
    <w:rsid w:val="01365AF8"/>
    <w:rsid w:val="01471108"/>
    <w:rsid w:val="016A5908"/>
    <w:rsid w:val="017460A8"/>
    <w:rsid w:val="017E3F71"/>
    <w:rsid w:val="0184225B"/>
    <w:rsid w:val="01AA2C10"/>
    <w:rsid w:val="01C50E1A"/>
    <w:rsid w:val="01DD3A8D"/>
    <w:rsid w:val="01E36195"/>
    <w:rsid w:val="01FF0DD2"/>
    <w:rsid w:val="02184CCE"/>
    <w:rsid w:val="02A815EB"/>
    <w:rsid w:val="02A86AF6"/>
    <w:rsid w:val="02BA21E0"/>
    <w:rsid w:val="02C469DF"/>
    <w:rsid w:val="02D45F5C"/>
    <w:rsid w:val="031A4AD7"/>
    <w:rsid w:val="032D29B2"/>
    <w:rsid w:val="035C311C"/>
    <w:rsid w:val="036822A6"/>
    <w:rsid w:val="03683FBE"/>
    <w:rsid w:val="03766107"/>
    <w:rsid w:val="037738D8"/>
    <w:rsid w:val="03961378"/>
    <w:rsid w:val="03CA2A2C"/>
    <w:rsid w:val="03E51BB2"/>
    <w:rsid w:val="040F20B8"/>
    <w:rsid w:val="046E4522"/>
    <w:rsid w:val="0499180B"/>
    <w:rsid w:val="04BA64C7"/>
    <w:rsid w:val="04D31D7F"/>
    <w:rsid w:val="0518195C"/>
    <w:rsid w:val="052325F0"/>
    <w:rsid w:val="052C4012"/>
    <w:rsid w:val="055A2489"/>
    <w:rsid w:val="05C759FB"/>
    <w:rsid w:val="05EC445F"/>
    <w:rsid w:val="063E6D30"/>
    <w:rsid w:val="0665282F"/>
    <w:rsid w:val="068955F4"/>
    <w:rsid w:val="068E3768"/>
    <w:rsid w:val="06DC2725"/>
    <w:rsid w:val="06E415DA"/>
    <w:rsid w:val="06E635A4"/>
    <w:rsid w:val="07061D34"/>
    <w:rsid w:val="0753050D"/>
    <w:rsid w:val="075F0692"/>
    <w:rsid w:val="07616FFE"/>
    <w:rsid w:val="07AF3996"/>
    <w:rsid w:val="07B92C3C"/>
    <w:rsid w:val="07DB054A"/>
    <w:rsid w:val="080109C6"/>
    <w:rsid w:val="083D2AF4"/>
    <w:rsid w:val="08510831"/>
    <w:rsid w:val="087B120E"/>
    <w:rsid w:val="08892BD6"/>
    <w:rsid w:val="08956C95"/>
    <w:rsid w:val="08AF5C17"/>
    <w:rsid w:val="08C2594B"/>
    <w:rsid w:val="08EC29C7"/>
    <w:rsid w:val="08F53B23"/>
    <w:rsid w:val="09113A45"/>
    <w:rsid w:val="09145BEC"/>
    <w:rsid w:val="092A6D05"/>
    <w:rsid w:val="097355A4"/>
    <w:rsid w:val="09AF2373"/>
    <w:rsid w:val="09BE592D"/>
    <w:rsid w:val="09C82713"/>
    <w:rsid w:val="09F204B1"/>
    <w:rsid w:val="0A053C89"/>
    <w:rsid w:val="0A070656"/>
    <w:rsid w:val="0A200EA9"/>
    <w:rsid w:val="0A5B7E05"/>
    <w:rsid w:val="0A6342EE"/>
    <w:rsid w:val="0A7333A0"/>
    <w:rsid w:val="0A8C4462"/>
    <w:rsid w:val="0A913ED8"/>
    <w:rsid w:val="0ACE4799"/>
    <w:rsid w:val="0AEC6637"/>
    <w:rsid w:val="0AF52007"/>
    <w:rsid w:val="0B24171E"/>
    <w:rsid w:val="0B380EE8"/>
    <w:rsid w:val="0B5C3243"/>
    <w:rsid w:val="0BAD59A4"/>
    <w:rsid w:val="0BBA4FFF"/>
    <w:rsid w:val="0BFC043E"/>
    <w:rsid w:val="0C3157FF"/>
    <w:rsid w:val="0C466B45"/>
    <w:rsid w:val="0C4F5747"/>
    <w:rsid w:val="0C9E3776"/>
    <w:rsid w:val="0CB47CA0"/>
    <w:rsid w:val="0CBD16CE"/>
    <w:rsid w:val="0D330BC5"/>
    <w:rsid w:val="0D447276"/>
    <w:rsid w:val="0D584403"/>
    <w:rsid w:val="0D682F64"/>
    <w:rsid w:val="0D693057"/>
    <w:rsid w:val="0D6F6E94"/>
    <w:rsid w:val="0D70006B"/>
    <w:rsid w:val="0D86163D"/>
    <w:rsid w:val="0D910C60"/>
    <w:rsid w:val="0DB10079"/>
    <w:rsid w:val="0DC363ED"/>
    <w:rsid w:val="0DEE7765"/>
    <w:rsid w:val="0E8F4521"/>
    <w:rsid w:val="0EA27FFE"/>
    <w:rsid w:val="0EEC54CF"/>
    <w:rsid w:val="0F2B5D1F"/>
    <w:rsid w:val="0F2B6BB7"/>
    <w:rsid w:val="0F310E21"/>
    <w:rsid w:val="0F3222B1"/>
    <w:rsid w:val="0F5F0397"/>
    <w:rsid w:val="0FEE202C"/>
    <w:rsid w:val="101C0A97"/>
    <w:rsid w:val="101C3B92"/>
    <w:rsid w:val="10202503"/>
    <w:rsid w:val="10233BE8"/>
    <w:rsid w:val="102D0B16"/>
    <w:rsid w:val="10644BF3"/>
    <w:rsid w:val="108160EB"/>
    <w:rsid w:val="10B6729D"/>
    <w:rsid w:val="10F67974"/>
    <w:rsid w:val="10F845FF"/>
    <w:rsid w:val="110227EA"/>
    <w:rsid w:val="110A60E1"/>
    <w:rsid w:val="11162CD7"/>
    <w:rsid w:val="1167461D"/>
    <w:rsid w:val="11E64AD9"/>
    <w:rsid w:val="12192A7F"/>
    <w:rsid w:val="12246164"/>
    <w:rsid w:val="12685FCD"/>
    <w:rsid w:val="1278318D"/>
    <w:rsid w:val="12B10258"/>
    <w:rsid w:val="12E12E71"/>
    <w:rsid w:val="132C3E30"/>
    <w:rsid w:val="135A2CE6"/>
    <w:rsid w:val="13A20852"/>
    <w:rsid w:val="13C82E2A"/>
    <w:rsid w:val="13D053C0"/>
    <w:rsid w:val="14072999"/>
    <w:rsid w:val="141A7667"/>
    <w:rsid w:val="142E3666"/>
    <w:rsid w:val="144F679D"/>
    <w:rsid w:val="145F7A9A"/>
    <w:rsid w:val="146F2C7A"/>
    <w:rsid w:val="149701A8"/>
    <w:rsid w:val="149E4992"/>
    <w:rsid w:val="14A10B0A"/>
    <w:rsid w:val="14C01613"/>
    <w:rsid w:val="14E135FC"/>
    <w:rsid w:val="14EC447B"/>
    <w:rsid w:val="14F90946"/>
    <w:rsid w:val="1509768D"/>
    <w:rsid w:val="15175270"/>
    <w:rsid w:val="154C6CC8"/>
    <w:rsid w:val="15A92E2E"/>
    <w:rsid w:val="15EE6369"/>
    <w:rsid w:val="160A4336"/>
    <w:rsid w:val="1613649B"/>
    <w:rsid w:val="164F7B40"/>
    <w:rsid w:val="166B5873"/>
    <w:rsid w:val="16B56AEF"/>
    <w:rsid w:val="16C531D6"/>
    <w:rsid w:val="16E01DBD"/>
    <w:rsid w:val="16FB67DC"/>
    <w:rsid w:val="170E5D26"/>
    <w:rsid w:val="178216C7"/>
    <w:rsid w:val="179A0622"/>
    <w:rsid w:val="179B1923"/>
    <w:rsid w:val="17BE59A2"/>
    <w:rsid w:val="17D74248"/>
    <w:rsid w:val="17FD699F"/>
    <w:rsid w:val="18077515"/>
    <w:rsid w:val="1809240F"/>
    <w:rsid w:val="18185849"/>
    <w:rsid w:val="183D3240"/>
    <w:rsid w:val="185F4F64"/>
    <w:rsid w:val="187271C9"/>
    <w:rsid w:val="18CA5D94"/>
    <w:rsid w:val="1919211E"/>
    <w:rsid w:val="191A7C2A"/>
    <w:rsid w:val="193727B4"/>
    <w:rsid w:val="19461C80"/>
    <w:rsid w:val="19A741FA"/>
    <w:rsid w:val="19B42820"/>
    <w:rsid w:val="19D43730"/>
    <w:rsid w:val="1A2976B5"/>
    <w:rsid w:val="1A442DE9"/>
    <w:rsid w:val="1A520692"/>
    <w:rsid w:val="1AD002D5"/>
    <w:rsid w:val="1AF000F5"/>
    <w:rsid w:val="1AF00867"/>
    <w:rsid w:val="1B1F6C2C"/>
    <w:rsid w:val="1B377A27"/>
    <w:rsid w:val="1B740D26"/>
    <w:rsid w:val="1B9629C7"/>
    <w:rsid w:val="1BC305D3"/>
    <w:rsid w:val="1BDF69A1"/>
    <w:rsid w:val="1C3F7586"/>
    <w:rsid w:val="1C4A3EC0"/>
    <w:rsid w:val="1C877B27"/>
    <w:rsid w:val="1CD55680"/>
    <w:rsid w:val="1D2A7CA5"/>
    <w:rsid w:val="1D2D5631"/>
    <w:rsid w:val="1D321E13"/>
    <w:rsid w:val="1D601534"/>
    <w:rsid w:val="1D8F18A8"/>
    <w:rsid w:val="1DBC044E"/>
    <w:rsid w:val="1DC00253"/>
    <w:rsid w:val="1DDF4451"/>
    <w:rsid w:val="1DEA3522"/>
    <w:rsid w:val="1E0D0FBE"/>
    <w:rsid w:val="1E4744D0"/>
    <w:rsid w:val="1E676C05"/>
    <w:rsid w:val="1E7F3055"/>
    <w:rsid w:val="1ED11916"/>
    <w:rsid w:val="1EE00B31"/>
    <w:rsid w:val="1F396481"/>
    <w:rsid w:val="1F4849CA"/>
    <w:rsid w:val="1F873477"/>
    <w:rsid w:val="1FA058F2"/>
    <w:rsid w:val="201A79C2"/>
    <w:rsid w:val="204C4020"/>
    <w:rsid w:val="20742014"/>
    <w:rsid w:val="20CD24E9"/>
    <w:rsid w:val="20F621DE"/>
    <w:rsid w:val="20F91D0C"/>
    <w:rsid w:val="21090163"/>
    <w:rsid w:val="21455F84"/>
    <w:rsid w:val="215C4736"/>
    <w:rsid w:val="21965F59"/>
    <w:rsid w:val="21F60778"/>
    <w:rsid w:val="21FF07BC"/>
    <w:rsid w:val="22152576"/>
    <w:rsid w:val="222C3A8C"/>
    <w:rsid w:val="224F6049"/>
    <w:rsid w:val="225B2729"/>
    <w:rsid w:val="225E003A"/>
    <w:rsid w:val="227855A0"/>
    <w:rsid w:val="22C95DFC"/>
    <w:rsid w:val="22D02771"/>
    <w:rsid w:val="22D537BD"/>
    <w:rsid w:val="22FF181D"/>
    <w:rsid w:val="230D2713"/>
    <w:rsid w:val="234B7E6D"/>
    <w:rsid w:val="2355143D"/>
    <w:rsid w:val="23694EE9"/>
    <w:rsid w:val="237671DA"/>
    <w:rsid w:val="237D0994"/>
    <w:rsid w:val="23A83C63"/>
    <w:rsid w:val="2463402E"/>
    <w:rsid w:val="24977600"/>
    <w:rsid w:val="24B831E2"/>
    <w:rsid w:val="24F133E8"/>
    <w:rsid w:val="24F17BED"/>
    <w:rsid w:val="250B120F"/>
    <w:rsid w:val="252C7220"/>
    <w:rsid w:val="25320915"/>
    <w:rsid w:val="2568789F"/>
    <w:rsid w:val="256E2BE0"/>
    <w:rsid w:val="25EE5B79"/>
    <w:rsid w:val="25F72C80"/>
    <w:rsid w:val="26071ED5"/>
    <w:rsid w:val="26226B65"/>
    <w:rsid w:val="263A2B6C"/>
    <w:rsid w:val="2641520D"/>
    <w:rsid w:val="26434279"/>
    <w:rsid w:val="265C2AE3"/>
    <w:rsid w:val="267A6508"/>
    <w:rsid w:val="26A50560"/>
    <w:rsid w:val="26B71FDC"/>
    <w:rsid w:val="26EE73D4"/>
    <w:rsid w:val="270F55EE"/>
    <w:rsid w:val="272F1A96"/>
    <w:rsid w:val="27391076"/>
    <w:rsid w:val="275C0179"/>
    <w:rsid w:val="276C4BF8"/>
    <w:rsid w:val="279E69B0"/>
    <w:rsid w:val="27F52753"/>
    <w:rsid w:val="280D3A30"/>
    <w:rsid w:val="282553AD"/>
    <w:rsid w:val="284B2CED"/>
    <w:rsid w:val="2868542F"/>
    <w:rsid w:val="288C0732"/>
    <w:rsid w:val="288D3427"/>
    <w:rsid w:val="28976054"/>
    <w:rsid w:val="28AA63AA"/>
    <w:rsid w:val="28E626BF"/>
    <w:rsid w:val="28EF5E29"/>
    <w:rsid w:val="292A2C02"/>
    <w:rsid w:val="293D27C8"/>
    <w:rsid w:val="29606D8E"/>
    <w:rsid w:val="29622675"/>
    <w:rsid w:val="297B0CF7"/>
    <w:rsid w:val="299C6F76"/>
    <w:rsid w:val="29C966E1"/>
    <w:rsid w:val="2A1D389A"/>
    <w:rsid w:val="2A27165A"/>
    <w:rsid w:val="2A5C3468"/>
    <w:rsid w:val="2A7D11F4"/>
    <w:rsid w:val="2AC1385C"/>
    <w:rsid w:val="2ACD0453"/>
    <w:rsid w:val="2AF7335B"/>
    <w:rsid w:val="2B0D2427"/>
    <w:rsid w:val="2B5E554F"/>
    <w:rsid w:val="2B822DA1"/>
    <w:rsid w:val="2B907A05"/>
    <w:rsid w:val="2C0D44FF"/>
    <w:rsid w:val="2C541884"/>
    <w:rsid w:val="2C6C05ED"/>
    <w:rsid w:val="2C90798A"/>
    <w:rsid w:val="2CBA2FB1"/>
    <w:rsid w:val="2CC66F08"/>
    <w:rsid w:val="2CFB12A7"/>
    <w:rsid w:val="2D1F7CD3"/>
    <w:rsid w:val="2D4D13D7"/>
    <w:rsid w:val="2D4D7629"/>
    <w:rsid w:val="2D821066"/>
    <w:rsid w:val="2DE25FC3"/>
    <w:rsid w:val="2E346A78"/>
    <w:rsid w:val="2E681189"/>
    <w:rsid w:val="2E6E18ED"/>
    <w:rsid w:val="2EA133AF"/>
    <w:rsid w:val="2EC422C0"/>
    <w:rsid w:val="2EDD2DD9"/>
    <w:rsid w:val="2EE916ED"/>
    <w:rsid w:val="2F1523C9"/>
    <w:rsid w:val="2F206CFF"/>
    <w:rsid w:val="2F723467"/>
    <w:rsid w:val="2F8E6B70"/>
    <w:rsid w:val="2F936C13"/>
    <w:rsid w:val="2FD602BF"/>
    <w:rsid w:val="2FDC0A66"/>
    <w:rsid w:val="3029612C"/>
    <w:rsid w:val="302C0625"/>
    <w:rsid w:val="3054751F"/>
    <w:rsid w:val="30654C8A"/>
    <w:rsid w:val="30675DC2"/>
    <w:rsid w:val="306835D0"/>
    <w:rsid w:val="306C426A"/>
    <w:rsid w:val="307373A7"/>
    <w:rsid w:val="309F7B49"/>
    <w:rsid w:val="30B91060"/>
    <w:rsid w:val="30C95219"/>
    <w:rsid w:val="30ED7159"/>
    <w:rsid w:val="310426F5"/>
    <w:rsid w:val="31155497"/>
    <w:rsid w:val="31216E03"/>
    <w:rsid w:val="31432060"/>
    <w:rsid w:val="31AC3D25"/>
    <w:rsid w:val="31B26B04"/>
    <w:rsid w:val="31E91A7B"/>
    <w:rsid w:val="3210344F"/>
    <w:rsid w:val="321150C9"/>
    <w:rsid w:val="328A5CFA"/>
    <w:rsid w:val="328A6C2A"/>
    <w:rsid w:val="32974E9E"/>
    <w:rsid w:val="32A0292F"/>
    <w:rsid w:val="32A02B99"/>
    <w:rsid w:val="32A7158A"/>
    <w:rsid w:val="32BB2F99"/>
    <w:rsid w:val="32DC56D7"/>
    <w:rsid w:val="32EC51EE"/>
    <w:rsid w:val="32EF2268"/>
    <w:rsid w:val="32FA790B"/>
    <w:rsid w:val="33423060"/>
    <w:rsid w:val="336B305B"/>
    <w:rsid w:val="33753436"/>
    <w:rsid w:val="337D5F7B"/>
    <w:rsid w:val="3398596D"/>
    <w:rsid w:val="33A65CE5"/>
    <w:rsid w:val="33D0367D"/>
    <w:rsid w:val="33D414D0"/>
    <w:rsid w:val="33E16D1D"/>
    <w:rsid w:val="341B2B8A"/>
    <w:rsid w:val="3439368F"/>
    <w:rsid w:val="34603E67"/>
    <w:rsid w:val="34C63D63"/>
    <w:rsid w:val="34EF0FC6"/>
    <w:rsid w:val="3502693D"/>
    <w:rsid w:val="35252BA6"/>
    <w:rsid w:val="35662F1B"/>
    <w:rsid w:val="35753BC1"/>
    <w:rsid w:val="359F79FB"/>
    <w:rsid w:val="35A46254"/>
    <w:rsid w:val="35A7668C"/>
    <w:rsid w:val="35C44461"/>
    <w:rsid w:val="35CD358A"/>
    <w:rsid w:val="36232DB0"/>
    <w:rsid w:val="36527A69"/>
    <w:rsid w:val="368D21C2"/>
    <w:rsid w:val="3700570C"/>
    <w:rsid w:val="3707229D"/>
    <w:rsid w:val="371116C7"/>
    <w:rsid w:val="372B7EA9"/>
    <w:rsid w:val="379876F3"/>
    <w:rsid w:val="383D34A3"/>
    <w:rsid w:val="385F359C"/>
    <w:rsid w:val="38745CC3"/>
    <w:rsid w:val="38887767"/>
    <w:rsid w:val="38B56509"/>
    <w:rsid w:val="38F7790E"/>
    <w:rsid w:val="390A63CE"/>
    <w:rsid w:val="39311BAD"/>
    <w:rsid w:val="39857F7E"/>
    <w:rsid w:val="39B12CEE"/>
    <w:rsid w:val="39BC591B"/>
    <w:rsid w:val="39C0702B"/>
    <w:rsid w:val="3A2B5B58"/>
    <w:rsid w:val="3A401E2F"/>
    <w:rsid w:val="3A514476"/>
    <w:rsid w:val="3A642E7C"/>
    <w:rsid w:val="3A98378C"/>
    <w:rsid w:val="3B653D90"/>
    <w:rsid w:val="3B824942"/>
    <w:rsid w:val="3B903503"/>
    <w:rsid w:val="3B941125"/>
    <w:rsid w:val="3BA26D92"/>
    <w:rsid w:val="3BA80B19"/>
    <w:rsid w:val="3BEA3546"/>
    <w:rsid w:val="3C0D06AF"/>
    <w:rsid w:val="3C4240EC"/>
    <w:rsid w:val="3C5A141B"/>
    <w:rsid w:val="3C6D54E8"/>
    <w:rsid w:val="3C722C08"/>
    <w:rsid w:val="3C9B0CDC"/>
    <w:rsid w:val="3C9D145F"/>
    <w:rsid w:val="3CAF5C0A"/>
    <w:rsid w:val="3CED228F"/>
    <w:rsid w:val="3D393726"/>
    <w:rsid w:val="3D56134C"/>
    <w:rsid w:val="3D6B2044"/>
    <w:rsid w:val="3D711B40"/>
    <w:rsid w:val="3D7E738B"/>
    <w:rsid w:val="3D8F1598"/>
    <w:rsid w:val="3DA232FD"/>
    <w:rsid w:val="3DD96CF1"/>
    <w:rsid w:val="3DFC6C2D"/>
    <w:rsid w:val="3E0055CC"/>
    <w:rsid w:val="3E1201FF"/>
    <w:rsid w:val="3E2C4A1C"/>
    <w:rsid w:val="3E800AA6"/>
    <w:rsid w:val="3ECF1AD7"/>
    <w:rsid w:val="3EDB342A"/>
    <w:rsid w:val="3EF018CA"/>
    <w:rsid w:val="3F3A1FEB"/>
    <w:rsid w:val="3F406FEE"/>
    <w:rsid w:val="3F536D21"/>
    <w:rsid w:val="3F7F15CC"/>
    <w:rsid w:val="3FBE6766"/>
    <w:rsid w:val="3FD6525C"/>
    <w:rsid w:val="3FD93A56"/>
    <w:rsid w:val="3FF16AF1"/>
    <w:rsid w:val="40104C12"/>
    <w:rsid w:val="402E6E09"/>
    <w:rsid w:val="40326914"/>
    <w:rsid w:val="406E741E"/>
    <w:rsid w:val="40A67243"/>
    <w:rsid w:val="40C5625C"/>
    <w:rsid w:val="414C1049"/>
    <w:rsid w:val="417A515D"/>
    <w:rsid w:val="41880131"/>
    <w:rsid w:val="41B1652B"/>
    <w:rsid w:val="41BD0482"/>
    <w:rsid w:val="41C602F5"/>
    <w:rsid w:val="41E31E42"/>
    <w:rsid w:val="42203971"/>
    <w:rsid w:val="42253D73"/>
    <w:rsid w:val="425B7C9B"/>
    <w:rsid w:val="427C23A2"/>
    <w:rsid w:val="42977FCE"/>
    <w:rsid w:val="42A46591"/>
    <w:rsid w:val="42E77C3D"/>
    <w:rsid w:val="430801C3"/>
    <w:rsid w:val="4350530C"/>
    <w:rsid w:val="435621E3"/>
    <w:rsid w:val="43623789"/>
    <w:rsid w:val="436D25BB"/>
    <w:rsid w:val="43D1446D"/>
    <w:rsid w:val="43E97C54"/>
    <w:rsid w:val="440525B4"/>
    <w:rsid w:val="44184187"/>
    <w:rsid w:val="441C7C47"/>
    <w:rsid w:val="44290050"/>
    <w:rsid w:val="443A225E"/>
    <w:rsid w:val="44592171"/>
    <w:rsid w:val="44B44FAB"/>
    <w:rsid w:val="44CF42FD"/>
    <w:rsid w:val="44E4602A"/>
    <w:rsid w:val="452652F1"/>
    <w:rsid w:val="45435142"/>
    <w:rsid w:val="455A19CC"/>
    <w:rsid w:val="45AA4BA1"/>
    <w:rsid w:val="45B80788"/>
    <w:rsid w:val="45D97854"/>
    <w:rsid w:val="460743C1"/>
    <w:rsid w:val="4663765C"/>
    <w:rsid w:val="46843C64"/>
    <w:rsid w:val="46A936CA"/>
    <w:rsid w:val="46DF24CF"/>
    <w:rsid w:val="46F87B16"/>
    <w:rsid w:val="470078CF"/>
    <w:rsid w:val="47080919"/>
    <w:rsid w:val="474F48B0"/>
    <w:rsid w:val="47571E5D"/>
    <w:rsid w:val="476F5963"/>
    <w:rsid w:val="47E9061B"/>
    <w:rsid w:val="48111290"/>
    <w:rsid w:val="484245C7"/>
    <w:rsid w:val="48587156"/>
    <w:rsid w:val="48897310"/>
    <w:rsid w:val="488D7CFE"/>
    <w:rsid w:val="48A92682"/>
    <w:rsid w:val="48B545A9"/>
    <w:rsid w:val="48CC3E16"/>
    <w:rsid w:val="48DE24DE"/>
    <w:rsid w:val="48F867EE"/>
    <w:rsid w:val="491A265E"/>
    <w:rsid w:val="49323FD7"/>
    <w:rsid w:val="49AE2723"/>
    <w:rsid w:val="4A062C17"/>
    <w:rsid w:val="4A34774F"/>
    <w:rsid w:val="4A566BAB"/>
    <w:rsid w:val="4A7B15EF"/>
    <w:rsid w:val="4AAE28E2"/>
    <w:rsid w:val="4AB64608"/>
    <w:rsid w:val="4AC74B58"/>
    <w:rsid w:val="4BA6467C"/>
    <w:rsid w:val="4BE12CCA"/>
    <w:rsid w:val="4BE95365"/>
    <w:rsid w:val="4BEB03BD"/>
    <w:rsid w:val="4C12409B"/>
    <w:rsid w:val="4C166DD4"/>
    <w:rsid w:val="4C505A34"/>
    <w:rsid w:val="4C653BF0"/>
    <w:rsid w:val="4C7D7030"/>
    <w:rsid w:val="4C983BAF"/>
    <w:rsid w:val="4D1A2C2C"/>
    <w:rsid w:val="4D382687"/>
    <w:rsid w:val="4D3F2693"/>
    <w:rsid w:val="4D3F7172"/>
    <w:rsid w:val="4D673998"/>
    <w:rsid w:val="4D693BB4"/>
    <w:rsid w:val="4D910683"/>
    <w:rsid w:val="4D970CD9"/>
    <w:rsid w:val="4D9B7742"/>
    <w:rsid w:val="4DAF7B7B"/>
    <w:rsid w:val="4DC1579E"/>
    <w:rsid w:val="4DF6457C"/>
    <w:rsid w:val="4DFB4E36"/>
    <w:rsid w:val="4E045D2B"/>
    <w:rsid w:val="4E6E29A6"/>
    <w:rsid w:val="4E9B14FE"/>
    <w:rsid w:val="4EAC5711"/>
    <w:rsid w:val="4EC217CD"/>
    <w:rsid w:val="4F1163D7"/>
    <w:rsid w:val="4F1961FD"/>
    <w:rsid w:val="4F2B4ED4"/>
    <w:rsid w:val="4F3431D9"/>
    <w:rsid w:val="4F7A5C04"/>
    <w:rsid w:val="4F7E2A75"/>
    <w:rsid w:val="4FDC68BF"/>
    <w:rsid w:val="50C866AA"/>
    <w:rsid w:val="50C90F52"/>
    <w:rsid w:val="50D67CED"/>
    <w:rsid w:val="50F419E6"/>
    <w:rsid w:val="50F73284"/>
    <w:rsid w:val="50FA43C8"/>
    <w:rsid w:val="50FB0FC7"/>
    <w:rsid w:val="51782617"/>
    <w:rsid w:val="518A5EA7"/>
    <w:rsid w:val="51B2004B"/>
    <w:rsid w:val="51DD3369"/>
    <w:rsid w:val="52215D62"/>
    <w:rsid w:val="528B0128"/>
    <w:rsid w:val="528F6987"/>
    <w:rsid w:val="52904232"/>
    <w:rsid w:val="52D61DC6"/>
    <w:rsid w:val="530A54F1"/>
    <w:rsid w:val="530F0D59"/>
    <w:rsid w:val="5312244A"/>
    <w:rsid w:val="534B0057"/>
    <w:rsid w:val="535D1AC5"/>
    <w:rsid w:val="539D0B8C"/>
    <w:rsid w:val="53B67427"/>
    <w:rsid w:val="53BC14C1"/>
    <w:rsid w:val="53BC2AC0"/>
    <w:rsid w:val="53D60B0D"/>
    <w:rsid w:val="53D71EC0"/>
    <w:rsid w:val="53DC62B0"/>
    <w:rsid w:val="540767E3"/>
    <w:rsid w:val="54457AB8"/>
    <w:rsid w:val="544C4F34"/>
    <w:rsid w:val="544D1B39"/>
    <w:rsid w:val="54556AEA"/>
    <w:rsid w:val="54FE4BE1"/>
    <w:rsid w:val="55131A57"/>
    <w:rsid w:val="55622629"/>
    <w:rsid w:val="55A7171D"/>
    <w:rsid w:val="55DE0971"/>
    <w:rsid w:val="55FB62CA"/>
    <w:rsid w:val="55FC3817"/>
    <w:rsid w:val="561623FF"/>
    <w:rsid w:val="56586573"/>
    <w:rsid w:val="56705FB3"/>
    <w:rsid w:val="5686336B"/>
    <w:rsid w:val="56BA5480"/>
    <w:rsid w:val="56C43C09"/>
    <w:rsid w:val="56CD51B3"/>
    <w:rsid w:val="56DC1604"/>
    <w:rsid w:val="56FC7846"/>
    <w:rsid w:val="57090250"/>
    <w:rsid w:val="576E101F"/>
    <w:rsid w:val="577D71D5"/>
    <w:rsid w:val="5780444C"/>
    <w:rsid w:val="57A203EE"/>
    <w:rsid w:val="57D04F5B"/>
    <w:rsid w:val="580249E9"/>
    <w:rsid w:val="584A6390"/>
    <w:rsid w:val="5886561A"/>
    <w:rsid w:val="589B369A"/>
    <w:rsid w:val="58BF1DA3"/>
    <w:rsid w:val="58F45FE0"/>
    <w:rsid w:val="58F96EAE"/>
    <w:rsid w:val="593E7CA2"/>
    <w:rsid w:val="59445A94"/>
    <w:rsid w:val="59542BD7"/>
    <w:rsid w:val="597436C4"/>
    <w:rsid w:val="59D9433B"/>
    <w:rsid w:val="59EF71EF"/>
    <w:rsid w:val="5A0E58C7"/>
    <w:rsid w:val="5A3A2DDD"/>
    <w:rsid w:val="5B5163B3"/>
    <w:rsid w:val="5B5C1C7A"/>
    <w:rsid w:val="5B6732E1"/>
    <w:rsid w:val="5B861692"/>
    <w:rsid w:val="5BC85F49"/>
    <w:rsid w:val="5BE70AC5"/>
    <w:rsid w:val="5BF449CD"/>
    <w:rsid w:val="5BF918A2"/>
    <w:rsid w:val="5C125416"/>
    <w:rsid w:val="5C161E71"/>
    <w:rsid w:val="5C36103E"/>
    <w:rsid w:val="5CA6628A"/>
    <w:rsid w:val="5CB07109"/>
    <w:rsid w:val="5CBB785C"/>
    <w:rsid w:val="5CDF2E5D"/>
    <w:rsid w:val="5D0511A4"/>
    <w:rsid w:val="5D0C00B7"/>
    <w:rsid w:val="5D16452A"/>
    <w:rsid w:val="5D1E1826"/>
    <w:rsid w:val="5D4930BA"/>
    <w:rsid w:val="5D6F1310"/>
    <w:rsid w:val="5D995DEF"/>
    <w:rsid w:val="5E055233"/>
    <w:rsid w:val="5E5D6E1D"/>
    <w:rsid w:val="5E781EA8"/>
    <w:rsid w:val="5E9640DD"/>
    <w:rsid w:val="5EBB1968"/>
    <w:rsid w:val="5EF00A9F"/>
    <w:rsid w:val="5F1C2834"/>
    <w:rsid w:val="6005776C"/>
    <w:rsid w:val="60336D75"/>
    <w:rsid w:val="60433DF0"/>
    <w:rsid w:val="604D4C6F"/>
    <w:rsid w:val="606D70BF"/>
    <w:rsid w:val="60883EF9"/>
    <w:rsid w:val="609B00D0"/>
    <w:rsid w:val="60C74A21"/>
    <w:rsid w:val="61203FF3"/>
    <w:rsid w:val="61384D4A"/>
    <w:rsid w:val="61944750"/>
    <w:rsid w:val="61947E33"/>
    <w:rsid w:val="61EB473F"/>
    <w:rsid w:val="62093465"/>
    <w:rsid w:val="622B607F"/>
    <w:rsid w:val="623C4F9B"/>
    <w:rsid w:val="624D53FA"/>
    <w:rsid w:val="62740BD9"/>
    <w:rsid w:val="628800F3"/>
    <w:rsid w:val="628D3A49"/>
    <w:rsid w:val="62B8336A"/>
    <w:rsid w:val="62BE1E54"/>
    <w:rsid w:val="62D84CC4"/>
    <w:rsid w:val="63331C14"/>
    <w:rsid w:val="635546F4"/>
    <w:rsid w:val="635602DE"/>
    <w:rsid w:val="63572D45"/>
    <w:rsid w:val="635F5CFB"/>
    <w:rsid w:val="63C33BC6"/>
    <w:rsid w:val="63E340FD"/>
    <w:rsid w:val="63E37DC4"/>
    <w:rsid w:val="63F737D3"/>
    <w:rsid w:val="64337579"/>
    <w:rsid w:val="64441196"/>
    <w:rsid w:val="64465512"/>
    <w:rsid w:val="64573F8E"/>
    <w:rsid w:val="646A5DEF"/>
    <w:rsid w:val="647508DA"/>
    <w:rsid w:val="6477551A"/>
    <w:rsid w:val="64833355"/>
    <w:rsid w:val="648B53C8"/>
    <w:rsid w:val="64A01811"/>
    <w:rsid w:val="65091B75"/>
    <w:rsid w:val="654E5711"/>
    <w:rsid w:val="6568774A"/>
    <w:rsid w:val="6598441E"/>
    <w:rsid w:val="65A8085C"/>
    <w:rsid w:val="65BC6440"/>
    <w:rsid w:val="65C36E7F"/>
    <w:rsid w:val="65D21A26"/>
    <w:rsid w:val="65DE78AD"/>
    <w:rsid w:val="65EB50C3"/>
    <w:rsid w:val="65EF3C7F"/>
    <w:rsid w:val="661F21B5"/>
    <w:rsid w:val="661F4C5F"/>
    <w:rsid w:val="663B7430"/>
    <w:rsid w:val="66611474"/>
    <w:rsid w:val="667747F4"/>
    <w:rsid w:val="66A001EE"/>
    <w:rsid w:val="66F75934"/>
    <w:rsid w:val="671E1CA4"/>
    <w:rsid w:val="672A0BC3"/>
    <w:rsid w:val="67325309"/>
    <w:rsid w:val="67CC3F80"/>
    <w:rsid w:val="67D02B8A"/>
    <w:rsid w:val="67FE399D"/>
    <w:rsid w:val="68210EBB"/>
    <w:rsid w:val="685C1EF3"/>
    <w:rsid w:val="686659DC"/>
    <w:rsid w:val="687775B2"/>
    <w:rsid w:val="68975621"/>
    <w:rsid w:val="690D7691"/>
    <w:rsid w:val="692073C4"/>
    <w:rsid w:val="69360996"/>
    <w:rsid w:val="693A44D1"/>
    <w:rsid w:val="699B7AB7"/>
    <w:rsid w:val="69AC6C7A"/>
    <w:rsid w:val="69AF0748"/>
    <w:rsid w:val="69EE1271"/>
    <w:rsid w:val="6A125484"/>
    <w:rsid w:val="6A1B14A7"/>
    <w:rsid w:val="6A5C2468"/>
    <w:rsid w:val="6AC101E8"/>
    <w:rsid w:val="6AED777A"/>
    <w:rsid w:val="6B07083C"/>
    <w:rsid w:val="6B1C1E0E"/>
    <w:rsid w:val="6B241A17"/>
    <w:rsid w:val="6BDC12E2"/>
    <w:rsid w:val="6BFE572C"/>
    <w:rsid w:val="6C04283C"/>
    <w:rsid w:val="6C0B35D0"/>
    <w:rsid w:val="6C184383"/>
    <w:rsid w:val="6C3B14B2"/>
    <w:rsid w:val="6C670ECB"/>
    <w:rsid w:val="6CB364F1"/>
    <w:rsid w:val="6CFA7F2C"/>
    <w:rsid w:val="6D250900"/>
    <w:rsid w:val="6D446C02"/>
    <w:rsid w:val="6D7A590C"/>
    <w:rsid w:val="6E1148C4"/>
    <w:rsid w:val="6E873A42"/>
    <w:rsid w:val="6E914282"/>
    <w:rsid w:val="6E9C0F6F"/>
    <w:rsid w:val="6EBA1571"/>
    <w:rsid w:val="6EE521F8"/>
    <w:rsid w:val="6F0E4EC3"/>
    <w:rsid w:val="6F7C2E7B"/>
    <w:rsid w:val="6FAD1286"/>
    <w:rsid w:val="6FD827A7"/>
    <w:rsid w:val="6FD9024F"/>
    <w:rsid w:val="6FE61C5A"/>
    <w:rsid w:val="702F7EED"/>
    <w:rsid w:val="703D085C"/>
    <w:rsid w:val="70467BAB"/>
    <w:rsid w:val="70473489"/>
    <w:rsid w:val="70557737"/>
    <w:rsid w:val="706D27E8"/>
    <w:rsid w:val="70C31FB8"/>
    <w:rsid w:val="70C66AA3"/>
    <w:rsid w:val="70CE4EA1"/>
    <w:rsid w:val="70DC3DAB"/>
    <w:rsid w:val="70E42B14"/>
    <w:rsid w:val="710C62D3"/>
    <w:rsid w:val="71155335"/>
    <w:rsid w:val="714E5177"/>
    <w:rsid w:val="716D6F1F"/>
    <w:rsid w:val="7173757D"/>
    <w:rsid w:val="71AD7318"/>
    <w:rsid w:val="71C11A27"/>
    <w:rsid w:val="7219651D"/>
    <w:rsid w:val="72361A07"/>
    <w:rsid w:val="72690B75"/>
    <w:rsid w:val="726D70E7"/>
    <w:rsid w:val="72A63D8F"/>
    <w:rsid w:val="72F86CBC"/>
    <w:rsid w:val="73037B9F"/>
    <w:rsid w:val="732D37BC"/>
    <w:rsid w:val="73426189"/>
    <w:rsid w:val="736940DD"/>
    <w:rsid w:val="739353B2"/>
    <w:rsid w:val="73B52288"/>
    <w:rsid w:val="73CD0149"/>
    <w:rsid w:val="73ED4347"/>
    <w:rsid w:val="743957DE"/>
    <w:rsid w:val="744A79EB"/>
    <w:rsid w:val="744F6DB0"/>
    <w:rsid w:val="747D74F0"/>
    <w:rsid w:val="748D409F"/>
    <w:rsid w:val="7497194B"/>
    <w:rsid w:val="749D7361"/>
    <w:rsid w:val="74C31ECB"/>
    <w:rsid w:val="74C92B86"/>
    <w:rsid w:val="74D0561D"/>
    <w:rsid w:val="750951B1"/>
    <w:rsid w:val="75120509"/>
    <w:rsid w:val="752E10BB"/>
    <w:rsid w:val="758D4DD3"/>
    <w:rsid w:val="75942919"/>
    <w:rsid w:val="75A92F9A"/>
    <w:rsid w:val="75B01AD0"/>
    <w:rsid w:val="75B23472"/>
    <w:rsid w:val="76053BCA"/>
    <w:rsid w:val="761A46D3"/>
    <w:rsid w:val="768337BA"/>
    <w:rsid w:val="76D849B8"/>
    <w:rsid w:val="772004CF"/>
    <w:rsid w:val="772953A5"/>
    <w:rsid w:val="774B1AB0"/>
    <w:rsid w:val="775D17E4"/>
    <w:rsid w:val="7791148D"/>
    <w:rsid w:val="77A80190"/>
    <w:rsid w:val="78112CFA"/>
    <w:rsid w:val="787C21CD"/>
    <w:rsid w:val="78952508"/>
    <w:rsid w:val="78A5374B"/>
    <w:rsid w:val="78E01BE8"/>
    <w:rsid w:val="78F9378E"/>
    <w:rsid w:val="792D0C52"/>
    <w:rsid w:val="796E4346"/>
    <w:rsid w:val="79AC1C21"/>
    <w:rsid w:val="79DB1BD2"/>
    <w:rsid w:val="7A0F14BB"/>
    <w:rsid w:val="7A722DC0"/>
    <w:rsid w:val="7A8F2E85"/>
    <w:rsid w:val="7A9D4EF2"/>
    <w:rsid w:val="7AAA36FF"/>
    <w:rsid w:val="7AB40202"/>
    <w:rsid w:val="7AB45BBF"/>
    <w:rsid w:val="7AD95625"/>
    <w:rsid w:val="7AE70780"/>
    <w:rsid w:val="7B1623D5"/>
    <w:rsid w:val="7B237486"/>
    <w:rsid w:val="7B9559F0"/>
    <w:rsid w:val="7BB147B2"/>
    <w:rsid w:val="7BB50301"/>
    <w:rsid w:val="7BBB4C21"/>
    <w:rsid w:val="7BC92AB2"/>
    <w:rsid w:val="7BD34993"/>
    <w:rsid w:val="7BD64F01"/>
    <w:rsid w:val="7BDF6C6B"/>
    <w:rsid w:val="7C166356"/>
    <w:rsid w:val="7C246D74"/>
    <w:rsid w:val="7C370186"/>
    <w:rsid w:val="7C9C4E59"/>
    <w:rsid w:val="7CA27C90"/>
    <w:rsid w:val="7CB972E1"/>
    <w:rsid w:val="7D2F59D0"/>
    <w:rsid w:val="7D40373A"/>
    <w:rsid w:val="7D54427B"/>
    <w:rsid w:val="7D841415"/>
    <w:rsid w:val="7D9E6B5B"/>
    <w:rsid w:val="7DB3215D"/>
    <w:rsid w:val="7DC45757"/>
    <w:rsid w:val="7E092C14"/>
    <w:rsid w:val="7E14796C"/>
    <w:rsid w:val="7E2F1D63"/>
    <w:rsid w:val="7EC363D0"/>
    <w:rsid w:val="7EC73DC5"/>
    <w:rsid w:val="7EC860DC"/>
    <w:rsid w:val="7ED20D09"/>
    <w:rsid w:val="7F1C1F84"/>
    <w:rsid w:val="7F284918"/>
    <w:rsid w:val="7F3472CE"/>
    <w:rsid w:val="7F482401"/>
    <w:rsid w:val="7F585020"/>
    <w:rsid w:val="7F9B0DB6"/>
    <w:rsid w:val="7F9F7CB1"/>
    <w:rsid w:val="7FF13411"/>
    <w:rsid w:val="DBFD87A5"/>
    <w:rsid w:val="FDF33ACD"/>
    <w:rsid w:val="FE39C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keepLines/>
      <w:spacing w:before="240" w:after="240" w:line="480" w:lineRule="auto"/>
      <w:jc w:val="center"/>
      <w:outlineLvl w:val="0"/>
    </w:pPr>
    <w:rPr>
      <w:b/>
      <w:bCs/>
      <w:kern w:val="44"/>
      <w:sz w:val="36"/>
      <w:szCs w:val="44"/>
    </w:rPr>
  </w:style>
  <w:style w:type="paragraph" w:styleId="3">
    <w:name w:val="heading 2"/>
    <w:basedOn w:val="1"/>
    <w:next w:val="1"/>
    <w:link w:val="214"/>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9"/>
    <w:qFormat/>
    <w:uiPriority w:val="0"/>
    <w:pPr>
      <w:keepNext/>
      <w:keepLines/>
      <w:spacing w:before="260" w:after="260" w:line="416" w:lineRule="auto"/>
      <w:outlineLvl w:val="2"/>
    </w:pPr>
    <w:rPr>
      <w:b/>
      <w:bCs/>
      <w:kern w:val="0"/>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0"/>
    <w:qFormat/>
    <w:uiPriority w:val="0"/>
    <w:pPr>
      <w:keepNext/>
      <w:keepLines/>
      <w:numPr>
        <w:ilvl w:val="4"/>
        <w:numId w:val="1"/>
      </w:numPr>
      <w:spacing w:before="280" w:after="290" w:line="376" w:lineRule="auto"/>
      <w:outlineLvl w:val="4"/>
    </w:pPr>
    <w:rPr>
      <w:b/>
      <w:sz w:val="28"/>
    </w:rPr>
  </w:style>
  <w:style w:type="paragraph" w:styleId="7">
    <w:name w:val="heading 6"/>
    <w:basedOn w:val="1"/>
    <w:next w:val="1"/>
    <w:link w:val="71"/>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9"/>
    <w:link w:val="72"/>
    <w:qFormat/>
    <w:uiPriority w:val="0"/>
    <w:pPr>
      <w:keepNext/>
      <w:keepLines/>
      <w:numPr>
        <w:ilvl w:val="6"/>
        <w:numId w:val="1"/>
      </w:numPr>
      <w:spacing w:before="240" w:after="64" w:line="320" w:lineRule="auto"/>
      <w:outlineLvl w:val="6"/>
    </w:pPr>
    <w:rPr>
      <w:b/>
      <w:sz w:val="24"/>
    </w:rPr>
  </w:style>
  <w:style w:type="paragraph" w:styleId="10">
    <w:name w:val="heading 8"/>
    <w:basedOn w:val="1"/>
    <w:next w:val="9"/>
    <w:link w:val="7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9"/>
    <w:link w:val="74"/>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5"/>
    <w:unhideWhenUsed/>
    <w:qFormat/>
    <w:uiPriority w:val="0"/>
    <w:pPr>
      <w:shd w:val="clear" w:color="auto" w:fill="000080"/>
    </w:pPr>
    <w:rPr>
      <w:rFonts w:hint="eastAsia" w:ascii="宋体" w:hAnsi="宋体"/>
      <w:kern w:val="0"/>
      <w:sz w:val="20"/>
      <w:szCs w:val="20"/>
    </w:rPr>
  </w:style>
  <w:style w:type="paragraph" w:styleId="16">
    <w:name w:val="toa heading"/>
    <w:basedOn w:val="1"/>
    <w:next w:val="1"/>
    <w:unhideWhenUsed/>
    <w:qFormat/>
    <w:uiPriority w:val="99"/>
    <w:pPr>
      <w:spacing w:before="120"/>
    </w:pPr>
    <w:rPr>
      <w:rFonts w:ascii="Arial" w:hAnsi="Arial" w:cs="Arial"/>
      <w:sz w:val="24"/>
    </w:rPr>
  </w:style>
  <w:style w:type="paragraph" w:styleId="17">
    <w:name w:val="annotation text"/>
    <w:basedOn w:val="1"/>
    <w:link w:val="76"/>
    <w:unhideWhenUsed/>
    <w:qFormat/>
    <w:uiPriority w:val="0"/>
    <w:pPr>
      <w:jc w:val="left"/>
    </w:pPr>
  </w:style>
  <w:style w:type="paragraph" w:styleId="18">
    <w:name w:val="Body Text 3"/>
    <w:basedOn w:val="1"/>
    <w:link w:val="77"/>
    <w:qFormat/>
    <w:uiPriority w:val="0"/>
    <w:pPr>
      <w:spacing w:line="500" w:lineRule="exact"/>
    </w:pPr>
    <w:rPr>
      <w:b/>
      <w:bCs/>
      <w:kern w:val="0"/>
      <w:sz w:val="24"/>
    </w:rPr>
  </w:style>
  <w:style w:type="paragraph" w:styleId="19">
    <w:name w:val="Body Text"/>
    <w:basedOn w:val="1"/>
    <w:next w:val="20"/>
    <w:link w:val="66"/>
    <w:qFormat/>
    <w:uiPriority w:val="0"/>
    <w:pPr>
      <w:spacing w:line="380" w:lineRule="exact"/>
    </w:pPr>
    <w:rPr>
      <w:kern w:val="0"/>
      <w:sz w:val="24"/>
    </w:rPr>
  </w:style>
  <w:style w:type="paragraph" w:customStyle="1" w:styleId="2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21">
    <w:name w:val="Body Text Indent"/>
    <w:basedOn w:val="1"/>
    <w:link w:val="78"/>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next w:val="1"/>
    <w:link w:val="79"/>
    <w:qFormat/>
    <w:uiPriority w:val="99"/>
    <w:rPr>
      <w:rFonts w:ascii="宋体" w:hAnsi="Courier New"/>
      <w:kern w:val="0"/>
      <w:sz w:val="20"/>
      <w:szCs w:val="21"/>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80"/>
    <w:qFormat/>
    <w:uiPriority w:val="0"/>
    <w:pPr>
      <w:ind w:left="100" w:leftChars="2500"/>
    </w:pPr>
    <w:rPr>
      <w:rFonts w:ascii="宋体" w:hAnsi="Courier New"/>
      <w:kern w:val="0"/>
      <w:sz w:val="20"/>
      <w:szCs w:val="21"/>
    </w:rPr>
  </w:style>
  <w:style w:type="paragraph" w:styleId="29">
    <w:name w:val="Body Text Indent 2"/>
    <w:basedOn w:val="1"/>
    <w:link w:val="81"/>
    <w:qFormat/>
    <w:uiPriority w:val="0"/>
    <w:pPr>
      <w:ind w:firstLine="630"/>
    </w:pPr>
    <w:rPr>
      <w:kern w:val="0"/>
      <w:sz w:val="32"/>
      <w:szCs w:val="20"/>
    </w:rPr>
  </w:style>
  <w:style w:type="paragraph" w:styleId="30">
    <w:name w:val="endnote text"/>
    <w:basedOn w:val="1"/>
    <w:link w:val="82"/>
    <w:unhideWhenUsed/>
    <w:qFormat/>
    <w:uiPriority w:val="99"/>
    <w:pPr>
      <w:snapToGrid w:val="0"/>
      <w:jc w:val="left"/>
    </w:pPr>
  </w:style>
  <w:style w:type="paragraph" w:styleId="31">
    <w:name w:val="Balloon Text"/>
    <w:basedOn w:val="1"/>
    <w:link w:val="83"/>
    <w:semiHidden/>
    <w:qFormat/>
    <w:uiPriority w:val="0"/>
    <w:rPr>
      <w:kern w:val="0"/>
      <w:sz w:val="18"/>
      <w:szCs w:val="18"/>
    </w:rPr>
  </w:style>
  <w:style w:type="paragraph" w:styleId="32">
    <w:name w:val="footer"/>
    <w:basedOn w:val="1"/>
    <w:link w:val="84"/>
    <w:unhideWhenUsed/>
    <w:qFormat/>
    <w:uiPriority w:val="99"/>
    <w:pPr>
      <w:tabs>
        <w:tab w:val="center" w:pos="4153"/>
        <w:tab w:val="right" w:pos="8306"/>
      </w:tabs>
      <w:snapToGrid w:val="0"/>
      <w:jc w:val="left"/>
    </w:pPr>
    <w:rPr>
      <w:kern w:val="0"/>
      <w:sz w:val="18"/>
      <w:szCs w:val="18"/>
    </w:rPr>
  </w:style>
  <w:style w:type="paragraph" w:styleId="33">
    <w:name w:val="envelope return"/>
    <w:basedOn w:val="1"/>
    <w:qFormat/>
    <w:uiPriority w:val="0"/>
    <w:pPr>
      <w:widowControl/>
      <w:adjustRightInd w:val="0"/>
      <w:snapToGrid w:val="0"/>
      <w:spacing w:after="200"/>
    </w:pPr>
    <w:rPr>
      <w:rFonts w:ascii="Arial" w:hAnsi="Arial" w:eastAsia="微软雅黑"/>
    </w:rPr>
  </w:style>
  <w:style w:type="paragraph" w:styleId="34">
    <w:name w:val="header"/>
    <w:basedOn w:val="1"/>
    <w:link w:val="85"/>
    <w:unhideWhenUsed/>
    <w:qFormat/>
    <w:uiPriority w:val="99"/>
    <w:pPr>
      <w:pBdr>
        <w:bottom w:val="single" w:color="auto" w:sz="6" w:space="1"/>
      </w:pBdr>
      <w:tabs>
        <w:tab w:val="center" w:pos="0"/>
        <w:tab w:val="left" w:pos="8306"/>
      </w:tabs>
      <w:snapToGrid w:val="0"/>
      <w:jc w:val="center"/>
    </w:pPr>
    <w:rPr>
      <w:sz w:val="18"/>
      <w:szCs w:val="18"/>
    </w:rPr>
  </w:style>
  <w:style w:type="paragraph" w:styleId="35">
    <w:name w:val="toc 1"/>
    <w:basedOn w:val="1"/>
    <w:next w:val="1"/>
    <w:qFormat/>
    <w:uiPriority w:val="39"/>
    <w:pPr>
      <w:tabs>
        <w:tab w:val="right" w:leader="dot" w:pos="8398"/>
      </w:tabs>
      <w:spacing w:before="120" w:after="120" w:line="360" w:lineRule="auto"/>
      <w:ind w:firstLine="100" w:firstLineChars="100"/>
      <w:jc w:val="left"/>
    </w:pPr>
    <w:rPr>
      <w:rFonts w:ascii="宋体" w:hAnsi="宋体"/>
      <w:b/>
      <w:bCs/>
      <w:caps/>
      <w:sz w:val="30"/>
    </w:rPr>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footnote text"/>
    <w:basedOn w:val="1"/>
    <w:link w:val="86"/>
    <w:unhideWhenUsed/>
    <w:qFormat/>
    <w:uiPriority w:val="99"/>
    <w:pPr>
      <w:snapToGrid w:val="0"/>
      <w:jc w:val="left"/>
    </w:pPr>
    <w:rPr>
      <w:sz w:val="18"/>
      <w:szCs w:val="18"/>
    </w:rPr>
  </w:style>
  <w:style w:type="paragraph" w:styleId="39">
    <w:name w:val="toc 6"/>
    <w:basedOn w:val="1"/>
    <w:next w:val="1"/>
    <w:unhideWhenUsed/>
    <w:qFormat/>
    <w:uiPriority w:val="39"/>
    <w:pPr>
      <w:ind w:left="2100" w:leftChars="1000"/>
    </w:pPr>
    <w:rPr>
      <w:rFonts w:ascii="Calibri" w:hAnsi="Calibri"/>
      <w:szCs w:val="22"/>
    </w:rPr>
  </w:style>
  <w:style w:type="paragraph" w:styleId="40">
    <w:name w:val="Body Text Indent 3"/>
    <w:basedOn w:val="1"/>
    <w:link w:val="87"/>
    <w:qFormat/>
    <w:uiPriority w:val="0"/>
    <w:pPr>
      <w:spacing w:after="120"/>
      <w:ind w:left="420" w:leftChars="200"/>
    </w:pPr>
    <w:rPr>
      <w:kern w:val="0"/>
      <w:sz w:val="16"/>
      <w:szCs w:val="16"/>
    </w:r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88"/>
    <w:qFormat/>
    <w:uiPriority w:val="0"/>
    <w:pPr>
      <w:spacing w:after="120" w:line="480" w:lineRule="auto"/>
    </w:pPr>
    <w:rPr>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index 1"/>
    <w:basedOn w:val="1"/>
    <w:next w:val="1"/>
    <w:semiHidden/>
    <w:qFormat/>
    <w:uiPriority w:val="0"/>
    <w:pPr>
      <w:spacing w:line="400" w:lineRule="exact"/>
      <w:ind w:firstLine="420" w:firstLineChars="200"/>
    </w:pPr>
    <w:rPr>
      <w:rFonts w:ascii="宋体" w:hAnsi="Courier New"/>
      <w:b/>
      <w:szCs w:val="20"/>
    </w:rPr>
  </w:style>
  <w:style w:type="paragraph" w:styleId="46">
    <w:name w:val="Title"/>
    <w:basedOn w:val="1"/>
    <w:next w:val="1"/>
    <w:link w:val="89"/>
    <w:qFormat/>
    <w:uiPriority w:val="10"/>
    <w:pPr>
      <w:spacing w:before="240" w:after="60"/>
      <w:jc w:val="center"/>
      <w:outlineLvl w:val="0"/>
    </w:pPr>
    <w:rPr>
      <w:rFonts w:ascii="Cambria" w:hAnsi="Cambria"/>
      <w:b/>
      <w:bCs/>
      <w:sz w:val="32"/>
      <w:szCs w:val="32"/>
    </w:rPr>
  </w:style>
  <w:style w:type="paragraph" w:styleId="47">
    <w:name w:val="annotation subject"/>
    <w:basedOn w:val="17"/>
    <w:next w:val="17"/>
    <w:link w:val="90"/>
    <w:unhideWhenUsed/>
    <w:qFormat/>
    <w:uiPriority w:val="99"/>
    <w:rPr>
      <w:b/>
      <w:bCs/>
    </w:rPr>
  </w:style>
  <w:style w:type="paragraph" w:styleId="48">
    <w:name w:val="Body Text First Indent 2"/>
    <w:basedOn w:val="21"/>
    <w:next w:val="1"/>
    <w:unhideWhenUsed/>
    <w:qFormat/>
    <w:uiPriority w:val="99"/>
    <w:pPr>
      <w:spacing w:after="120"/>
      <w:ind w:left="420" w:leftChars="200" w:firstLine="420" w:firstLineChars="200"/>
    </w:pPr>
    <w:rPr>
      <w:rFonts w:ascii="Times New Roman" w:eastAsia="宋体"/>
      <w:kern w:val="2"/>
      <w:sz w:val="21"/>
      <w:szCs w:val="24"/>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22"/>
    <w:rPr>
      <w:b/>
      <w:bCs/>
    </w:rPr>
  </w:style>
  <w:style w:type="character" w:styleId="53">
    <w:name w:val="endnote reference"/>
    <w:unhideWhenUsed/>
    <w:qFormat/>
    <w:uiPriority w:val="99"/>
    <w:rPr>
      <w:vertAlign w:val="superscript"/>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20"/>
    <w:rPr>
      <w:i/>
    </w:rPr>
  </w:style>
  <w:style w:type="character" w:styleId="57">
    <w:name w:val="HTML Definition"/>
    <w:basedOn w:val="51"/>
    <w:semiHidden/>
    <w:unhideWhenUsed/>
    <w:qFormat/>
    <w:uiPriority w:val="99"/>
    <w:rPr>
      <w:i/>
      <w:iCs/>
    </w:rPr>
  </w:style>
  <w:style w:type="character" w:styleId="58">
    <w:name w:val="Hyperlink"/>
    <w:qFormat/>
    <w:uiPriority w:val="99"/>
    <w:rPr>
      <w:color w:val="0000FF"/>
      <w:u w:val="single"/>
    </w:rPr>
  </w:style>
  <w:style w:type="character" w:styleId="59">
    <w:name w:val="HTML Code"/>
    <w:basedOn w:val="51"/>
    <w:semiHidden/>
    <w:unhideWhenUsed/>
    <w:qFormat/>
    <w:uiPriority w:val="99"/>
    <w:rPr>
      <w:rFonts w:hint="default" w:ascii="Consolas" w:hAnsi="Consolas" w:eastAsia="Consolas" w:cs="Consolas"/>
      <w:sz w:val="21"/>
      <w:szCs w:val="21"/>
    </w:rPr>
  </w:style>
  <w:style w:type="character" w:styleId="60">
    <w:name w:val="annotation reference"/>
    <w:unhideWhenUsed/>
    <w:qFormat/>
    <w:uiPriority w:val="0"/>
    <w:rPr>
      <w:sz w:val="21"/>
      <w:szCs w:val="21"/>
    </w:rPr>
  </w:style>
  <w:style w:type="character" w:styleId="61">
    <w:name w:val="footnote reference"/>
    <w:unhideWhenUsed/>
    <w:qFormat/>
    <w:uiPriority w:val="99"/>
    <w:rPr>
      <w:vertAlign w:val="superscript"/>
    </w:rPr>
  </w:style>
  <w:style w:type="character" w:styleId="62">
    <w:name w:val="HTML Keyboard"/>
    <w:basedOn w:val="51"/>
    <w:semiHidden/>
    <w:unhideWhenUsed/>
    <w:qFormat/>
    <w:uiPriority w:val="99"/>
    <w:rPr>
      <w:rFonts w:hint="default" w:ascii="Consolas" w:hAnsi="Consolas" w:eastAsia="Consolas" w:cs="Consolas"/>
      <w:sz w:val="21"/>
      <w:szCs w:val="21"/>
    </w:rPr>
  </w:style>
  <w:style w:type="character" w:styleId="63">
    <w:name w:val="HTML Sample"/>
    <w:basedOn w:val="51"/>
    <w:semiHidden/>
    <w:unhideWhenUsed/>
    <w:qFormat/>
    <w:uiPriority w:val="99"/>
    <w:rPr>
      <w:rFonts w:ascii="Consolas" w:hAnsi="Consolas" w:eastAsia="Consolas" w:cs="Consolas"/>
      <w:sz w:val="21"/>
      <w:szCs w:val="21"/>
    </w:rPr>
  </w:style>
  <w:style w:type="paragraph" w:customStyle="1" w:styleId="64">
    <w:name w:val="01 正文-首行缩进2字符"/>
    <w:basedOn w:val="1"/>
    <w:qFormat/>
    <w:uiPriority w:val="0"/>
    <w:pPr>
      <w:widowControl/>
      <w:spacing w:beforeLines="50" w:afterLines="50"/>
      <w:ind w:firstLine="964" w:firstLineChars="200"/>
    </w:pPr>
    <w:rPr>
      <w:rFonts w:ascii="Arial" w:hAnsi="Arial"/>
      <w:color w:val="000000"/>
      <w:sz w:val="28"/>
      <w:szCs w:val="22"/>
    </w:rPr>
  </w:style>
  <w:style w:type="paragraph" w:customStyle="1" w:styleId="65">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66">
    <w:name w:val="正文文本 Char"/>
    <w:link w:val="19"/>
    <w:qFormat/>
    <w:uiPriority w:val="0"/>
    <w:rPr>
      <w:rFonts w:ascii="Times New Roman" w:hAnsi="Times New Roman" w:eastAsia="宋体" w:cs="Times New Roman"/>
      <w:sz w:val="24"/>
      <w:szCs w:val="24"/>
    </w:rPr>
  </w:style>
  <w:style w:type="character" w:customStyle="1" w:styleId="67">
    <w:name w:val="标题 1 Char"/>
    <w:link w:val="2"/>
    <w:qFormat/>
    <w:uiPriority w:val="0"/>
    <w:rPr>
      <w:b/>
      <w:bCs/>
      <w:kern w:val="44"/>
      <w:sz w:val="36"/>
      <w:szCs w:val="44"/>
    </w:rPr>
  </w:style>
  <w:style w:type="character" w:customStyle="1" w:styleId="68">
    <w:name w:val="标题 2 Char"/>
    <w:link w:val="3"/>
    <w:qFormat/>
    <w:uiPriority w:val="0"/>
    <w:rPr>
      <w:rFonts w:ascii="Arial" w:hAnsi="Arial" w:eastAsia="黑体" w:cs="Times New Roman"/>
      <w:b/>
      <w:bCs/>
      <w:sz w:val="32"/>
      <w:szCs w:val="32"/>
    </w:rPr>
  </w:style>
  <w:style w:type="character" w:customStyle="1" w:styleId="69">
    <w:name w:val="标题 3 Char"/>
    <w:link w:val="4"/>
    <w:qFormat/>
    <w:uiPriority w:val="0"/>
    <w:rPr>
      <w:rFonts w:ascii="Times New Roman" w:hAnsi="Times New Roman" w:eastAsia="宋体" w:cs="Times New Roman"/>
      <w:b/>
      <w:bCs/>
      <w:sz w:val="32"/>
      <w:szCs w:val="32"/>
    </w:rPr>
  </w:style>
  <w:style w:type="character" w:customStyle="1" w:styleId="70">
    <w:name w:val="标题 5 Char1"/>
    <w:link w:val="6"/>
    <w:qFormat/>
    <w:uiPriority w:val="0"/>
    <w:rPr>
      <w:b/>
      <w:kern w:val="2"/>
      <w:sz w:val="28"/>
      <w:szCs w:val="24"/>
    </w:rPr>
  </w:style>
  <w:style w:type="character" w:customStyle="1" w:styleId="71">
    <w:name w:val="标题 6 Char"/>
    <w:link w:val="7"/>
    <w:qFormat/>
    <w:uiPriority w:val="0"/>
    <w:rPr>
      <w:rFonts w:ascii="Arial" w:hAnsi="Arial" w:eastAsia="黑体"/>
      <w:b/>
      <w:kern w:val="2"/>
      <w:sz w:val="24"/>
      <w:szCs w:val="24"/>
    </w:rPr>
  </w:style>
  <w:style w:type="character" w:customStyle="1" w:styleId="72">
    <w:name w:val="标题 7 Char"/>
    <w:link w:val="8"/>
    <w:qFormat/>
    <w:uiPriority w:val="0"/>
    <w:rPr>
      <w:rFonts w:ascii="Times New Roman" w:hAnsi="Times New Roman"/>
      <w:b/>
      <w:kern w:val="2"/>
      <w:sz w:val="24"/>
      <w:szCs w:val="24"/>
    </w:rPr>
  </w:style>
  <w:style w:type="character" w:customStyle="1" w:styleId="73">
    <w:name w:val="标题 8 Char"/>
    <w:link w:val="10"/>
    <w:qFormat/>
    <w:uiPriority w:val="9"/>
    <w:rPr>
      <w:rFonts w:ascii="Arial" w:hAnsi="Arial" w:eastAsia="黑体"/>
      <w:kern w:val="2"/>
      <w:sz w:val="24"/>
      <w:szCs w:val="24"/>
    </w:rPr>
  </w:style>
  <w:style w:type="character" w:customStyle="1" w:styleId="74">
    <w:name w:val="标题 9 Char"/>
    <w:link w:val="11"/>
    <w:qFormat/>
    <w:uiPriority w:val="0"/>
    <w:rPr>
      <w:rFonts w:ascii="Arial" w:hAnsi="Arial" w:eastAsia="黑体"/>
      <w:kern w:val="2"/>
      <w:sz w:val="21"/>
      <w:szCs w:val="24"/>
    </w:rPr>
  </w:style>
  <w:style w:type="character" w:customStyle="1" w:styleId="75">
    <w:name w:val="文档结构图 Char"/>
    <w:link w:val="15"/>
    <w:qFormat/>
    <w:uiPriority w:val="0"/>
    <w:rPr>
      <w:rFonts w:hint="eastAsia" w:ascii="宋体" w:hAnsi="宋体" w:eastAsia="宋体" w:cs="宋体"/>
    </w:rPr>
  </w:style>
  <w:style w:type="character" w:customStyle="1" w:styleId="76">
    <w:name w:val="批注文字 Char2"/>
    <w:link w:val="17"/>
    <w:qFormat/>
    <w:uiPriority w:val="0"/>
    <w:rPr>
      <w:rFonts w:ascii="Times New Roman" w:hAnsi="Times New Roman"/>
      <w:kern w:val="2"/>
      <w:sz w:val="21"/>
      <w:szCs w:val="24"/>
    </w:rPr>
  </w:style>
  <w:style w:type="character" w:customStyle="1" w:styleId="77">
    <w:name w:val="正文文本 3 Char"/>
    <w:link w:val="18"/>
    <w:qFormat/>
    <w:uiPriority w:val="0"/>
    <w:rPr>
      <w:rFonts w:ascii="Times New Roman" w:hAnsi="Times New Roman" w:eastAsia="宋体" w:cs="Times New Roman"/>
      <w:b/>
      <w:bCs/>
      <w:sz w:val="24"/>
      <w:szCs w:val="24"/>
    </w:rPr>
  </w:style>
  <w:style w:type="character" w:customStyle="1" w:styleId="78">
    <w:name w:val="正文文本缩进 Char"/>
    <w:link w:val="21"/>
    <w:qFormat/>
    <w:uiPriority w:val="0"/>
    <w:rPr>
      <w:rFonts w:ascii="仿宋_GB2312" w:hAnsi="Times New Roman" w:eastAsia="仿宋_GB2312" w:cs="Times New Roman"/>
      <w:sz w:val="32"/>
      <w:szCs w:val="20"/>
    </w:rPr>
  </w:style>
  <w:style w:type="character" w:customStyle="1" w:styleId="79">
    <w:name w:val="纯文本 Char1"/>
    <w:link w:val="26"/>
    <w:qFormat/>
    <w:uiPriority w:val="99"/>
    <w:rPr>
      <w:rFonts w:ascii="宋体" w:hAnsi="Courier New" w:eastAsia="宋体" w:cs="Courier New"/>
      <w:szCs w:val="21"/>
    </w:rPr>
  </w:style>
  <w:style w:type="character" w:customStyle="1" w:styleId="80">
    <w:name w:val="日期 Char"/>
    <w:link w:val="28"/>
    <w:qFormat/>
    <w:uiPriority w:val="0"/>
    <w:rPr>
      <w:rFonts w:ascii="宋体" w:hAnsi="Courier New" w:eastAsia="宋体" w:cs="Courier New"/>
      <w:szCs w:val="21"/>
    </w:rPr>
  </w:style>
  <w:style w:type="character" w:customStyle="1" w:styleId="81">
    <w:name w:val="正文文本缩进 2 Char"/>
    <w:link w:val="29"/>
    <w:qFormat/>
    <w:uiPriority w:val="0"/>
    <w:rPr>
      <w:rFonts w:ascii="Times New Roman" w:hAnsi="Times New Roman" w:eastAsia="宋体" w:cs="Times New Roman"/>
      <w:sz w:val="32"/>
      <w:szCs w:val="20"/>
    </w:rPr>
  </w:style>
  <w:style w:type="character" w:customStyle="1" w:styleId="82">
    <w:name w:val="尾注文本 Char"/>
    <w:link w:val="30"/>
    <w:qFormat/>
    <w:uiPriority w:val="99"/>
    <w:rPr>
      <w:rFonts w:ascii="Times New Roman" w:hAnsi="Times New Roman"/>
      <w:kern w:val="2"/>
      <w:sz w:val="21"/>
      <w:szCs w:val="24"/>
    </w:rPr>
  </w:style>
  <w:style w:type="character" w:customStyle="1" w:styleId="83">
    <w:name w:val="批注框文本 Char"/>
    <w:link w:val="31"/>
    <w:semiHidden/>
    <w:qFormat/>
    <w:uiPriority w:val="0"/>
    <w:rPr>
      <w:rFonts w:ascii="Times New Roman" w:hAnsi="Times New Roman" w:eastAsia="宋体" w:cs="Times New Roman"/>
      <w:sz w:val="18"/>
      <w:szCs w:val="18"/>
    </w:rPr>
  </w:style>
  <w:style w:type="character" w:customStyle="1" w:styleId="84">
    <w:name w:val="页脚 Char"/>
    <w:link w:val="32"/>
    <w:qFormat/>
    <w:uiPriority w:val="99"/>
    <w:rPr>
      <w:sz w:val="18"/>
      <w:szCs w:val="18"/>
    </w:rPr>
  </w:style>
  <w:style w:type="character" w:customStyle="1" w:styleId="85">
    <w:name w:val="页眉 Char"/>
    <w:link w:val="34"/>
    <w:qFormat/>
    <w:uiPriority w:val="99"/>
    <w:rPr>
      <w:rFonts w:ascii="Times New Roman" w:hAnsi="Times New Roman"/>
      <w:kern w:val="2"/>
      <w:sz w:val="18"/>
      <w:szCs w:val="18"/>
    </w:rPr>
  </w:style>
  <w:style w:type="character" w:customStyle="1" w:styleId="86">
    <w:name w:val="脚注文本 Char"/>
    <w:link w:val="38"/>
    <w:qFormat/>
    <w:uiPriority w:val="99"/>
    <w:rPr>
      <w:rFonts w:ascii="Times New Roman" w:hAnsi="Times New Roman"/>
      <w:kern w:val="2"/>
      <w:sz w:val="18"/>
      <w:szCs w:val="18"/>
    </w:rPr>
  </w:style>
  <w:style w:type="character" w:customStyle="1" w:styleId="87">
    <w:name w:val="正文文本缩进 3 Char"/>
    <w:link w:val="40"/>
    <w:qFormat/>
    <w:uiPriority w:val="0"/>
    <w:rPr>
      <w:rFonts w:ascii="Times New Roman" w:hAnsi="Times New Roman" w:eastAsia="宋体" w:cs="Times New Roman"/>
      <w:sz w:val="16"/>
      <w:szCs w:val="16"/>
    </w:rPr>
  </w:style>
  <w:style w:type="character" w:customStyle="1" w:styleId="88">
    <w:name w:val="正文文本 2 Char"/>
    <w:link w:val="43"/>
    <w:qFormat/>
    <w:uiPriority w:val="0"/>
    <w:rPr>
      <w:rFonts w:ascii="Times New Roman" w:hAnsi="Times New Roman" w:eastAsia="宋体" w:cs="Times New Roman"/>
      <w:szCs w:val="24"/>
    </w:rPr>
  </w:style>
  <w:style w:type="character" w:customStyle="1" w:styleId="89">
    <w:name w:val="标题 Char"/>
    <w:link w:val="46"/>
    <w:qFormat/>
    <w:uiPriority w:val="10"/>
    <w:rPr>
      <w:rFonts w:ascii="Cambria" w:hAnsi="Cambria" w:cs="Times New Roman"/>
      <w:b/>
      <w:bCs/>
      <w:kern w:val="2"/>
      <w:sz w:val="32"/>
      <w:szCs w:val="32"/>
    </w:rPr>
  </w:style>
  <w:style w:type="character" w:customStyle="1" w:styleId="90">
    <w:name w:val="批注主题 Char"/>
    <w:link w:val="47"/>
    <w:qFormat/>
    <w:uiPriority w:val="99"/>
    <w:rPr>
      <w:rFonts w:ascii="Times New Roman" w:hAnsi="Times New Roman"/>
      <w:b/>
      <w:bCs/>
      <w:kern w:val="2"/>
      <w:sz w:val="21"/>
      <w:szCs w:val="24"/>
    </w:rPr>
  </w:style>
  <w:style w:type="paragraph" w:customStyle="1" w:styleId="9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92">
    <w:name w:val="批注文字 Char1"/>
    <w:semiHidden/>
    <w:qFormat/>
    <w:locked/>
    <w:uiPriority w:val="0"/>
    <w:rPr>
      <w:rFonts w:ascii="Times New Roman" w:hAnsi="Times New Roman"/>
      <w:kern w:val="2"/>
      <w:sz w:val="21"/>
      <w:szCs w:val="24"/>
    </w:rPr>
  </w:style>
  <w:style w:type="character" w:customStyle="1" w:styleId="93">
    <w:name w:val="case31"/>
    <w:qFormat/>
    <w:uiPriority w:val="0"/>
    <w:rPr>
      <w:rFonts w:hint="default" w:ascii="_x000B__x000C_" w:hAnsi="_x000B__x000C_"/>
      <w:sz w:val="21"/>
      <w:szCs w:val="21"/>
    </w:rPr>
  </w:style>
  <w:style w:type="character" w:customStyle="1" w:styleId="94">
    <w:name w:val="批注文字 Char"/>
    <w:qFormat/>
    <w:uiPriority w:val="0"/>
    <w:rPr>
      <w:rFonts w:ascii="Times New Roman" w:hAnsi="Times New Roman"/>
      <w:kern w:val="2"/>
      <w:sz w:val="21"/>
      <w:szCs w:val="24"/>
    </w:rPr>
  </w:style>
  <w:style w:type="character" w:customStyle="1" w:styleId="95">
    <w:name w:val="纯文本 Char"/>
    <w:qFormat/>
    <w:uiPriority w:val="0"/>
    <w:rPr>
      <w:rFonts w:ascii="宋体" w:hAnsi="Courier New" w:eastAsia="宋体"/>
      <w:kern w:val="2"/>
      <w:sz w:val="21"/>
      <w:lang w:val="en-US" w:eastAsia="zh-CN" w:bidi="ar-SA"/>
    </w:rPr>
  </w:style>
  <w:style w:type="character" w:customStyle="1" w:styleId="96">
    <w:name w:val="纯文本 字符1"/>
    <w:qFormat/>
    <w:uiPriority w:val="0"/>
    <w:rPr>
      <w:rFonts w:ascii="宋体" w:hAnsi="Courier New"/>
    </w:rPr>
  </w:style>
  <w:style w:type="character" w:customStyle="1" w:styleId="97">
    <w:name w:val="批注文字 字符1"/>
    <w:qFormat/>
    <w:uiPriority w:val="0"/>
    <w:rPr>
      <w:rFonts w:ascii="Times New Roman" w:hAnsi="Times New Roman"/>
      <w:kern w:val="2"/>
      <w:sz w:val="21"/>
      <w:szCs w:val="24"/>
    </w:rPr>
  </w:style>
  <w:style w:type="character" w:customStyle="1" w:styleId="98">
    <w:name w:val="正文文本 Char1"/>
    <w:semiHidden/>
    <w:qFormat/>
    <w:locked/>
    <w:uiPriority w:val="99"/>
    <w:rPr>
      <w:sz w:val="24"/>
      <w:szCs w:val="24"/>
    </w:rPr>
  </w:style>
  <w:style w:type="character" w:customStyle="1" w:styleId="99">
    <w:name w:val="apple-style-span"/>
    <w:qFormat/>
    <w:uiPriority w:val="0"/>
  </w:style>
  <w:style w:type="character" w:customStyle="1" w:styleId="100">
    <w:name w:val="textcontents"/>
    <w:qFormat/>
    <w:uiPriority w:val="0"/>
  </w:style>
  <w:style w:type="character" w:customStyle="1" w:styleId="101">
    <w:name w:val="普通文字 Char Char2"/>
    <w:qFormat/>
    <w:uiPriority w:val="0"/>
    <w:rPr>
      <w:rFonts w:ascii="宋体" w:hAnsi="Courier New" w:eastAsia="宋体"/>
      <w:kern w:val="2"/>
      <w:sz w:val="21"/>
      <w:lang w:val="en-US" w:eastAsia="zh-CN" w:bidi="ar-SA"/>
    </w:rPr>
  </w:style>
  <w:style w:type="character" w:customStyle="1" w:styleId="102">
    <w:name w:val="标题 5 Char"/>
    <w:qFormat/>
    <w:uiPriority w:val="0"/>
    <w:rPr>
      <w:b/>
      <w:kern w:val="2"/>
      <w:sz w:val="28"/>
      <w:szCs w:val="24"/>
    </w:rPr>
  </w:style>
  <w:style w:type="character" w:customStyle="1" w:styleId="103">
    <w:name w:val="批注文字 字符"/>
    <w:qFormat/>
    <w:uiPriority w:val="0"/>
    <w:rPr>
      <w:rFonts w:ascii="Times New Roman" w:hAnsi="Times New Roman"/>
      <w:kern w:val="2"/>
      <w:sz w:val="21"/>
      <w:szCs w:val="24"/>
    </w:rPr>
  </w:style>
  <w:style w:type="character" w:customStyle="1" w:styleId="104">
    <w:name w:val="标题 1 字符"/>
    <w:qFormat/>
    <w:uiPriority w:val="9"/>
    <w:rPr>
      <w:rFonts w:ascii="Times New Roman" w:hAnsi="Times New Roman" w:eastAsia="宋体" w:cs="Times New Roman"/>
      <w:b/>
      <w:bCs/>
      <w:kern w:val="44"/>
      <w:sz w:val="44"/>
      <w:szCs w:val="44"/>
    </w:rPr>
  </w:style>
  <w:style w:type="character" w:customStyle="1" w:styleId="105">
    <w:name w:val="纯文本 字符"/>
    <w:qFormat/>
    <w:uiPriority w:val="0"/>
    <w:rPr>
      <w:rFonts w:ascii="宋体" w:hAnsi="Courier New" w:eastAsia="宋体" w:cs="Courier New"/>
      <w:szCs w:val="21"/>
    </w:rPr>
  </w:style>
  <w:style w:type="character" w:customStyle="1" w:styleId="106">
    <w:name w:val="headline-content4"/>
    <w:qFormat/>
    <w:uiPriority w:val="0"/>
  </w:style>
  <w:style w:type="character" w:customStyle="1" w:styleId="10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8">
    <w:name w:val="正文文本缩进 字符"/>
    <w:qFormat/>
    <w:uiPriority w:val="0"/>
    <w:rPr>
      <w:rFonts w:ascii="仿宋_GB2312" w:hAnsi="Times New Roman" w:eastAsia="仿宋_GB2312" w:cs="Times New Roman"/>
      <w:sz w:val="32"/>
      <w:szCs w:val="20"/>
    </w:rPr>
  </w:style>
  <w:style w:type="paragraph" w:customStyle="1" w:styleId="109">
    <w:name w:val="Char1"/>
    <w:basedOn w:val="1"/>
    <w:qFormat/>
    <w:uiPriority w:val="0"/>
    <w:rPr>
      <w:szCs w:val="21"/>
    </w:rPr>
  </w:style>
  <w:style w:type="paragraph" w:customStyle="1" w:styleId="110">
    <w:name w:val="列出段落1"/>
    <w:basedOn w:val="1"/>
    <w:qFormat/>
    <w:uiPriority w:val="34"/>
    <w:pPr>
      <w:ind w:firstLine="420" w:firstLineChars="200"/>
    </w:p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4">
    <w:name w:val="纯文本1"/>
    <w:basedOn w:val="1"/>
    <w:qFormat/>
    <w:uiPriority w:val="0"/>
    <w:rPr>
      <w:rFonts w:ascii="宋体" w:hAnsi="Courier New" w:cs="Century"/>
      <w:szCs w:val="21"/>
    </w:rPr>
  </w:style>
  <w:style w:type="paragraph" w:customStyle="1" w:styleId="115">
    <w:name w:val="Table Paragraph"/>
    <w:basedOn w:val="1"/>
    <w:qFormat/>
    <w:uiPriority w:val="1"/>
    <w:pPr>
      <w:jc w:val="left"/>
    </w:pPr>
    <w:rPr>
      <w:rFonts w:ascii="Calibri" w:hAnsi="Calibri"/>
      <w:kern w:val="0"/>
      <w:sz w:val="22"/>
      <w:szCs w:val="22"/>
      <w:lang w:eastAsia="en-US"/>
    </w:rPr>
  </w:style>
  <w:style w:type="paragraph" w:customStyle="1" w:styleId="11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7">
    <w:name w:val="表格"/>
    <w:basedOn w:val="1"/>
    <w:qFormat/>
    <w:uiPriority w:val="0"/>
    <w:pPr>
      <w:spacing w:line="400" w:lineRule="exact"/>
    </w:pPr>
    <w:rPr>
      <w:sz w:val="24"/>
    </w:rPr>
  </w:style>
  <w:style w:type="paragraph" w:customStyle="1" w:styleId="118">
    <w:name w:val="样式 首行缩进:  2 字符"/>
    <w:basedOn w:val="1"/>
    <w:qFormat/>
    <w:uiPriority w:val="0"/>
    <w:pPr>
      <w:spacing w:line="400" w:lineRule="exact"/>
      <w:ind w:firstLine="200" w:firstLineChars="200"/>
    </w:pPr>
    <w:rPr>
      <w:rFonts w:cs="宋体"/>
      <w:sz w:val="24"/>
    </w:rPr>
  </w:style>
  <w:style w:type="paragraph" w:customStyle="1" w:styleId="11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1">
    <w:name w:val="正文首行缩进两字符"/>
    <w:basedOn w:val="1"/>
    <w:qFormat/>
    <w:uiPriority w:val="0"/>
    <w:pPr>
      <w:spacing w:line="360" w:lineRule="auto"/>
      <w:ind w:firstLine="200" w:firstLineChars="200"/>
    </w:pPr>
  </w:style>
  <w:style w:type="paragraph" w:customStyle="1" w:styleId="122">
    <w:name w:val="正文段"/>
    <w:basedOn w:val="1"/>
    <w:qFormat/>
    <w:uiPriority w:val="0"/>
    <w:pPr>
      <w:widowControl/>
      <w:snapToGrid w:val="0"/>
      <w:spacing w:afterLines="50"/>
      <w:ind w:firstLine="200" w:firstLineChars="200"/>
    </w:pPr>
    <w:rPr>
      <w:kern w:val="0"/>
      <w:sz w:val="24"/>
      <w:szCs w:val="20"/>
    </w:rPr>
  </w:style>
  <w:style w:type="table" w:customStyle="1" w:styleId="123">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4">
    <w:name w:val="页脚 字符"/>
    <w:qFormat/>
    <w:uiPriority w:val="99"/>
  </w:style>
  <w:style w:type="character" w:customStyle="1" w:styleId="125">
    <w:name w:val="正文2 Char Char"/>
    <w:link w:val="126"/>
    <w:qFormat/>
    <w:uiPriority w:val="0"/>
    <w:rPr>
      <w:kern w:val="2"/>
      <w:sz w:val="24"/>
    </w:rPr>
  </w:style>
  <w:style w:type="paragraph" w:customStyle="1" w:styleId="126">
    <w:name w:val="正文2"/>
    <w:basedOn w:val="1"/>
    <w:link w:val="125"/>
    <w:qFormat/>
    <w:uiPriority w:val="0"/>
    <w:pPr>
      <w:adjustRightInd w:val="0"/>
      <w:spacing w:before="156" w:line="360" w:lineRule="auto"/>
      <w:ind w:firstLine="510" w:firstLineChars="200"/>
    </w:pPr>
    <w:rPr>
      <w:sz w:val="24"/>
      <w:szCs w:val="20"/>
    </w:rPr>
  </w:style>
  <w:style w:type="paragraph" w:customStyle="1" w:styleId="127">
    <w:name w:val="_Style 114"/>
    <w:unhideWhenUsed/>
    <w:qFormat/>
    <w:uiPriority w:val="99"/>
    <w:rPr>
      <w:rFonts w:ascii="Times New Roman" w:hAnsi="Times New Roman" w:eastAsia="宋体" w:cs="Times New Roman"/>
      <w:kern w:val="2"/>
      <w:sz w:val="21"/>
      <w:szCs w:val="24"/>
      <w:lang w:val="en-US" w:eastAsia="zh-CN" w:bidi="ar-SA"/>
    </w:rPr>
  </w:style>
  <w:style w:type="paragraph" w:customStyle="1" w:styleId="128">
    <w:name w:val="正文 A"/>
    <w:qFormat/>
    <w:uiPriority w:val="0"/>
    <w:pPr>
      <w:framePr w:wrap="around" w:vAnchor="margin" w:hAnchor="text" w:y="1"/>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29">
    <w:name w:val="列表段落2"/>
    <w:qFormat/>
    <w:uiPriority w:val="34"/>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130">
    <w:name w:val="修订1"/>
    <w:hidden/>
    <w:semiHidden/>
    <w:qFormat/>
    <w:uiPriority w:val="99"/>
    <w:rPr>
      <w:rFonts w:ascii="Times New Roman" w:hAnsi="Times New Roman" w:eastAsia="宋体" w:cs="Times New Roman"/>
      <w:kern w:val="2"/>
      <w:sz w:val="21"/>
      <w:szCs w:val="24"/>
      <w:lang w:val="en-US" w:eastAsia="zh-CN" w:bidi="ar-SA"/>
    </w:rPr>
  </w:style>
  <w:style w:type="paragraph" w:styleId="131">
    <w:name w:val="List Paragraph"/>
    <w:basedOn w:val="1"/>
    <w:link w:val="133"/>
    <w:qFormat/>
    <w:uiPriority w:val="99"/>
    <w:pPr>
      <w:spacing w:line="360" w:lineRule="auto"/>
      <w:ind w:firstLine="420" w:firstLineChars="200"/>
      <w:jc w:val="left"/>
    </w:pPr>
  </w:style>
  <w:style w:type="character" w:customStyle="1" w:styleId="132">
    <w:name w:val="批注文字 字符2"/>
    <w:qFormat/>
    <w:uiPriority w:val="0"/>
    <w:rPr>
      <w:rFonts w:ascii="Times New Roman" w:hAnsi="Times New Roman" w:eastAsia="宋体" w:cs="Times New Roman"/>
      <w:szCs w:val="24"/>
    </w:rPr>
  </w:style>
  <w:style w:type="character" w:customStyle="1" w:styleId="133">
    <w:name w:val="列出段落 Char"/>
    <w:link w:val="131"/>
    <w:qFormat/>
    <w:locked/>
    <w:uiPriority w:val="99"/>
    <w:rPr>
      <w:kern w:val="2"/>
      <w:sz w:val="21"/>
      <w:szCs w:val="24"/>
    </w:rPr>
  </w:style>
  <w:style w:type="paragraph" w:customStyle="1" w:styleId="134">
    <w:name w:val="样式1"/>
    <w:basedOn w:val="1"/>
    <w:qFormat/>
    <w:uiPriority w:val="0"/>
    <w:pPr>
      <w:spacing w:line="360" w:lineRule="auto"/>
    </w:pPr>
    <w:rPr>
      <w:rFonts w:ascii="宋体"/>
      <w:sz w:val="24"/>
    </w:rPr>
  </w:style>
  <w:style w:type="paragraph" w:styleId="135">
    <w:name w:val="No Spacing"/>
    <w:qFormat/>
    <w:uiPriority w:val="1"/>
    <w:pPr>
      <w:widowControl w:val="0"/>
      <w:jc w:val="center"/>
    </w:pPr>
    <w:rPr>
      <w:rFonts w:ascii="Times New Roman" w:hAnsi="Times New Roman" w:eastAsia="宋体" w:cs="Times New Roman"/>
      <w:kern w:val="2"/>
      <w:sz w:val="21"/>
      <w:szCs w:val="22"/>
      <w:lang w:val="en-US" w:eastAsia="zh-CN" w:bidi="ar-SA"/>
    </w:rPr>
  </w:style>
  <w:style w:type="character" w:customStyle="1" w:styleId="136">
    <w:name w:val="bookmark-item"/>
    <w:basedOn w:val="51"/>
    <w:qFormat/>
    <w:uiPriority w:val="0"/>
  </w:style>
  <w:style w:type="paragraph" w:customStyle="1" w:styleId="137">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38">
    <w:name w:val="纯文本 Char3"/>
    <w:qFormat/>
    <w:locked/>
    <w:uiPriority w:val="99"/>
    <w:rPr>
      <w:rFonts w:ascii="宋体" w:hAnsi="Courier New" w:eastAsia="宋体" w:cs="Courier New"/>
      <w:sz w:val="21"/>
      <w:szCs w:val="21"/>
    </w:rPr>
  </w:style>
  <w:style w:type="paragraph" w:customStyle="1" w:styleId="139">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40">
    <w:name w:val="正文文本 Char3"/>
    <w:semiHidden/>
    <w:qFormat/>
    <w:locked/>
    <w:uiPriority w:val="99"/>
    <w:rPr>
      <w:rFonts w:ascii="Times New Roman" w:hAnsi="Times New Roman" w:eastAsia="宋体" w:cs="Times New Roman"/>
      <w:sz w:val="24"/>
      <w:szCs w:val="24"/>
    </w:rPr>
  </w:style>
  <w:style w:type="paragraph" w:customStyle="1" w:styleId="141">
    <w:name w:val="正文1"/>
    <w:basedOn w:val="25"/>
    <w:next w:val="1"/>
    <w:qFormat/>
    <w:uiPriority w:val="0"/>
    <w:pPr>
      <w:ind w:left="420" w:leftChars="0"/>
    </w:pPr>
    <w:rPr>
      <w:rFonts w:hint="eastAsia" w:ascii="Times New Roman" w:hAnsi="Times New Roman"/>
      <w:i/>
      <w:iCs/>
      <w:szCs w:val="20"/>
    </w:rPr>
  </w:style>
  <w:style w:type="paragraph" w:customStyle="1" w:styleId="142">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143">
    <w:name w:val="Char Char6"/>
    <w:qFormat/>
    <w:uiPriority w:val="0"/>
    <w:rPr>
      <w:rFonts w:ascii="Times New Roman" w:hAnsi="Times New Roman" w:eastAsia="宋体" w:cs="Times New Roman"/>
      <w:szCs w:val="24"/>
    </w:rPr>
  </w:style>
  <w:style w:type="paragraph" w:customStyle="1" w:styleId="144">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145">
    <w:name w:val="font21"/>
    <w:basedOn w:val="51"/>
    <w:qFormat/>
    <w:uiPriority w:val="0"/>
    <w:rPr>
      <w:rFonts w:hint="eastAsia" w:ascii="宋体" w:hAnsi="宋体" w:eastAsia="宋体" w:cs="宋体"/>
      <w:color w:val="FF0000"/>
      <w:sz w:val="20"/>
      <w:szCs w:val="20"/>
      <w:u w:val="none"/>
    </w:rPr>
  </w:style>
  <w:style w:type="character" w:customStyle="1" w:styleId="146">
    <w:name w:val="font11"/>
    <w:basedOn w:val="51"/>
    <w:qFormat/>
    <w:uiPriority w:val="0"/>
    <w:rPr>
      <w:rFonts w:hint="eastAsia" w:ascii="宋体" w:hAnsi="宋体" w:eastAsia="宋体" w:cs="宋体"/>
      <w:color w:val="000000"/>
      <w:sz w:val="20"/>
      <w:szCs w:val="20"/>
      <w:u w:val="none"/>
    </w:rPr>
  </w:style>
  <w:style w:type="character" w:customStyle="1" w:styleId="147">
    <w:name w:val="font01"/>
    <w:basedOn w:val="51"/>
    <w:qFormat/>
    <w:uiPriority w:val="0"/>
    <w:rPr>
      <w:rFonts w:hint="default" w:ascii="Arial" w:hAnsi="Arial" w:cs="Arial"/>
      <w:color w:val="000000"/>
      <w:sz w:val="18"/>
      <w:szCs w:val="18"/>
      <w:u w:val="none"/>
    </w:rPr>
  </w:style>
  <w:style w:type="character" w:customStyle="1" w:styleId="148">
    <w:name w:val="font51"/>
    <w:basedOn w:val="51"/>
    <w:qFormat/>
    <w:uiPriority w:val="0"/>
    <w:rPr>
      <w:rFonts w:hint="eastAsia" w:ascii="宋体" w:hAnsi="宋体" w:eastAsia="宋体" w:cs="宋体"/>
      <w:b/>
      <w:bCs/>
      <w:color w:val="000000"/>
      <w:sz w:val="22"/>
      <w:szCs w:val="22"/>
      <w:u w:val="none"/>
    </w:rPr>
  </w:style>
  <w:style w:type="character" w:customStyle="1" w:styleId="149">
    <w:name w:val="font31"/>
    <w:basedOn w:val="51"/>
    <w:qFormat/>
    <w:uiPriority w:val="0"/>
    <w:rPr>
      <w:rFonts w:hint="eastAsia" w:ascii="宋体" w:hAnsi="宋体" w:eastAsia="宋体" w:cs="宋体"/>
      <w:color w:val="000000"/>
      <w:sz w:val="22"/>
      <w:szCs w:val="22"/>
      <w:u w:val="none"/>
    </w:rPr>
  </w:style>
  <w:style w:type="character" w:customStyle="1" w:styleId="150">
    <w:name w:val="font61"/>
    <w:basedOn w:val="51"/>
    <w:qFormat/>
    <w:uiPriority w:val="0"/>
    <w:rPr>
      <w:rFonts w:hint="eastAsia" w:ascii="宋体" w:hAnsi="宋体" w:eastAsia="宋体" w:cs="宋体"/>
      <w:color w:val="FF0000"/>
      <w:sz w:val="22"/>
      <w:szCs w:val="22"/>
      <w:u w:val="none"/>
    </w:rPr>
  </w:style>
  <w:style w:type="character" w:customStyle="1" w:styleId="151">
    <w:name w:val="font41"/>
    <w:basedOn w:val="51"/>
    <w:qFormat/>
    <w:uiPriority w:val="0"/>
    <w:rPr>
      <w:rFonts w:hint="eastAsia" w:ascii="宋体" w:hAnsi="宋体" w:eastAsia="宋体" w:cs="宋体"/>
      <w:color w:val="FF0000"/>
      <w:sz w:val="22"/>
      <w:szCs w:val="22"/>
      <w:u w:val="none"/>
    </w:rPr>
  </w:style>
  <w:style w:type="character" w:customStyle="1" w:styleId="152">
    <w:name w:val="font71"/>
    <w:basedOn w:val="51"/>
    <w:qFormat/>
    <w:uiPriority w:val="0"/>
    <w:rPr>
      <w:rFonts w:ascii="Arial" w:hAnsi="Arial" w:cs="Arial"/>
      <w:color w:val="000000"/>
      <w:sz w:val="28"/>
      <w:szCs w:val="28"/>
      <w:u w:val="none"/>
    </w:rPr>
  </w:style>
  <w:style w:type="paragraph" w:customStyle="1" w:styleId="153">
    <w:name w:val="表格文字"/>
    <w:basedOn w:val="21"/>
    <w:next w:val="19"/>
    <w:qFormat/>
    <w:uiPriority w:val="0"/>
    <w:pPr>
      <w:spacing w:before="25" w:after="25"/>
    </w:pPr>
    <w:rPr>
      <w:bCs/>
      <w:spacing w:val="10"/>
      <w:sz w:val="24"/>
    </w:rPr>
  </w:style>
  <w:style w:type="paragraph" w:customStyle="1" w:styleId="154">
    <w:name w:val="Table Text"/>
    <w:basedOn w:val="1"/>
    <w:semiHidden/>
    <w:qFormat/>
    <w:uiPriority w:val="0"/>
    <w:rPr>
      <w:rFonts w:ascii="宋体" w:hAnsi="宋体" w:eastAsia="宋体" w:cs="宋体"/>
      <w:sz w:val="22"/>
      <w:szCs w:val="22"/>
      <w:lang w:val="en-US" w:eastAsia="en-US" w:bidi="ar-SA"/>
    </w:rPr>
  </w:style>
  <w:style w:type="character" w:customStyle="1" w:styleId="155">
    <w:name w:val="bookmark-item uuid-1589194982864 code-31006 addword multi-line-text-input-box-cls"/>
    <w:qFormat/>
    <w:uiPriority w:val="0"/>
    <w:rPr>
      <w:rFonts w:ascii="Times New Roman" w:hAnsi="Times New Roman" w:eastAsia="宋体" w:cs="Times New Roman"/>
    </w:rPr>
  </w:style>
  <w:style w:type="character" w:customStyle="1" w:styleId="156">
    <w:name w:val="passed-node"/>
    <w:basedOn w:val="51"/>
    <w:qFormat/>
    <w:uiPriority w:val="0"/>
    <w:rPr>
      <w:bdr w:val="single" w:color="49A8D4" w:sz="6" w:space="0"/>
      <w:shd w:val="clear" w:fill="A9E3FF"/>
    </w:rPr>
  </w:style>
  <w:style w:type="character" w:customStyle="1" w:styleId="157">
    <w:name w:val="ant-tree-iconele"/>
    <w:basedOn w:val="51"/>
    <w:qFormat/>
    <w:uiPriority w:val="0"/>
  </w:style>
  <w:style w:type="character" w:customStyle="1" w:styleId="158">
    <w:name w:val="ant-radio+*"/>
    <w:basedOn w:val="51"/>
    <w:qFormat/>
    <w:uiPriority w:val="0"/>
  </w:style>
  <w:style w:type="character" w:customStyle="1" w:styleId="159">
    <w:name w:val="ant-tree-checkbox"/>
    <w:basedOn w:val="51"/>
    <w:qFormat/>
    <w:uiPriority w:val="0"/>
  </w:style>
  <w:style w:type="character" w:customStyle="1" w:styleId="160">
    <w:name w:val="hover39"/>
    <w:basedOn w:val="51"/>
    <w:qFormat/>
    <w:uiPriority w:val="0"/>
    <w:rPr>
      <w:color w:val="009DFF"/>
    </w:rPr>
  </w:style>
  <w:style w:type="character" w:customStyle="1" w:styleId="161">
    <w:name w:val="hover40"/>
    <w:basedOn w:val="51"/>
    <w:qFormat/>
    <w:uiPriority w:val="0"/>
    <w:rPr>
      <w:color w:val="009DFF"/>
    </w:rPr>
  </w:style>
  <w:style w:type="character" w:customStyle="1" w:styleId="162">
    <w:name w:val="first-child"/>
    <w:basedOn w:val="51"/>
    <w:qFormat/>
    <w:uiPriority w:val="0"/>
    <w:rPr>
      <w:color w:val="999999"/>
      <w:sz w:val="33"/>
      <w:szCs w:val="33"/>
    </w:rPr>
  </w:style>
  <w:style w:type="character" w:customStyle="1" w:styleId="163">
    <w:name w:val="first-child1"/>
    <w:basedOn w:val="51"/>
    <w:qFormat/>
    <w:uiPriority w:val="0"/>
  </w:style>
  <w:style w:type="character" w:customStyle="1" w:styleId="164">
    <w:name w:val="first-child2"/>
    <w:basedOn w:val="51"/>
    <w:qFormat/>
    <w:uiPriority w:val="0"/>
  </w:style>
  <w:style w:type="character" w:customStyle="1" w:styleId="165">
    <w:name w:val="ant-select-tree-iconele"/>
    <w:basedOn w:val="51"/>
    <w:qFormat/>
    <w:uiPriority w:val="0"/>
  </w:style>
  <w:style w:type="character" w:customStyle="1" w:styleId="166">
    <w:name w:val="ant-select-tree-checkbox"/>
    <w:basedOn w:val="51"/>
    <w:qFormat/>
    <w:uiPriority w:val="0"/>
  </w:style>
  <w:style w:type="character" w:customStyle="1" w:styleId="167">
    <w:name w:val="ant-select-tree-switcher"/>
    <w:basedOn w:val="51"/>
    <w:qFormat/>
    <w:uiPriority w:val="0"/>
  </w:style>
  <w:style w:type="character" w:customStyle="1" w:styleId="168">
    <w:name w:val="cke_path_empty2"/>
    <w:basedOn w:val="51"/>
    <w:qFormat/>
    <w:uiPriority w:val="0"/>
    <w:rPr>
      <w:b/>
      <w:bCs/>
      <w:color w:val="484848"/>
      <w:sz w:val="16"/>
      <w:szCs w:val="16"/>
      <w:u w:val="none"/>
    </w:rPr>
  </w:style>
  <w:style w:type="character" w:customStyle="1" w:styleId="169">
    <w:name w:val="label16"/>
    <w:basedOn w:val="51"/>
    <w:qFormat/>
    <w:uiPriority w:val="0"/>
  </w:style>
  <w:style w:type="character" w:customStyle="1" w:styleId="170">
    <w:name w:val="label17"/>
    <w:basedOn w:val="51"/>
    <w:qFormat/>
    <w:uiPriority w:val="0"/>
  </w:style>
  <w:style w:type="character" w:customStyle="1" w:styleId="171">
    <w:name w:val="disabled"/>
    <w:basedOn w:val="51"/>
    <w:qFormat/>
    <w:uiPriority w:val="0"/>
    <w:rPr>
      <w:color w:val="AAAAAA"/>
      <w:shd w:val="clear" w:fill="F7F7F7"/>
    </w:rPr>
  </w:style>
  <w:style w:type="character" w:customStyle="1" w:styleId="172">
    <w:name w:val="ant-table-row-expand-icon4"/>
    <w:basedOn w:val="51"/>
    <w:qFormat/>
    <w:uiPriority w:val="0"/>
    <w:rPr>
      <w:vanish/>
    </w:rPr>
  </w:style>
  <w:style w:type="character" w:customStyle="1" w:styleId="173">
    <w:name w:val="not-pass-node"/>
    <w:basedOn w:val="51"/>
    <w:qFormat/>
    <w:uiPriority w:val="0"/>
    <w:rPr>
      <w:bdr w:val="single" w:color="5ABD6B" w:sz="6" w:space="0"/>
      <w:shd w:val="clear" w:fill="BFF3C3"/>
    </w:rPr>
  </w:style>
  <w:style w:type="character" w:customStyle="1" w:styleId="174">
    <w:name w:val="wea-dropdown-triangle2"/>
    <w:basedOn w:val="51"/>
    <w:qFormat/>
    <w:uiPriority w:val="0"/>
  </w:style>
  <w:style w:type="character" w:customStyle="1" w:styleId="175">
    <w:name w:val="cke_colorbox"/>
    <w:basedOn w:val="51"/>
    <w:qFormat/>
    <w:uiPriority w:val="0"/>
  </w:style>
  <w:style w:type="character" w:customStyle="1" w:styleId="176">
    <w:name w:val="cke_colorbox1"/>
    <w:basedOn w:val="51"/>
    <w:qFormat/>
    <w:uiPriority w:val="0"/>
  </w:style>
  <w:style w:type="character" w:customStyle="1" w:styleId="177">
    <w:name w:val="cke_colorbox2"/>
    <w:basedOn w:val="51"/>
    <w:qFormat/>
    <w:uiPriority w:val="0"/>
  </w:style>
  <w:style w:type="character" w:customStyle="1" w:styleId="178">
    <w:name w:val="cke_colorbox3"/>
    <w:basedOn w:val="51"/>
    <w:qFormat/>
    <w:uiPriority w:val="0"/>
    <w:rPr>
      <w:bdr w:val="single" w:color="808080" w:sz="6" w:space="0"/>
    </w:rPr>
  </w:style>
  <w:style w:type="character" w:customStyle="1" w:styleId="179">
    <w:name w:val="last-child"/>
    <w:basedOn w:val="51"/>
    <w:qFormat/>
    <w:uiPriority w:val="0"/>
  </w:style>
  <w:style w:type="character" w:customStyle="1" w:styleId="180">
    <w:name w:val="ant-tree-switcher16"/>
    <w:basedOn w:val="51"/>
    <w:qFormat/>
    <w:uiPriority w:val="0"/>
  </w:style>
  <w:style w:type="character" w:customStyle="1" w:styleId="181">
    <w:name w:val="tmpztreemove_arrow"/>
    <w:basedOn w:val="51"/>
    <w:qFormat/>
    <w:uiPriority w:val="0"/>
    <w:rPr>
      <w:rFonts w:ascii="Helvetica" w:hAnsi="Helvetica" w:eastAsia="Helvetica" w:cs="Helvetica"/>
      <w:color w:val="2DB7F5"/>
      <w:sz w:val="18"/>
      <w:szCs w:val="18"/>
    </w:rPr>
  </w:style>
  <w:style w:type="character" w:customStyle="1" w:styleId="182">
    <w:name w:val="wea-thumbnails-doc-content-subtitle"/>
    <w:basedOn w:val="51"/>
    <w:qFormat/>
    <w:uiPriority w:val="0"/>
    <w:rPr>
      <w:color w:val="9A9A9A"/>
    </w:rPr>
  </w:style>
  <w:style w:type="character" w:customStyle="1" w:styleId="183">
    <w:name w:val="auto-pass-node"/>
    <w:basedOn w:val="51"/>
    <w:qFormat/>
    <w:uiPriority w:val="0"/>
    <w:rPr>
      <w:bdr w:val="single" w:color="DC4446" w:sz="6" w:space="0"/>
      <w:shd w:val="clear" w:fill="A9E2FF"/>
    </w:rPr>
  </w:style>
  <w:style w:type="character" w:customStyle="1" w:styleId="184">
    <w:name w:val="current-node"/>
    <w:basedOn w:val="51"/>
    <w:qFormat/>
    <w:uiPriority w:val="0"/>
    <w:rPr>
      <w:bdr w:val="single" w:color="F5B87B" w:sz="6" w:space="0"/>
      <w:shd w:val="clear" w:fill="FFE8CC"/>
    </w:rPr>
  </w:style>
  <w:style w:type="character" w:customStyle="1" w:styleId="185">
    <w:name w:val="top-label"/>
    <w:basedOn w:val="51"/>
    <w:qFormat/>
    <w:uiPriority w:val="0"/>
  </w:style>
  <w:style w:type="character" w:customStyle="1" w:styleId="186">
    <w:name w:val="button"/>
    <w:basedOn w:val="51"/>
    <w:qFormat/>
    <w:uiPriority w:val="0"/>
  </w:style>
  <w:style w:type="character" w:customStyle="1" w:styleId="187">
    <w:name w:val="button1"/>
    <w:basedOn w:val="51"/>
    <w:qFormat/>
    <w:uiPriority w:val="0"/>
  </w:style>
  <w:style w:type="character" w:customStyle="1" w:styleId="188">
    <w:name w:val="first-of-type"/>
    <w:basedOn w:val="51"/>
    <w:qFormat/>
    <w:uiPriority w:val="0"/>
    <w:rPr>
      <w:color w:val="FF0000"/>
    </w:rPr>
  </w:style>
  <w:style w:type="character" w:customStyle="1" w:styleId="189">
    <w:name w:val="first-of-type1"/>
    <w:basedOn w:val="51"/>
    <w:qFormat/>
    <w:uiPriority w:val="0"/>
    <w:rPr>
      <w:color w:val="FF0000"/>
    </w:rPr>
  </w:style>
  <w:style w:type="character" w:customStyle="1" w:styleId="190">
    <w:name w:val="first-of-type2"/>
    <w:basedOn w:val="51"/>
    <w:qFormat/>
    <w:uiPriority w:val="0"/>
    <w:rPr>
      <w:color w:val="FF0000"/>
    </w:rPr>
  </w:style>
  <w:style w:type="character" w:customStyle="1" w:styleId="191">
    <w:name w:val="cke_notification_progress"/>
    <w:basedOn w:val="51"/>
    <w:qFormat/>
    <w:uiPriority w:val="0"/>
    <w:rPr>
      <w:shd w:val="clear" w:fill="0F74A8"/>
    </w:rPr>
  </w:style>
  <w:style w:type="character" w:customStyle="1" w:styleId="192">
    <w:name w:val="nth-child(2)2"/>
    <w:basedOn w:val="51"/>
    <w:qFormat/>
    <w:uiPriority w:val="0"/>
  </w:style>
  <w:style w:type="character" w:customStyle="1" w:styleId="193">
    <w:name w:val="isrevision"/>
    <w:basedOn w:val="51"/>
    <w:qFormat/>
    <w:uiPriority w:val="0"/>
    <w:rPr>
      <w:color w:val="000000"/>
      <w:sz w:val="18"/>
      <w:szCs w:val="18"/>
      <w:bdr w:val="single" w:color="E9E9E9" w:sz="6" w:space="0"/>
      <w:shd w:val="clear" w:fill="FFFFFF"/>
    </w:rPr>
  </w:style>
  <w:style w:type="character" w:customStyle="1" w:styleId="194">
    <w:name w:val="cke_dialog_ui_button2"/>
    <w:basedOn w:val="51"/>
    <w:qFormat/>
    <w:uiPriority w:val="0"/>
  </w:style>
  <w:style w:type="character" w:customStyle="1" w:styleId="195">
    <w:name w:val="nth-child(2)"/>
    <w:basedOn w:val="51"/>
    <w:qFormat/>
    <w:uiPriority w:val="0"/>
  </w:style>
  <w:style w:type="character" w:customStyle="1" w:styleId="196">
    <w:name w:val="ant-select-tree-checkbox2"/>
    <w:basedOn w:val="51"/>
    <w:qFormat/>
    <w:uiPriority w:val="0"/>
  </w:style>
  <w:style w:type="character" w:customStyle="1" w:styleId="197">
    <w:name w:val="hover41"/>
    <w:basedOn w:val="51"/>
    <w:qFormat/>
    <w:uiPriority w:val="0"/>
    <w:rPr>
      <w:color w:val="009DFF"/>
    </w:rPr>
  </w:style>
  <w:style w:type="character" w:customStyle="1" w:styleId="198">
    <w:name w:val="hover42"/>
    <w:basedOn w:val="51"/>
    <w:qFormat/>
    <w:uiPriority w:val="0"/>
    <w:rPr>
      <w:color w:val="009DFF"/>
    </w:rPr>
  </w:style>
  <w:style w:type="character" w:customStyle="1" w:styleId="199">
    <w:name w:val="cke_path_empty"/>
    <w:basedOn w:val="51"/>
    <w:qFormat/>
    <w:uiPriority w:val="0"/>
    <w:rPr>
      <w:b/>
      <w:bCs/>
      <w:color w:val="484848"/>
      <w:sz w:val="16"/>
      <w:szCs w:val="16"/>
      <w:u w:val="none"/>
    </w:rPr>
  </w:style>
  <w:style w:type="character" w:customStyle="1" w:styleId="200">
    <w:name w:val="ant-tree-switcher15"/>
    <w:basedOn w:val="51"/>
    <w:qFormat/>
    <w:uiPriority w:val="0"/>
  </w:style>
  <w:style w:type="character" w:customStyle="1" w:styleId="201">
    <w:name w:val="ant-tree-checkbox8"/>
    <w:basedOn w:val="51"/>
    <w:qFormat/>
    <w:uiPriority w:val="0"/>
  </w:style>
  <w:style w:type="character" w:customStyle="1" w:styleId="202">
    <w:name w:val="cke_dialog_ui_button1"/>
    <w:basedOn w:val="51"/>
    <w:qFormat/>
    <w:uiPriority w:val="0"/>
  </w:style>
  <w:style w:type="character" w:customStyle="1" w:styleId="203">
    <w:name w:val="ant-tree-switcher"/>
    <w:basedOn w:val="51"/>
    <w:qFormat/>
    <w:uiPriority w:val="0"/>
  </w:style>
  <w:style w:type="character" w:customStyle="1" w:styleId="204">
    <w:name w:val="hover43"/>
    <w:basedOn w:val="51"/>
    <w:qFormat/>
    <w:uiPriority w:val="0"/>
    <w:rPr>
      <w:color w:val="009DFF"/>
    </w:rPr>
  </w:style>
  <w:style w:type="character" w:customStyle="1" w:styleId="205">
    <w:name w:val="hover44"/>
    <w:basedOn w:val="51"/>
    <w:qFormat/>
    <w:uiPriority w:val="0"/>
    <w:rPr>
      <w:color w:val="009DFF"/>
    </w:rPr>
  </w:style>
  <w:style w:type="character" w:customStyle="1" w:styleId="206">
    <w:name w:val="last-child1"/>
    <w:basedOn w:val="51"/>
    <w:qFormat/>
    <w:uiPriority w:val="0"/>
  </w:style>
  <w:style w:type="character" w:customStyle="1" w:styleId="207">
    <w:name w:val="cke_colorbox4"/>
    <w:basedOn w:val="51"/>
    <w:qFormat/>
    <w:uiPriority w:val="0"/>
  </w:style>
  <w:style w:type="character" w:customStyle="1" w:styleId="208">
    <w:name w:val="cke_colorbox5"/>
    <w:basedOn w:val="51"/>
    <w:qFormat/>
    <w:uiPriority w:val="0"/>
  </w:style>
  <w:style w:type="character" w:customStyle="1" w:styleId="209">
    <w:name w:val="disabled4"/>
    <w:basedOn w:val="51"/>
    <w:qFormat/>
    <w:uiPriority w:val="0"/>
    <w:rPr>
      <w:color w:val="AAAAAA"/>
      <w:shd w:val="clear" w:fill="F7F7F7"/>
    </w:rPr>
  </w:style>
  <w:style w:type="character" w:customStyle="1" w:styleId="210">
    <w:name w:val="wea-dropdown-triangle"/>
    <w:basedOn w:val="51"/>
    <w:qFormat/>
    <w:uiPriority w:val="0"/>
  </w:style>
  <w:style w:type="character" w:customStyle="1" w:styleId="211">
    <w:name w:val="first-child3"/>
    <w:basedOn w:val="51"/>
    <w:qFormat/>
    <w:uiPriority w:val="0"/>
    <w:rPr>
      <w:color w:val="999999"/>
      <w:sz w:val="33"/>
      <w:szCs w:val="33"/>
    </w:rPr>
  </w:style>
  <w:style w:type="character" w:customStyle="1" w:styleId="212">
    <w:name w:val="first-child4"/>
    <w:basedOn w:val="51"/>
    <w:qFormat/>
    <w:uiPriority w:val="0"/>
  </w:style>
  <w:style w:type="character" w:customStyle="1" w:styleId="213">
    <w:name w:val="ant-table-row-expand-icon"/>
    <w:basedOn w:val="51"/>
    <w:qFormat/>
    <w:uiPriority w:val="0"/>
    <w:rPr>
      <w:vanish/>
    </w:rPr>
  </w:style>
  <w:style w:type="character" w:customStyle="1" w:styleId="214">
    <w:name w:val="标题 2 Char1"/>
    <w:link w:val="3"/>
    <w:qFormat/>
    <w:uiPriority w:val="0"/>
    <w:rPr>
      <w:rFonts w:ascii="Times New Roman" w:hAnsi="Times New Roman" w:eastAsia="楷体_GB2312" w:cs="黑体"/>
      <w:b/>
      <w:sz w:val="32"/>
      <w:szCs w:val="32"/>
    </w:rPr>
  </w:style>
  <w:style w:type="paragraph" w:customStyle="1" w:styleId="215">
    <w:name w:val="cjk"/>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1.jpeg"/><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107</Pages>
  <Words>11962</Words>
  <Characters>13087</Characters>
  <Lines>456</Lines>
  <Paragraphs>128</Paragraphs>
  <TotalTime>2</TotalTime>
  <ScaleCrop>false</ScaleCrop>
  <LinksUpToDate>false</LinksUpToDate>
  <CharactersWithSpaces>13257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2023-10-17T08:40:00Z</dcterms:created>
  <dc:creator>Microsoft</dc:creator>
  <cp:lastModifiedBy>杨工</cp:lastModifiedBy>
  <cp:lastPrinted>2023-05-26T05:48:00Z</cp:lastPrinted>
  <dcterms:modified xsi:type="dcterms:W3CDTF">2025-01-20T03:34:25Z</dcterms:modified>
  <dc:title>公开招标采购文件范本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71B7DD97F4C641C2BD7A843F1463C487</vt:lpwstr>
  </property>
  <property fmtid="{D5CDD505-2E9C-101B-9397-08002B2CF9AE}" pid="4" name="KSOTemplateDocerSaveRecord">
    <vt:lpwstr>eyJoZGlkIjoiNDUzODBjYWIyYzIyN2MwOGNjZjhhNzVlNjFkYTkzZjEiLCJ1c2VySWQiOiIzNjQ3MzA2ODQifQ==</vt:lpwstr>
  </property>
</Properties>
</file>