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outlineLvl w:val="0"/>
        <w:rPr>
          <w:rFonts w:hint="eastAsia" w:ascii="Times New Roman" w:hAnsi="Times New Roman" w:eastAsia="宋体" w:cs="Times New Roman"/>
          <w:b/>
          <w:color w:val="auto"/>
          <w:kern w:val="2"/>
          <w:sz w:val="36"/>
          <w:szCs w:val="20"/>
          <w:highlight w:val="none"/>
          <w:lang w:val="en-US" w:eastAsia="zh-CN" w:bidi="ar-SA"/>
        </w:rPr>
      </w:pPr>
      <w:r>
        <w:rPr>
          <w:rFonts w:hint="eastAsia" w:ascii="Times New Roman" w:hAnsi="Times New Roman" w:eastAsia="宋体" w:cs="Times New Roman"/>
          <w:b/>
          <w:color w:val="auto"/>
          <w:kern w:val="2"/>
          <w:sz w:val="36"/>
          <w:szCs w:val="20"/>
          <w:highlight w:val="none"/>
          <w:lang w:val="en-US" w:eastAsia="zh-CN" w:bidi="ar-SA"/>
        </w:rPr>
        <w:t>采购需求</w:t>
      </w:r>
    </w:p>
    <w:p>
      <w:pPr>
        <w:adjustRightInd w:val="0"/>
        <w:spacing w:line="340" w:lineRule="exact"/>
        <w:rPr>
          <w:rFonts w:ascii="Times New Roman" w:hAnsi="宋体" w:eastAsia="宋体" w:cs="Times New Roman"/>
          <w:b/>
          <w:color w:val="auto"/>
          <w:szCs w:val="21"/>
          <w:highlight w:val="none"/>
        </w:rPr>
      </w:pPr>
    </w:p>
    <w:p>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p>
    <w:p>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5.采购标的对应的中小企业划分标准所属行业名称：</w:t>
      </w:r>
      <w:r>
        <w:rPr>
          <w:rFonts w:hint="eastAsia" w:ascii="宋体" w:hAnsi="宋体" w:eastAsia="宋体" w:cs="宋体"/>
          <w:color w:val="auto"/>
          <w:highlight w:val="none"/>
          <w:u w:val="single"/>
          <w:lang w:val="en-US" w:eastAsia="zh-CN"/>
        </w:rPr>
        <w:t>其他未列明行业</w:t>
      </w:r>
    </w:p>
    <w:p>
      <w:pPr>
        <w:keepNext w:val="0"/>
        <w:keepLines w:val="0"/>
        <w:pageBreakBefore w:val="0"/>
        <w:widowControl w:val="0"/>
        <w:kinsoku/>
        <w:wordWrap/>
        <w:overflowPunct/>
        <w:topLinePunct w:val="0"/>
        <w:autoSpaceDE/>
        <w:autoSpaceDN/>
        <w:bidi w:val="0"/>
        <w:adjustRightInd/>
        <w:snapToGrid/>
        <w:spacing w:line="420" w:lineRule="exact"/>
        <w:ind w:left="-10" w:leftChars="-5" w:right="2" w:righ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6.</w:t>
      </w:r>
      <w:r>
        <w:rPr>
          <w:rFonts w:hint="eastAsia" w:ascii="宋体" w:hAnsi="宋体" w:eastAsia="宋体" w:cs="宋体"/>
          <w:b/>
          <w:bCs/>
          <w:color w:val="auto"/>
          <w:sz w:val="21"/>
          <w:szCs w:val="21"/>
          <w:highlight w:val="none"/>
          <w:lang w:val="en-US" w:eastAsia="zh-CN"/>
        </w:rPr>
        <w:t>本项目一个</w:t>
      </w:r>
      <w:r>
        <w:rPr>
          <w:rFonts w:hint="eastAsia" w:ascii="宋体" w:hAnsi="宋体" w:eastAsia="宋体" w:cs="宋体"/>
          <w:b/>
          <w:bCs/>
          <w:color w:val="auto"/>
          <w:highlight w:val="none"/>
        </w:rPr>
        <w:t>投标人</w:t>
      </w:r>
      <w:r>
        <w:rPr>
          <w:rFonts w:hint="eastAsia" w:ascii="宋体" w:hAnsi="宋体" w:eastAsia="宋体" w:cs="宋体"/>
          <w:b/>
          <w:bCs/>
          <w:color w:val="auto"/>
          <w:sz w:val="21"/>
          <w:szCs w:val="21"/>
          <w:highlight w:val="none"/>
        </w:rPr>
        <w:t>可</w:t>
      </w:r>
      <w:r>
        <w:rPr>
          <w:rFonts w:hint="eastAsia" w:ascii="宋体" w:hAnsi="宋体" w:eastAsia="宋体" w:cs="宋体"/>
          <w:b/>
          <w:bCs/>
          <w:color w:val="auto"/>
          <w:sz w:val="21"/>
          <w:szCs w:val="21"/>
          <w:highlight w:val="none"/>
          <w:lang w:eastAsia="zh-CN"/>
        </w:rPr>
        <w:t>同时</w:t>
      </w:r>
      <w:r>
        <w:rPr>
          <w:rFonts w:hint="eastAsia" w:ascii="宋体" w:hAnsi="宋体" w:eastAsia="宋体" w:cs="宋体"/>
          <w:b/>
          <w:bCs/>
          <w:color w:val="auto"/>
          <w:sz w:val="21"/>
          <w:szCs w:val="21"/>
          <w:highlight w:val="none"/>
          <w:lang w:val="en-US" w:eastAsia="zh-CN"/>
        </w:rPr>
        <w:t>投多个分标</w:t>
      </w:r>
      <w:r>
        <w:rPr>
          <w:rFonts w:hint="eastAsia" w:ascii="宋体" w:hAnsi="宋体" w:eastAsia="宋体" w:cs="宋体"/>
          <w:b/>
          <w:bCs/>
          <w:color w:val="auto"/>
          <w:sz w:val="21"/>
          <w:szCs w:val="21"/>
          <w:highlight w:val="none"/>
        </w:rPr>
        <w:t>，但</w:t>
      </w:r>
      <w:r>
        <w:rPr>
          <w:rFonts w:hint="eastAsia" w:ascii="宋体" w:hAnsi="宋体" w:eastAsia="宋体" w:cs="宋体"/>
          <w:b/>
          <w:bCs/>
          <w:color w:val="auto"/>
          <w:sz w:val="21"/>
          <w:szCs w:val="21"/>
          <w:highlight w:val="none"/>
          <w:lang w:eastAsia="zh-CN"/>
        </w:rPr>
        <w:t>最多</w:t>
      </w:r>
      <w:r>
        <w:rPr>
          <w:rFonts w:hint="eastAsia" w:ascii="宋体" w:hAnsi="宋体" w:eastAsia="宋体" w:cs="宋体"/>
          <w:b/>
          <w:bCs/>
          <w:color w:val="auto"/>
          <w:sz w:val="21"/>
          <w:szCs w:val="21"/>
          <w:highlight w:val="none"/>
        </w:rPr>
        <w:t>只能</w:t>
      </w:r>
      <w:r>
        <w:rPr>
          <w:rFonts w:hint="eastAsia" w:ascii="宋体" w:hAnsi="宋体" w:eastAsia="宋体" w:cs="宋体"/>
          <w:b/>
          <w:bCs/>
          <w:color w:val="auto"/>
          <w:sz w:val="21"/>
          <w:szCs w:val="21"/>
          <w:highlight w:val="none"/>
          <w:lang w:eastAsia="zh-CN"/>
        </w:rPr>
        <w:t>中</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个分标。</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个分标的评标顺序为1→2→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10→11→12→13→14→15</w:t>
      </w:r>
      <w:r>
        <w:rPr>
          <w:rFonts w:hint="eastAsia" w:ascii="宋体" w:hAnsi="宋体" w:eastAsia="宋体" w:cs="宋体"/>
          <w:b/>
          <w:bCs/>
          <w:color w:val="auto"/>
          <w:sz w:val="21"/>
          <w:szCs w:val="21"/>
          <w:highlight w:val="none"/>
        </w:rPr>
        <w:t>，按该顺序进行商务和技术评分并推荐</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候选人，已经成为某分标第一</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候选人的</w:t>
      </w:r>
      <w:r>
        <w:rPr>
          <w:rFonts w:hint="eastAsia" w:ascii="宋体" w:hAnsi="宋体" w:eastAsia="宋体" w:cs="宋体"/>
          <w:b/>
          <w:bCs/>
          <w:color w:val="auto"/>
          <w:highlight w:val="none"/>
        </w:rPr>
        <w:t>投标人</w:t>
      </w:r>
      <w:r>
        <w:rPr>
          <w:rFonts w:hint="eastAsia" w:ascii="宋体" w:hAnsi="宋体" w:eastAsia="宋体" w:cs="宋体"/>
          <w:b/>
          <w:bCs/>
          <w:color w:val="auto"/>
          <w:sz w:val="21"/>
          <w:szCs w:val="21"/>
          <w:highlight w:val="none"/>
        </w:rPr>
        <w:t>，不再被推荐为其余分标的</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w:t>
      </w:r>
      <w:r>
        <w:rPr>
          <w:rFonts w:hint="eastAsia" w:ascii="宋体" w:hAnsi="宋体" w:eastAsia="宋体" w:cs="宋体"/>
          <w:color w:val="auto"/>
          <w:sz w:val="21"/>
          <w:szCs w:val="21"/>
          <w:highlight w:val="none"/>
        </w:rPr>
        <w:t>。</w:t>
      </w:r>
    </w:p>
    <w:p>
      <w:pPr>
        <w:tabs>
          <w:tab w:val="left" w:pos="180"/>
          <w:tab w:val="left" w:pos="1620"/>
        </w:tabs>
        <w:spacing w:line="420" w:lineRule="exact"/>
        <w:ind w:firstLine="420" w:firstLineChars="200"/>
        <w:jc w:val="left"/>
        <w:rPr>
          <w:rFonts w:hint="default" w:ascii="宋体" w:hAnsi="宋体" w:eastAsia="宋体" w:cs="宋体"/>
          <w:color w:val="auto"/>
          <w:highlight w:val="none"/>
          <w:u w:val="single"/>
          <w:lang w:val="en-US" w:eastAsia="zh-CN"/>
        </w:rPr>
      </w:pPr>
    </w:p>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1235"/>
        <w:gridCol w:w="66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single" w:color="auto" w:sz="4" w:space="0"/>
              <w:left w:val="single" w:color="auto" w:sz="4" w:space="0"/>
              <w:right w:val="single" w:color="auto" w:sz="4" w:space="0"/>
            </w:tcBorders>
            <w:noWrap w:val="0"/>
            <w:vAlign w:val="center"/>
          </w:tcPr>
          <w:p>
            <w:pPr>
              <w:spacing w:line="320" w:lineRule="exact"/>
              <w:jc w:val="left"/>
              <w:rPr>
                <w:rFonts w:hint="default" w:ascii="仿宋_GB2312" w:hAnsi="宋体" w:eastAsia="仿宋_GB2312" w:cs="Arial"/>
                <w:b/>
                <w:color w:val="auto"/>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分标号</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p>
            <w:pPr>
              <w:jc w:val="center"/>
              <w:rPr>
                <w:rFonts w:ascii="宋体" w:hAnsi="宋体" w:eastAsia="宋体" w:cs="宋体"/>
                <w:color w:val="auto"/>
                <w:szCs w:val="21"/>
                <w:highlight w:val="none"/>
              </w:rPr>
            </w:pP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sz w:val="16"/>
                <w:szCs w:val="16"/>
                <w:highlight w:val="none"/>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ascii="宋体" w:hAnsi="Courier New" w:eastAsia="宋体" w:cs="Times New Roman"/>
                <w:b w:val="0"/>
                <w:bCs/>
                <w:caps/>
                <w:color w:val="auto"/>
                <w:kern w:val="2"/>
                <w:sz w:val="20"/>
                <w:szCs w:val="20"/>
                <w:highlight w:val="none"/>
                <w:lang w:val="en-US" w:eastAsia="zh-CN" w:bidi="ar-SA"/>
              </w:rPr>
            </w:pPr>
            <w:r>
              <w:rPr>
                <w:rFonts w:hint="eastAsia" w:ascii="宋体" w:hAnsi="宋体" w:eastAsia="宋体" w:cs="宋体"/>
                <w:color w:val="auto"/>
                <w:szCs w:val="21"/>
                <w:highlight w:val="none"/>
                <w:lang w:val="en-US" w:eastAsia="zh-CN"/>
              </w:rPr>
              <w:t>全区自主就业退役士兵职业技能培训（消防、公安）</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宋体" w:hAnsi="宋体" w:eastAsia="宋体" w:cs="宋体"/>
                <w:color w:val="auto"/>
                <w:szCs w:val="21"/>
                <w:highlight w:val="none"/>
                <w:lang w:val="en-US" w:eastAsia="zh-CN"/>
              </w:rPr>
            </w:pPr>
            <w:bookmarkStart w:id="0" w:name="OLE_LINK2"/>
            <w:r>
              <w:rPr>
                <w:rFonts w:hint="eastAsia" w:ascii="宋体" w:hAnsi="宋体" w:eastAsia="宋体" w:cs="宋体"/>
                <w:color w:val="auto"/>
                <w:szCs w:val="21"/>
                <w:highlight w:val="none"/>
                <w:lang w:val="en-US" w:eastAsia="zh-CN"/>
              </w:rPr>
              <w:t>1项</w:t>
            </w:r>
            <w:bookmarkEnd w:id="0"/>
          </w:p>
        </w:tc>
        <w:tc>
          <w:tcPr>
            <w:tcW w:w="7795"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为进一步规范退役士兵职业技能培训管理工作，提高思想政治和职业技能水平，提升就业创业竞争力，</w:t>
            </w:r>
            <w:r>
              <w:rPr>
                <w:rFonts w:hint="eastAsia" w:ascii="宋体" w:hAnsi="宋体" w:eastAsia="宋体" w:cs="宋体"/>
                <w:color w:val="auto"/>
                <w:sz w:val="21"/>
                <w:szCs w:val="21"/>
                <w:highlight w:val="none"/>
                <w:lang w:val="en-US" w:eastAsia="zh-CN"/>
              </w:rPr>
              <w:t>根据退役军人事务部等12部委《关于促进新时代退役军人就业创业工作的意见》（退役军人部发〔2018〕26号）、《退役军人安置条例》、《广西壮族自治区退役军人厅等5部门关于印发&lt;广西壮族自治区退役士兵教育培训暂行办法&gt;的通知》（桂退役军人规〔2022〕1号）等文件相关要求</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仿宋"/>
                <w:color w:val="auto"/>
                <w:szCs w:val="21"/>
                <w:highlight w:val="none"/>
              </w:rPr>
              <w:t>切实提升</w:t>
            </w:r>
            <w:r>
              <w:rPr>
                <w:rFonts w:hint="eastAsia" w:ascii="宋体" w:hAnsi="宋体" w:eastAsia="宋体" w:cs="仿宋"/>
                <w:color w:val="auto"/>
                <w:szCs w:val="21"/>
                <w:highlight w:val="none"/>
                <w:lang w:eastAsia="zh-CN"/>
              </w:rPr>
              <w:t>退役士兵</w:t>
            </w:r>
            <w:r>
              <w:rPr>
                <w:rFonts w:hint="eastAsia" w:ascii="宋体" w:hAnsi="宋体" w:eastAsia="宋体" w:cs="仿宋"/>
                <w:color w:val="auto"/>
                <w:szCs w:val="21"/>
                <w:highlight w:val="none"/>
              </w:rPr>
              <w:t>适应就业创业和成长需要以及经济社会发展需求的职业技能和职业素质，帮助</w:t>
            </w:r>
            <w:r>
              <w:rPr>
                <w:rFonts w:hint="eastAsia" w:ascii="宋体" w:hAnsi="宋体" w:eastAsia="宋体" w:cs="仿宋"/>
                <w:color w:val="auto"/>
                <w:szCs w:val="21"/>
                <w:highlight w:val="none"/>
                <w:lang w:eastAsia="zh-CN"/>
              </w:rPr>
              <w:t>退役士兵</w:t>
            </w:r>
            <w:r>
              <w:rPr>
                <w:rFonts w:hint="eastAsia" w:ascii="宋体" w:hAnsi="宋体" w:eastAsia="宋体" w:cs="仿宋"/>
                <w:color w:val="auto"/>
                <w:szCs w:val="21"/>
                <w:highlight w:val="none"/>
              </w:rPr>
              <w:t>稳定就业、优质就业、自主创业</w:t>
            </w:r>
            <w:r>
              <w:rPr>
                <w:rFonts w:hint="eastAsia" w:ascii="宋体" w:hAnsi="宋体" w:eastAsia="宋体" w:cs="宋体"/>
                <w:color w:val="auto"/>
                <w:sz w:val="21"/>
                <w:szCs w:val="21"/>
                <w:highlight w:val="none"/>
                <w:lang w:val="en-US" w:eastAsia="zh-CN"/>
              </w:rPr>
              <w:t>，现将全区范围内退役士兵职业培训按公开征集的程序进行公开评选入围本次职业培训的机构，拟对</w:t>
            </w:r>
            <w:r>
              <w:rPr>
                <w:rFonts w:hint="eastAsia" w:ascii="宋体" w:hAnsi="宋体" w:eastAsia="宋体" w:cs="仿宋"/>
                <w:color w:val="auto"/>
                <w:sz w:val="21"/>
                <w:szCs w:val="21"/>
                <w:highlight w:val="none"/>
                <w:lang w:val="en-US" w:eastAsia="zh-CN"/>
              </w:rPr>
              <w:t>安置在广西，未享受过免费职业技能培训，未达到法定退休年龄的自主就业退役士兵，开展职</w:t>
            </w:r>
            <w:r>
              <w:rPr>
                <w:rFonts w:hint="eastAsia" w:ascii="宋体" w:hAnsi="宋体" w:eastAsia="宋体" w:cs="宋体"/>
                <w:color w:val="auto"/>
                <w:sz w:val="21"/>
                <w:szCs w:val="21"/>
                <w:highlight w:val="none"/>
                <w:lang w:val="en-US" w:eastAsia="zh-CN"/>
              </w:rPr>
              <w:t>业技能培训。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培训工种列表：</w:t>
            </w:r>
          </w:p>
          <w:tbl>
            <w:tblPr>
              <w:tblStyle w:val="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63"/>
              <w:gridCol w:w="2760"/>
              <w:gridCol w:w="945"/>
              <w:gridCol w:w="616"/>
              <w:gridCol w:w="1134"/>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84"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序号</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项目名称</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培训天数</w:t>
                  </w:r>
                </w:p>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（天）</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培训学时</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培训单价</w:t>
                  </w:r>
                </w:p>
                <w:p>
                  <w:pPr>
                    <w:widowControl/>
                    <w:spacing w:beforeLines="0" w:afterLines="0"/>
                    <w:jc w:val="center"/>
                    <w:textAlignment w:val="center"/>
                    <w:rPr>
                      <w:rFonts w:hint="default" w:ascii="宋体" w:hAnsi="宋体" w:eastAsia="宋体" w:cs="宋体"/>
                      <w:b/>
                      <w:color w:val="auto"/>
                      <w:spacing w:val="-20"/>
                      <w:sz w:val="21"/>
                      <w:szCs w:val="21"/>
                      <w:highlight w:val="none"/>
                    </w:rPr>
                  </w:pPr>
                  <w:r>
                    <w:rPr>
                      <w:rFonts w:hint="default" w:ascii="宋体" w:hAnsi="宋体" w:eastAsia="宋体" w:cs="宋体"/>
                      <w:b/>
                      <w:color w:val="auto"/>
                      <w:spacing w:val="-20"/>
                      <w:sz w:val="21"/>
                      <w:szCs w:val="21"/>
                      <w:highlight w:val="none"/>
                    </w:rPr>
                    <w:t>（元/人）</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无人机摄影测量</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5"/>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无人机驾驶执照（CAAC）</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3</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5"/>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小型无人机操控驾驶员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4</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电工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制冷与空调设备运行操作作业员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6</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海员培训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25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200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考证费、体检费、伙食费学员自理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7</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教育教学能力专项培训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考证费学员自理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6"/>
                      <w:tab w:val="center" w:pos="1386"/>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消防设施操作员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9</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5"/>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国防教育辅导员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5"/>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电梯安装维修员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11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tabs>
                      <w:tab w:val="left" w:pos="315"/>
                    </w:tabs>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电商直播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信息通信网络机务员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电子商务师</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短视频拍摄与制作</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15</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汽车修理工考证培训（初级工）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16</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汽车修理工考证培训（中级工）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17</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数控车工（中级/四级）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18</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数控铣工（中级/四级）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19</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家用电器维修工（中级/四级）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20</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物业管理师（中级）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中式（西式）烹调</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人工智能训练师</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autoSpaceDE w:val="0"/>
                    <w:autoSpaceDN w:val="0"/>
                    <w:adjustRightInd w:val="0"/>
                    <w:spacing w:beforeLines="0" w:afterLines="0" w:line="320" w:lineRule="exact"/>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数据标注和算法测试两个方向</w:t>
                  </w:r>
                </w:p>
              </w:tc>
            </w:tr>
          </w:tbl>
          <w:p>
            <w:pPr>
              <w:numPr>
                <w:ilvl w:val="0"/>
                <w:numId w:val="0"/>
              </w:numPr>
              <w:spacing w:line="580" w:lineRule="exact"/>
              <w:ind w:firstLine="446" w:firstLineChars="200"/>
              <w:rPr>
                <w:rFonts w:hint="eastAsia" w:ascii="宋体" w:hAnsi="宋体" w:eastAsia="宋体" w:cs="宋体"/>
                <w:b/>
                <w:bCs/>
                <w:color w:val="auto"/>
                <w:spacing w:val="6"/>
                <w:kern w:val="48"/>
                <w:sz w:val="21"/>
                <w:szCs w:val="21"/>
                <w:highlight w:val="none"/>
                <w:lang w:val="en-US" w:eastAsia="zh-CN"/>
              </w:rPr>
            </w:pPr>
            <w:r>
              <w:rPr>
                <w:rFonts w:hint="eastAsia" w:ascii="宋体" w:hAnsi="宋体" w:eastAsia="宋体" w:cs="宋体"/>
                <w:b/>
                <w:bCs/>
                <w:color w:val="auto"/>
                <w:spacing w:val="6"/>
                <w:kern w:val="48"/>
                <w:sz w:val="21"/>
                <w:szCs w:val="21"/>
                <w:highlight w:val="none"/>
                <w:lang w:val="en-US" w:eastAsia="zh-CN"/>
              </w:rPr>
              <w:t>二、</w:t>
            </w:r>
            <w:r>
              <w:rPr>
                <w:rFonts w:hint="eastAsia" w:ascii="宋体" w:hAnsi="宋体" w:eastAsia="宋体" w:cs="宋体"/>
                <w:b/>
                <w:bCs/>
                <w:color w:val="auto"/>
                <w:spacing w:val="6"/>
                <w:kern w:val="48"/>
                <w:sz w:val="21"/>
                <w:szCs w:val="21"/>
                <w:highlight w:val="none"/>
                <w:lang w:val="zh-CN" w:eastAsia="zh-CN"/>
              </w:rPr>
              <w:t>培训地点：</w:t>
            </w:r>
            <w:r>
              <w:rPr>
                <w:rFonts w:hint="eastAsia" w:ascii="宋体" w:hAnsi="宋体" w:eastAsia="宋体" w:cs="宋体"/>
                <w:b w:val="0"/>
                <w:bCs w:val="0"/>
                <w:color w:val="auto"/>
                <w:spacing w:val="6"/>
                <w:kern w:val="48"/>
                <w:sz w:val="21"/>
                <w:szCs w:val="21"/>
                <w:highlight w:val="none"/>
                <w:lang w:val="en-US" w:eastAsia="zh-CN"/>
              </w:rPr>
              <w:t>分标1培训地点为南宁市，分标2-15培训地点为各分标所在地市</w:t>
            </w:r>
            <w:r>
              <w:rPr>
                <w:rFonts w:hint="eastAsia" w:ascii="宋体" w:hAnsi="宋体" w:eastAsia="宋体" w:cs="宋体"/>
                <w:b w:val="0"/>
                <w:bCs w:val="0"/>
                <w:color w:val="auto"/>
                <w:sz w:val="21"/>
                <w:szCs w:val="21"/>
                <w:highlight w:val="none"/>
                <w:lang w:val="zh-CN" w:eastAsia="zh-CN"/>
              </w:rPr>
              <w:t>。</w:t>
            </w:r>
          </w:p>
          <w:p>
            <w:pPr>
              <w:numPr>
                <w:ilvl w:val="0"/>
                <w:numId w:val="0"/>
              </w:numPr>
              <w:spacing w:line="580" w:lineRule="exact"/>
              <w:ind w:firstLine="446" w:firstLineChars="200"/>
              <w:rPr>
                <w:rFonts w:hint="eastAsia" w:ascii="宋体" w:hAnsi="宋体" w:eastAsia="宋体" w:cs="宋体"/>
                <w:b/>
                <w:bCs/>
                <w:color w:val="auto"/>
                <w:spacing w:val="6"/>
                <w:kern w:val="48"/>
                <w:sz w:val="21"/>
                <w:szCs w:val="21"/>
                <w:highlight w:val="none"/>
                <w:lang w:val="zh-CN" w:eastAsia="zh-CN"/>
              </w:rPr>
            </w:pPr>
            <w:r>
              <w:rPr>
                <w:rFonts w:hint="eastAsia" w:ascii="宋体" w:hAnsi="宋体" w:eastAsia="宋体" w:cs="宋体"/>
                <w:b/>
                <w:bCs/>
                <w:color w:val="auto"/>
                <w:spacing w:val="6"/>
                <w:kern w:val="48"/>
                <w:sz w:val="21"/>
                <w:szCs w:val="21"/>
                <w:highlight w:val="none"/>
                <w:lang w:val="en-US" w:eastAsia="zh-CN"/>
              </w:rPr>
              <w:t>三、</w:t>
            </w:r>
            <w:r>
              <w:rPr>
                <w:rFonts w:hint="eastAsia" w:ascii="宋体" w:hAnsi="宋体" w:eastAsia="宋体" w:cs="宋体"/>
                <w:b/>
                <w:bCs/>
                <w:color w:val="auto"/>
                <w:spacing w:val="6"/>
                <w:kern w:val="48"/>
                <w:sz w:val="21"/>
                <w:szCs w:val="21"/>
                <w:highlight w:val="none"/>
                <w:lang w:val="zh-CN" w:eastAsia="zh-CN"/>
              </w:rPr>
              <w:t>供应商工作要求：</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所在地需具有满足开展培训所需的教学场地、设施、设备和教材、图书、资料等。教学场地和设施设备符合有关国家技术和安全规定。有突发情况应急安全保障预案，每个教室、实习场地有消防安全监控设备。教学过程中场所必须固定，更改教学地点必须取得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2.结合退役士兵就业创业需求，科学设置培训项目、制定培训目标和教学计划，优化课程设置，改进教学办法，保证教学质量。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3.规范招生行为，招生简章和宣传内容应当具体、明确、真实，并向采购人报备。所开设课程和培训质量应符合招标简章或宣传承诺。</w:t>
            </w:r>
          </w:p>
          <w:p>
            <w:pPr>
              <w:spacing w:line="5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4.建立健立教学管理制度、学员管理制度、安全管理制度和突发事件应急预案，加强管理，防范和化解各类安全风险。</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5.负责组织实施教学计划中的各项培训内容，如有改动，须经采购人同意。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配备专业的培训管理团队，加强学员管理。充分调动和整合各方优质资源，提供良好教学（场地、设施）和后勤（食宿、体育活动场地等）保障条件。严格考勤管理，实行出勤签到制度；严格培训考核评价，对按要求完成培训学习并经考核合格的参训学员颁发培训结业证书。</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7.负责根据培训计划要求选择教师，经采购人确认后按时选派授课，如需变更应征得采购人同意。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8.负责印制学员培训资料、培训手册。</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9.负责派专人协助采购人的食宿安排及日常管理。</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10.负责培训过程的课务监督和授课质量检查。</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11.负责学员在校期间的安全管理，每天有随堂老师跟班。</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教育培训的结业考试由入围培训机构根据有关现行规定统一组织实施。定点教育培训机构应按国家有关规定对退役士兵进行考试考核，并组织其参加职业技能鉴定考试。经考试合格的退役士兵，由教育培训机构颁发相关行业主管部门核发职业培训证书或职业资格证书。</w:t>
            </w:r>
          </w:p>
          <w:p>
            <w:pPr>
              <w:spacing w:line="5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13.根据培训专业推荐参训学员就业，提倡开展“入学即入职”式培训，并开展不少于一年的就业稳定性跟踪调查。</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14.负责收集归档材料:学员签到、考勤表签到、培训申请表、学员身份证复印件、退伍证复印件、学员手册、课程安排表、培训合格证、培训开支单据表、培训过程图片、财务报帐凭证、票据等。</w:t>
            </w:r>
          </w:p>
          <w:p>
            <w:pPr>
              <w:spacing w:line="360" w:lineRule="exact"/>
              <w:ind w:firstLine="446" w:firstLineChars="200"/>
              <w:jc w:val="left"/>
              <w:rPr>
                <w:rFonts w:hint="eastAsia" w:ascii="宋体" w:hAnsi="宋体" w:eastAsia="宋体" w:cs="宋体"/>
                <w:b/>
                <w:bCs/>
                <w:color w:val="auto"/>
                <w:spacing w:val="6"/>
                <w:kern w:val="48"/>
                <w:sz w:val="21"/>
                <w:szCs w:val="21"/>
                <w:highlight w:val="none"/>
              </w:rPr>
            </w:pPr>
            <w:r>
              <w:rPr>
                <w:rFonts w:hint="eastAsia" w:ascii="宋体" w:hAnsi="宋体" w:eastAsia="宋体" w:cs="宋体"/>
                <w:b/>
                <w:bCs/>
                <w:color w:val="auto"/>
                <w:spacing w:val="6"/>
                <w:kern w:val="48"/>
                <w:sz w:val="21"/>
                <w:szCs w:val="21"/>
                <w:highlight w:val="none"/>
                <w:lang w:val="en-US" w:eastAsia="zh-CN"/>
              </w:rPr>
              <w:t>四、</w:t>
            </w:r>
            <w:r>
              <w:rPr>
                <w:rFonts w:hint="eastAsia" w:ascii="宋体" w:hAnsi="宋体" w:eastAsia="宋体" w:cs="宋体"/>
                <w:b/>
                <w:bCs/>
                <w:color w:val="auto"/>
                <w:spacing w:val="6"/>
                <w:kern w:val="48"/>
                <w:sz w:val="21"/>
                <w:szCs w:val="21"/>
                <w:highlight w:val="none"/>
              </w:rPr>
              <w:t>服务质量要求</w:t>
            </w:r>
          </w:p>
          <w:p>
            <w:pPr>
              <w:spacing w:line="580" w:lineRule="exact"/>
              <w:ind w:firstLine="420" w:firstLineChars="200"/>
              <w:rPr>
                <w:rFonts w:hint="eastAsia" w:ascii="Times New Roman" w:hAnsi="Times New Roman" w:eastAsia="宋体" w:cs="Times New Roman"/>
                <w:color w:val="auto"/>
                <w:highlight w:val="none"/>
              </w:rPr>
            </w:pPr>
            <w:r>
              <w:rPr>
                <w:rFonts w:hint="eastAsia" w:ascii="宋体" w:hAnsi="宋体" w:eastAsia="宋体" w:cs="宋体"/>
                <w:color w:val="auto"/>
                <w:sz w:val="21"/>
                <w:szCs w:val="21"/>
                <w:highlight w:val="none"/>
                <w:lang w:val="en-US" w:eastAsia="zh-CN"/>
              </w:rPr>
              <w:t>为实现采购人对服务质量进行有效掌控，中标人在提供服务的过程中，采购人根据双方约定的服务质量协议，对其服务质量进行考核评估，对服务质量不达标的内容提出整改意见和整改期限，中标人须按照采购人提出的整改意见和期限进行整改。若出现整改仍不达标或超时限，采购人保留采取进一步处罚措施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全区自主就业退役士兵职业技能培训（南宁）</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全区自主就业退役士兵职业技能培训（柳州）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全区自主就业退役士兵职业技能培训（桂林）</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全区自主就业退役士兵职业技能培训（梧州）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全区自主就业退役士兵职业技能培训（北海）</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全区自主就业退役士兵职业技能培训（防城港）</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全区自主就业退役士兵职业技能培训（钦州）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全区自主就业退役士兵职业技能培训（贵港）</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全区自主就业退役士兵职业技能培训（玉林）</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全区自主就业退役士兵职业技能培训（百色）</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全区自主就业退役士兵职业技能培训（贺州）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全区自主就业退役士兵职业技能培训（河池）</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全区自主就业退役士兵职业技能培训（来宾）</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全区自主就业退役士兵职业技能培训（崇左）</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1项</w:t>
            </w:r>
          </w:p>
        </w:tc>
        <w:tc>
          <w:tcPr>
            <w:tcW w:w="779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自中标通知书发出之日起25日内。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期限及地点</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1.服务期限：自合同签订之日起至2025年12月30日</w:t>
            </w:r>
          </w:p>
          <w:p>
            <w:pPr>
              <w:widowControl w:val="0"/>
              <w:numPr>
                <w:ilvl w:val="0"/>
                <w:numId w:val="0"/>
              </w:numPr>
              <w:spacing w:beforeLines="0" w:afterLines="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2.培训地点：各分标中标人提供的培训地点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培训经费按实际参训学员人数计算。开班前中标人应向采购人申请开班，采购人同意后方可开展培训。培训结束后，待采购人验收合格后，将培训费用支付给承训机构。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1.本项目为采用固定价格采购的项目，价格不列为评审因素，每个培训工种的单价按采购人公布的标准执行。</w:t>
            </w:r>
            <w:r>
              <w:rPr>
                <w:rFonts w:hint="eastAsia" w:ascii="宋体" w:hAnsi="宋体" w:eastAsia="宋体" w:cs="宋体"/>
                <w:b/>
                <w:bCs/>
                <w:color w:val="auto"/>
                <w:kern w:val="2"/>
                <w:sz w:val="21"/>
                <w:szCs w:val="21"/>
                <w:highlight w:val="none"/>
                <w:lang w:val="en-US" w:eastAsia="zh-CN" w:bidi="ar-SA"/>
              </w:rPr>
              <w:t>供应商需以分标预算作为开标一览表中的投标总报价。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购人公布的单价是履行合同的最终价格，包含学杂费、职业技能鉴定费以及培训场地费、培训资料费、师资费、考证费、推荐就业费、必要的保险费和各项税金、售后服务所产生的费用，采购人不再另行支付有关培训时产生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1.质量保证期：自服务期满并验收合格之日止。</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2.处理问题响应时间：供应商确保培训期间提供7×24小时的电话支持服务，通过电话、短信、即时通讯工具、电子邮件等及时解决培训中各种问题，一旦出现电话解决不了的问题，2小时内到达指定地点解决。</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3.其他：提供学员培训调查问卷表,帮助采购人开展后续相关管理工作。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机构在培训结束后，组织培训人员进行相关专业考核并颁发考核证书，并都获得行业主管部门核发职业培训证书或职业资格证书，推荐就业率达100%，服务对象满意度达90%（含）以上，培训机构向采购人出具相关验收资料，采购人评定验收结果，对评定内容填写培训验收意见书，验收合格的，签署合格意见，并告知培训机构，双方共同签署验收报告，验收不合格的，告知培训机构不通过理由，并给予整改时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签订合同后，必须在培训项目实施10个工作日前根据培训对象实际情况制定完善具体的实施方案，对培训项目训前、训中、训后各阶段在时间节点、进度控制、组织管理、质量要求等方面提出明确具体的安排，经征集人同意后组织实施。</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2.未经征集人同意，中标人不得向第三方转让合同项下全部或部分服务内容，如擅自转让合同项下全部或部分服务内容，则视为中标人违约。按照合同相关违约条款约定处理。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3.合同履行期间，如入围供应商存在违法行为，在政府采购监督管理部门调查期间、被行政处罚期间，征集人可视情况中止合同，并延期支付培训经费。</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4.中标人需服从征集人的指导和监督，积极主动开展培训工作，不得弄虚作假。</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5.中标供应商对开展项目过程中所取得的信息数据和内容保密，不得泄露工作中所接触获得的信息，不得利用项目数据为自己或第三方谋取利益。</w:t>
            </w:r>
          </w:p>
        </w:tc>
      </w:tr>
    </w:tbl>
    <w:p>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5F006"/>
    <w:multiLevelType w:val="singleLevel"/>
    <w:tmpl w:val="1FF5F0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TE4Y2EwNGUwNTA5ZTk0ODVmYmYwNWU3YjQyYWUifQ=="/>
  </w:docVars>
  <w:rsids>
    <w:rsidRoot w:val="65F10391"/>
    <w:rsid w:val="65F1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2025-05-06T09:21:00Z</dcterms:created>
  <dc:creator>欧明聪</dc:creator>
  <cp:lastModifiedBy>欧明聪</cp:lastModifiedBy>
  <dcterms:modified xsi:type="dcterms:W3CDTF">2025-05-06T09:21:52Z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313C7628E8B146FC90D7FD997060AD1D_11</vt:lpwstr>
  </property>
</Properties>
</file>