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pacing w:before="340" w:after="330" w:line="578" w:lineRule="auto"/>
        <w:jc w:val="center"/>
        <w:outlineLvl w:val="0"/>
        <w:rPr>
          <w:rFonts w:hint="eastAsia" w:ascii="Cambria" w:hAnsi="Cambria" w:eastAsia="宋体" w:cs="Times New Roman"/>
          <w:b/>
          <w:bCs w:val="0"/>
          <w:color w:val="auto"/>
          <w:kern w:val="44"/>
          <w:sz w:val="32"/>
          <w:szCs w:val="32"/>
          <w:highlight w:val="none"/>
          <w:lang w:val="en-US" w:eastAsia="zh-CN" w:bidi="ar-SA"/>
        </w:rPr>
      </w:pPr>
      <w:r>
        <w:rPr>
          <w:rFonts w:hint="eastAsia" w:ascii="Cambria" w:hAnsi="Cambria" w:eastAsia="宋体" w:cs="Times New Roman"/>
          <w:b/>
          <w:bCs w:val="0"/>
          <w:color w:val="auto"/>
          <w:kern w:val="44"/>
          <w:sz w:val="32"/>
          <w:szCs w:val="32"/>
          <w:highlight w:val="none"/>
          <w:lang w:val="en-US" w:eastAsia="zh-CN" w:bidi="ar-SA"/>
        </w:rPr>
        <w:t>采购需求</w:t>
      </w:r>
    </w:p>
    <w:p>
      <w:pPr>
        <w:spacing w:line="420" w:lineRule="exact"/>
        <w:jc w:val="left"/>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说明：</w:t>
      </w:r>
    </w:p>
    <w:p>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t>1. 为落实政府采购政策需满足的要求：</w:t>
      </w:r>
    </w:p>
    <w:p>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（1）本竞争性磋商文件所称中小企业必须符合《政府采购促进中小企业发展管理办法》（财库〔2020〕46号）的规定。</w:t>
      </w:r>
    </w:p>
    <w:p>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eastAsia="宋体" w:cs="宋体"/>
          <w:b/>
          <w:bCs/>
          <w:color w:val="auto"/>
          <w:szCs w:val="21"/>
          <w:highlight w:val="none"/>
        </w:rPr>
        <w:t>供应商必须在响应文件中提供所竞标产品有效期内的节能产品认证证书复印件（加盖供应商公章），否则响应文件</w:t>
      </w:r>
      <w:r>
        <w:rPr>
          <w:rFonts w:hint="eastAsia" w:ascii="宋体" w:hAnsi="宋体" w:eastAsia="宋体" w:cs="宋体"/>
          <w:b/>
          <w:bCs/>
          <w:color w:val="auto"/>
          <w:szCs w:val="21"/>
          <w:highlight w:val="none"/>
          <w:lang w:eastAsia="zh-CN"/>
        </w:rPr>
        <w:t>按无效</w:t>
      </w:r>
      <w:r>
        <w:rPr>
          <w:rFonts w:hint="eastAsia" w:ascii="宋体" w:hAnsi="宋体" w:eastAsia="宋体" w:cs="宋体"/>
          <w:b/>
          <w:bCs/>
          <w:color w:val="auto"/>
          <w:szCs w:val="21"/>
          <w:highlight w:val="none"/>
        </w:rPr>
        <w:t>处理</w:t>
      </w:r>
      <w:r>
        <w:rPr>
          <w:rFonts w:hint="eastAsia" w:ascii="宋体" w:hAnsi="宋体" w:eastAsia="宋体" w:cs="宋体"/>
          <w:color w:val="auto"/>
          <w:szCs w:val="21"/>
          <w:highlight w:val="none"/>
        </w:rPr>
        <w:t xml:space="preserve">。如本项目包含的配套货物属于品目清单内非标注“★”的产品时，应优先采购，具体详见“第四章 </w:t>
      </w:r>
      <w:r>
        <w:rPr>
          <w:rFonts w:hint="eastAsia" w:ascii="宋体" w:hAnsi="宋体" w:eastAsia="宋体" w:cs="宋体"/>
          <w:color w:val="auto"/>
          <w:highlight w:val="none"/>
          <w:u w:val="single"/>
        </w:rPr>
        <w:t>评审程序、评审方法和评审标准</w:t>
      </w:r>
      <w:r>
        <w:rPr>
          <w:rFonts w:hint="eastAsia" w:ascii="宋体" w:hAnsi="宋体" w:eastAsia="宋体" w:cs="宋体"/>
          <w:color w:val="auto"/>
          <w:szCs w:val="21"/>
          <w:highlight w:val="none"/>
        </w:rPr>
        <w:t>”。</w:t>
      </w:r>
    </w:p>
    <w:p>
      <w:pPr>
        <w:spacing w:line="420" w:lineRule="exact"/>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2.“实质性要求”是指磋商文件中已经指明不满足则响应文件按无效响应处理的条款，或者不能负偏离的条款，或者采购需求中带“▲”的条款。</w:t>
      </w:r>
    </w:p>
    <w:p>
      <w:pPr>
        <w:widowControl w:val="0"/>
        <w:spacing w:line="420" w:lineRule="exact"/>
        <w:ind w:firstLine="420" w:firstLineChars="20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4"/>
          <w:highlight w:val="none"/>
          <w:lang w:val="en-US" w:eastAsia="zh-CN" w:bidi="ar-SA"/>
        </w:rPr>
        <w:t>如竞标产品存在侵犯他人的知识产权或者专利成果行为的，应承担相应法律责任。</w:t>
      </w:r>
    </w:p>
    <w:p>
      <w:pPr>
        <w:tabs>
          <w:tab w:val="left" w:pos="180"/>
          <w:tab w:val="left" w:pos="1620"/>
        </w:tabs>
        <w:spacing w:line="420" w:lineRule="exact"/>
        <w:ind w:firstLine="420" w:firstLineChars="200"/>
        <w:rPr>
          <w:rFonts w:hint="eastAsia" w:ascii="宋体" w:hAnsi="宋体" w:eastAsia="宋体" w:cs="宋体"/>
          <w:color w:val="auto"/>
          <w:highlight w:val="none"/>
        </w:rPr>
      </w:pPr>
      <w:r>
        <w:rPr>
          <w:rFonts w:hint="eastAsia" w:ascii="Calibri" w:hAnsi="Calibri" w:eastAsia="宋体" w:cs="Times New Roman"/>
          <w:color w:val="auto"/>
          <w:highlight w:val="none"/>
        </w:rPr>
        <w:t>4.</w:t>
      </w:r>
      <w:r>
        <w:rPr>
          <w:rFonts w:hint="eastAsia" w:ascii="Calibri" w:hAnsi="Calibri" w:eastAsia="宋体" w:cs="Times New Roman"/>
          <w:color w:val="auto"/>
          <w:highlight w:val="none"/>
          <w:lang w:val="en-US" w:eastAsia="zh-CN"/>
        </w:rPr>
        <w:t>所有分标</w:t>
      </w:r>
      <w:r>
        <w:rPr>
          <w:rFonts w:hint="eastAsia" w:ascii="宋体" w:hAnsi="宋体" w:eastAsia="宋体" w:cs="宋体"/>
          <w:color w:val="auto"/>
          <w:highlight w:val="none"/>
        </w:rPr>
        <w:t>采购内容所属行业：</w:t>
      </w:r>
      <w:r>
        <w:rPr>
          <w:rFonts w:ascii="Times New Roman" w:hAnsi="Times New Roman" w:eastAsia="宋体" w:cs="Times New Roman"/>
          <w:color w:val="auto"/>
          <w:szCs w:val="21"/>
          <w:highlight w:val="none"/>
        </w:rPr>
        <w:t>其他未列明行业</w:t>
      </w:r>
    </w:p>
    <w:p>
      <w:pPr>
        <w:tabs>
          <w:tab w:val="left" w:pos="180"/>
          <w:tab w:val="left" w:pos="1620"/>
        </w:tabs>
        <w:spacing w:line="420" w:lineRule="exact"/>
        <w:ind w:firstLine="42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5.服务内容和标准：</w:t>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6"/>
        <w:gridCol w:w="1060"/>
        <w:gridCol w:w="850"/>
        <w:gridCol w:w="1907"/>
        <w:gridCol w:w="1948"/>
        <w:gridCol w:w="908"/>
        <w:gridCol w:w="1029"/>
        <w:gridCol w:w="1029"/>
        <w:gridCol w:w="6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产品名称</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具体产品名称</w:t>
            </w:r>
          </w:p>
        </w:tc>
        <w:tc>
          <w:tcPr>
            <w:tcW w:w="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检验项目</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执行标准</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抽检单价（元）</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预算金额（元）</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分标预算金额合计（元）</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分标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卡式炉</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卡式炉</w:t>
            </w: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外观、通用结构-一般要求、通用结构-燃气连接、燃气系统气密性、火焰传递、火焰状态、熄火保护装置性能、点火器性能</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GB/T 38522-2020</w:t>
            </w:r>
          </w:p>
        </w:tc>
        <w:tc>
          <w:tcPr>
            <w:tcW w:w="4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2200</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286000</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705500</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消防自救呼吸器</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过滤式消防自救呼吸器</w:t>
            </w: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佩戴质量、材料阻燃性能、连接强度、结构、金属材料表面质量、橡塑材料老化性能、一氧化碳防护性能</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GB 21976.7-2012</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电子秤</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电子秤</w:t>
            </w: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电气安全要求-保护接地端的导电能力、称重结果的示值：打印装置、称重结果的示值：存储装置、皮重装置（除皮）：运行的可见性、零售商品用秤附加要求：可见性</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GB/T 7722-2020</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安全带</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安全带</w:t>
            </w: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总体结构、组成与设计、阻燃性能、金属零部件耐腐蚀性能、耐化学品性能</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GB 6095-2021</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商品煤</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民用散煤</w:t>
            </w: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全硫、灰分、挥发分、煤粉含量、汞含量</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GB 34169-2017</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民用型煤</w:t>
            </w: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全硫、挥发分、发热量、汞含量、落下强度、25mm孔限下率</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GB 34170-2017 </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褐煤</w:t>
            </w: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发热量、全水分、灰分、全硫、煤粉含量、汞含量</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GB/T 31862-2015</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电子门锁</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电子防盗锁</w:t>
            </w: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外观、使用权限管理、输入错误报警、防拆报警、信息上传、使用时限设置、访问控制、胁迫报警、主锁舌伸出长度、主锁舌灵活度、抗电强度、绝缘电阻、泄漏电流</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GA 374-2019</w:t>
            </w:r>
          </w:p>
        </w:tc>
        <w:tc>
          <w:tcPr>
            <w:tcW w:w="4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2500</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339500</w:t>
            </w: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锁具</w:t>
            </w: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绝缘电阻、泄漏电流、抗电强度、安全性要求(过压运行)、电源性能（电池容量，欠压，电源适应性）、防破坏报警试验</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GB 21556-2008</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家用可燃气体探测器</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家用可燃气体探测器</w:t>
            </w: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外观检查、报警动作值试验、方位试验、绝缘电阻试验、电气强度试验、高温（运行）试验、跌落试验、标志</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GB 15322.2-2019</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电动自行车用动力电池</w:t>
            </w:r>
          </w:p>
        </w:tc>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电动自行车用锂离子蓄电池组</w:t>
            </w: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外观、I2（A）放电、极性标志、低温放电、过充电、过放电保护、短路保护、放电过流保护</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GB/T 36972-2018</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1"/>
                <w:szCs w:val="21"/>
                <w:highlight w:val="none"/>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1"/>
                <w:szCs w:val="21"/>
                <w:highlight w:val="none"/>
                <w:u w:val="none"/>
              </w:rPr>
            </w:pP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外观、极性标志、过充电、过放电、自由跌落、浸水</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QB/T 2947.3-2008 </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换电柜</w:t>
            </w: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换电柜要求-表面要求（测a、b、c、e）、充电仓要求-仓门要求、换电柜要求-通信范围、换电柜要求-网络连接与数据传输要求、换电柜要求-外部接口通信功能、换电柜要求-人机交互功能、换电柜要求-接地要求、换电柜要求-电气绝缘性能（绝缘电阻、工频耐压）</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GB/T 42236.1-2022</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建筑保温材料</w:t>
            </w: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建筑用金属面绝热夹芯板</w:t>
            </w: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外观质量、尺寸偏差（宽度、厚度）、剥离性能、彩色涂层钢板厚度、压型钢板厚度、芯材密度、聚苯乙烯泡沫塑料导热系数</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GB/T 23932-2009  </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绝热用挤塑聚苯乙烯泡沫塑料(XPS)</w:t>
            </w: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外观、压缩强度、吸水率、导热系数、热阻、尺寸稳定性、燃烧性能</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GB/T 10801.2-2018</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GB 8624-2012</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绝热用模塑聚苯乙烯泡沫塑料(EPS)</w:t>
            </w: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外观要求、压缩强度、尺寸稳定性、吸水率、熔结性、表观密度偏差、导热系数、燃烧性能</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GB/T 10801.1-2021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GB 8624-2012</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建筑外墙外保温用岩棉制品</w:t>
            </w: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外观、密度偏差、尺寸稳定性、导热系数（平均温度25℃）、压缩强度、燃烧性能</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GB/T 25975-2018 </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建筑用岩棉绝热制品</w:t>
            </w: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外观、密度偏差、导热系数（平均温度25℃）、压缩强度、燃烧性能</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GB/T 19686-2015</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危化品包装物及容器</w:t>
            </w: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塑料容器</w:t>
            </w: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容量偏差、长度尺寸偏差、宽度尺寸偏差、高度尺寸偏差、口径尺寸偏差、外观要求</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GB 18191-2008</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机动车儿童乘员用约束系统（儿童安全座椅）</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机动车儿童乘员用约束系统（儿童安全座椅）</w:t>
            </w: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在车辆上的定位及固定、材料的燃烧特性、结构、温度限制、带扣、调节装置</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GB 27887-2011</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无人机</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无人机</w:t>
            </w: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机体结构、锂离子电池动力能源(标识和警示说明)、氢燃料电池动力系统-标识和警示说明、防差错</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GB 42590-2023</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4000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80000</w:t>
            </w: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13</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笔记本电脑</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笔记本电脑</w:t>
            </w: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导体的固定、电气间隙、爬电距离、抗电强度试验、保护连接系统的电阻、预期的接触电压、接触电流和保护导体电流、热灼伤（接触温度限值）、电源端子骚扰电压、或交流电源端口的传导发射、电信端口的传导共模骚扰、或不对称模式传导发射、辐射骚扰（1GHz以下）、或1GHz以下辐射发射、辐射骚扰（1GHz以上）、或1GHz以上辐射发射、谐波电流、典型能源消耗（能效等级）、噪声</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GB 4943.1—2022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GB 17625.1—2022</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GB 28380—2012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GB/T 9254.1—2021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GB/T 9813.2—2016</w:t>
            </w:r>
          </w:p>
        </w:tc>
        <w:tc>
          <w:tcPr>
            <w:tcW w:w="4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4500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135000</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655000</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14</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台式微型计算机</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台式微型计算机</w:t>
            </w: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导体的固定、电气间隙、爬电距离、抗电强度试验、保护连接系统的电阻、预期的接触电压、接触电流和保护导体电流、热灼伤（接触温度限值）、电源端子骚扰电压、或交流电源端口的传导发射、电信端口的传导共模骚扰、或不对称模式传导发射、辐射骚扰（1GHz以下）、或1GHz以下辐射发射、辐射骚扰（1GHz以上）、或1GHz以上辐射发射、谐波电流、典型能源消耗（能效等级）、噪声</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GB 4943.1—2022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GB 17625.1—2022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GB 28380—2012</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GB/T 9254.1—2021</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GB/T 9813.1—2016</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1"/>
                <w:szCs w:val="21"/>
                <w:highlight w:val="none"/>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学生文具</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学生文具</w:t>
            </w: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美术用品：可迁移元素的限量、可触及的塑料件中邻苯二甲酸酯增塑剂的限量、笔套安全；</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书写笔：可迁移元素的限量、可触及的塑料件中邻苯二甲酸酯增塑剂的限量、笔套安全；</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记号笔：可迁移元素的限量、可触及的塑料件中邻苯二甲酸酯增塑剂的限量、笔套安全；</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橡皮擦：迁移元素的限量、可触及的塑料件中邻苯二甲酸酯增塑剂的限量；</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涂改制品：可迁移元素的限量、苯的含量、氯代烃、可触及的塑料件中邻苯二甲酸酯增塑剂的限量、笔套安全；</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胶黏剂：游离甲醛、苯、甲苯+二甲苯、总挥发性有机物、丙烯酰胺、可触及的塑料件中邻苯二甲酸酯增塑剂的限量；</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笔袋：可迁移元素的限量、游离甲醛含量、可分解有害芳香胺染料、可触及的塑料件中邻苯二甲酸酯增塑剂的限量；</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卷削类文具、绘图仪尺、学生圆规、文具盒：可迁移元素的限量、可触及的塑料件中邻苯二甲酸酯增塑剂的限量、边缘、尖端；</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课业簿册：可迁移元素的限量、D65亮度、D65荧光亮度；</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书套：可迁移元素的限量、可触及的塑料件中邻苯二甲酸酯增塑剂的限量；</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彩泥：可迁移元素的限量、可触及的塑料件中邻苯二甲酸酯增塑剂的限量、游离甲醛的限量；</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GB 21027-2020</w:t>
            </w:r>
          </w:p>
        </w:tc>
        <w:tc>
          <w:tcPr>
            <w:tcW w:w="4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2200</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352000</w:t>
            </w: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16</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读写作业台灯</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读写作业台灯</w:t>
            </w: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结构、外部接线和内部接线、防触电保护、耐久性试验、耐热、耐燃烧和防引燃、骚扰电压、辐射骚扰（30MHz~1GHz）、谐波电流、显色性、视网膜蓝光危害、波动深度和瞬态光伪像、遮光性和防眩光、照度及照度均匀度、噪声</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GB 7000.1—2015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GB 7000.204—2008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GB 7000.4-2007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GB 17625.1—2022</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GB/T 17743—2021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GB/T 9473—2022 </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17</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儿童鞋</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儿童鞋</w:t>
            </w: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儿童旅游鞋:标识、帮底剥离强度或底墙与帮面剥离强度、成鞋耐折性能、外底耐磨性能、外底硬度、衬里和内垫摩擦色牢度、皮革和毛皮中的六价铬、可分解有害芳香胺染料、甲醛、重金属总量（砷、铅、镉）、邻苯二甲酸酯。儿童皮鞋:标识、耐折性能、耐磨性能、剥离强度、外底硬度、衬里和内垫摩擦色牢度、钢勾心硬度、皮革和毛皮中的六价铬、可分解有害芳香胺染料、甲醛、重金属总量（砷、铅、镉）、邻苯二甲酸酯。布面童胶鞋：标识、外底硬度、磨耗量、衬里和内垫摩擦色牢度、游离甲醛、可分解有害芳香胺染料、重金属总量（砷、铅、镉）</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QB/T 4331-2021、GB 30585-2014、GB/T 25036-2021</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18</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婴幼儿奶嘴</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婴幼儿奶嘴</w:t>
            </w: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总迁移量、高锰酸钾消耗量</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GB4806.2-2015</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19</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婴幼儿用塑料奶瓶</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婴幼儿用塑料奶瓶</w:t>
            </w: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总迁移量、高锰酸钾消耗量、重金属（以Pb计）、脱色试验（限添加了着色剂的产品） 、特定迁移量（以锑计）（限PET材质）、特定迁移总量（以己内酰胺计）（限PA材质）、特定迁移总量（以对苯二甲酸计）（限PET材质）、特定迁移总量（以乙二醇计）（限PET材质）感官要求、容量偏差、抗压变形性能、耐沸水性能、耐热冲击性能</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GB 4806.6—2016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GB 4806.7—2016</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GB 38995—2020 </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儿童玩具</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儿童玩具</w:t>
            </w: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玩具机械物理性能：正常使用、可预见的合理滥用、材料、小零件、某些特定玩具的形状、尺寸及强度、边缘、尖端、突出部件、金属丝和杆件、用于包装或玩具中的塑料袋或塑料薄膜、绳索和弹性绳、孔、间隙、机械装置的可触及性、弹簧、封闭式玩具、仿制防护玩具、弹射玩具、水上玩具、液体填充玩具、口动玩具；</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玩具燃烧性能：一般要求，头戴玩具，化妆服饰，供儿童进入的玩具，具有毛绒或纺织表面的软体填充玩具；</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玩具 特定元素的迁移：可迁移元素最大限量；</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GB 6675.2-2014</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GB 6675.3-2014</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GB 6675.4-2014</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21</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老年鞋</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老年鞋</w:t>
            </w: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老年鞋（旅游鞋）：可分解致癌芳香胺染料、游离或可部分水解的甲醛；</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老年鞋（休闲鞋）：可分解有害芳香胺、游离或可部分水解的甲醛；</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老年鞋（布鞋）：可分解致癌芳香胺染料含量、游离或可部分水解的甲醛含量；</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老年鞋（老年橡塑鞋）：6价铬、可分解有害芳香胺染料、含氯酚（五氯苯酚（PCP）、2,3,5,6—四氯苯酚（TeCP））；                老人鞋：有效跟高、剥离强度、外底耐磨性能、防滑性能、外底硬度、粘扣带抗疲劳性能</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GB/T 15107—2013</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QB/T 2955—2017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QB/T 4329—2012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HG/T 5294—2018                               GB/T 43587-2023</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22</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座便椅(凳)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座便椅(凳)</w:t>
            </w: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外观要求、静载荷试验、稳定性试验、椅座耐冲击试验、便盆容积测量、便盆温度变化试验</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GB/T 24434-2009</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23</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羊毛衫</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羊毛衫、羊绒针织衫</w:t>
            </w:r>
          </w:p>
        </w:tc>
        <w:tc>
          <w:tcPr>
            <w:tcW w:w="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甲醛含量、pH值、可分解致癌芳香胺染料、耐水色牢度、耐酸汗渍色牢度、耐碱汗渍色牢度、耐干摩擦色牢度、耐干洗色牢度、耐皂洗色牢度、耐光色牢度、纤维含量</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GB 18401-2010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GB/T 29862-2013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FZ/T 73005-2012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FZ/T 73005-2021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FZ/T 73018-2012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FZ/T 73018-2021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FZ/T 73034-2009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FZ/T 73034-2021</w:t>
            </w:r>
          </w:p>
        </w:tc>
        <w:tc>
          <w:tcPr>
            <w:tcW w:w="4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2800</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168000</w:t>
            </w: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24</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羽绒被</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羽绒被</w:t>
            </w:r>
          </w:p>
        </w:tc>
        <w:tc>
          <w:tcPr>
            <w:tcW w:w="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甲醛含量、pH值、可分解致癌芳香胺染料、耐水色牢度、耐酸汗渍色牢度、耐碱汗渍色牢度、耐干摩擦色牢度、耐湿摩擦色牢度、纤维含量、羽绒绒子含量、羽绒鸭毛绒含量、羽绒鹅毛绒含量</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GB 18401-2010</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GB/T 29862—2013</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FZ/T 81005—2017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QB/T 1193—2012</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QB/T 1193—2023</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25</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羽绒服</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羽绒服</w:t>
            </w:r>
          </w:p>
        </w:tc>
        <w:tc>
          <w:tcPr>
            <w:tcW w:w="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甲醛含量、pH值、可分解致癌芳香胺染料、耐水色牢度、耐酸汗渍色牢度、耐碱汗渍色牢度、耐干摩擦色牢度、异味、纤维含量、羽绒含绒量、绒子含量、鸭毛（绒）含量、鹅毛绒含量</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GB 18401—2010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GB/T 14272—2021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GB/T 14272—2021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GB/T 29862—2013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FZ/T 73053—2015 </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0"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26</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食品用塑料包装容器工具等制品</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食品用塑料包装容器工具等制品</w:t>
            </w:r>
          </w:p>
        </w:tc>
        <w:tc>
          <w:tcPr>
            <w:tcW w:w="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袋的跌落性能、耐热性、耐高温介质性、甲苯二胺、蒸发残渣、高锰酸钾消耗量、重金属、剂残留量、特定迁移总量、封合强度、内层塑料膜剥离强度、透氧率、挺度、层间剥离、封口剥离力、耐寒性、耐油度、氧气透过率、水蒸气透过率、袋体热合强度、袋口和袋体热合强度、耐压性能、菌落总数、霉菌、酵母菌、大肠菌群、金黄色葡萄球菌、沙门氏菌、志贺氏菌、溶血性链球菌、内层塑料剥离强度、材料与食品接触表面的微生物指标、落镖冲击、直角撕裂强度、气体透过率偏差、透湿量偏差、自粘性（剪切剥离强度）、开卷性、防雾性、卫生指标、柔曲温度、透湿度、加热伸缩率、落球冲击破碎率、邻苯二甲酸二（α-乙基己酯）迁移量、邻苯二甲酸二烯丙酯迁移量、邻苯二甲酸二异壬酯迁移总量、邻苯二甲酸二正丁酯迁移量、提吊试验、跌落试验、漏水性（有要求时）、夹链配合、开启拉力、反复使用、密封试验、悬吊试验、邵氏硬度、感官、尖头吸管尖端角度、异嗅、负重性能、盖体对折性能</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GB/T 10003-2008、GB/T 16958-2008、BB/T 0002-2008、GB/T 20218-2021、GB/T 10004-2008、QB/T 2197-1996、GB/T 19741-2005、QB/T 1871-1993、GB/T 18192-2008、GB/T 18454-2019、GB/T 18706-2008、GB/T 4456-2008、GB/T 10457-2021、GB/T 15267-1994、BB/T 0039-2013、BB/T 0014-2011、QB/T 1956-1994、BB/T 0030-2019、GB/T 16719-2008、QB/T 2471-2000、GB/T 8946-2013、QB/T 1870-2015、GB/T 24693-2009、GB/T 18006.1-2009、GB 4806.7-2023、BB/T 0013-2011、GB/T 17876-2010</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2200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169400</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595400</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27</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人造板</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人造板（细木工板、纤维板、创花板、胶合板、浸渍胶膜纸饰面纤维板和刨花板、浸渍胶膜纸饰面胶合板和细木工板）</w:t>
            </w:r>
          </w:p>
        </w:tc>
        <w:tc>
          <w:tcPr>
            <w:tcW w:w="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含水率、横向静曲强度、浸渍剥离性能、表面胶合强度、胶合强度、浸渍剥离、静曲强度、吸水厚度膨胀率、内结合强度、表面结合强度、表面耐划痕、表面耐磨、表面耐干热、甲醛释放量、弹性模量、表面耐污染腐蚀、表面耐冷热循环、表面耐龟裂、表面耐水蒸气</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GB/T 5849-2016、GB/T 11718-2021、GB/T 4897-2015、GB/T 9846-2015、GB/T 15102-2017、GB/T 34722-2017、GB 18580-2017</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2800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196000</w:t>
            </w: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28</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电线电缆</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电线电缆（现场检验）</w:t>
            </w:r>
          </w:p>
        </w:tc>
        <w:tc>
          <w:tcPr>
            <w:tcW w:w="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CCC 或许可证有效性核验（适用时）、标志、导体结构、导体电阻、绝缘厚度、护套厚度</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GB/T3956-2008</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700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140000</w:t>
            </w: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29</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产品抽样</w:t>
            </w:r>
          </w:p>
        </w:tc>
        <w:tc>
          <w:tcPr>
            <w:tcW w:w="238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食品用塑料包装容器工具等制品、人造板抽样</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300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90000</w:t>
            </w: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2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30</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铝合金建筑型材</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电泳涂漆型材</w:t>
            </w: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化学成分、抗拉强度 R</w:t>
            </w:r>
            <w:r>
              <w:rPr>
                <w:rFonts w:hint="eastAsia" w:ascii="宋体" w:hAnsi="宋体" w:eastAsia="宋体" w:cs="宋体"/>
                <w:i w:val="0"/>
                <w:color w:val="auto"/>
                <w:kern w:val="0"/>
                <w:sz w:val="21"/>
                <w:szCs w:val="21"/>
                <w:highlight w:val="none"/>
                <w:u w:val="none"/>
                <w:vertAlign w:val="subscript"/>
                <w:lang w:val="en-US" w:eastAsia="zh-CN" w:bidi="ar"/>
              </w:rPr>
              <w:t>m</w:t>
            </w:r>
            <w:r>
              <w:rPr>
                <w:rFonts w:hint="eastAsia" w:ascii="宋体" w:hAnsi="宋体" w:eastAsia="宋体" w:cs="宋体"/>
                <w:i w:val="0"/>
                <w:color w:val="auto"/>
                <w:kern w:val="0"/>
                <w:sz w:val="21"/>
                <w:szCs w:val="21"/>
                <w:highlight w:val="none"/>
                <w:u w:val="none"/>
                <w:lang w:val="en-US" w:eastAsia="zh-CN" w:bidi="ar"/>
              </w:rPr>
              <w:t>、规定非比例延伸强度 R</w:t>
            </w:r>
            <w:r>
              <w:rPr>
                <w:rFonts w:hint="eastAsia" w:ascii="宋体" w:hAnsi="宋体" w:eastAsia="宋体" w:cs="宋体"/>
                <w:i w:val="0"/>
                <w:color w:val="auto"/>
                <w:kern w:val="0"/>
                <w:sz w:val="21"/>
                <w:szCs w:val="21"/>
                <w:highlight w:val="none"/>
                <w:u w:val="none"/>
                <w:vertAlign w:val="subscript"/>
                <w:lang w:val="en-US" w:eastAsia="zh-CN" w:bidi="ar"/>
              </w:rPr>
              <w:t>p0.2</w:t>
            </w:r>
            <w:r>
              <w:rPr>
                <w:rFonts w:hint="eastAsia" w:ascii="宋体" w:hAnsi="宋体" w:eastAsia="宋体" w:cs="宋体"/>
                <w:i w:val="0"/>
                <w:color w:val="auto"/>
                <w:kern w:val="0"/>
                <w:sz w:val="21"/>
                <w:szCs w:val="21"/>
                <w:highlight w:val="none"/>
                <w:u w:val="none"/>
                <w:lang w:val="en-US" w:eastAsia="zh-CN" w:bidi="ar"/>
              </w:rPr>
              <w:t>、断后伸长率 A</w:t>
            </w:r>
            <w:r>
              <w:rPr>
                <w:rFonts w:hint="eastAsia" w:ascii="宋体" w:hAnsi="宋体" w:eastAsia="宋体" w:cs="宋体"/>
                <w:i w:val="0"/>
                <w:color w:val="auto"/>
                <w:kern w:val="0"/>
                <w:sz w:val="21"/>
                <w:szCs w:val="21"/>
                <w:highlight w:val="none"/>
                <w:u w:val="none"/>
                <w:vertAlign w:val="subscript"/>
                <w:lang w:val="en-US" w:eastAsia="zh-CN" w:bidi="ar"/>
              </w:rPr>
              <w:t>50mm</w:t>
            </w:r>
            <w:r>
              <w:rPr>
                <w:rFonts w:hint="eastAsia" w:ascii="宋体" w:hAnsi="宋体" w:eastAsia="宋体" w:cs="宋体"/>
                <w:i w:val="0"/>
                <w:color w:val="auto"/>
                <w:kern w:val="0"/>
                <w:sz w:val="21"/>
                <w:szCs w:val="21"/>
                <w:highlight w:val="none"/>
                <w:u w:val="none"/>
                <w:lang w:val="en-US" w:eastAsia="zh-CN" w:bidi="ar"/>
              </w:rPr>
              <w:t>、</w:t>
            </w:r>
            <w:r>
              <w:rPr>
                <w:rFonts w:hint="eastAsia" w:ascii="宋体" w:hAnsi="宋体" w:eastAsia="宋体" w:cs="宋体"/>
                <w:color w:val="auto"/>
                <w:sz w:val="21"/>
                <w:szCs w:val="21"/>
                <w:highlight w:val="none"/>
                <w:u w:val="none"/>
                <w:lang w:val="en-US" w:eastAsia="zh-CN" w:bidi="ar"/>
              </w:rPr>
              <w:t>附着性、</w:t>
            </w:r>
            <w:r>
              <w:rPr>
                <w:rFonts w:hint="eastAsia" w:ascii="宋体" w:hAnsi="宋体" w:eastAsia="宋体" w:cs="宋体"/>
                <w:i w:val="0"/>
                <w:color w:val="auto"/>
                <w:kern w:val="0"/>
                <w:sz w:val="21"/>
                <w:szCs w:val="21"/>
                <w:highlight w:val="none"/>
                <w:u w:val="none"/>
                <w:lang w:val="en-US" w:eastAsia="zh-CN" w:bidi="ar"/>
              </w:rPr>
              <w:t>耐沸水性、耐碱性、耐溶剂性、耐盐雾腐蚀性（CASS）</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GB/T 5237.1-2017、GB/T 5237.3-2017</w:t>
            </w:r>
          </w:p>
        </w:tc>
        <w:tc>
          <w:tcPr>
            <w:tcW w:w="4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2800</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112000</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145000</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喷粉型材</w:t>
            </w: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化学成分、抗拉强度 R</w:t>
            </w:r>
            <w:r>
              <w:rPr>
                <w:rFonts w:hint="eastAsia" w:ascii="宋体" w:hAnsi="宋体" w:eastAsia="宋体" w:cs="宋体"/>
                <w:i w:val="0"/>
                <w:color w:val="auto"/>
                <w:kern w:val="0"/>
                <w:sz w:val="21"/>
                <w:szCs w:val="21"/>
                <w:highlight w:val="none"/>
                <w:u w:val="none"/>
                <w:vertAlign w:val="subscript"/>
                <w:lang w:val="en-US" w:eastAsia="zh-CN" w:bidi="ar"/>
              </w:rPr>
              <w:t>m</w:t>
            </w:r>
            <w:r>
              <w:rPr>
                <w:rFonts w:hint="eastAsia" w:ascii="宋体" w:hAnsi="宋体" w:eastAsia="宋体" w:cs="宋体"/>
                <w:i w:val="0"/>
                <w:color w:val="auto"/>
                <w:kern w:val="0"/>
                <w:sz w:val="21"/>
                <w:szCs w:val="21"/>
                <w:highlight w:val="none"/>
                <w:u w:val="none"/>
                <w:lang w:val="en-US" w:eastAsia="zh-CN" w:bidi="ar"/>
              </w:rPr>
              <w:t>、规定非比例延伸强度 R</w:t>
            </w:r>
            <w:r>
              <w:rPr>
                <w:rFonts w:hint="eastAsia" w:ascii="宋体" w:hAnsi="宋体" w:eastAsia="宋体" w:cs="宋体"/>
                <w:i w:val="0"/>
                <w:color w:val="auto"/>
                <w:kern w:val="0"/>
                <w:sz w:val="21"/>
                <w:szCs w:val="21"/>
                <w:highlight w:val="none"/>
                <w:u w:val="none"/>
                <w:vertAlign w:val="subscript"/>
                <w:lang w:val="en-US" w:eastAsia="zh-CN" w:bidi="ar"/>
              </w:rPr>
              <w:t>p0.2</w:t>
            </w:r>
            <w:r>
              <w:rPr>
                <w:rFonts w:hint="eastAsia" w:ascii="宋体" w:hAnsi="宋体" w:eastAsia="宋体" w:cs="宋体"/>
                <w:i w:val="0"/>
                <w:color w:val="auto"/>
                <w:kern w:val="0"/>
                <w:sz w:val="21"/>
                <w:szCs w:val="21"/>
                <w:highlight w:val="none"/>
                <w:u w:val="none"/>
                <w:lang w:val="en-US" w:eastAsia="zh-CN" w:bidi="ar"/>
              </w:rPr>
              <w:t>、断后伸长率 A</w:t>
            </w:r>
            <w:r>
              <w:rPr>
                <w:rFonts w:hint="eastAsia" w:ascii="宋体" w:hAnsi="宋体" w:eastAsia="宋体" w:cs="宋体"/>
                <w:i w:val="0"/>
                <w:color w:val="auto"/>
                <w:kern w:val="0"/>
                <w:sz w:val="21"/>
                <w:szCs w:val="21"/>
                <w:highlight w:val="none"/>
                <w:u w:val="none"/>
                <w:vertAlign w:val="subscript"/>
                <w:lang w:val="en-US" w:eastAsia="zh-CN" w:bidi="ar"/>
              </w:rPr>
              <w:t>50mm</w:t>
            </w:r>
            <w:r>
              <w:rPr>
                <w:rFonts w:hint="eastAsia" w:ascii="宋体" w:hAnsi="宋体" w:eastAsia="宋体" w:cs="宋体"/>
                <w:i w:val="0"/>
                <w:color w:val="auto"/>
                <w:kern w:val="0"/>
                <w:sz w:val="21"/>
                <w:szCs w:val="21"/>
                <w:highlight w:val="none"/>
                <w:u w:val="none"/>
                <w:lang w:val="en-US" w:eastAsia="zh-CN" w:bidi="ar"/>
              </w:rPr>
              <w:t>、附着性、耐沸水性、耐丝状腐蚀性</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GB/T 5237.1-2017、GB/T 5237.4-2017</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喷漆型材</w:t>
            </w: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化学成分、抗拉强度 R</w:t>
            </w:r>
            <w:r>
              <w:rPr>
                <w:rFonts w:hint="eastAsia" w:ascii="宋体" w:hAnsi="宋体" w:eastAsia="宋体" w:cs="宋体"/>
                <w:i w:val="0"/>
                <w:color w:val="auto"/>
                <w:kern w:val="0"/>
                <w:sz w:val="21"/>
                <w:szCs w:val="21"/>
                <w:highlight w:val="none"/>
                <w:u w:val="none"/>
                <w:vertAlign w:val="subscript"/>
                <w:lang w:val="en-US" w:eastAsia="zh-CN" w:bidi="ar"/>
              </w:rPr>
              <w:t>m</w:t>
            </w:r>
            <w:r>
              <w:rPr>
                <w:rFonts w:hint="eastAsia" w:ascii="宋体" w:hAnsi="宋体" w:eastAsia="宋体" w:cs="宋体"/>
                <w:i w:val="0"/>
                <w:color w:val="auto"/>
                <w:kern w:val="0"/>
                <w:sz w:val="21"/>
                <w:szCs w:val="21"/>
                <w:highlight w:val="none"/>
                <w:u w:val="none"/>
                <w:lang w:val="en-US" w:eastAsia="zh-CN" w:bidi="ar"/>
              </w:rPr>
              <w:t>、规定非比例延伸强度 R</w:t>
            </w:r>
            <w:r>
              <w:rPr>
                <w:rFonts w:hint="eastAsia" w:ascii="宋体" w:hAnsi="宋体" w:eastAsia="宋体" w:cs="宋体"/>
                <w:i w:val="0"/>
                <w:color w:val="auto"/>
                <w:kern w:val="0"/>
                <w:sz w:val="21"/>
                <w:szCs w:val="21"/>
                <w:highlight w:val="none"/>
                <w:u w:val="none"/>
                <w:vertAlign w:val="subscript"/>
                <w:lang w:val="en-US" w:eastAsia="zh-CN" w:bidi="ar"/>
              </w:rPr>
              <w:t>p0.2</w:t>
            </w:r>
            <w:r>
              <w:rPr>
                <w:rFonts w:hint="eastAsia" w:ascii="宋体" w:hAnsi="宋体" w:eastAsia="宋体" w:cs="宋体"/>
                <w:i w:val="0"/>
                <w:color w:val="auto"/>
                <w:kern w:val="0"/>
                <w:sz w:val="21"/>
                <w:szCs w:val="21"/>
                <w:highlight w:val="none"/>
                <w:u w:val="none"/>
                <w:lang w:val="en-US" w:eastAsia="zh-CN" w:bidi="ar"/>
              </w:rPr>
              <w:t>、断后伸长率 A</w:t>
            </w:r>
            <w:r>
              <w:rPr>
                <w:rFonts w:hint="eastAsia" w:ascii="宋体" w:hAnsi="宋体" w:eastAsia="宋体" w:cs="宋体"/>
                <w:i w:val="0"/>
                <w:color w:val="auto"/>
                <w:kern w:val="0"/>
                <w:sz w:val="21"/>
                <w:szCs w:val="21"/>
                <w:highlight w:val="none"/>
                <w:u w:val="none"/>
                <w:vertAlign w:val="subscript"/>
                <w:lang w:val="en-US" w:eastAsia="zh-CN" w:bidi="ar"/>
              </w:rPr>
              <w:t>50mm</w:t>
            </w:r>
            <w:r>
              <w:rPr>
                <w:rFonts w:hint="eastAsia" w:ascii="宋体" w:hAnsi="宋体" w:eastAsia="宋体" w:cs="宋体"/>
                <w:i w:val="0"/>
                <w:color w:val="auto"/>
                <w:kern w:val="0"/>
                <w:sz w:val="21"/>
                <w:szCs w:val="21"/>
                <w:highlight w:val="none"/>
                <w:u w:val="none"/>
                <w:lang w:val="en-US" w:eastAsia="zh-CN" w:bidi="ar"/>
              </w:rPr>
              <w:t>、附着性、耐沸水性、</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GB/T 5237.1-2017、GB/T 5237.5-2017</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隔热型材</w:t>
            </w: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color w:val="auto"/>
                <w:sz w:val="21"/>
                <w:szCs w:val="21"/>
                <w:highlight w:val="none"/>
                <w:u w:val="none"/>
                <w:lang w:val="en-US" w:eastAsia="zh-CN" w:bidi="ar"/>
              </w:rPr>
              <w:t>化学成分、</w:t>
            </w:r>
            <w:r>
              <w:rPr>
                <w:rFonts w:hint="eastAsia" w:ascii="宋体" w:hAnsi="宋体" w:eastAsia="宋体" w:cs="宋体"/>
                <w:i w:val="0"/>
                <w:color w:val="auto"/>
                <w:kern w:val="0"/>
                <w:sz w:val="21"/>
                <w:szCs w:val="21"/>
                <w:highlight w:val="none"/>
                <w:u w:val="none"/>
                <w:lang w:val="en-US" w:eastAsia="zh-CN" w:bidi="ar"/>
              </w:rPr>
              <w:t>抗拉强度 R</w:t>
            </w:r>
            <w:r>
              <w:rPr>
                <w:rFonts w:hint="eastAsia" w:ascii="宋体" w:hAnsi="宋体" w:eastAsia="宋体" w:cs="宋体"/>
                <w:color w:val="auto"/>
                <w:sz w:val="21"/>
                <w:szCs w:val="21"/>
                <w:highlight w:val="none"/>
                <w:u w:val="none"/>
                <w:vertAlign w:val="subscript"/>
                <w:lang w:val="en-US" w:eastAsia="zh-CN" w:bidi="ar"/>
              </w:rPr>
              <w:t>m</w:t>
            </w:r>
            <w:r>
              <w:rPr>
                <w:rFonts w:hint="eastAsia" w:ascii="宋体" w:hAnsi="宋体" w:eastAsia="宋体" w:cs="宋体"/>
                <w:i w:val="0"/>
                <w:color w:val="auto"/>
                <w:kern w:val="0"/>
                <w:sz w:val="21"/>
                <w:szCs w:val="21"/>
                <w:highlight w:val="none"/>
                <w:u w:val="none"/>
                <w:lang w:val="en-US" w:eastAsia="zh-CN" w:bidi="ar"/>
              </w:rPr>
              <w:t>、规定非比例延伸强度 R</w:t>
            </w:r>
            <w:r>
              <w:rPr>
                <w:rFonts w:hint="eastAsia" w:ascii="宋体" w:hAnsi="宋体" w:eastAsia="宋体" w:cs="宋体"/>
                <w:color w:val="auto"/>
                <w:sz w:val="21"/>
                <w:szCs w:val="21"/>
                <w:highlight w:val="none"/>
                <w:u w:val="none"/>
                <w:vertAlign w:val="subscript"/>
                <w:lang w:val="en-US" w:eastAsia="zh-CN" w:bidi="ar"/>
              </w:rPr>
              <w:t>p0.2</w:t>
            </w:r>
            <w:r>
              <w:rPr>
                <w:rFonts w:hint="eastAsia" w:ascii="宋体" w:hAnsi="宋体" w:eastAsia="宋体" w:cs="宋体"/>
                <w:i w:val="0"/>
                <w:color w:val="auto"/>
                <w:kern w:val="0"/>
                <w:sz w:val="21"/>
                <w:szCs w:val="21"/>
                <w:highlight w:val="none"/>
                <w:u w:val="none"/>
                <w:lang w:val="en-US" w:eastAsia="zh-CN" w:bidi="ar"/>
              </w:rPr>
              <w:t>、断后伸长率 A</w:t>
            </w:r>
            <w:r>
              <w:rPr>
                <w:rFonts w:hint="eastAsia" w:ascii="宋体" w:hAnsi="宋体" w:eastAsia="宋体" w:cs="宋体"/>
                <w:color w:val="auto"/>
                <w:sz w:val="21"/>
                <w:szCs w:val="21"/>
                <w:highlight w:val="none"/>
                <w:u w:val="none"/>
                <w:vertAlign w:val="subscript"/>
                <w:lang w:val="en-US" w:eastAsia="zh-CN" w:bidi="ar"/>
              </w:rPr>
              <w:t>50mm</w:t>
            </w:r>
            <w:r>
              <w:rPr>
                <w:rFonts w:hint="eastAsia" w:ascii="宋体" w:hAnsi="宋体" w:eastAsia="宋体" w:cs="宋体"/>
                <w:i w:val="0"/>
                <w:color w:val="auto"/>
                <w:kern w:val="0"/>
                <w:sz w:val="21"/>
                <w:szCs w:val="21"/>
                <w:highlight w:val="none"/>
                <w:u w:val="none"/>
                <w:lang w:val="en-US" w:eastAsia="zh-CN" w:bidi="ar"/>
              </w:rPr>
              <w:t>、纵向剪切试验（室温）</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GB/T 5237.1-2017、GB/T 5237.6-2017、GB/T 28289-2012</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31</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氧化铝及其它铝制品</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变形铝及铝合金圆铸锭</w:t>
            </w: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color w:val="auto"/>
                <w:sz w:val="21"/>
                <w:szCs w:val="21"/>
                <w:highlight w:val="none"/>
                <w:u w:val="none"/>
                <w:lang w:val="en-US" w:eastAsia="zh-CN" w:bidi="ar"/>
              </w:rPr>
              <w:t>化学成分、低倍组织（晶粒度、疏松、非金属夹杂、外来金属夹杂及白斑、初晶、羽毛状晶、光亮晶粒、气孔、铸造裂纹）、</w:t>
            </w:r>
            <w:r>
              <w:rPr>
                <w:rFonts w:hint="eastAsia" w:ascii="宋体" w:hAnsi="宋体" w:eastAsia="宋体" w:cs="宋体"/>
                <w:i w:val="0"/>
                <w:color w:val="auto"/>
                <w:kern w:val="0"/>
                <w:sz w:val="21"/>
                <w:szCs w:val="21"/>
                <w:highlight w:val="none"/>
                <w:u w:val="none"/>
                <w:lang w:val="en-US" w:eastAsia="zh-CN" w:bidi="ar"/>
              </w:rPr>
              <w:t>外观质量</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YS/T 67-2018</w:t>
            </w:r>
          </w:p>
        </w:tc>
        <w:tc>
          <w:tcPr>
            <w:tcW w:w="4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2200</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33000</w:t>
            </w: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电工圆铝杆</w:t>
            </w: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color w:val="auto"/>
                <w:sz w:val="21"/>
                <w:szCs w:val="21"/>
                <w:highlight w:val="none"/>
                <w:u w:val="none"/>
                <w:lang w:val="en-US" w:eastAsia="zh-CN" w:bidi="ar"/>
              </w:rPr>
              <w:t>化学成分、直径允许偏差、</w:t>
            </w:r>
            <w:r>
              <w:rPr>
                <w:rFonts w:hint="eastAsia" w:ascii="宋体" w:hAnsi="宋体" w:eastAsia="宋体" w:cs="宋体"/>
                <w:i w:val="0"/>
                <w:color w:val="auto"/>
                <w:kern w:val="0"/>
                <w:sz w:val="21"/>
                <w:szCs w:val="21"/>
                <w:highlight w:val="none"/>
                <w:u w:val="none"/>
                <w:lang w:val="en-US" w:eastAsia="zh-CN" w:bidi="ar"/>
              </w:rPr>
              <w:t>力学性能、电阻率、外观质量</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GB/T 3954-2022</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铝及铝合金箔</w:t>
            </w: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color w:val="auto"/>
                <w:sz w:val="21"/>
                <w:szCs w:val="21"/>
                <w:highlight w:val="none"/>
                <w:u w:val="none"/>
                <w:lang w:val="en-US" w:eastAsia="zh-CN" w:bidi="ar"/>
              </w:rPr>
              <w:t>化学成分、局部厚度允许偏差、抗拉强度R</w:t>
            </w:r>
            <w:r>
              <w:rPr>
                <w:rFonts w:hint="eastAsia" w:ascii="宋体" w:hAnsi="宋体" w:eastAsia="宋体" w:cs="宋体"/>
                <w:i w:val="0"/>
                <w:color w:val="auto"/>
                <w:kern w:val="0"/>
                <w:sz w:val="21"/>
                <w:szCs w:val="21"/>
                <w:highlight w:val="none"/>
                <w:u w:val="none"/>
                <w:vertAlign w:val="subscript"/>
                <w:lang w:val="en-US" w:eastAsia="zh-CN" w:bidi="ar"/>
              </w:rPr>
              <w:t>m</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GB/T 3198-2020</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无缝圆管</w:t>
            </w: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化学成分、壁厚允许偏差、外径允许偏差、力学性能</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GB/T 4437.1-2023</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一般工业用铝及铝合金板材、带材</w:t>
            </w: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化学成分、室温拉伸力学性能</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fldChar w:fldCharType="begin"/>
            </w:r>
            <w:r>
              <w:rPr>
                <w:rFonts w:hint="eastAsia" w:ascii="宋体" w:hAnsi="宋体" w:eastAsia="宋体" w:cs="宋体"/>
                <w:i w:val="0"/>
                <w:color w:val="auto"/>
                <w:kern w:val="0"/>
                <w:sz w:val="21"/>
                <w:szCs w:val="21"/>
                <w:highlight w:val="none"/>
                <w:u w:val="none"/>
                <w:lang w:val="en-US" w:eastAsia="zh-CN" w:bidi="ar"/>
              </w:rPr>
              <w:instrText xml:space="preserve"> HYPERLINK "http://www.csres.com/detail/176802.html" \o "http://www.csres.com/detail/176802.html" </w:instrText>
            </w:r>
            <w:r>
              <w:rPr>
                <w:rFonts w:hint="eastAsia" w:ascii="宋体" w:hAnsi="宋体" w:eastAsia="宋体" w:cs="宋体"/>
                <w:i w:val="0"/>
                <w:color w:val="auto"/>
                <w:kern w:val="0"/>
                <w:sz w:val="21"/>
                <w:szCs w:val="21"/>
                <w:highlight w:val="none"/>
                <w:u w:val="none"/>
                <w:lang w:val="en-US" w:eastAsia="zh-CN" w:bidi="ar"/>
              </w:rPr>
              <w:fldChar w:fldCharType="separate"/>
            </w:r>
            <w:r>
              <w:rPr>
                <w:rFonts w:hint="eastAsia" w:ascii="宋体" w:hAnsi="宋体" w:eastAsia="宋体" w:cs="宋体"/>
                <w:i w:val="0"/>
                <w:color w:val="auto"/>
                <w:sz w:val="21"/>
                <w:szCs w:val="21"/>
                <w:highlight w:val="none"/>
                <w:u w:val="none"/>
              </w:rPr>
              <w:t>GB/T 3880.1-2023、GB/T 3880.2-2024、GB/T 3880.3-2024</w:t>
            </w:r>
            <w:r>
              <w:rPr>
                <w:rFonts w:hint="eastAsia" w:ascii="宋体" w:hAnsi="宋体" w:eastAsia="宋体" w:cs="宋体"/>
                <w:i w:val="0"/>
                <w:color w:val="auto"/>
                <w:kern w:val="0"/>
                <w:sz w:val="21"/>
                <w:szCs w:val="21"/>
                <w:highlight w:val="none"/>
                <w:u w:val="none"/>
                <w:lang w:val="en-US" w:eastAsia="zh-CN" w:bidi="ar"/>
              </w:rPr>
              <w:fldChar w:fldCharType="end"/>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氧化铝</w:t>
            </w: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三氧化二铝、二氧化硅、三氧化二铁、氧化钠、灼减</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GB/T 24487-2022</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重熔用铝锭</w:t>
            </w: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化学成分（Al、Fe、Si、Cu、Ga、Mg、Zn、V、Ti）</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GB/T 1196-2023</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32</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汽车零部件</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汽车线束</w:t>
            </w: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外观、电路、端子与电线连接、电压降、高温性能</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QC/T29106-2014</w:t>
            </w:r>
          </w:p>
        </w:tc>
        <w:tc>
          <w:tcPr>
            <w:tcW w:w="4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2800</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114600</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114600</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汽车内饰件</w:t>
            </w: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燃烧特性、汞元素、铬元素、溴元素、铅元素、镉元素</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GB 8410-2006、GB/T 30512-2014</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汽车用螺栓</w:t>
            </w: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洛氏(维氏)硬度、抗拉强度</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GB/T 3098.1-2010</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钢丝增强液压橡胶软管和软管组合件</w:t>
            </w: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软管内径、软管外径、验证压力、最大工作压力下软管的长度变化率、低温曲挠性能、最小爆破压力、软管组合件的泄漏、耐真空性能</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GB/T 3683-2023</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33</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橡胶制品</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胶管产品</w:t>
            </w:r>
          </w:p>
        </w:tc>
        <w:tc>
          <w:tcPr>
            <w:tcW w:w="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硬度、拉伸强度、拉断伸长率、脆性温度、耐臭氧试验、热空气老化、黏合强度、规格尺寸及公差、外观</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HG/T 2491-2009</w:t>
            </w:r>
          </w:p>
        </w:tc>
        <w:tc>
          <w:tcPr>
            <w:tcW w:w="4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2800</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112000</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112000</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印刷胶辊</w:t>
            </w:r>
          </w:p>
        </w:tc>
        <w:tc>
          <w:tcPr>
            <w:tcW w:w="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邵尔A硬度、拉伸强度、拉断伸长率、拉断永久变形、耐油质量变化率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HG/T 2287-2008</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造纸胶辊</w:t>
            </w:r>
          </w:p>
        </w:tc>
        <w:tc>
          <w:tcPr>
            <w:tcW w:w="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硬度、拉伸强度、拉断伸长率、拉断永久变形、热空气老化阿克隆磨耗</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HG/T 2446-2016</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轻便型摩托车轮胎</w:t>
            </w:r>
          </w:p>
        </w:tc>
        <w:tc>
          <w:tcPr>
            <w:tcW w:w="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耐久性能、强度性能、外缘尺寸、胎面磨耗标志</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GB 518-2020</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载重汽车轮胎</w:t>
            </w:r>
          </w:p>
        </w:tc>
        <w:tc>
          <w:tcPr>
            <w:tcW w:w="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耐久性能、强度性能、外缘尺寸、胎面磨耗标志</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GB 9744-2015</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轻型载重汽车轮胎</w:t>
            </w:r>
          </w:p>
        </w:tc>
        <w:tc>
          <w:tcPr>
            <w:tcW w:w="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耐久性能、高速性能、强度性能、外缘尺寸、胎面磨耗标志</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GB 9744-2015</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轿车轮胎</w:t>
            </w:r>
          </w:p>
        </w:tc>
        <w:tc>
          <w:tcPr>
            <w:tcW w:w="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耐久性能低气压性能、高速性能、强度性能、脱圈阻力性能、外缘尺寸、胎面磨耗标志</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GB 9743-2015</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耐高温润滑油○形橡胶密封圈</w:t>
            </w:r>
          </w:p>
        </w:tc>
        <w:tc>
          <w:tcPr>
            <w:tcW w:w="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硬度、拉伸强度、拉断伸长率、压缩永久变形、热空气老化、耐液体性能、低温脆性</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HG/T 2021-2014</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普通液压系统用○形橡胶密封圈材料</w:t>
            </w:r>
          </w:p>
        </w:tc>
        <w:tc>
          <w:tcPr>
            <w:tcW w:w="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硬度、拉伸强度、拉断伸长率、压缩永久变形、热空气老化、耐液体性能、低温脆性</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HG/T 2579-2008</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橡胶手套</w:t>
            </w:r>
          </w:p>
        </w:tc>
        <w:tc>
          <w:tcPr>
            <w:tcW w:w="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规格尺寸、外观、老化前拉伸负荷、老化前拉断伸长率、老化后拉伸负荷、老化后拉断伸长率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HG/T 2888-2023</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再生橡胶</w:t>
            </w:r>
          </w:p>
        </w:tc>
        <w:tc>
          <w:tcPr>
            <w:tcW w:w="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外观质量、灰分、门尼粘度、密度、拉伸强度、拉断伸长率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GB/T 13460-2016</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34</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危险化学品包装物及容器</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储存用玻璃钢罐体</w:t>
            </w: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资料检查、外观检验、壁厚检测、硬度检验、压力试验、气密性试验</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HG/T 20696-2018、GB 190-2009、SH/T 3178-2015、SH/T 3177-2015、JC/T 587-2012、JC/T 718-2012、HG/T 21504.1-1992、GB/T 3854-2017、NB/T 47013.7-2012</w:t>
            </w:r>
          </w:p>
        </w:tc>
        <w:tc>
          <w:tcPr>
            <w:tcW w:w="4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6000</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60000</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60000</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储存用钢罐体</w:t>
            </w: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资料检查、外观检验、壁厚检测、压力试验、气密性试验、无损检测</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NB/T 47003.1-2022 、NB/T 47013.1～47013.2-2015、NB/T 47013.3-2023、NB/T 47013.4～47013.5-2015、NB/T 47013.7-2012</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车载常压罐体</w:t>
            </w: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资料检查、外观检验、壁厚检测、压力试验、气密性试验、无损检测</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GB 18564.1-2019、QC/T 932-2018、GB13392-2005、 NB/T 47003.1-2022、NB/T 47013.1～47013.2-2015、NB/T 47013.3-2023、NB/T 47013.4～47013.5-2015、NB/T 47013.7-2012</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合计</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2387500</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2387500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w:t>
            </w:r>
          </w:p>
        </w:tc>
      </w:tr>
    </w:tbl>
    <w:p>
      <w:pPr>
        <w:tabs>
          <w:tab w:val="left" w:pos="180"/>
          <w:tab w:val="left" w:pos="1620"/>
        </w:tabs>
        <w:spacing w:line="420" w:lineRule="exact"/>
        <w:rPr>
          <w:rFonts w:hint="eastAsia" w:ascii="宋体" w:hAnsi="宋体" w:eastAsia="宋体" w:cs="宋体"/>
          <w:b/>
          <w:bCs/>
          <w:color w:val="auto"/>
          <w:highlight w:val="none"/>
          <w:lang w:val="en-US" w:eastAsia="zh-CN"/>
        </w:rPr>
      </w:pPr>
    </w:p>
    <w:p>
      <w:pPr>
        <w:tabs>
          <w:tab w:val="left" w:pos="180"/>
          <w:tab w:val="left" w:pos="1620"/>
        </w:tabs>
        <w:spacing w:line="420" w:lineRule="exact"/>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6.商务要求</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0"/>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0" w:type="dxa"/>
            <w:vAlign w:val="center"/>
          </w:tcPr>
          <w:p>
            <w:pPr>
              <w:tabs>
                <w:tab w:val="left" w:pos="180"/>
                <w:tab w:val="left" w:pos="1620"/>
              </w:tabs>
              <w:spacing w:line="420" w:lineRule="exact"/>
              <w:jc w:val="center"/>
              <w:rPr>
                <w:rFonts w:hint="default" w:ascii="宋体" w:hAnsi="宋体" w:eastAsia="宋体" w:cs="宋体"/>
                <w:color w:val="auto"/>
                <w:highlight w:val="none"/>
                <w:vertAlign w:val="baseline"/>
                <w:lang w:val="en-US" w:eastAsia="zh-CN"/>
              </w:rPr>
            </w:pPr>
            <w:r>
              <w:rPr>
                <w:rFonts w:hint="default" w:ascii="宋体" w:hAnsi="宋体" w:eastAsia="宋体" w:cs="宋体"/>
                <w:color w:val="auto"/>
                <w:highlight w:val="none"/>
                <w:vertAlign w:val="baseline"/>
                <w:lang w:val="en-US" w:eastAsia="zh-CN"/>
              </w:rPr>
              <w:t>报价要求</w:t>
            </w:r>
          </w:p>
        </w:tc>
        <w:tc>
          <w:tcPr>
            <w:tcW w:w="8589" w:type="dxa"/>
          </w:tcPr>
          <w:p>
            <w:pPr>
              <w:numPr>
                <w:ilvl w:val="0"/>
                <w:numId w:val="0"/>
              </w:numPr>
              <w:tabs>
                <w:tab w:val="left" w:pos="180"/>
                <w:tab w:val="left" w:pos="1620"/>
              </w:tabs>
              <w:spacing w:line="420" w:lineRule="exact"/>
              <w:rPr>
                <w:rFonts w:hint="default"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w:t>
            </w:r>
            <w:r>
              <w:rPr>
                <w:rFonts w:hint="default" w:ascii="宋体" w:hAnsi="宋体" w:eastAsia="宋体" w:cs="宋体"/>
                <w:color w:val="auto"/>
                <w:highlight w:val="none"/>
                <w:vertAlign w:val="baseline"/>
                <w:lang w:val="en-US" w:eastAsia="zh-CN"/>
              </w:rPr>
              <w:t>本次报价须为人民币报价，包括完成本项目采购要求、人员要求所产生的全部费用和必要的保险费用和各项税金，以及样品抽取、购买、运输、检验、异议处理、复检（复检结果有变更时）、复查（不合格整改后）等工作费用。</w:t>
            </w:r>
          </w:p>
          <w:p>
            <w:pPr>
              <w:numPr>
                <w:ilvl w:val="0"/>
                <w:numId w:val="0"/>
              </w:numPr>
              <w:tabs>
                <w:tab w:val="left" w:pos="180"/>
                <w:tab w:val="left" w:pos="1620"/>
              </w:tabs>
              <w:spacing w:line="420" w:lineRule="exact"/>
              <w:rPr>
                <w:rFonts w:hint="default"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2.</w:t>
            </w:r>
            <w:r>
              <w:rPr>
                <w:rFonts w:hint="default" w:ascii="宋体" w:hAnsi="宋体" w:eastAsia="宋体" w:cs="宋体"/>
                <w:color w:val="auto"/>
                <w:highlight w:val="none"/>
                <w:vertAlign w:val="baseline"/>
                <w:lang w:val="en-US" w:eastAsia="zh-CN"/>
              </w:rPr>
              <w:t>本项目为固定综合单价合同。各分标的合同结算总金额最高不超过对应分标的预算金额</w:t>
            </w:r>
            <w:r>
              <w:rPr>
                <w:rFonts w:hint="eastAsia" w:ascii="宋体" w:hAnsi="宋体" w:eastAsia="宋体" w:cs="宋体"/>
                <w:color w:val="auto"/>
                <w:highlight w:val="none"/>
                <w:vertAlign w:val="baseline"/>
                <w:lang w:val="en-US" w:eastAsia="zh-CN"/>
              </w:rPr>
              <w:t>。</w:t>
            </w:r>
          </w:p>
          <w:p>
            <w:pPr>
              <w:numPr>
                <w:ilvl w:val="0"/>
                <w:numId w:val="0"/>
              </w:numPr>
              <w:tabs>
                <w:tab w:val="left" w:pos="180"/>
                <w:tab w:val="left" w:pos="1620"/>
              </w:tabs>
              <w:spacing w:line="420" w:lineRule="exact"/>
              <w:rPr>
                <w:rFonts w:hint="default"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3.</w:t>
            </w:r>
            <w:r>
              <w:rPr>
                <w:rFonts w:hint="default" w:ascii="宋体" w:hAnsi="宋体" w:eastAsia="宋体" w:cs="宋体"/>
                <w:color w:val="auto"/>
                <w:highlight w:val="none"/>
                <w:vertAlign w:val="baseline"/>
                <w:lang w:val="en-US" w:eastAsia="zh-CN"/>
              </w:rPr>
              <w:t>本项目</w:t>
            </w:r>
            <w:r>
              <w:rPr>
                <w:rFonts w:hint="eastAsia" w:ascii="宋体" w:hAnsi="宋体" w:eastAsia="宋体" w:cs="宋体"/>
                <w:color w:val="auto"/>
                <w:highlight w:val="none"/>
                <w:vertAlign w:val="baseline"/>
                <w:lang w:val="en-US" w:eastAsia="zh-CN"/>
              </w:rPr>
              <w:t>响应</w:t>
            </w:r>
            <w:r>
              <w:rPr>
                <w:rFonts w:hint="default" w:ascii="宋体" w:hAnsi="宋体" w:eastAsia="宋体" w:cs="宋体"/>
                <w:color w:val="auto"/>
                <w:highlight w:val="none"/>
                <w:vertAlign w:val="baseline"/>
                <w:lang w:val="en-US" w:eastAsia="zh-CN"/>
              </w:rPr>
              <w:t>报价是相对所</w:t>
            </w:r>
            <w:r>
              <w:rPr>
                <w:rFonts w:hint="eastAsia" w:ascii="宋体" w:hAnsi="宋体" w:eastAsia="宋体" w:cs="宋体"/>
                <w:color w:val="auto"/>
                <w:highlight w:val="none"/>
                <w:vertAlign w:val="baseline"/>
                <w:lang w:val="en-US" w:eastAsia="zh-CN"/>
              </w:rPr>
              <w:t>竞</w:t>
            </w:r>
            <w:r>
              <w:rPr>
                <w:rFonts w:hint="default" w:ascii="宋体" w:hAnsi="宋体" w:eastAsia="宋体" w:cs="宋体"/>
                <w:color w:val="auto"/>
                <w:highlight w:val="none"/>
                <w:vertAlign w:val="baseline"/>
                <w:lang w:val="en-US" w:eastAsia="zh-CN"/>
              </w:rPr>
              <w:t>分标产品抽检单价分别进行报价，以所竞分标产品抽检单价合计作为价格分评审依据。</w:t>
            </w:r>
          </w:p>
          <w:p>
            <w:pPr>
              <w:numPr>
                <w:ilvl w:val="0"/>
                <w:numId w:val="0"/>
              </w:numPr>
              <w:tabs>
                <w:tab w:val="left" w:pos="180"/>
                <w:tab w:val="left" w:pos="1620"/>
              </w:tabs>
              <w:spacing w:line="420" w:lineRule="exact"/>
              <w:rPr>
                <w:rFonts w:hint="default"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4.</w:t>
            </w:r>
            <w:r>
              <w:rPr>
                <w:rFonts w:hint="default" w:ascii="宋体" w:hAnsi="宋体" w:eastAsia="宋体" w:cs="宋体"/>
                <w:color w:val="auto"/>
                <w:highlight w:val="none"/>
                <w:vertAlign w:val="baseline"/>
                <w:lang w:val="en-US" w:eastAsia="zh-CN"/>
              </w:rPr>
              <w:t>本项目实际发生抽查批次按合同履行过程中对应的分标产品实际发生的数量汇总计算，合同结算金额=产品抽检成交单价×实际发生抽查批次。结算金额最高不超过对应分标的预算金额。</w:t>
            </w:r>
            <w:r>
              <w:rPr>
                <w:rFonts w:hint="eastAsia" w:ascii="Times New Roman" w:hAnsi="Times New Roman" w:eastAsia="宋体" w:cs="Times New Roman"/>
                <w:color w:val="auto"/>
                <w:kern w:val="1"/>
                <w:highlight w:val="none"/>
                <w:lang w:eastAsia="zh-CN"/>
              </w:rPr>
              <w:t>抽查产品和</w:t>
            </w:r>
            <w:r>
              <w:rPr>
                <w:rFonts w:ascii="Times New Roman" w:hAnsi="Times New Roman" w:eastAsia="宋体" w:cs="Times New Roman"/>
                <w:color w:val="auto"/>
                <w:kern w:val="1"/>
                <w:highlight w:val="none"/>
              </w:rPr>
              <w:t>批次</w:t>
            </w:r>
            <w:r>
              <w:rPr>
                <w:rFonts w:hint="eastAsia" w:ascii="Times New Roman" w:hAnsi="Times New Roman" w:eastAsia="宋体" w:cs="Times New Roman"/>
                <w:color w:val="auto"/>
                <w:kern w:val="1"/>
                <w:highlight w:val="none"/>
                <w:lang w:eastAsia="zh-CN"/>
              </w:rPr>
              <w:t>分配以采购人下达的抽查任务文件为准。</w:t>
            </w:r>
          </w:p>
          <w:p>
            <w:pPr>
              <w:numPr>
                <w:ilvl w:val="0"/>
                <w:numId w:val="0"/>
              </w:numPr>
              <w:tabs>
                <w:tab w:val="left" w:pos="180"/>
                <w:tab w:val="left" w:pos="1620"/>
              </w:tabs>
              <w:spacing w:line="420" w:lineRule="exact"/>
              <w:rPr>
                <w:rFonts w:hint="default"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5.</w:t>
            </w:r>
            <w:r>
              <w:rPr>
                <w:rFonts w:hint="default" w:ascii="宋体" w:hAnsi="宋体" w:eastAsia="宋体" w:cs="宋体"/>
                <w:color w:val="auto"/>
                <w:highlight w:val="none"/>
                <w:vertAlign w:val="baseline"/>
                <w:lang w:val="en-US" w:eastAsia="zh-CN"/>
              </w:rPr>
              <w:t>服务期自合同签订之日起一年。服务期满后，合同自动终止。或服务期内，分标预算使用完毕，合同自行终止。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Align w:val="center"/>
          </w:tcPr>
          <w:p>
            <w:pPr>
              <w:tabs>
                <w:tab w:val="left" w:pos="180"/>
                <w:tab w:val="left" w:pos="1620"/>
              </w:tabs>
              <w:spacing w:line="420" w:lineRule="exact"/>
              <w:jc w:val="center"/>
              <w:rPr>
                <w:rFonts w:hint="default" w:ascii="宋体" w:hAnsi="宋体" w:eastAsia="宋体" w:cs="宋体"/>
                <w:color w:val="auto"/>
                <w:highlight w:val="none"/>
                <w:vertAlign w:val="baseline"/>
                <w:lang w:val="en-US" w:eastAsia="zh-CN"/>
              </w:rPr>
            </w:pPr>
            <w:r>
              <w:rPr>
                <w:rFonts w:hint="default" w:ascii="宋体" w:hAnsi="宋体" w:eastAsia="宋体" w:cs="宋体"/>
                <w:color w:val="auto"/>
                <w:highlight w:val="none"/>
                <w:vertAlign w:val="baseline"/>
                <w:lang w:val="en-US" w:eastAsia="zh-CN"/>
              </w:rPr>
              <w:t>合同签订日期</w:t>
            </w:r>
          </w:p>
        </w:tc>
        <w:tc>
          <w:tcPr>
            <w:tcW w:w="8589" w:type="dxa"/>
            <w:vAlign w:val="center"/>
          </w:tcPr>
          <w:p>
            <w:pPr>
              <w:numPr>
                <w:ilvl w:val="0"/>
                <w:numId w:val="0"/>
              </w:numPr>
              <w:tabs>
                <w:tab w:val="left" w:pos="180"/>
                <w:tab w:val="left" w:pos="1620"/>
              </w:tabs>
              <w:spacing w:line="420" w:lineRule="exact"/>
              <w:jc w:val="left"/>
              <w:rPr>
                <w:rFonts w:hint="default"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成交</w:t>
            </w:r>
            <w:r>
              <w:rPr>
                <w:rFonts w:hint="default" w:ascii="宋体" w:hAnsi="宋体" w:eastAsia="宋体" w:cs="宋体"/>
                <w:color w:val="auto"/>
                <w:highlight w:val="none"/>
                <w:vertAlign w:val="baseline"/>
                <w:lang w:val="en-US" w:eastAsia="zh-CN"/>
              </w:rPr>
              <w:t>通知书发出后</w:t>
            </w:r>
            <w:r>
              <w:rPr>
                <w:rFonts w:hint="eastAsia" w:ascii="宋体" w:hAnsi="宋体" w:eastAsia="宋体" w:cs="宋体"/>
                <w:color w:val="auto"/>
                <w:highlight w:val="none"/>
                <w:vertAlign w:val="baseline"/>
                <w:lang w:val="en-US" w:eastAsia="zh-CN"/>
              </w:rPr>
              <w:t>25</w:t>
            </w:r>
            <w:r>
              <w:rPr>
                <w:rFonts w:hint="default" w:ascii="宋体" w:hAnsi="宋体" w:eastAsia="宋体" w:cs="宋体"/>
                <w:color w:val="auto"/>
                <w:highlight w:val="none"/>
                <w:vertAlign w:val="baseline"/>
                <w:lang w:val="en-US" w:eastAsia="zh-CN"/>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270" w:type="dxa"/>
            <w:vAlign w:val="center"/>
          </w:tcPr>
          <w:p>
            <w:pPr>
              <w:tabs>
                <w:tab w:val="left" w:pos="180"/>
                <w:tab w:val="left" w:pos="1620"/>
              </w:tabs>
              <w:spacing w:line="420" w:lineRule="exact"/>
              <w:jc w:val="center"/>
              <w:rPr>
                <w:rFonts w:hint="default" w:ascii="宋体" w:hAnsi="宋体" w:eastAsia="宋体" w:cs="宋体"/>
                <w:color w:val="auto"/>
                <w:highlight w:val="none"/>
                <w:vertAlign w:val="baseline"/>
                <w:lang w:val="en-US" w:eastAsia="zh-CN"/>
              </w:rPr>
            </w:pPr>
            <w:r>
              <w:rPr>
                <w:rFonts w:hint="default" w:ascii="宋体" w:hAnsi="宋体" w:eastAsia="宋体" w:cs="宋体"/>
                <w:color w:val="auto"/>
                <w:highlight w:val="none"/>
                <w:vertAlign w:val="baseline"/>
                <w:lang w:val="en-US" w:eastAsia="zh-CN"/>
              </w:rPr>
              <w:t>服务时间</w:t>
            </w:r>
            <w:r>
              <w:rPr>
                <w:rFonts w:hint="eastAsia" w:ascii="宋体" w:hAnsi="宋体" w:eastAsia="宋体" w:cs="宋体"/>
                <w:color w:val="auto"/>
                <w:highlight w:val="none"/>
                <w:vertAlign w:val="baseline"/>
                <w:lang w:val="en-US" w:eastAsia="zh-CN"/>
              </w:rPr>
              <w:t>及服务地点</w:t>
            </w:r>
          </w:p>
        </w:tc>
        <w:tc>
          <w:tcPr>
            <w:tcW w:w="8589" w:type="dxa"/>
            <w:vAlign w:val="center"/>
          </w:tcPr>
          <w:p>
            <w:pPr>
              <w:numPr>
                <w:ilvl w:val="0"/>
                <w:numId w:val="0"/>
              </w:numPr>
              <w:tabs>
                <w:tab w:val="left" w:pos="180"/>
                <w:tab w:val="left" w:pos="1620"/>
              </w:tabs>
              <w:spacing w:line="420" w:lineRule="exact"/>
              <w:jc w:val="left"/>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服务时间：合同签订之日起1年</w:t>
            </w:r>
          </w:p>
          <w:p>
            <w:pPr>
              <w:numPr>
                <w:ilvl w:val="0"/>
                <w:numId w:val="0"/>
              </w:numPr>
              <w:tabs>
                <w:tab w:val="left" w:pos="180"/>
                <w:tab w:val="left" w:pos="1620"/>
              </w:tabs>
              <w:spacing w:line="420" w:lineRule="exact"/>
              <w:jc w:val="left"/>
              <w:rPr>
                <w:rFonts w:hint="default"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服务地点：广西南宁采购人指定地点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Align w:val="center"/>
          </w:tcPr>
          <w:p>
            <w:pPr>
              <w:tabs>
                <w:tab w:val="left" w:pos="180"/>
                <w:tab w:val="left" w:pos="1620"/>
              </w:tabs>
              <w:spacing w:line="420" w:lineRule="exact"/>
              <w:jc w:val="center"/>
              <w:rPr>
                <w:rFonts w:hint="default" w:ascii="宋体" w:hAnsi="宋体" w:eastAsia="宋体" w:cs="宋体"/>
                <w:color w:val="auto"/>
                <w:highlight w:val="none"/>
                <w:vertAlign w:val="baseline"/>
                <w:lang w:val="en-US" w:eastAsia="zh-CN"/>
              </w:rPr>
            </w:pPr>
            <w:r>
              <w:rPr>
                <w:rFonts w:hint="default" w:ascii="宋体" w:hAnsi="宋体" w:eastAsia="宋体" w:cs="宋体"/>
                <w:color w:val="auto"/>
                <w:highlight w:val="none"/>
                <w:vertAlign w:val="baseline"/>
                <w:lang w:val="en-US" w:eastAsia="zh-CN"/>
              </w:rPr>
              <w:t>工作要求</w:t>
            </w:r>
          </w:p>
        </w:tc>
        <w:tc>
          <w:tcPr>
            <w:tcW w:w="8589" w:type="dxa"/>
            <w:vAlign w:val="center"/>
          </w:tcPr>
          <w:p>
            <w:pPr>
              <w:numPr>
                <w:ilvl w:val="0"/>
                <w:numId w:val="0"/>
              </w:numPr>
              <w:tabs>
                <w:tab w:val="left" w:pos="180"/>
                <w:tab w:val="left" w:pos="1620"/>
              </w:tabs>
              <w:spacing w:line="420" w:lineRule="exact"/>
              <w:jc w:val="left"/>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1.成交供应商在服务期内分标抽检产品如涉及标准变更等情形时，应及时进行扩项，确保满足产品的检验能力，并在实施承检任务前将相关扩项资质证明材料提交采购人。否则，其承检资格自动作废。</w:t>
            </w:r>
          </w:p>
          <w:p>
            <w:pPr>
              <w:numPr>
                <w:ilvl w:val="0"/>
                <w:numId w:val="0"/>
              </w:numPr>
              <w:tabs>
                <w:tab w:val="left" w:pos="180"/>
                <w:tab w:val="left" w:pos="1620"/>
              </w:tabs>
              <w:spacing w:line="420" w:lineRule="exact"/>
              <w:jc w:val="left"/>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2.供应商应承诺投入具有与承担的产品质量监督抽查任务相匹配的工作人员、仪器设备、实验室环境设施；拥有运行良好的实验室管理体系，授权范围涵盖承担的产品质量监督抽查中相应的产品品种和检验项目。具有相应的检验和质量分析人员，参与检验的有关人员必须具有检验员证，并具备相应的专业知识和能力，具体要求为：</w:t>
            </w:r>
          </w:p>
          <w:p>
            <w:pPr>
              <w:numPr>
                <w:ilvl w:val="0"/>
                <w:numId w:val="0"/>
              </w:numPr>
              <w:tabs>
                <w:tab w:val="left" w:pos="180"/>
                <w:tab w:val="left" w:pos="1620"/>
              </w:tabs>
              <w:spacing w:line="420" w:lineRule="exact"/>
              <w:jc w:val="left"/>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应当具备固定的检验工作场所以及分标项目检测所需的检测设施设备、数据处理与分析、信息传输设施和设备等工作条件、有抽样过程记录设备（如抽样可视化平台及录像设备）；请提供供应商为本次项目提供的检验工作场所情况说明及供应商拥有的相关设施和设备清单。</w:t>
            </w:r>
          </w:p>
          <w:p>
            <w:pPr>
              <w:numPr>
                <w:ilvl w:val="0"/>
                <w:numId w:val="0"/>
              </w:numPr>
              <w:tabs>
                <w:tab w:val="left" w:pos="180"/>
                <w:tab w:val="left" w:pos="1620"/>
              </w:tabs>
              <w:spacing w:line="420" w:lineRule="exact"/>
              <w:jc w:val="left"/>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2）每个分标应当投入中级或以上系列职称的技术人员；具备一定的产品检验工作经验，检验人员和技术管理人员应当熟悉有关产品的标准、检验方法原理，掌握检验操作技能、标准操作程序、计量和数据处理知识等；请提供供应商拟投入的技术人员名单及职称证等相关人员资质材料扫描件。</w:t>
            </w:r>
          </w:p>
          <w:p>
            <w:pPr>
              <w:numPr>
                <w:ilvl w:val="0"/>
                <w:numId w:val="0"/>
              </w:numPr>
              <w:tabs>
                <w:tab w:val="left" w:pos="180"/>
                <w:tab w:val="left" w:pos="1620"/>
              </w:tabs>
              <w:spacing w:line="420" w:lineRule="exact"/>
              <w:jc w:val="left"/>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3）具备一定的质量分析和科研能力，能解决检验中发现的技术问题，能根据产品的抽检结果，以及承担的地方、行业、部门等监督抽查和企业委托检验的情况，结合产品所属行业、产业发展情况，对所检验的产品进行全面评估分析，形成产品质量分析报告，提出工作措施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Align w:val="center"/>
          </w:tcPr>
          <w:p>
            <w:pPr>
              <w:tabs>
                <w:tab w:val="left" w:pos="180"/>
                <w:tab w:val="left" w:pos="1620"/>
              </w:tabs>
              <w:spacing w:line="420" w:lineRule="exact"/>
              <w:jc w:val="center"/>
              <w:rPr>
                <w:rFonts w:hint="default" w:ascii="宋体" w:hAnsi="宋体" w:eastAsia="宋体" w:cs="宋体"/>
                <w:color w:val="auto"/>
                <w:highlight w:val="none"/>
                <w:vertAlign w:val="baseline"/>
                <w:lang w:val="en-US" w:eastAsia="zh-CN"/>
              </w:rPr>
            </w:pPr>
            <w:r>
              <w:rPr>
                <w:rFonts w:hint="default" w:ascii="宋体" w:hAnsi="宋体" w:eastAsia="宋体" w:cs="宋体"/>
                <w:color w:val="auto"/>
                <w:highlight w:val="none"/>
                <w:vertAlign w:val="baseline"/>
                <w:lang w:val="en-US" w:eastAsia="zh-CN"/>
              </w:rPr>
              <w:t>服务要求</w:t>
            </w:r>
          </w:p>
        </w:tc>
        <w:tc>
          <w:tcPr>
            <w:tcW w:w="8589" w:type="dxa"/>
            <w:vAlign w:val="center"/>
          </w:tcPr>
          <w:p>
            <w:pPr>
              <w:numPr>
                <w:ilvl w:val="0"/>
                <w:numId w:val="0"/>
              </w:numPr>
              <w:tabs>
                <w:tab w:val="left" w:pos="180"/>
                <w:tab w:val="left" w:pos="1620"/>
              </w:tabs>
              <w:spacing w:line="420" w:lineRule="exact"/>
              <w:jc w:val="left"/>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1.严格遵守法律、法规的规定和检验工作有关纪律要求，确保检验结果真实有效；检验活动中无重大差错，能够保证检验结果质量；具有授权范围涵盖承担的产品监督抽查任务中相应的产品品种和检验项目；</w:t>
            </w:r>
          </w:p>
          <w:p>
            <w:pPr>
              <w:numPr>
                <w:ilvl w:val="0"/>
                <w:numId w:val="0"/>
              </w:numPr>
              <w:tabs>
                <w:tab w:val="left" w:pos="180"/>
                <w:tab w:val="left" w:pos="1620"/>
              </w:tabs>
              <w:spacing w:line="420" w:lineRule="exact"/>
              <w:jc w:val="left"/>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2.制定</w:t>
            </w:r>
            <w:r>
              <w:rPr>
                <w:rFonts w:hint="eastAsia" w:ascii="宋体" w:hAnsi="宋体" w:eastAsia="宋体" w:cs="宋体"/>
                <w:color w:val="auto"/>
                <w:highlight w:val="none"/>
              </w:rPr>
              <w:t>监督抽查实施细则工作方案</w:t>
            </w:r>
            <w:r>
              <w:rPr>
                <w:rFonts w:hint="eastAsia" w:ascii="宋体" w:hAnsi="宋体" w:eastAsia="宋体" w:cs="宋体"/>
                <w:color w:val="auto"/>
                <w:highlight w:val="none"/>
                <w:lang w:eastAsia="zh-CN"/>
              </w:rPr>
              <w:t>；</w:t>
            </w:r>
          </w:p>
          <w:p>
            <w:pPr>
              <w:numPr>
                <w:ilvl w:val="0"/>
                <w:numId w:val="0"/>
              </w:numPr>
              <w:tabs>
                <w:tab w:val="left" w:pos="180"/>
                <w:tab w:val="left" w:pos="1620"/>
              </w:tabs>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3</w:t>
            </w:r>
            <w:r>
              <w:rPr>
                <w:rFonts w:hint="eastAsia" w:ascii="宋体" w:hAnsi="宋体" w:eastAsia="宋体" w:cs="宋体"/>
                <w:color w:val="auto"/>
                <w:highlight w:val="none"/>
              </w:rPr>
              <w:t>.</w:t>
            </w:r>
            <w:r>
              <w:rPr>
                <w:rFonts w:hint="eastAsia" w:ascii="宋体" w:hAnsi="宋体" w:eastAsia="宋体" w:cs="宋体"/>
                <w:color w:val="auto"/>
                <w:highlight w:val="none"/>
                <w:vertAlign w:val="baseline"/>
                <w:lang w:val="en-US" w:eastAsia="zh-CN"/>
              </w:rPr>
              <w:t>按照《中华人民共和国产品质量法》《产品质量监督抽查管理暂行办法》等法律法规要求</w:t>
            </w:r>
            <w:r>
              <w:rPr>
                <w:rFonts w:hint="eastAsia" w:ascii="宋体" w:hAnsi="宋体" w:eastAsia="宋体" w:cs="宋体"/>
                <w:color w:val="auto"/>
                <w:highlight w:val="none"/>
              </w:rPr>
              <w:t>开展抽样和检验工作，完成e-CQS系统抽样单、检验结果信息录入，按要求上传、寄送检验报告；</w:t>
            </w:r>
          </w:p>
          <w:p>
            <w:pPr>
              <w:numPr>
                <w:ilvl w:val="0"/>
                <w:numId w:val="0"/>
              </w:numPr>
              <w:tabs>
                <w:tab w:val="left" w:pos="180"/>
                <w:tab w:val="left" w:pos="1620"/>
              </w:tabs>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4</w:t>
            </w:r>
            <w:r>
              <w:rPr>
                <w:rFonts w:hint="eastAsia" w:ascii="宋体" w:hAnsi="宋体" w:eastAsia="宋体" w:cs="宋体"/>
                <w:color w:val="auto"/>
                <w:highlight w:val="none"/>
              </w:rPr>
              <w:t>.如实向自治区市场监管局报送抽检情况和检验结果</w:t>
            </w:r>
            <w:r>
              <w:rPr>
                <w:rFonts w:hint="eastAsia" w:ascii="宋体" w:hAnsi="宋体" w:eastAsia="宋体" w:cs="宋体"/>
                <w:color w:val="auto"/>
                <w:highlight w:val="none"/>
                <w:lang w:eastAsia="zh-CN"/>
              </w:rPr>
              <w:t>；</w:t>
            </w:r>
          </w:p>
          <w:p>
            <w:pPr>
              <w:numPr>
                <w:ilvl w:val="0"/>
                <w:numId w:val="0"/>
              </w:numPr>
              <w:tabs>
                <w:tab w:val="left" w:pos="180"/>
                <w:tab w:val="left" w:pos="1620"/>
              </w:tabs>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5</w:t>
            </w:r>
            <w:r>
              <w:rPr>
                <w:rFonts w:hint="eastAsia" w:ascii="宋体" w:hAnsi="宋体" w:eastAsia="宋体" w:cs="宋体"/>
                <w:color w:val="auto"/>
                <w:highlight w:val="none"/>
              </w:rPr>
              <w:t>.开展产品质量分析，提出提升产品质量对策建议，编制分析报告；</w:t>
            </w:r>
          </w:p>
          <w:p>
            <w:pPr>
              <w:numPr>
                <w:ilvl w:val="0"/>
                <w:numId w:val="0"/>
              </w:numPr>
              <w:tabs>
                <w:tab w:val="left" w:pos="180"/>
                <w:tab w:val="left" w:pos="1620"/>
              </w:tabs>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6</w:t>
            </w:r>
            <w:r>
              <w:rPr>
                <w:rFonts w:hint="eastAsia" w:ascii="宋体" w:hAnsi="宋体" w:eastAsia="宋体" w:cs="宋体"/>
                <w:color w:val="auto"/>
                <w:highlight w:val="none"/>
              </w:rPr>
              <w:t>.协助做好异议处理，出具企业异议情况说明等材料；</w:t>
            </w:r>
          </w:p>
          <w:p>
            <w:pPr>
              <w:numPr>
                <w:ilvl w:val="0"/>
                <w:numId w:val="0"/>
              </w:numPr>
              <w:tabs>
                <w:tab w:val="left" w:pos="180"/>
                <w:tab w:val="left" w:pos="1620"/>
              </w:tabs>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7</w:t>
            </w:r>
            <w:r>
              <w:rPr>
                <w:rFonts w:hint="eastAsia" w:ascii="宋体" w:hAnsi="宋体" w:eastAsia="宋体" w:cs="宋体"/>
                <w:color w:val="auto"/>
                <w:highlight w:val="none"/>
              </w:rPr>
              <w:t>.配合后处理的市场监管部门完成整改复查的检验工作，协助做好不合格企业质量技术帮扶；</w:t>
            </w:r>
          </w:p>
          <w:p>
            <w:pPr>
              <w:numPr>
                <w:ilvl w:val="0"/>
                <w:numId w:val="0"/>
              </w:numPr>
              <w:tabs>
                <w:tab w:val="left" w:pos="180"/>
                <w:tab w:val="left" w:pos="1620"/>
              </w:tabs>
              <w:spacing w:line="420" w:lineRule="exact"/>
              <w:jc w:val="left"/>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lang w:eastAsia="zh-CN"/>
              </w:rPr>
              <w:t>8</w:t>
            </w:r>
            <w:r>
              <w:rPr>
                <w:rFonts w:hint="eastAsia" w:ascii="宋体" w:hAnsi="宋体" w:eastAsia="宋体" w:cs="宋体"/>
                <w:color w:val="auto"/>
                <w:highlight w:val="none"/>
              </w:rPr>
              <w:t>.提供所承担产品的技术咨询服务工作；</w:t>
            </w:r>
          </w:p>
          <w:p>
            <w:pPr>
              <w:numPr>
                <w:ilvl w:val="0"/>
                <w:numId w:val="0"/>
              </w:numPr>
              <w:tabs>
                <w:tab w:val="left" w:pos="180"/>
                <w:tab w:val="left" w:pos="1620"/>
              </w:tabs>
              <w:spacing w:line="420" w:lineRule="exact"/>
              <w:jc w:val="left"/>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9.必须接受采购人对承担检验任务工作质量情况的监督检查和考核；</w:t>
            </w:r>
          </w:p>
          <w:p>
            <w:pPr>
              <w:numPr>
                <w:ilvl w:val="0"/>
                <w:numId w:val="0"/>
              </w:numPr>
              <w:tabs>
                <w:tab w:val="left" w:pos="180"/>
                <w:tab w:val="left" w:pos="1620"/>
              </w:tabs>
              <w:spacing w:line="420" w:lineRule="exact"/>
              <w:jc w:val="left"/>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10.能按时完成采购人安排的临时性和应急性任务；</w:t>
            </w:r>
          </w:p>
          <w:p>
            <w:pPr>
              <w:numPr>
                <w:ilvl w:val="0"/>
                <w:numId w:val="0"/>
              </w:numPr>
              <w:tabs>
                <w:tab w:val="left" w:pos="180"/>
                <w:tab w:val="left" w:pos="1620"/>
              </w:tabs>
              <w:spacing w:line="420" w:lineRule="exact"/>
              <w:jc w:val="left"/>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11.具有与抽样工作相匹配的专职抽样人员、抽样工具、设备等条件；熟悉产品抽样程序，应按照要求派出不少于2人的抽样人员完成抽样工作，抽样人员应当熟悉相关法律、法规、规章和标准等有关规定，并经培训考核合格持抽样员证才能上岗。抽样人员应当使用规范的抽样文书，准确、完整记录抽样信息，抽样程序应符合规定。抽样要严格遵循“抽检分离”原则；</w:t>
            </w:r>
          </w:p>
          <w:p>
            <w:pPr>
              <w:numPr>
                <w:ilvl w:val="0"/>
                <w:numId w:val="0"/>
              </w:numPr>
              <w:tabs>
                <w:tab w:val="left" w:pos="180"/>
                <w:tab w:val="left" w:pos="1620"/>
              </w:tabs>
              <w:spacing w:line="420" w:lineRule="exact"/>
              <w:jc w:val="left"/>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12.要对抽样关键环节进行录像，并采用拍照等方式对抽查样品状态及其他可能影响抽查结果的情形进行现场取证，相关照片应纳入出具的检验报告中；</w:t>
            </w:r>
          </w:p>
          <w:p>
            <w:pPr>
              <w:numPr>
                <w:ilvl w:val="0"/>
                <w:numId w:val="0"/>
              </w:numPr>
              <w:tabs>
                <w:tab w:val="left" w:pos="180"/>
                <w:tab w:val="left" w:pos="1620"/>
              </w:tabs>
              <w:spacing w:line="420" w:lineRule="exact"/>
              <w:jc w:val="left"/>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13.采购标的需满足的服务标准、期限、效率等要求：按采购人印发的抽查通知、安排的全部抽检任务批次要求完成；</w:t>
            </w:r>
          </w:p>
          <w:p>
            <w:pPr>
              <w:numPr>
                <w:ilvl w:val="0"/>
                <w:numId w:val="0"/>
              </w:numPr>
              <w:tabs>
                <w:tab w:val="left" w:pos="180"/>
                <w:tab w:val="left" w:pos="1620"/>
              </w:tabs>
              <w:spacing w:line="420" w:lineRule="exact"/>
              <w:jc w:val="left"/>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14.采购标的其他技术、服务要求：根据采购人需求，在应急检验处理情况下，承检机构应及时向采购人反馈；</w:t>
            </w:r>
          </w:p>
          <w:p>
            <w:pPr>
              <w:numPr>
                <w:ilvl w:val="0"/>
                <w:numId w:val="0"/>
              </w:numPr>
              <w:tabs>
                <w:tab w:val="left" w:pos="180"/>
                <w:tab w:val="left" w:pos="1620"/>
              </w:tabs>
              <w:spacing w:line="420" w:lineRule="exact"/>
              <w:jc w:val="left"/>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15.采购人如有事项服务要求，成交供应商应在12小时内作出响应，且承诺8小时内能到达采购人办公场所提供服务；</w:t>
            </w:r>
          </w:p>
          <w:p>
            <w:pPr>
              <w:numPr>
                <w:ilvl w:val="0"/>
                <w:numId w:val="0"/>
              </w:numPr>
              <w:tabs>
                <w:tab w:val="left" w:pos="180"/>
                <w:tab w:val="left" w:pos="1620"/>
              </w:tabs>
              <w:spacing w:line="420" w:lineRule="exact"/>
              <w:jc w:val="left"/>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16.为便于协助采购人更好的开展抽查和监测工作，供应商须配备抽样视频记录设备或配备相机、录像机等设备。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Align w:val="center"/>
          </w:tcPr>
          <w:p>
            <w:pPr>
              <w:tabs>
                <w:tab w:val="left" w:pos="180"/>
                <w:tab w:val="left" w:pos="1620"/>
              </w:tabs>
              <w:spacing w:line="420" w:lineRule="exact"/>
              <w:jc w:val="center"/>
              <w:rPr>
                <w:rFonts w:hint="default"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售后服务要求</w:t>
            </w:r>
          </w:p>
        </w:tc>
        <w:tc>
          <w:tcPr>
            <w:tcW w:w="8589" w:type="dxa"/>
            <w:vAlign w:val="center"/>
          </w:tcPr>
          <w:p>
            <w:pPr>
              <w:numPr>
                <w:ilvl w:val="0"/>
                <w:numId w:val="0"/>
              </w:numPr>
              <w:tabs>
                <w:tab w:val="left" w:pos="180"/>
                <w:tab w:val="left" w:pos="1620"/>
              </w:tabs>
              <w:spacing w:line="420" w:lineRule="exact"/>
              <w:jc w:val="left"/>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本项目后期如发现因成交供应商的问题而出现检测或考评结果差错、遗漏或其他涉及售后服务的问题，成交供应商应在接到采购人通知后1小时响应，并按要求时限到达现场，简单问题24小时内修复完毕，重大问题修复时间不超过48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Align w:val="center"/>
          </w:tcPr>
          <w:p>
            <w:pPr>
              <w:tabs>
                <w:tab w:val="left" w:pos="180"/>
                <w:tab w:val="left" w:pos="1620"/>
              </w:tabs>
              <w:spacing w:line="420" w:lineRule="exact"/>
              <w:jc w:val="center"/>
              <w:rPr>
                <w:rFonts w:hint="default"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付款方式</w:t>
            </w:r>
          </w:p>
        </w:tc>
        <w:tc>
          <w:tcPr>
            <w:tcW w:w="8589" w:type="dxa"/>
            <w:vAlign w:val="center"/>
          </w:tcPr>
          <w:p>
            <w:pPr>
              <w:numPr>
                <w:ilvl w:val="0"/>
                <w:numId w:val="0"/>
              </w:numPr>
              <w:tabs>
                <w:tab w:val="left" w:pos="180"/>
                <w:tab w:val="left" w:pos="1620"/>
              </w:tabs>
              <w:spacing w:line="420" w:lineRule="exact"/>
              <w:jc w:val="left"/>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成交供应商与采购人签定合同后20个工作日内，采购人向成交供应商预付合同款的50%；成交供应商完成总抽检批次数的50%时，支付合同款的40%；成交供应商在完成全部抽检批次数，并经采购人验收合格后，采购人于20个工作日内支付合同剩余款项。成交供应商在每次支付款项7个工作日前提交请款函和发票给采购人。</w:t>
            </w:r>
          </w:p>
          <w:p>
            <w:pPr>
              <w:numPr>
                <w:ilvl w:val="0"/>
                <w:numId w:val="0"/>
              </w:numPr>
              <w:tabs>
                <w:tab w:val="left" w:pos="180"/>
                <w:tab w:val="left" w:pos="1620"/>
              </w:tabs>
              <w:spacing w:line="420" w:lineRule="exact"/>
              <w:jc w:val="left"/>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2.成交供应商在完成抽样任务之后，向采购人提交抽样单、未抽到样情况表、现场抽样记录单等材料。成交供应商在完成检验任务之后，向采购人提交不合格产品检验报告、监督抽查结果汇总表、产品监督抽查分析报告等材料，并按要求将相关检验结果、检验报告信息上传e-CQS监督抽查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Align w:val="center"/>
          </w:tcPr>
          <w:p>
            <w:pPr>
              <w:tabs>
                <w:tab w:val="left" w:pos="180"/>
                <w:tab w:val="left" w:pos="1620"/>
              </w:tabs>
              <w:spacing w:line="420" w:lineRule="exact"/>
              <w:jc w:val="center"/>
              <w:rPr>
                <w:rFonts w:hint="default"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其他要求</w:t>
            </w:r>
          </w:p>
        </w:tc>
        <w:tc>
          <w:tcPr>
            <w:tcW w:w="8589" w:type="dxa"/>
            <w:vAlign w:val="center"/>
          </w:tcPr>
          <w:p>
            <w:pPr>
              <w:numPr>
                <w:ilvl w:val="0"/>
                <w:numId w:val="0"/>
              </w:numPr>
              <w:tabs>
                <w:tab w:val="left" w:pos="180"/>
                <w:tab w:val="left" w:pos="1620"/>
              </w:tabs>
              <w:spacing w:line="420" w:lineRule="exact"/>
              <w:jc w:val="left"/>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供应商可对检验检测能力范围满足采购需求的分标进行报价，即可分别就一个或多个分标进行响应。评审过程中，磋商小组将分别对各分标所有供应商进行综合评分，一家供应商所竞分标仅对应一个综合得分，然后对各分标进行报价的供应商评分排序。</w:t>
            </w:r>
          </w:p>
          <w:p>
            <w:pPr>
              <w:numPr>
                <w:ilvl w:val="0"/>
                <w:numId w:val="0"/>
              </w:numPr>
              <w:tabs>
                <w:tab w:val="left" w:pos="180"/>
                <w:tab w:val="left" w:pos="1620"/>
              </w:tabs>
              <w:spacing w:line="420" w:lineRule="exact"/>
              <w:jc w:val="left"/>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2.采购人按磋商小组推荐顺序确认成交供应商。</w:t>
            </w:r>
          </w:p>
          <w:p>
            <w:pPr>
              <w:numPr>
                <w:ilvl w:val="0"/>
                <w:numId w:val="0"/>
              </w:numPr>
              <w:tabs>
                <w:tab w:val="left" w:pos="180"/>
                <w:tab w:val="left" w:pos="1620"/>
              </w:tabs>
              <w:spacing w:line="420" w:lineRule="exact"/>
              <w:jc w:val="left"/>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3.采购人有权依法核实成交供应商在所竞分标的检验项目的检验覆盖能力，至少具备其中1种产品（按具体产品名称）检验能力，如不符合要求的，视为该成交供应商以虚假材料谋取成交，报政府采购监督管理部门，依法处理。</w:t>
            </w:r>
          </w:p>
        </w:tc>
      </w:tr>
    </w:tbl>
    <w:p>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NTE4Y2EwNGUwNTA5ZTk0ODVmYmYwNWU3YjQyYWUifQ=="/>
  </w:docVars>
  <w:rsids>
    <w:rsidRoot w:val="2D4A41A3"/>
    <w:rsid w:val="2D4A4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2025-04-14T01:44:00Z</dcterms:created>
  <dc:creator>欧明聪</dc:creator>
  <cp:lastModifiedBy>欧明聪</cp:lastModifiedBy>
  <dcterms:modified xsi:type="dcterms:W3CDTF">2025-04-14T01:44:55Z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2B75190EDB36420FB6264FFE0B49A93A_11</vt:lpwstr>
  </property>
</Properties>
</file>