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40" w:after="330" w:line="578" w:lineRule="auto"/>
        <w:jc w:val="center"/>
        <w:outlineLvl w:val="0"/>
        <w:rPr>
          <w:rFonts w:hint="eastAsia" w:ascii="Cambria" w:hAnsi="Cambria" w:eastAsia="宋体" w:cs="Times New Roman"/>
          <w:b/>
          <w:bCs w:val="0"/>
          <w:kern w:val="44"/>
          <w:sz w:val="32"/>
          <w:szCs w:val="32"/>
          <w:highlight w:val="none"/>
          <w:lang w:val="en-US" w:eastAsia="zh-CN" w:bidi="ar-SA"/>
        </w:rPr>
      </w:pPr>
      <w:r>
        <w:rPr>
          <w:rFonts w:hint="eastAsia" w:ascii="Cambria" w:hAnsi="Cambria" w:eastAsia="宋体" w:cs="Times New Roman"/>
          <w:b/>
          <w:bCs w:val="0"/>
          <w:kern w:val="44"/>
          <w:sz w:val="32"/>
          <w:szCs w:val="32"/>
          <w:highlight w:val="none"/>
          <w:lang w:val="en-US" w:eastAsia="zh-CN" w:bidi="ar-SA"/>
        </w:rPr>
        <w:t>采购需求</w:t>
      </w:r>
    </w:p>
    <w:p>
      <w:pPr>
        <w:spacing w:line="420" w:lineRule="exact"/>
        <w:jc w:val="left"/>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说明：</w:t>
      </w:r>
    </w:p>
    <w:p>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1. 为落实政府采购政策需满足的要求：</w:t>
      </w:r>
    </w:p>
    <w:p>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highlight w:val="none"/>
        </w:rPr>
        <w:t>供应商必须在响应文件中提供所竞标产品</w:t>
      </w:r>
      <w:r>
        <w:rPr>
          <w:rFonts w:hint="eastAsia" w:ascii="宋体" w:hAnsi="宋体" w:eastAsia="宋体" w:cs="宋体"/>
          <w:b/>
          <w:bCs/>
          <w:color w:val="000000"/>
          <w:szCs w:val="21"/>
          <w:highlight w:val="none"/>
        </w:rPr>
        <w:t>有效期内</w:t>
      </w:r>
      <w:r>
        <w:rPr>
          <w:rFonts w:hint="eastAsia" w:ascii="宋体" w:hAnsi="宋体" w:eastAsia="宋体" w:cs="宋体"/>
          <w:b/>
          <w:bCs/>
          <w:szCs w:val="21"/>
          <w:highlight w:val="none"/>
        </w:rPr>
        <w:t>的节能产品认证证书复印件（加盖供应商公章），否则响应文件按无效处理</w:t>
      </w:r>
      <w:r>
        <w:rPr>
          <w:rFonts w:hint="eastAsia" w:ascii="宋体" w:hAnsi="宋体" w:eastAsia="宋体" w:cs="宋体"/>
          <w:szCs w:val="21"/>
          <w:highlight w:val="none"/>
        </w:rPr>
        <w:t xml:space="preserve">。如本项目包含的配套货物属于品目清单内非标注“★”的产品时，应优先采购，具体详见“第四章 </w:t>
      </w:r>
      <w:r>
        <w:rPr>
          <w:rFonts w:hint="eastAsia" w:ascii="宋体" w:hAnsi="宋体" w:eastAsia="宋体" w:cs="宋体"/>
          <w:color w:val="auto"/>
          <w:highlight w:val="none"/>
          <w:u w:val="none"/>
        </w:rPr>
        <w:t>评审程序、评审方法和评审标准</w:t>
      </w:r>
      <w:r>
        <w:rPr>
          <w:rFonts w:hint="eastAsia" w:ascii="宋体" w:hAnsi="宋体" w:eastAsia="宋体" w:cs="宋体"/>
          <w:szCs w:val="21"/>
          <w:highlight w:val="none"/>
        </w:rPr>
        <w:t>”。</w:t>
      </w:r>
    </w:p>
    <w:p>
      <w:pPr>
        <w:spacing w:line="42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2.“实质性要求”是指磋商文件中已经指明不满足则响应文件按无效响应处理的条款，或者不能负偏离的条款，或者采购需求中带“▲”的条款。</w:t>
      </w:r>
    </w:p>
    <w:p>
      <w:pPr>
        <w:widowControl w:val="0"/>
        <w:spacing w:line="420" w:lineRule="exact"/>
        <w:ind w:firstLine="420" w:firstLineChars="20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1"/>
          <w:highlight w:val="none"/>
          <w:lang w:val="en-US" w:eastAsia="zh-CN" w:bidi="ar-SA"/>
        </w:rPr>
        <w:t xml:space="preserve">3. </w:t>
      </w:r>
      <w:r>
        <w:rPr>
          <w:rFonts w:hint="eastAsia" w:ascii="宋体" w:hAnsi="宋体" w:eastAsia="宋体" w:cs="宋体"/>
          <w:kern w:val="2"/>
          <w:sz w:val="21"/>
          <w:szCs w:val="24"/>
          <w:highlight w:val="none"/>
          <w:lang w:val="en-US" w:eastAsia="zh-CN" w:bidi="ar-SA"/>
        </w:rPr>
        <w:t>如竞标产品存在侵犯他人的知识产权或者专利成果行为的，应承担相应法律责任。</w:t>
      </w:r>
    </w:p>
    <w:p>
      <w:pPr>
        <w:tabs>
          <w:tab w:val="left" w:pos="180"/>
          <w:tab w:val="left" w:pos="1620"/>
        </w:tabs>
        <w:spacing w:line="420" w:lineRule="exact"/>
        <w:ind w:firstLine="420" w:firstLineChars="200"/>
        <w:rPr>
          <w:rFonts w:hint="eastAsia" w:ascii="宋体" w:hAnsi="宋体" w:eastAsia="宋体" w:cs="宋体"/>
          <w:i/>
          <w:iCs/>
          <w:highlight w:val="none"/>
        </w:rPr>
      </w:pPr>
      <w:r>
        <w:rPr>
          <w:rFonts w:hint="eastAsia" w:ascii="宋体" w:hAnsi="宋体" w:eastAsia="宋体" w:cs="宋体"/>
          <w:highlight w:val="none"/>
        </w:rPr>
        <w:t>4.</w:t>
      </w:r>
      <w:r>
        <w:rPr>
          <w:rFonts w:hint="eastAsia" w:ascii="宋体" w:hAnsi="宋体" w:eastAsia="宋体" w:cs="宋体"/>
          <w:color w:val="000000"/>
          <w:highlight w:val="none"/>
        </w:rPr>
        <w:t>采购内容所属行业：软件和信息技术服务业</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9"/>
        <w:gridCol w:w="937"/>
        <w:gridCol w:w="291"/>
        <w:gridCol w:w="85"/>
        <w:gridCol w:w="7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9"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s="宋体"/>
                <w:b/>
                <w:szCs w:val="21"/>
                <w:highlight w:val="none"/>
              </w:rPr>
            </w:pPr>
            <w:r>
              <w:rPr>
                <w:rFonts w:hint="eastAsia" w:ascii="宋体" w:hAnsi="宋体" w:eastAsia="宋体" w:cs="宋体"/>
                <w:b/>
                <w:szCs w:val="21"/>
                <w:highlight w:val="none"/>
              </w:rPr>
              <w:t>一、项目总体要求及技术需求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szCs w:val="21"/>
                <w:highlight w:val="none"/>
              </w:rPr>
            </w:pPr>
            <w:r>
              <w:rPr>
                <w:rFonts w:hint="eastAsia" w:ascii="宋体" w:hAnsi="宋体" w:eastAsia="宋体" w:cs="宋体"/>
                <w:b/>
                <w:bCs/>
                <w:kern w:val="0"/>
                <w:szCs w:val="21"/>
                <w:highlight w:val="none"/>
              </w:rPr>
              <w:t>序号</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szCs w:val="21"/>
                <w:highlight w:val="none"/>
              </w:rPr>
            </w:pPr>
            <w:r>
              <w:rPr>
                <w:rFonts w:hint="eastAsia" w:ascii="宋体" w:hAnsi="宋体" w:eastAsia="宋体" w:cs="宋体"/>
                <w:b/>
                <w:bCs/>
                <w:kern w:val="0"/>
                <w:szCs w:val="21"/>
                <w:highlight w:val="none"/>
              </w:rPr>
              <w:t>标的的名称</w:t>
            </w:r>
          </w:p>
        </w:tc>
        <w:tc>
          <w:tcPr>
            <w:tcW w:w="3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7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szCs w:val="21"/>
                <w:highlight w:val="none"/>
              </w:rPr>
            </w:pPr>
            <w:r>
              <w:rPr>
                <w:rFonts w:hint="eastAsia" w:ascii="宋体" w:hAnsi="宋体" w:eastAsia="宋体" w:cs="宋体"/>
                <w:b/>
                <w:bCs/>
                <w:szCs w:val="21"/>
                <w:highlight w:val="none"/>
              </w:rPr>
              <w:t>服务参数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广西壮族自治区财政厅</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年网络安全保障服务采购项目</w:t>
            </w:r>
          </w:p>
        </w:tc>
        <w:tc>
          <w:tcPr>
            <w:tcW w:w="37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460" w:lineRule="exact"/>
              <w:ind w:firstLine="582" w:firstLineChars="200"/>
              <w:jc w:val="center"/>
              <w:rPr>
                <w:rFonts w:ascii="宋体" w:hAnsi="宋体" w:eastAsia="宋体" w:cs="宋体"/>
                <w:w w:val="104"/>
                <w:kern w:val="0"/>
                <w:sz w:val="28"/>
                <w:szCs w:val="21"/>
                <w:highlight w:val="none"/>
                <w:lang w:val="en-US" w:eastAsia="zh-CN" w:bidi="ar-SA"/>
              </w:rPr>
            </w:pPr>
            <w:r>
              <w:rPr>
                <w:rFonts w:hint="eastAsia" w:ascii="宋体" w:hAnsi="宋体" w:eastAsia="宋体" w:cs="宋体"/>
                <w:w w:val="104"/>
                <w:kern w:val="0"/>
                <w:sz w:val="28"/>
                <w:szCs w:val="21"/>
                <w:highlight w:val="none"/>
                <w:lang w:val="en-US" w:eastAsia="zh-CN" w:bidi="ar-SA"/>
              </w:rPr>
              <w:t>1</w:t>
            </w:r>
            <w:r>
              <w:rPr>
                <w:rFonts w:hint="eastAsia" w:ascii="宋体" w:hAnsi="宋体" w:eastAsia="宋体" w:cs="宋体"/>
                <w:kern w:val="2"/>
                <w:sz w:val="21"/>
                <w:szCs w:val="21"/>
                <w:highlight w:val="none"/>
                <w:lang w:val="en-US" w:eastAsia="zh-CN" w:bidi="ar-SA"/>
              </w:rPr>
              <w:t>1项</w:t>
            </w:r>
          </w:p>
        </w:tc>
        <w:tc>
          <w:tcPr>
            <w:tcW w:w="776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60" w:lineRule="exact"/>
              <w:ind w:firstLine="422" w:firstLineChars="200"/>
              <w:jc w:val="both"/>
              <w:outlineLvl w:val="1"/>
              <w:rPr>
                <w:rFonts w:hint="eastAsia" w:ascii="宋体" w:hAnsi="宋体" w:eastAsia="宋体" w:cs="宋体"/>
                <w:b/>
                <w:bCs/>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一、项目背景</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为进一步贯彻落实国家《中央网络安全和信息化领导小组关于加强党政机关网站安全管理的通知》（中网办发文〔2014〕1号）和自治区财政厅《进一步加强财政信息化安全管理工作的通知》（桂财办〔2013〕5号）要求，2014年以来，广西财政信息管理中心（以下简称“信息中心”）每年均向专业的网络安全服务公司购买了网络安全保障服务，对自治区财政厅网站和所有系统进行实时安全监控、脆弱性检测、风险评估和安全加固，及时发现和消除安全隐患。为有效地提高自治区财政厅网站和系统的安全防御能力,持续保障自治区财政厅网站和系统的安全稳定运行，经研究，决定202</w:t>
            </w:r>
            <w:r>
              <w:rPr>
                <w:rFonts w:hint="eastAsia" w:ascii="宋体" w:hAnsi="宋体" w:eastAsia="宋体" w:cs="宋体"/>
                <w:kern w:val="2"/>
                <w:sz w:val="21"/>
                <w:szCs w:val="21"/>
                <w:highlight w:val="none"/>
                <w:lang w:val="en-US" w:eastAsia="zh-CN" w:bidi="ar-SA"/>
              </w:rPr>
              <w:t>5</w:t>
            </w:r>
            <w:r>
              <w:rPr>
                <w:rFonts w:hint="eastAsia" w:ascii="宋体" w:hAnsi="宋体" w:eastAsia="宋体" w:cs="宋体"/>
                <w:kern w:val="2"/>
                <w:sz w:val="21"/>
                <w:szCs w:val="21"/>
                <w:highlight w:val="none"/>
                <w:lang w:val="zh-CN" w:eastAsia="zh-CN" w:bidi="ar-SA"/>
              </w:rPr>
              <w:t>年继续购买专业的网络安全保障服务。</w:t>
            </w:r>
          </w:p>
          <w:p>
            <w:pPr>
              <w:widowControl w:val="0"/>
              <w:spacing w:line="460" w:lineRule="exact"/>
              <w:ind w:firstLine="422" w:firstLineChars="200"/>
              <w:jc w:val="both"/>
              <w:outlineLvl w:val="1"/>
              <w:rPr>
                <w:rFonts w:hint="eastAsia" w:ascii="宋体" w:hAnsi="宋体" w:eastAsia="宋体" w:cs="宋体"/>
                <w:b/>
                <w:bCs/>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二、项目目标</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为解决自治区财政厅网站和系统存在的问题，通过安全保障服务达到以下目标：</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1.保障自治区财政厅网站、信息系统和服务器平台的安全，提高网站和系统抵抗入侵和攻击的能力。</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2.提高自治区财政厅网络和系统安全防护能力，增强全网已有的安全防护设备的防护效果，发挥设备最大功效。</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3.通过脆弱性扫描、渗透测试和安全配置检查等方法，对已有信息系统进行安全评估，查找存在的安全隐患并采取措施加以防护。</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4.通过驻场值守服务，通过资源巡查、日志分析、状态监控等手段，对信息系统、安全设备进行5×8小时的值守监控，及时对安全风险进行预警，第一时间处理安全事件；出现安全应急事件时，提供7×24小时现场技术支持，及时处理、解决安全问题；实施应急演练服务，提高应急事故处理能力。</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5.借助专业公司技术力量，推进系统安全修复与加固工作。</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6.通过日常网络安全事务咨询服务，及时收集行业内最新安全事件信息，提前进行同类事件安全通告，帮助自治区财政厅及时了解最新安全动态，对未知威胁事件进行预警预防。</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7.通过网络安全培训，提高自治区财政厅安全技术人员理论和技能水平；结合实际，组织进行网络安全攻防演练，增强自治区财政厅技术人员实战经验。</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8.通过对自治区财政厅新上线系统或有重大调整的系统进行安全评估，及时发现新系统存在的安全问题，为新系统的补丁更新、账号安全、访问控制策略等提供规划和建议。</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9.根据新上线系统安全评估结果进行安全加固，包括服务器操作系统、数据库及应用中间件等软件系统补丁更新、安全配置等内容，提高其健壮性和安全性，增加攻击者入侵难度，提升业务系统安全防范能力。</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10.在国家和自治区节假日、重大活动和重要业务期间提供每天24小时业务系统重点安全应急保障服务，对可能出现影响业务稳定性的各类非法入侵行为进行预警、追踪、响应和处理。</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11.在国家、行业、自治区组织的护网期间做好自治区财政厅的防守及反击任务，确保网络和系统不被攻破。</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12.借助专业公司技术和装备力量，完成对全区（14个地市和111个区县）被检查财政局的网络安全现场检查工作。</w:t>
            </w:r>
          </w:p>
          <w:p>
            <w:pPr>
              <w:spacing w:line="46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13.为自治区财政厅安全设备和杀毒软件提供1年的特征库升级授权和升级服务。</w:t>
            </w:r>
          </w:p>
          <w:p>
            <w:pPr>
              <w:widowControl w:val="0"/>
              <w:spacing w:line="460" w:lineRule="exact"/>
              <w:ind w:firstLine="422" w:firstLineChars="200"/>
              <w:jc w:val="both"/>
              <w:outlineLvl w:val="1"/>
              <w:rPr>
                <w:rFonts w:hint="eastAsia" w:ascii="宋体" w:hAnsi="宋体" w:eastAsia="宋体" w:cs="宋体"/>
                <w:b/>
                <w:bCs/>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三、服务范围</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（一）网络安全保障服务服务范围包括但不限于：为部署在</w:t>
            </w:r>
            <w:r>
              <w:rPr>
                <w:rFonts w:hint="default" w:ascii="宋体" w:hAnsi="宋体" w:eastAsia="宋体" w:cs="宋体"/>
                <w:kern w:val="2"/>
                <w:sz w:val="21"/>
                <w:szCs w:val="21"/>
                <w:highlight w:val="none"/>
                <w:lang w:val="en" w:eastAsia="zh-CN" w:bidi="ar-SA"/>
              </w:rPr>
              <w:t>自治区财政厅</w:t>
            </w:r>
            <w:r>
              <w:rPr>
                <w:rFonts w:hint="eastAsia" w:ascii="宋体" w:hAnsi="宋体" w:eastAsia="宋体" w:cs="宋体"/>
                <w:kern w:val="2"/>
                <w:sz w:val="21"/>
                <w:szCs w:val="21"/>
                <w:highlight w:val="none"/>
                <w:lang w:val="zh-CN" w:eastAsia="zh-CN" w:bidi="ar-SA"/>
              </w:rPr>
              <w:t>内、外网及电子政务外网的56个业务系统（46个业务系统和10个测试系统），以及所涉及的</w:t>
            </w:r>
            <w:r>
              <w:rPr>
                <w:rFonts w:hint="eastAsia" w:ascii="宋体" w:hAnsi="宋体" w:eastAsia="宋体" w:cs="宋体"/>
                <w:kern w:val="2"/>
                <w:sz w:val="21"/>
                <w:szCs w:val="21"/>
                <w:highlight w:val="none"/>
                <w:lang w:val="en-US" w:eastAsia="zh-CN" w:bidi="ar-SA"/>
              </w:rPr>
              <w:t>577</w:t>
            </w:r>
            <w:r>
              <w:rPr>
                <w:rFonts w:hint="eastAsia" w:ascii="宋体" w:hAnsi="宋体" w:eastAsia="宋体" w:cs="宋体"/>
                <w:kern w:val="2"/>
                <w:sz w:val="21"/>
                <w:szCs w:val="21"/>
                <w:highlight w:val="none"/>
                <w:lang w:val="zh-CN" w:eastAsia="zh-CN" w:bidi="ar-SA"/>
              </w:rPr>
              <w:t>台服务器和294台网络安全设备提供1年的云防护服务、风险评估服务、安全加固服务、驻场值守服务、应急演练服务、安全培训服务、新系统或重大调整系统上线前安全评估和加固服务、重要时期安全保障服务、护网重点保障和网络攻防演练服务、网络安全检查技术支持服务、安全设备和杀毒软件特征库授权和升级服务。网络安全保障服务系统及设备清单详见下表：</w:t>
            </w:r>
          </w:p>
          <w:p>
            <w:pPr>
              <w:widowControl w:val="0"/>
              <w:spacing w:line="460" w:lineRule="exact"/>
              <w:ind w:firstLine="480" w:firstLineChars="200"/>
              <w:jc w:val="center"/>
              <w:outlineLvl w:val="2"/>
              <w:rPr>
                <w:rFonts w:hint="eastAsia" w:ascii="黑体" w:hAnsi="宋体" w:eastAsia="黑体" w:cs="Times New Roman"/>
                <w:kern w:val="2"/>
                <w:sz w:val="24"/>
                <w:szCs w:val="24"/>
                <w:highlight w:val="none"/>
                <w:lang w:val="en-US" w:eastAsia="zh-CN" w:bidi="ar-SA"/>
              </w:rPr>
            </w:pPr>
            <w:r>
              <w:rPr>
                <w:rFonts w:hint="eastAsia" w:ascii="黑体" w:hAnsi="宋体" w:eastAsia="黑体" w:cs="Times New Roman"/>
                <w:kern w:val="2"/>
                <w:sz w:val="24"/>
                <w:szCs w:val="24"/>
                <w:highlight w:val="none"/>
                <w:lang w:val="en-US" w:eastAsia="zh-CN" w:bidi="ar-SA"/>
              </w:rPr>
              <w:t>表1  网络安全保障服务系统及设备清单</w:t>
            </w:r>
          </w:p>
          <w:tbl>
            <w:tblPr>
              <w:tblStyle w:val="2"/>
              <w:tblW w:w="7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816"/>
              <w:gridCol w:w="78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7" w:type="dxa"/>
                  <w:noWrap w:val="0"/>
                  <w:vAlign w:val="center"/>
                </w:tcPr>
                <w:p>
                  <w:pPr>
                    <w:widowControl/>
                    <w:spacing w:line="460" w:lineRule="exact"/>
                    <w:jc w:val="center"/>
                    <w:rPr>
                      <w:rFonts w:ascii="宋体" w:hAnsi="宋体" w:eastAsia="宋体" w:cs="Times New Roman"/>
                      <w:b/>
                      <w:bCs/>
                      <w:kern w:val="0"/>
                      <w:szCs w:val="21"/>
                      <w:highlight w:val="none"/>
                    </w:rPr>
                  </w:pPr>
                  <w:r>
                    <w:rPr>
                      <w:rFonts w:hint="eastAsia" w:ascii="宋体" w:hAnsi="宋体" w:eastAsia="宋体" w:cs="Times New Roman"/>
                      <w:b/>
                      <w:bCs/>
                      <w:kern w:val="0"/>
                      <w:highlight w:val="none"/>
                    </w:rPr>
                    <w:t>序号</w:t>
                  </w:r>
                </w:p>
              </w:tc>
              <w:tc>
                <w:tcPr>
                  <w:tcW w:w="4816" w:type="dxa"/>
                  <w:noWrap w:val="0"/>
                  <w:vAlign w:val="center"/>
                </w:tcPr>
                <w:p>
                  <w:pPr>
                    <w:widowControl/>
                    <w:spacing w:line="460" w:lineRule="exact"/>
                    <w:jc w:val="center"/>
                    <w:rPr>
                      <w:rFonts w:ascii="宋体" w:hAnsi="宋体" w:eastAsia="宋体" w:cs="Times New Roman"/>
                      <w:b/>
                      <w:bCs/>
                      <w:kern w:val="0"/>
                      <w:szCs w:val="21"/>
                      <w:highlight w:val="none"/>
                    </w:rPr>
                  </w:pPr>
                  <w:r>
                    <w:rPr>
                      <w:rFonts w:hint="eastAsia" w:ascii="宋体" w:hAnsi="宋体" w:eastAsia="宋体" w:cs="Times New Roman"/>
                      <w:b/>
                      <w:bCs/>
                      <w:kern w:val="0"/>
                      <w:highlight w:val="none"/>
                    </w:rPr>
                    <w:t>系统（设备）</w:t>
                  </w:r>
                </w:p>
              </w:tc>
              <w:tc>
                <w:tcPr>
                  <w:tcW w:w="789" w:type="dxa"/>
                  <w:noWrap w:val="0"/>
                  <w:vAlign w:val="center"/>
                </w:tcPr>
                <w:p>
                  <w:pPr>
                    <w:widowControl/>
                    <w:spacing w:line="460" w:lineRule="exact"/>
                    <w:jc w:val="center"/>
                    <w:rPr>
                      <w:rFonts w:ascii="宋体" w:hAnsi="宋体" w:eastAsia="宋体" w:cs="Times New Roman"/>
                      <w:b/>
                      <w:bCs/>
                      <w:kern w:val="0"/>
                      <w:szCs w:val="21"/>
                      <w:highlight w:val="none"/>
                    </w:rPr>
                  </w:pPr>
                  <w:r>
                    <w:rPr>
                      <w:rFonts w:hint="eastAsia" w:ascii="宋体" w:hAnsi="宋体" w:eastAsia="宋体" w:cs="Times New Roman"/>
                      <w:b/>
                      <w:bCs/>
                      <w:kern w:val="0"/>
                      <w:highlight w:val="none"/>
                    </w:rPr>
                    <w:t>数量</w:t>
                  </w:r>
                </w:p>
              </w:tc>
              <w:tc>
                <w:tcPr>
                  <w:tcW w:w="1540" w:type="dxa"/>
                  <w:noWrap w:val="0"/>
                  <w:vAlign w:val="center"/>
                </w:tcPr>
                <w:p>
                  <w:pPr>
                    <w:widowControl/>
                    <w:spacing w:line="460" w:lineRule="exact"/>
                    <w:jc w:val="center"/>
                    <w:rPr>
                      <w:rFonts w:ascii="宋体" w:hAnsi="宋体" w:eastAsia="宋体" w:cs="Times New Roman"/>
                      <w:b/>
                      <w:bCs/>
                      <w:kern w:val="0"/>
                      <w:szCs w:val="21"/>
                      <w:highlight w:val="none"/>
                    </w:rPr>
                  </w:pPr>
                  <w:r>
                    <w:rPr>
                      <w:rFonts w:hint="eastAsia" w:ascii="宋体" w:hAnsi="宋体" w:eastAsia="宋体" w:cs="Times New Roman"/>
                      <w:b/>
                      <w:bCs/>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22" w:type="dxa"/>
                  <w:gridSpan w:val="4"/>
                  <w:noWrap w:val="0"/>
                  <w:vAlign w:val="center"/>
                </w:tcPr>
                <w:p>
                  <w:pPr>
                    <w:widowControl/>
                    <w:spacing w:line="460" w:lineRule="exact"/>
                    <w:jc w:val="left"/>
                    <w:rPr>
                      <w:rFonts w:ascii="宋体" w:hAnsi="宋体" w:eastAsia="宋体" w:cs="Times New Roman"/>
                      <w:b/>
                      <w:bCs/>
                      <w:kern w:val="0"/>
                      <w:szCs w:val="21"/>
                      <w:highlight w:val="none"/>
                    </w:rPr>
                  </w:pPr>
                  <w:r>
                    <w:rPr>
                      <w:rFonts w:hint="eastAsia" w:ascii="宋体" w:hAnsi="宋体" w:eastAsia="宋体" w:cs="Times New Roman"/>
                      <w:b/>
                      <w:bCs/>
                      <w:kern w:val="0"/>
                      <w:highlight w:val="none"/>
                    </w:rPr>
                    <w:t>一、业务系统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广西壮族自治区财政厅网站</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2</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广西财政统一报表</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广西财政票据电子化管理系统</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广西壮族自治区财政厅在线培训系统</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5</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广西会计管理系统</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6</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广西统一公共收付系统</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7</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广西预算管理一体化系统</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8</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广西政策性农业保险保费补贴与业务管理系统</w:t>
                  </w:r>
                </w:p>
              </w:tc>
              <w:tc>
                <w:tcPr>
                  <w:tcW w:w="789"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9</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广西财政数据发布系统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10</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自治区财政厅文档云系统（信创）</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11</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自治区财政厅办公自动化系统（信创）</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12</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广西惠民惠农财政补贴资金“一卡通”管理系统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13</w:t>
                  </w:r>
                </w:p>
              </w:tc>
              <w:tc>
                <w:tcPr>
                  <w:tcW w:w="4816"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地方政府专项债券项目穿透式监测系统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1</w:t>
                  </w:r>
                  <w:r>
                    <w:rPr>
                      <w:rFonts w:ascii="宋体" w:hAnsi="宋体" w:eastAsia="宋体" w:cs="Times New Roman"/>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广西政府财务报告管理系统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1</w:t>
                  </w:r>
                  <w:r>
                    <w:rPr>
                      <w:rFonts w:ascii="宋体" w:hAnsi="宋体" w:eastAsia="宋体" w:cs="Times New Roman"/>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广西壮族自治区财政厅公开招聘报名系统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w:t>
                  </w:r>
                  <w:r>
                    <w:rPr>
                      <w:rFonts w:ascii="宋体" w:hAnsi="宋体" w:eastAsia="宋体" w:cs="Times New Roman"/>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部门预算管理系统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w:t>
                  </w:r>
                  <w:r>
                    <w:rPr>
                      <w:rFonts w:ascii="宋体" w:hAnsi="宋体" w:eastAsia="宋体" w:cs="Times New Roman"/>
                      <w:kern w:val="0"/>
                      <w:szCs w:val="21"/>
                      <w:highlight w:val="none"/>
                      <w:lang w:val="en"/>
                    </w:rPr>
                    <w:t>7</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非税收入收缴管理系统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w:t>
                  </w:r>
                  <w:r>
                    <w:rPr>
                      <w:rFonts w:ascii="宋体" w:hAnsi="宋体" w:eastAsia="宋体" w:cs="Times New Roman"/>
                      <w:kern w:val="0"/>
                      <w:szCs w:val="21"/>
                      <w:highlight w:val="none"/>
                      <w:lang w:val="en"/>
                    </w:rPr>
                    <w:t>8</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财政工资统发管理系统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ascii="宋体" w:hAnsi="宋体" w:eastAsia="宋体" w:cs="Times New Roman"/>
                      <w:kern w:val="0"/>
                      <w:szCs w:val="21"/>
                      <w:highlight w:val="none"/>
                      <w:lang w:val="en"/>
                    </w:rPr>
                    <w:t>19</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财政应用支撑平台</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0</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预算执行一体化系统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1</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预算单位财务管理系统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2</w:t>
                  </w:r>
                </w:p>
              </w:tc>
              <w:tc>
                <w:tcPr>
                  <w:tcW w:w="4816" w:type="dxa"/>
                  <w:shd w:val="clear" w:color="auto" w:fill="FFFFFF"/>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地方债务管理系统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3</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预算单位银行账户管理系统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财政转移支付综合管理系统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预算执行分析信息系统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财政内网邮件系统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7</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财政社会保险基金预算管理系统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2</w:t>
                  </w:r>
                  <w:r>
                    <w:rPr>
                      <w:rFonts w:ascii="宋体" w:hAnsi="宋体" w:eastAsia="宋体" w:cs="Times New Roman"/>
                      <w:kern w:val="0"/>
                      <w:szCs w:val="21"/>
                      <w:highlight w:val="none"/>
                      <w:lang w:val="en"/>
                    </w:rPr>
                    <w:t>8</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一事一议财政奖补项目信息管理系统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ascii="宋体" w:hAnsi="宋体" w:eastAsia="宋体" w:cs="Times New Roman"/>
                      <w:kern w:val="0"/>
                      <w:szCs w:val="21"/>
                      <w:highlight w:val="none"/>
                      <w:lang w:val="en"/>
                    </w:rPr>
                    <w:t>29</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统一运维管理系统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0</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地方分析评价系统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1</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军队转业干部信息管理系统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2</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人事管理系统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3</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用友财务R9软件</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lang w:val="en"/>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广西部门决算网络版系统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自治区财政厅档案管理系统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广西财政投资评审信息系统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7</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广西财政预算绩效管理系统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r>
                    <w:rPr>
                      <w:rFonts w:ascii="宋体" w:hAnsi="宋体" w:eastAsia="宋体" w:cs="Times New Roman"/>
                      <w:kern w:val="0"/>
                      <w:szCs w:val="21"/>
                      <w:highlight w:val="none"/>
                      <w:lang w:val="en"/>
                    </w:rPr>
                    <w:t>8</w:t>
                  </w:r>
                </w:p>
              </w:tc>
              <w:tc>
                <w:tcPr>
                  <w:tcW w:w="4816" w:type="dxa"/>
                  <w:shd w:val="clear" w:color="auto" w:fill="FFFFFF"/>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广西财政电子支付监测系统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ascii="宋体" w:hAnsi="宋体" w:eastAsia="宋体" w:cs="Times New Roman"/>
                      <w:kern w:val="0"/>
                      <w:szCs w:val="21"/>
                      <w:highlight w:val="none"/>
                      <w:lang w:val="en"/>
                    </w:rPr>
                    <w:t>39</w:t>
                  </w:r>
                </w:p>
              </w:tc>
              <w:tc>
                <w:tcPr>
                  <w:tcW w:w="4816" w:type="dxa"/>
                  <w:shd w:val="clear" w:color="auto" w:fill="FFFFFF"/>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广西县级财政国库集中支付电子化管理系统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0</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广西财政视频会议系统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1</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自治区财政厅干部管理系统</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2</w:t>
                  </w:r>
                </w:p>
              </w:tc>
              <w:tc>
                <w:tcPr>
                  <w:tcW w:w="4816" w:type="dxa"/>
                  <w:shd w:val="clear" w:color="auto" w:fill="FFFFFF"/>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广西财政扶贫资金动态监控平台</w:t>
                  </w:r>
                </w:p>
              </w:tc>
              <w:tc>
                <w:tcPr>
                  <w:tcW w:w="789"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3</w:t>
                  </w:r>
                </w:p>
              </w:tc>
              <w:tc>
                <w:tcPr>
                  <w:tcW w:w="4816" w:type="dxa"/>
                  <w:shd w:val="clear" w:color="auto" w:fill="FFFFFF"/>
                  <w:noWrap/>
                  <w:vAlign w:val="center"/>
                </w:tcPr>
                <w:p>
                  <w:pPr>
                    <w:widowControl/>
                    <w:spacing w:line="460" w:lineRule="exact"/>
                    <w:jc w:val="center"/>
                    <w:textAlignment w:val="center"/>
                    <w:rPr>
                      <w:rFonts w:hint="eastAsia" w:ascii="宋体" w:hAnsi="宋体" w:eastAsia="宋体" w:cs="Times New Roman"/>
                      <w:szCs w:val="21"/>
                      <w:highlight w:val="none"/>
                    </w:rPr>
                  </w:pPr>
                  <w:r>
                    <w:rPr>
                      <w:rFonts w:hint="eastAsia" w:ascii="宋体" w:hAnsi="宋体" w:eastAsia="宋体" w:cs="宋体"/>
                      <w:kern w:val="0"/>
                      <w:szCs w:val="21"/>
                      <w:highlight w:val="none"/>
                      <w:lang w:bidi="ar"/>
                    </w:rPr>
                    <w:t>自治区财政厅智能文件交换与跟踪系统</w:t>
                  </w:r>
                </w:p>
              </w:tc>
              <w:tc>
                <w:tcPr>
                  <w:tcW w:w="789"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hint="eastAsia" w:ascii="宋体" w:hAnsi="宋体" w:eastAsia="宋体" w:cs="Times New Roman"/>
                      <w:szCs w:val="21"/>
                      <w:highlight w:val="none"/>
                    </w:rPr>
                  </w:pPr>
                  <w:r>
                    <w:rPr>
                      <w:rFonts w:hint="eastAsia" w:ascii="宋体" w:hAnsi="宋体" w:eastAsia="宋体" w:cs="宋体"/>
                      <w:kern w:val="0"/>
                      <w:szCs w:val="21"/>
                      <w:highlight w:val="none"/>
                      <w:lang w:bidi="ar"/>
                    </w:rPr>
                    <w:t>广西预算管理一体化系统技术服务呼叫中心</w:t>
                  </w:r>
                </w:p>
              </w:tc>
              <w:tc>
                <w:tcPr>
                  <w:tcW w:w="789"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hint="eastAsia" w:ascii="宋体" w:hAnsi="宋体" w:eastAsia="宋体" w:cs="Times New Roman"/>
                      <w:szCs w:val="21"/>
                      <w:highlight w:val="none"/>
                    </w:rPr>
                  </w:pPr>
                  <w:r>
                    <w:rPr>
                      <w:rFonts w:hint="eastAsia" w:ascii="宋体" w:hAnsi="宋体" w:eastAsia="宋体" w:cs="宋体"/>
                      <w:kern w:val="0"/>
                      <w:szCs w:val="21"/>
                      <w:highlight w:val="none"/>
                      <w:lang w:bidi="ar"/>
                    </w:rPr>
                    <w:t>行政事业单位资产管理系统</w:t>
                  </w:r>
                </w:p>
              </w:tc>
              <w:tc>
                <w:tcPr>
                  <w:tcW w:w="789"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r>
                    <w:rPr>
                      <w:rFonts w:ascii="宋体" w:hAnsi="宋体" w:eastAsia="宋体" w:cs="Times New Roman"/>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hint="eastAsia" w:ascii="宋体" w:hAnsi="宋体" w:eastAsia="宋体" w:cs="Times New Roman"/>
                      <w:szCs w:val="21"/>
                      <w:highlight w:val="none"/>
                    </w:rPr>
                  </w:pPr>
                  <w:r>
                    <w:rPr>
                      <w:rFonts w:hint="eastAsia" w:ascii="宋体" w:hAnsi="宋体" w:eastAsia="宋体" w:cs="宋体"/>
                      <w:kern w:val="0"/>
                      <w:szCs w:val="21"/>
                      <w:highlight w:val="none"/>
                      <w:lang w:bidi="ar"/>
                    </w:rPr>
                    <w:t>广西壮族自治区政府采购网</w:t>
                  </w:r>
                </w:p>
              </w:tc>
              <w:tc>
                <w:tcPr>
                  <w:tcW w:w="789"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widowControl/>
                    <w:spacing w:line="460" w:lineRule="exact"/>
                    <w:jc w:val="center"/>
                    <w:textAlignment w:val="center"/>
                    <w:rPr>
                      <w:rFonts w:hint="eastAsia" w:ascii="宋体" w:hAnsi="宋体" w:eastAsia="宋体" w:cs="Times New Roman"/>
                      <w:kern w:val="0"/>
                      <w:szCs w:val="21"/>
                      <w:highlight w:val="none"/>
                    </w:rPr>
                  </w:pPr>
                  <w:r>
                    <w:rPr>
                      <w:rFonts w:hint="eastAsia" w:ascii="宋体" w:hAnsi="宋体" w:eastAsia="宋体" w:cs="宋体"/>
                      <w:kern w:val="0"/>
                      <w:szCs w:val="21"/>
                      <w:highlight w:val="none"/>
                      <w:lang w:bidi="ar"/>
                    </w:rPr>
                    <w:t>政采云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both"/>
                    <w:textAlignment w:val="auto"/>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lang w:val="en-US" w:eastAsia="zh-CN"/>
                    </w:rPr>
                    <w:t xml:space="preserve">                      </w:t>
                  </w:r>
                  <w:r>
                    <w:rPr>
                      <w:rFonts w:hint="eastAsia" w:ascii="宋体" w:hAnsi="宋体" w:eastAsia="宋体" w:cs="Times New Roman"/>
                      <w:b/>
                      <w:bCs/>
                      <w:kern w:val="0"/>
                      <w:szCs w:val="21"/>
                      <w:highlight w:val="none"/>
                    </w:rPr>
                    <w:t>系统合计</w:t>
                  </w:r>
                </w:p>
              </w:tc>
              <w:tc>
                <w:tcPr>
                  <w:tcW w:w="789" w:type="dxa"/>
                  <w:noWrap/>
                  <w:vAlign w:val="center"/>
                </w:tcPr>
                <w:p>
                  <w:pPr>
                    <w:widowControl/>
                    <w:spacing w:line="460" w:lineRule="exact"/>
                    <w:jc w:val="center"/>
                    <w:textAlignment w:val="center"/>
                    <w:rPr>
                      <w:rFonts w:ascii="宋体" w:hAnsi="宋体" w:eastAsia="宋体" w:cs="Times New Roman"/>
                      <w:b/>
                      <w:kern w:val="0"/>
                      <w:szCs w:val="21"/>
                      <w:highlight w:val="none"/>
                    </w:rPr>
                  </w:pPr>
                  <w:r>
                    <w:rPr>
                      <w:rFonts w:hint="eastAsia" w:ascii="宋体" w:hAnsi="宋体" w:eastAsia="宋体" w:cs="Times New Roman"/>
                      <w:b/>
                      <w:kern w:val="0"/>
                      <w:szCs w:val="21"/>
                      <w:highlight w:val="none"/>
                    </w:rPr>
                    <w:t>4</w:t>
                  </w:r>
                  <w:r>
                    <w:rPr>
                      <w:rFonts w:ascii="宋体" w:hAnsi="宋体" w:eastAsia="宋体" w:cs="Times New Roman"/>
                      <w:b/>
                      <w:kern w:val="0"/>
                      <w:szCs w:val="21"/>
                      <w:highlight w:val="none"/>
                      <w:lang w:val="en"/>
                    </w:rPr>
                    <w:t>6</w:t>
                  </w:r>
                  <w:r>
                    <w:rPr>
                      <w:rFonts w:hint="eastAsia" w:ascii="宋体" w:hAnsi="宋体" w:eastAsia="宋体" w:cs="Times New Roman"/>
                      <w:b/>
                      <w:kern w:val="0"/>
                      <w:szCs w:val="21"/>
                      <w:highlight w:val="none"/>
                    </w:rPr>
                    <w:t>个</w:t>
                  </w:r>
                </w:p>
              </w:tc>
              <w:tc>
                <w:tcPr>
                  <w:tcW w:w="1540" w:type="dxa"/>
                  <w:noWrap/>
                  <w:vAlign w:val="center"/>
                </w:tcPr>
                <w:p>
                  <w:pPr>
                    <w:widowControl/>
                    <w:spacing w:line="460" w:lineRule="exact"/>
                    <w:jc w:val="center"/>
                    <w:textAlignment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eastAsia="宋体" w:cs="Times New Roman"/>
                      <w:b/>
                      <w:kern w:val="0"/>
                      <w:szCs w:val="21"/>
                      <w:highlight w:val="none"/>
                    </w:rPr>
                  </w:pPr>
                  <w:r>
                    <w:rPr>
                      <w:rFonts w:hint="eastAsia" w:ascii="宋体" w:hAnsi="宋体" w:eastAsia="宋体" w:cs="Times New Roman"/>
                      <w:b/>
                      <w:kern w:val="0"/>
                      <w:highlight w:val="none"/>
                    </w:rPr>
                    <w:t>二、测试系统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社会保障资金信息管理系统</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2</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自治区财政厅统一门户</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农业保险保费补贴与业务管理系统</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文档云测试系统</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5</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OA办公自动化系统测试</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6</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行政事业单位资产管理信息系统测试</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7</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预算绩效管理信息系统测试</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8</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票据电子化管理系统</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9</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政府财务报告系统测试</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10</w:t>
                  </w:r>
                </w:p>
              </w:tc>
              <w:tc>
                <w:tcPr>
                  <w:tcW w:w="4816"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宋体"/>
                      <w:kern w:val="0"/>
                      <w:szCs w:val="21"/>
                      <w:highlight w:val="none"/>
                      <w:lang w:bidi="ar"/>
                    </w:rPr>
                    <w:t>社会保障资金信息管理系统</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1个</w:t>
                  </w:r>
                </w:p>
              </w:tc>
              <w:tc>
                <w:tcPr>
                  <w:tcW w:w="1540" w:type="dxa"/>
                  <w:noWrap/>
                  <w:vAlign w:val="center"/>
                </w:tcPr>
                <w:p>
                  <w:pPr>
                    <w:spacing w:line="460" w:lineRule="exact"/>
                    <w:jc w:val="center"/>
                    <w:rPr>
                      <w:rFonts w:ascii="宋体" w:hAnsi="宋体" w:eastAsia="宋体" w:cs="Times New Roman"/>
                      <w:szCs w:val="21"/>
                      <w:highlight w:val="none"/>
                    </w:rPr>
                  </w:pPr>
                  <w:r>
                    <w:rPr>
                      <w:rFonts w:hint="eastAsia" w:ascii="宋体" w:hAnsi="宋体" w:eastAsia="宋体" w:cs="Times New Roman"/>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ind w:firstLine="0"/>
                    <w:jc w:val="both"/>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lang w:val="en-US" w:eastAsia="zh-CN"/>
                    </w:rPr>
                    <w:t xml:space="preserve">                     </w:t>
                  </w:r>
                  <w:r>
                    <w:rPr>
                      <w:rFonts w:hint="eastAsia" w:ascii="宋体" w:hAnsi="宋体" w:eastAsia="宋体" w:cs="Times New Roman"/>
                      <w:b/>
                      <w:bCs/>
                      <w:kern w:val="0"/>
                      <w:szCs w:val="21"/>
                      <w:highlight w:val="none"/>
                    </w:rPr>
                    <w:t>测试系统合计</w:t>
                  </w:r>
                </w:p>
              </w:tc>
              <w:tc>
                <w:tcPr>
                  <w:tcW w:w="789" w:type="dxa"/>
                  <w:noWrap w:val="0"/>
                  <w:vAlign w:val="center"/>
                </w:tcPr>
                <w:p>
                  <w:pPr>
                    <w:widowControl/>
                    <w:spacing w:line="460" w:lineRule="exact"/>
                    <w:jc w:val="center"/>
                    <w:rPr>
                      <w:rFonts w:ascii="宋体" w:hAnsi="宋体" w:eastAsia="宋体" w:cs="Times New Roman"/>
                      <w:b/>
                      <w:kern w:val="0"/>
                      <w:szCs w:val="21"/>
                      <w:highlight w:val="none"/>
                    </w:rPr>
                  </w:pPr>
                  <w:r>
                    <w:rPr>
                      <w:rFonts w:hint="eastAsia" w:ascii="宋体" w:hAnsi="宋体" w:eastAsia="宋体" w:cs="Times New Roman"/>
                      <w:b/>
                      <w:kern w:val="0"/>
                      <w:szCs w:val="21"/>
                      <w:highlight w:val="none"/>
                    </w:rPr>
                    <w:t>10个</w:t>
                  </w:r>
                </w:p>
              </w:tc>
              <w:tc>
                <w:tcPr>
                  <w:tcW w:w="1540" w:type="dxa"/>
                  <w:noWrap/>
                  <w:vAlign w:val="center"/>
                </w:tcPr>
                <w:p>
                  <w:pPr>
                    <w:widowControl/>
                    <w:spacing w:line="460" w:lineRule="exact"/>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eastAsia="宋体" w:cs="Times New Roman"/>
                      <w:b/>
                      <w:kern w:val="0"/>
                      <w:szCs w:val="21"/>
                      <w:highlight w:val="none"/>
                    </w:rPr>
                  </w:pPr>
                  <w:r>
                    <w:rPr>
                      <w:rFonts w:hint="eastAsia" w:ascii="宋体" w:hAnsi="宋体" w:eastAsia="宋体" w:cs="Times New Roman"/>
                      <w:b/>
                      <w:kern w:val="0"/>
                      <w:highlight w:val="none"/>
                    </w:rPr>
                    <w:t>三、服务器和网络安全设备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eastAsia="宋体" w:cs="Times New Roman"/>
                      <w:b/>
                      <w:kern w:val="0"/>
                      <w:szCs w:val="21"/>
                      <w:highlight w:val="none"/>
                    </w:rPr>
                  </w:pPr>
                  <w:r>
                    <w:rPr>
                      <w:rFonts w:hint="eastAsia" w:ascii="宋体" w:hAnsi="宋体" w:eastAsia="宋体" w:cs="Times New Roman"/>
                      <w:b/>
                      <w:kern w:val="0"/>
                      <w:highlight w:val="none"/>
                    </w:rPr>
                    <w:t>（一）服务器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w:t>
                  </w:r>
                </w:p>
              </w:tc>
              <w:tc>
                <w:tcPr>
                  <w:tcW w:w="4816" w:type="dxa"/>
                  <w:noWrap w:val="0"/>
                  <w:vAlign w:val="center"/>
                </w:tcPr>
                <w:p>
                  <w:pPr>
                    <w:widowControl/>
                    <w:spacing w:line="460" w:lineRule="exact"/>
                    <w:jc w:val="left"/>
                    <w:rPr>
                      <w:rFonts w:ascii="宋体" w:hAnsi="宋体" w:eastAsia="宋体" w:cs="Times New Roman"/>
                      <w:kern w:val="0"/>
                      <w:szCs w:val="21"/>
                      <w:highlight w:val="none"/>
                    </w:rPr>
                  </w:pPr>
                  <w:r>
                    <w:rPr>
                      <w:rFonts w:hint="eastAsia" w:ascii="宋体" w:hAnsi="宋体" w:eastAsia="宋体" w:cs="Times New Roman"/>
                      <w:kern w:val="0"/>
                      <w:highlight w:val="none"/>
                    </w:rPr>
                    <w:t>物理服务器</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ascii="宋体" w:hAnsi="宋体" w:eastAsia="宋体" w:cs="Times New Roman"/>
                      <w:kern w:val="0"/>
                      <w:highlight w:val="none"/>
                      <w:lang w:val="en"/>
                    </w:rPr>
                    <w:t>1</w:t>
                  </w:r>
                  <w:r>
                    <w:rPr>
                      <w:rFonts w:hint="eastAsia" w:ascii="宋体" w:hAnsi="宋体" w:eastAsia="宋体" w:cs="Times New Roman"/>
                      <w:kern w:val="0"/>
                      <w:highlight w:val="none"/>
                      <w:lang w:val="en-US" w:eastAsia="zh-CN"/>
                    </w:rPr>
                    <w:t>0</w:t>
                  </w:r>
                  <w:r>
                    <w:rPr>
                      <w:rFonts w:ascii="宋体" w:hAnsi="宋体" w:eastAsia="宋体" w:cs="Times New Roman"/>
                      <w:kern w:val="0"/>
                      <w:highlight w:val="none"/>
                      <w:lang w:val="en"/>
                    </w:rPr>
                    <w:t>5</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2</w:t>
                  </w:r>
                </w:p>
              </w:tc>
              <w:tc>
                <w:tcPr>
                  <w:tcW w:w="4816" w:type="dxa"/>
                  <w:noWrap w:val="0"/>
                  <w:vAlign w:val="center"/>
                </w:tcPr>
                <w:p>
                  <w:pPr>
                    <w:widowControl/>
                    <w:spacing w:line="460" w:lineRule="exact"/>
                    <w:jc w:val="left"/>
                    <w:rPr>
                      <w:rFonts w:ascii="宋体" w:hAnsi="宋体" w:eastAsia="宋体" w:cs="Times New Roman"/>
                      <w:kern w:val="0"/>
                      <w:szCs w:val="21"/>
                      <w:highlight w:val="none"/>
                    </w:rPr>
                  </w:pPr>
                  <w:r>
                    <w:rPr>
                      <w:rFonts w:hint="eastAsia" w:ascii="宋体" w:hAnsi="宋体" w:eastAsia="宋体" w:cs="Times New Roman"/>
                      <w:kern w:val="0"/>
                      <w:highlight w:val="none"/>
                    </w:rPr>
                    <w:t>虚拟服务器</w:t>
                  </w:r>
                </w:p>
              </w:tc>
              <w:tc>
                <w:tcPr>
                  <w:tcW w:w="789" w:type="dxa"/>
                  <w:noWrap w:val="0"/>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472</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both"/>
                    <w:rPr>
                      <w:rFonts w:ascii="宋体" w:hAnsi="宋体" w:eastAsia="宋体" w:cs="Times New Roman"/>
                      <w:b/>
                      <w:kern w:val="0"/>
                      <w:szCs w:val="21"/>
                      <w:highlight w:val="none"/>
                    </w:rPr>
                  </w:pPr>
                  <w:r>
                    <w:rPr>
                      <w:rFonts w:hint="eastAsia" w:ascii="宋体" w:hAnsi="宋体" w:eastAsia="宋体" w:cs="Times New Roman"/>
                      <w:b/>
                      <w:kern w:val="0"/>
                      <w:highlight w:val="none"/>
                      <w:lang w:val="en-US" w:eastAsia="zh-CN"/>
                    </w:rPr>
                    <w:t xml:space="preserve">                     </w:t>
                  </w:r>
                  <w:r>
                    <w:rPr>
                      <w:rFonts w:hint="eastAsia" w:ascii="宋体" w:hAnsi="宋体" w:eastAsia="宋体" w:cs="Times New Roman"/>
                      <w:b/>
                      <w:kern w:val="0"/>
                      <w:highlight w:val="none"/>
                    </w:rPr>
                    <w:t>服务器合计</w:t>
                  </w:r>
                </w:p>
              </w:tc>
              <w:tc>
                <w:tcPr>
                  <w:tcW w:w="789" w:type="dxa"/>
                  <w:noWrap w:val="0"/>
                  <w:vAlign w:val="center"/>
                </w:tcPr>
                <w:p>
                  <w:pPr>
                    <w:widowControl/>
                    <w:spacing w:line="460" w:lineRule="exact"/>
                    <w:jc w:val="center"/>
                    <w:rPr>
                      <w:rFonts w:ascii="宋体" w:hAnsi="宋体" w:eastAsia="宋体" w:cs="Times New Roman"/>
                      <w:b/>
                      <w:kern w:val="0"/>
                      <w:szCs w:val="21"/>
                      <w:highlight w:val="none"/>
                    </w:rPr>
                  </w:pPr>
                  <w:r>
                    <w:rPr>
                      <w:rFonts w:hint="eastAsia" w:ascii="宋体" w:hAnsi="宋体" w:eastAsia="宋体" w:cs="Times New Roman"/>
                      <w:b/>
                      <w:kern w:val="0"/>
                      <w:highlight w:val="none"/>
                      <w:lang w:val="en-US" w:eastAsia="zh-CN"/>
                    </w:rPr>
                    <w:t>577</w:t>
                  </w:r>
                  <w:r>
                    <w:rPr>
                      <w:rFonts w:hint="eastAsia" w:ascii="宋体" w:hAnsi="宋体" w:eastAsia="宋体" w:cs="Times New Roman"/>
                      <w:b/>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eastAsia="宋体" w:cs="Times New Roman"/>
                      <w:b/>
                      <w:kern w:val="0"/>
                      <w:szCs w:val="21"/>
                      <w:highlight w:val="none"/>
                    </w:rPr>
                  </w:pPr>
                  <w:r>
                    <w:rPr>
                      <w:rFonts w:hint="eastAsia" w:ascii="宋体" w:hAnsi="宋体" w:eastAsia="宋体" w:cs="Times New Roman"/>
                      <w:b/>
                      <w:kern w:val="0"/>
                      <w:highlight w:val="none"/>
                    </w:rPr>
                    <w:t>（二）网络安全设备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交换机</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2</w:t>
                  </w:r>
                  <w:r>
                    <w:rPr>
                      <w:rFonts w:hint="eastAsia" w:ascii="宋体" w:hAnsi="宋体" w:eastAsia="宋体" w:cs="Times New Roman"/>
                      <w:kern w:val="0"/>
                      <w:highlight w:val="none"/>
                      <w:lang w:val="en-US" w:eastAsia="zh-CN"/>
                    </w:rPr>
                    <w:t>10</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2</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路由器</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8</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3</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负载均衡</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7</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4</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防火墙</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1</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5</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下一代防火墙</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16</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6</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WAF</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2台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7</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VPN</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2</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8</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身份认证网关</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8台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9</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数字签名服务器</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7台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10</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堡垒机</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2台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11</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隔离网闸</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1</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12</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光闸</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2</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13</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APT</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4</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14</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DPI</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0</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15</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网络安全态势感知平台</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2</w:t>
                  </w:r>
                  <w:r>
                    <w:rPr>
                      <w:rFonts w:hint="eastAsia" w:ascii="宋体" w:hAnsi="宋体" w:eastAsia="宋体" w:cs="Times New Roman"/>
                      <w:kern w:val="0"/>
                      <w:highlight w:val="none"/>
                    </w:rPr>
                    <w:t>套</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16</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上网行为管理</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7</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17</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数据库审计系统</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3台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18</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日志审计系统</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2台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19</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病毒检测</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2套</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20</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网页防篡改</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0</w:t>
                  </w:r>
                  <w:r>
                    <w:rPr>
                      <w:rFonts w:hint="eastAsia" w:ascii="宋体" w:hAnsi="宋体" w:eastAsia="宋体" w:cs="Times New Roman"/>
                      <w:kern w:val="0"/>
                      <w:highlight w:val="none"/>
                    </w:rPr>
                    <w:t>套</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21</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终端访问管理</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2</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eastAsia="宋体" w:cs="Times New Roman"/>
                      <w:kern w:val="0"/>
                      <w:szCs w:val="21"/>
                      <w:highlight w:val="none"/>
                    </w:rPr>
                  </w:pPr>
                  <w:r>
                    <w:rPr>
                      <w:rFonts w:hint="eastAsia" w:ascii="宋体" w:hAnsi="宋体" w:eastAsia="宋体" w:cs="Times New Roman"/>
                      <w:kern w:val="0"/>
                      <w:highlight w:val="none"/>
                    </w:rPr>
                    <w:t>22</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协议转换</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lang w:val="en-US" w:eastAsia="zh-CN"/>
                    </w:rPr>
                    <w:t>2</w:t>
                  </w:r>
                  <w:r>
                    <w:rPr>
                      <w:rFonts w:hint="eastAsia" w:ascii="宋体" w:hAnsi="宋体" w:eastAsia="宋体" w:cs="Times New Roman"/>
                      <w:kern w:val="0"/>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eastAsia="宋体" w:cs="Times New Roman"/>
                      <w:kern w:val="0"/>
                      <w:szCs w:val="21"/>
                      <w:highlight w:val="none"/>
                    </w:rPr>
                  </w:pPr>
                  <w:r>
                    <w:rPr>
                      <w:rFonts w:hint="eastAsia" w:ascii="宋体" w:hAnsi="宋体" w:eastAsia="宋体" w:cs="Times New Roman"/>
                      <w:kern w:val="0"/>
                      <w:highlight w:val="none"/>
                    </w:rPr>
                    <w:t>23</w:t>
                  </w:r>
                </w:p>
              </w:tc>
              <w:tc>
                <w:tcPr>
                  <w:tcW w:w="4816" w:type="dxa"/>
                  <w:noWrap w:val="0"/>
                  <w:vAlign w:val="center"/>
                </w:tcPr>
                <w:p>
                  <w:pPr>
                    <w:widowControl/>
                    <w:spacing w:line="460" w:lineRule="exact"/>
                    <w:jc w:val="left"/>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防病毒网关</w:t>
                  </w:r>
                </w:p>
              </w:tc>
              <w:tc>
                <w:tcPr>
                  <w:tcW w:w="789" w:type="dxa"/>
                  <w:noWrap w:val="0"/>
                  <w:vAlign w:val="center"/>
                </w:tcPr>
                <w:p>
                  <w:pPr>
                    <w:widowControl/>
                    <w:spacing w:line="460" w:lineRule="exact"/>
                    <w:jc w:val="center"/>
                    <w:textAlignment w:val="center"/>
                    <w:rPr>
                      <w:rFonts w:ascii="宋体" w:hAnsi="宋体" w:eastAsia="宋体" w:cs="Times New Roman"/>
                      <w:kern w:val="0"/>
                      <w:szCs w:val="21"/>
                      <w:highlight w:val="none"/>
                    </w:rPr>
                  </w:pPr>
                  <w:r>
                    <w:rPr>
                      <w:rFonts w:hint="eastAsia" w:ascii="宋体" w:hAnsi="宋体" w:eastAsia="宋体" w:cs="Times New Roman"/>
                      <w:kern w:val="0"/>
                      <w:highlight w:val="none"/>
                    </w:rPr>
                    <w:t>4台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center"/>
                    <w:rPr>
                      <w:rFonts w:ascii="宋体" w:hAnsi="宋体" w:eastAsia="宋体" w:cs="Times New Roman"/>
                      <w:b/>
                      <w:szCs w:val="21"/>
                      <w:highlight w:val="none"/>
                    </w:rPr>
                  </w:pPr>
                  <w:r>
                    <w:rPr>
                      <w:rFonts w:hint="eastAsia" w:ascii="宋体" w:hAnsi="宋体" w:eastAsia="宋体" w:cs="Times New Roman"/>
                      <w:b/>
                      <w:highlight w:val="none"/>
                    </w:rPr>
                    <w:t>网络安全设备合计</w:t>
                  </w:r>
                </w:p>
              </w:tc>
              <w:tc>
                <w:tcPr>
                  <w:tcW w:w="789" w:type="dxa"/>
                  <w:noWrap w:val="0"/>
                  <w:vAlign w:val="center"/>
                </w:tcPr>
                <w:p>
                  <w:pPr>
                    <w:widowControl/>
                    <w:spacing w:line="460" w:lineRule="exact"/>
                    <w:jc w:val="center"/>
                    <w:rPr>
                      <w:rFonts w:ascii="宋体" w:hAnsi="宋体" w:eastAsia="宋体" w:cs="Times New Roman"/>
                      <w:b/>
                      <w:szCs w:val="21"/>
                      <w:highlight w:val="none"/>
                    </w:rPr>
                  </w:pPr>
                  <w:r>
                    <w:rPr>
                      <w:rFonts w:hint="eastAsia" w:ascii="宋体" w:hAnsi="宋体" w:eastAsia="宋体" w:cs="Times New Roman"/>
                      <w:b/>
                      <w:highlight w:val="none"/>
                      <w:lang w:val="en-US" w:eastAsia="zh-CN"/>
                    </w:rPr>
                    <w:t>294</w:t>
                  </w:r>
                  <w:r>
                    <w:rPr>
                      <w:rFonts w:hint="eastAsia" w:ascii="宋体" w:hAnsi="宋体" w:eastAsia="宋体" w:cs="Times New Roman"/>
                      <w:b/>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center"/>
                    <w:rPr>
                      <w:rFonts w:ascii="宋体" w:hAnsi="宋体" w:eastAsia="宋体" w:cs="Times New Roman"/>
                      <w:b/>
                      <w:szCs w:val="21"/>
                      <w:highlight w:val="none"/>
                    </w:rPr>
                  </w:pPr>
                  <w:r>
                    <w:rPr>
                      <w:rFonts w:hint="eastAsia" w:ascii="宋体" w:hAnsi="宋体" w:eastAsia="宋体" w:cs="Times New Roman"/>
                      <w:b/>
                      <w:highlight w:val="none"/>
                    </w:rPr>
                    <w:t>服务器和网络安全设备合计</w:t>
                  </w:r>
                </w:p>
              </w:tc>
              <w:tc>
                <w:tcPr>
                  <w:tcW w:w="789" w:type="dxa"/>
                  <w:noWrap w:val="0"/>
                  <w:vAlign w:val="center"/>
                </w:tcPr>
                <w:p>
                  <w:pPr>
                    <w:widowControl/>
                    <w:spacing w:line="460" w:lineRule="exact"/>
                    <w:jc w:val="center"/>
                    <w:rPr>
                      <w:rFonts w:ascii="宋体" w:hAnsi="宋体" w:eastAsia="宋体" w:cs="Times New Roman"/>
                      <w:b/>
                      <w:szCs w:val="21"/>
                      <w:highlight w:val="none"/>
                    </w:rPr>
                  </w:pPr>
                  <w:r>
                    <w:rPr>
                      <w:rFonts w:hint="eastAsia" w:ascii="宋体" w:hAnsi="宋体" w:eastAsia="宋体" w:cs="Times New Roman"/>
                      <w:b/>
                      <w:highlight w:val="none"/>
                      <w:lang w:val="en-US" w:eastAsia="zh-CN"/>
                    </w:rPr>
                    <w:t>871</w:t>
                  </w:r>
                  <w:r>
                    <w:rPr>
                      <w:rFonts w:hint="eastAsia" w:ascii="宋体" w:hAnsi="宋体" w:eastAsia="宋体" w:cs="Times New Roman"/>
                      <w:b/>
                      <w:highlight w:val="none"/>
                    </w:rPr>
                    <w:t>台</w:t>
                  </w:r>
                </w:p>
              </w:tc>
              <w:tc>
                <w:tcPr>
                  <w:tcW w:w="1540" w:type="dxa"/>
                  <w:noWrap/>
                  <w:vAlign w:val="center"/>
                </w:tcPr>
                <w:p>
                  <w:pPr>
                    <w:widowControl/>
                    <w:spacing w:line="460" w:lineRule="exact"/>
                    <w:jc w:val="center"/>
                    <w:rPr>
                      <w:rFonts w:ascii="宋体" w:hAnsi="宋体" w:eastAsia="宋体" w:cs="Times New Roman"/>
                      <w:kern w:val="0"/>
                      <w:szCs w:val="21"/>
                      <w:highlight w:val="none"/>
                    </w:rPr>
                  </w:pPr>
                </w:p>
              </w:tc>
            </w:tr>
          </w:tbl>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p>
          <w:p>
            <w:pPr>
              <w:widowControl w:val="0"/>
              <w:spacing w:line="460" w:lineRule="exact"/>
              <w:ind w:firstLine="480" w:firstLineChars="200"/>
              <w:jc w:val="center"/>
              <w:outlineLvl w:val="2"/>
              <w:rPr>
                <w:rFonts w:hint="eastAsia" w:ascii="黑体" w:hAnsi="宋体" w:eastAsia="黑体" w:cs="Times New Roman"/>
                <w:kern w:val="2"/>
                <w:sz w:val="24"/>
                <w:szCs w:val="24"/>
                <w:highlight w:val="none"/>
                <w:lang w:val="en-US" w:eastAsia="zh-CN" w:bidi="ar-SA"/>
              </w:rPr>
            </w:pPr>
            <w:r>
              <w:rPr>
                <w:rFonts w:hint="eastAsia" w:ascii="黑体" w:hAnsi="宋体" w:eastAsia="黑体" w:cs="Times New Roman"/>
                <w:kern w:val="2"/>
                <w:sz w:val="24"/>
                <w:szCs w:val="24"/>
                <w:highlight w:val="none"/>
                <w:lang w:val="en-US" w:eastAsia="zh-CN" w:bidi="ar-SA"/>
              </w:rPr>
              <w:t xml:space="preserve">表2  </w:t>
            </w:r>
            <w:r>
              <w:rPr>
                <w:rFonts w:hint="eastAsia" w:ascii="黑体" w:hAnsi="Times New Roman" w:eastAsia="黑体" w:cs="Times New Roman"/>
                <w:kern w:val="2"/>
                <w:sz w:val="24"/>
                <w:szCs w:val="24"/>
                <w:highlight w:val="none"/>
                <w:lang w:val="en-US" w:eastAsia="zh-CN" w:bidi="ar-SA"/>
              </w:rPr>
              <w:t>安全设备和</w:t>
            </w:r>
            <w:r>
              <w:rPr>
                <w:rFonts w:hint="eastAsia" w:ascii="黑体" w:hAnsi="Times New Roman" w:eastAsia="黑体" w:cs="Times New Roman"/>
                <w:kern w:val="2"/>
                <w:sz w:val="24"/>
                <w:szCs w:val="24"/>
                <w:highlight w:val="none"/>
                <w:lang w:val="zh-CN" w:eastAsia="zh-CN" w:bidi="ar-SA"/>
              </w:rPr>
              <w:t>杀毒软件特征库</w:t>
            </w:r>
            <w:r>
              <w:rPr>
                <w:rFonts w:hint="eastAsia" w:ascii="黑体" w:hAnsi="Times New Roman" w:eastAsia="黑体" w:cs="Times New Roman"/>
                <w:kern w:val="2"/>
                <w:sz w:val="24"/>
                <w:szCs w:val="24"/>
                <w:highlight w:val="none"/>
                <w:lang w:val="en-US" w:eastAsia="zh-CN" w:bidi="ar-SA"/>
              </w:rPr>
              <w:t>授权</w:t>
            </w:r>
            <w:r>
              <w:rPr>
                <w:rFonts w:hint="eastAsia" w:ascii="黑体" w:hAnsi="宋体" w:eastAsia="黑体" w:cs="Times New Roman"/>
                <w:kern w:val="2"/>
                <w:sz w:val="24"/>
                <w:szCs w:val="24"/>
                <w:highlight w:val="none"/>
                <w:lang w:val="en-US" w:eastAsia="zh-CN" w:bidi="ar-SA"/>
              </w:rPr>
              <w:t>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993"/>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noWrap/>
                  <w:vAlign w:val="center"/>
                </w:tcPr>
                <w:p>
                  <w:pPr>
                    <w:widowControl/>
                    <w:spacing w:line="460" w:lineRule="exact"/>
                    <w:jc w:val="center"/>
                    <w:textAlignment w:val="center"/>
                    <w:rPr>
                      <w:rFonts w:ascii="黑体" w:hAnsi="宋体" w:eastAsia="黑体" w:cs="黑体"/>
                      <w:sz w:val="21"/>
                      <w:szCs w:val="21"/>
                      <w:highlight w:val="none"/>
                    </w:rPr>
                  </w:pPr>
                  <w:r>
                    <w:rPr>
                      <w:rFonts w:hint="eastAsia" w:ascii="黑体" w:hAnsi="宋体" w:eastAsia="黑体" w:cs="黑体"/>
                      <w:kern w:val="0"/>
                      <w:sz w:val="21"/>
                      <w:szCs w:val="21"/>
                      <w:highlight w:val="none"/>
                      <w:lang w:bidi="ar"/>
                    </w:rPr>
                    <w:t>序号</w:t>
                  </w:r>
                </w:p>
              </w:tc>
              <w:tc>
                <w:tcPr>
                  <w:tcW w:w="3993" w:type="dxa"/>
                  <w:noWrap/>
                  <w:vAlign w:val="center"/>
                </w:tcPr>
                <w:p>
                  <w:pPr>
                    <w:widowControl/>
                    <w:spacing w:line="460" w:lineRule="exact"/>
                    <w:jc w:val="center"/>
                    <w:textAlignment w:val="center"/>
                    <w:rPr>
                      <w:rFonts w:hint="eastAsia" w:ascii="黑体" w:hAnsi="宋体" w:eastAsia="黑体" w:cs="黑体"/>
                      <w:sz w:val="21"/>
                      <w:szCs w:val="21"/>
                      <w:highlight w:val="none"/>
                    </w:rPr>
                  </w:pPr>
                  <w:r>
                    <w:rPr>
                      <w:rFonts w:hint="eastAsia" w:ascii="黑体" w:hAnsi="宋体" w:eastAsia="黑体" w:cs="黑体"/>
                      <w:kern w:val="0"/>
                      <w:sz w:val="21"/>
                      <w:szCs w:val="21"/>
                      <w:highlight w:val="none"/>
                      <w:lang w:bidi="ar"/>
                    </w:rPr>
                    <w:t>设备类型</w:t>
                  </w:r>
                </w:p>
              </w:tc>
              <w:tc>
                <w:tcPr>
                  <w:tcW w:w="2208" w:type="dxa"/>
                  <w:noWrap/>
                  <w:vAlign w:val="center"/>
                </w:tcPr>
                <w:p>
                  <w:pPr>
                    <w:widowControl/>
                    <w:spacing w:line="460" w:lineRule="exact"/>
                    <w:jc w:val="center"/>
                    <w:textAlignment w:val="center"/>
                    <w:rPr>
                      <w:rFonts w:hint="eastAsia" w:ascii="黑体" w:hAnsi="宋体" w:eastAsia="黑体" w:cs="黑体"/>
                      <w:sz w:val="21"/>
                      <w:szCs w:val="21"/>
                      <w:highlight w:val="none"/>
                    </w:rPr>
                  </w:pPr>
                  <w:r>
                    <w:rPr>
                      <w:rFonts w:hint="eastAsia" w:ascii="黑体" w:hAnsi="宋体" w:eastAsia="黑体" w:cs="黑体"/>
                      <w:kern w:val="0"/>
                      <w:sz w:val="21"/>
                      <w:szCs w:val="21"/>
                      <w:highlight w:val="none"/>
                      <w:lang w:bidi="ar"/>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深信服外网AC</w:t>
                  </w:r>
                </w:p>
              </w:tc>
              <w:tc>
                <w:tcPr>
                  <w:tcW w:w="2208"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深信服电信出口防火墙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深信服财政部防火墙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4</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深信服非税（内网网闸）防火墙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5</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深信服互联网出口防火墙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6</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深信服外网网闸防火墙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7</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深信服外网网闸防火墙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8</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深信服道闸门禁防火墙</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9</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亚信外网安全云主机深度安全防护系统防恶意软件模块（服务器防护软件）</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10</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亚信内网安全云主机深度安全防护系统防恶意软件模块（服务器防护软件）</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11</w:t>
                  </w:r>
                </w:p>
              </w:tc>
              <w:tc>
                <w:tcPr>
                  <w:tcW w:w="3993" w:type="dxa"/>
                  <w:noWrap w:val="0"/>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亚信外网安全云主机深度安全防护系统入侵防御模块（服务器防护软件）</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12</w:t>
                  </w:r>
                </w:p>
              </w:tc>
              <w:tc>
                <w:tcPr>
                  <w:tcW w:w="3993" w:type="dxa"/>
                  <w:noWrap w:val="0"/>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亚信内网安全云主机深度安全防护系统入侵防御模块（服务器防护软件）</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13</w:t>
                  </w:r>
                </w:p>
              </w:tc>
              <w:tc>
                <w:tcPr>
                  <w:tcW w:w="3993" w:type="dxa"/>
                  <w:noWrap w:val="0"/>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亚信外网防毒墙网络版（终端杀毒软件）</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14</w:t>
                  </w:r>
                </w:p>
              </w:tc>
              <w:tc>
                <w:tcPr>
                  <w:tcW w:w="3993" w:type="dxa"/>
                  <w:noWrap w:val="0"/>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亚信内网防毒墙网络版（终端杀毒软件）</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15</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亚信外网防毒墙1</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16</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亚信外网防毒墙2</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17</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亚信内网防毒墙1</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18</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亚信内网防毒墙2</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19</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安恒态势感知平台</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20</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安恒外网APT攻击预警平台</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21</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安恒内网APT攻击预警平台</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22</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安恒外网日志审计</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23</w:t>
                  </w:r>
                </w:p>
              </w:tc>
              <w:tc>
                <w:tcPr>
                  <w:tcW w:w="3993" w:type="dxa"/>
                  <w:noWrap/>
                  <w:vAlign w:val="center"/>
                </w:tcPr>
                <w:p>
                  <w:pPr>
                    <w:spacing w:line="240" w:lineRule="auto"/>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安恒内网日志审计</w:t>
                  </w:r>
                </w:p>
              </w:tc>
              <w:tc>
                <w:tcPr>
                  <w:tcW w:w="2208" w:type="dxa"/>
                  <w:noWrap/>
                  <w:vAlign w:val="center"/>
                </w:tcPr>
                <w:p>
                  <w:pPr>
                    <w:widowControl/>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签订合同起1年。</w:t>
                  </w:r>
                </w:p>
              </w:tc>
            </w:tr>
          </w:tbl>
          <w:p>
            <w:pPr>
              <w:widowControl w:val="0"/>
              <w:spacing w:line="460" w:lineRule="exact"/>
              <w:ind w:firstLine="480" w:firstLineChars="200"/>
              <w:jc w:val="both"/>
              <w:rPr>
                <w:rFonts w:hint="eastAsia" w:ascii="黑体" w:hAnsi="宋体" w:eastAsia="黑体" w:cs="Times New Roman"/>
                <w:kern w:val="2"/>
                <w:sz w:val="24"/>
                <w:szCs w:val="24"/>
                <w:highlight w:val="none"/>
                <w:lang w:val="en-US" w:eastAsia="zh-CN" w:bidi="ar-SA"/>
              </w:rPr>
            </w:pPr>
          </w:p>
          <w:p>
            <w:pPr>
              <w:widowControl w:val="0"/>
              <w:spacing w:line="460" w:lineRule="exact"/>
              <w:ind w:firstLine="422" w:firstLineChars="200"/>
              <w:jc w:val="both"/>
              <w:outlineLvl w:val="1"/>
              <w:rPr>
                <w:rFonts w:hint="eastAsia" w:ascii="宋体" w:hAnsi="宋体" w:eastAsia="宋体" w:cs="宋体"/>
                <w:b/>
                <w:bCs/>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四、服务内容及服务方式</w:t>
            </w:r>
          </w:p>
          <w:p>
            <w:pPr>
              <w:widowControl w:val="0"/>
              <w:spacing w:line="460" w:lineRule="exact"/>
              <w:ind w:firstLine="420" w:firstLineChars="200"/>
              <w:jc w:val="both"/>
              <w:rPr>
                <w:rFonts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根据本项目的服务目标、对象范围，确定网络安全保障服务项目的内容。</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1.自治区财政厅信息安全整改报告</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根据《中华人民共和国个人信息保护法》《中华人民共和国数据安全法》《中华人民共和国网络安全法》《关键信息基础设施安全保护条例》《中华人民共和国密码法》《中华人民共和国保守国家秘密法》有关要求，全面梳理评估自治区财政厅信息资产安全情况，有针对性的提出安全整改报告，安全整改报告必须有针对性和可行性，确保整改后现有网络系统符合各项安全制度规定。</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自治区财政厅信息资产梳理包括对互联网所有暴露面（映射的端口、域名等）进行全面梳理；对所有边界防火墙安全策略进行梳理，掌握已失效策略或权限开放过大等问题；对应用层防护设备，重点确认是否已开启阻断策略而不是检测策略或完全没有策略，应用层检测设备如态势感知，检测范围是否覆盖网络各个节点；服务器当前安全策略梳理，包括开放的服务、端口，账号配置（是否有多余或共享账号等）等；数据库应掌握当前应用调用的权限是否过大（如应用系统直接使用dba账号调用数据库）。根据梳理情况，编制自治区财政厅网络安全规划，对网络、系统、安全防护、运营和管理、安全意识等进行全面设计规划，并配合自治区财政厅制定建设整改加护。在今后的财政厅信息化建设项目建设中，应从项目规划、设计、立项至建设、试运行等全程参与，提出规划设计建设、安全意见，并确保与原有网络、系统、运维管理机制等相适配，不会造成新的问题，从而实现“三同原则”。</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将信息系统和网络的等保测评报告作为依据，安全整改报告根据测评报告、风险分析、现场核查等对各安全边界提出整改措施。</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2.网站云防护服务。</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工作安排：1年。</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服务人员级别：高级工程师（网络安全、渗透安全）。</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包括广西壮族自治区财政厅网站、广西会计管理系统、广西财政票据电子化管理系统、财政部统一报表系统（广西）、广西壮族自治区财政厅在线培训系统、广西政策性农业保险保费补贴与业务管理系统、广西财政投资评审信息系统、广西统一公共收付系统、广西政府采购网（3个URL）、广西政府采购云平台（</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zh-CN" w:eastAsia="zh-CN" w:bidi="ar-SA"/>
              </w:rPr>
              <w:t>个URL）、债务穿透式系统、广西惠民惠农财政补贴资金“一卡通”管理系统、广西注册会计师协会等通过域名方式访问的网站系统提供7×24小时网站云防护服务。该服务属于托管式服务，应能对访问受保护业务系统的流量进行清洗防护，能够快速感知资产变化带来的风险，减少暴露周期；同时快速识别不断变化的攻击手段，实现持续在线对抗实时保护业务，并在第一时间发现安全事件，并及时处理，有效遏制损失扩大。按1</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个</w:t>
            </w:r>
            <w:r>
              <w:rPr>
                <w:rFonts w:hint="eastAsia" w:ascii="宋体" w:hAnsi="宋体" w:eastAsia="宋体" w:cs="宋体"/>
                <w:kern w:val="2"/>
                <w:sz w:val="21"/>
                <w:szCs w:val="21"/>
                <w:highlight w:val="none"/>
                <w:lang w:val="en-US" w:eastAsia="zh-CN" w:bidi="ar-SA"/>
              </w:rPr>
              <w:t>URL计</w:t>
            </w:r>
            <w:r>
              <w:rPr>
                <w:rFonts w:hint="eastAsia" w:ascii="宋体" w:hAnsi="宋体" w:eastAsia="宋体" w:cs="宋体"/>
                <w:kern w:val="2"/>
                <w:sz w:val="21"/>
                <w:szCs w:val="21"/>
                <w:highlight w:val="none"/>
                <w:lang w:val="zh-CN" w:eastAsia="zh-CN" w:bidi="ar-SA"/>
              </w:rPr>
              <w:t>费包年，无带宽限制、≥10G的DDOS防护，要求1</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zh-CN" w:eastAsia="zh-CN" w:bidi="ar-SA"/>
              </w:rPr>
              <w:t>个系统</w:t>
            </w:r>
            <w:r>
              <w:rPr>
                <w:rFonts w:hint="eastAsia" w:ascii="宋体" w:hAnsi="宋体" w:eastAsia="宋体" w:cs="宋体"/>
                <w:kern w:val="2"/>
                <w:sz w:val="21"/>
                <w:szCs w:val="21"/>
                <w:highlight w:val="none"/>
                <w:lang w:val="en-US" w:eastAsia="zh-CN" w:bidi="ar-SA"/>
              </w:rPr>
              <w:t>,17个URL</w:t>
            </w:r>
            <w:r>
              <w:rPr>
                <w:rFonts w:hint="eastAsia" w:ascii="宋体" w:hAnsi="宋体" w:eastAsia="宋体" w:cs="宋体"/>
                <w:kern w:val="2"/>
                <w:sz w:val="21"/>
                <w:szCs w:val="21"/>
                <w:highlight w:val="none"/>
                <w:lang w:val="zh-CN" w:eastAsia="zh-CN" w:bidi="ar-SA"/>
              </w:rPr>
              <w:t>单独部署在同一个集群中，实现以下功能：</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远程网站系统漏洞扫描。网站系统的风险漏洞是站点被攻击的根源，通过远程的网站应用层漏洞扫描服务，由安全专家定期对自治区财政厅网站进行结构分析、漏洞分析，根据分析结果明确自治区财政厅网站的安全隐患，提供修补建议。</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远程网页木马监测。基于“云安全”平台，采用智能木马检测技术，高效、准确识别网站系统页面中的恶意代码，使网站管理员能够第一时间得知网站系统的安全状态，避免由于网站被挂马给访问者带来的安全隐患。</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（3）网页敏感内容监测。实时监测网站系统是否出现一些敏感关键字，如果发现敏感内容，在第一时间通知自治区财政厅相关安全人员。</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（4）网站系统平稳度检测。对网站系统进行实时远程访问平稳度的动态监视，跟踪网站的访问平稳度动态变化情况，并根据严重程度及时发出报警信号。</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（5）网页篡改监测。实时监测网站系统页面状况，如发生页面被篡改情况，第一时间通知自治区财政厅相关安全人员，及时进行处理，减少损失，缩小影响范围。</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（6）安全专家代管服务。通过防御专家和处置专家的在线全程运维，并以人工智能技术持续挖掘和共享情报威胁，实现网站系统持续监测、快速联动和分钟级响应的安全能力。</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（7）流量清洗服务。针对自治区财政厅网站等13个系统，17个URL实时提供无带宽限制的流量清洗、≥10G抗DDos/CC攻击防护。</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（8）云WAF防护。实施云安全Web防护，防止包括但不限于SQL注入、命令注入、跨站脚本、跨站请求伪造、信息探测等攻击行为。</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（9）链接可用性监测。及时发现首页及其他页面（包括图片、附件、外部链接等）不能正常访问的死链接。</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3.风险评估服务。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服务方式：提供现场服务和远程服务。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（1）脆弱性扫描</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工作安排：包年，每年6次，每2个月1次，每次5天，每次安排</w:t>
            </w:r>
            <w:r>
              <w:rPr>
                <w:rFonts w:hint="eastAsia" w:ascii="宋体" w:hAnsi="宋体" w:eastAsia="宋体" w:cs="宋体"/>
                <w:kern w:val="2"/>
                <w:sz w:val="21"/>
                <w:szCs w:val="21"/>
                <w:highlight w:val="none"/>
                <w:lang w:val="en-US" w:eastAsia="zh-CN" w:bidi="ar-SA"/>
              </w:rPr>
              <w:t>1人</w:t>
            </w:r>
            <w:r>
              <w:rPr>
                <w:rFonts w:hint="eastAsia" w:ascii="宋体" w:hAnsi="宋体" w:eastAsia="宋体" w:cs="宋体"/>
                <w:kern w:val="2"/>
                <w:sz w:val="21"/>
                <w:szCs w:val="21"/>
                <w:highlight w:val="none"/>
                <w:lang w:val="zh-CN" w:eastAsia="zh-CN" w:bidi="ar-SA"/>
              </w:rPr>
              <w:t>。</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服务人员级别：中级工程师（网络安全、渗透安全）。</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服务内容：包年，每年6次，每2个月1次，每次5天，每次安排</w:t>
            </w:r>
            <w:r>
              <w:rPr>
                <w:rFonts w:hint="eastAsia" w:ascii="宋体" w:hAnsi="宋体" w:eastAsia="宋体" w:cs="宋体"/>
                <w:kern w:val="2"/>
                <w:sz w:val="21"/>
                <w:szCs w:val="21"/>
                <w:highlight w:val="none"/>
                <w:lang w:val="en-US" w:eastAsia="zh-CN" w:bidi="ar-SA"/>
              </w:rPr>
              <w:t>1人，</w:t>
            </w:r>
            <w:r>
              <w:rPr>
                <w:rFonts w:hint="eastAsia" w:ascii="宋体" w:hAnsi="宋体" w:eastAsia="宋体" w:cs="宋体"/>
                <w:kern w:val="2"/>
                <w:sz w:val="21"/>
                <w:szCs w:val="21"/>
                <w:highlight w:val="none"/>
                <w:lang w:val="zh-CN" w:eastAsia="zh-CN" w:bidi="ar-SA"/>
              </w:rPr>
              <w:t>共30人天。包括新上线系统脆弱性扫描，使用业界知名安全漏洞扫描工具进行安全漏洞扫描，包括网络平台、主机系统、网站系统、数据库、应用中间件和安全设备的检测；两周内出具扫描结果报告和修复方案，指导并协助进行安全加固。</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1）漏洞检测系统支持类型：windows、linux、unix、麒麟等。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2）漏洞检测数据支持类型：Gbase、Oracle、MSsql、人大金仓、南大通用、DB2、Sybase、Informix、Mysql、PostgreSQL、Access等。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3）漏洞检测应用支持类型：应用组件：至少包括APACHE、TOMCAT、weblogic、东方通、IIS等，脚本语言：CGI、ASP、PHP、JSP等。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4）漏洞检测网络设备支持品牌：至少包括思科、华为、华三、锐捷、迈普、迪普、juniper、F5等。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5)漏洞检测安全设备支持品牌：至少包括亚信、安达通、天融信、绿盟、深信服、启明星辰、网神、网康、网御、安恒等。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（2）渗透测试。</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工作安排：打包所有系统，每年2次，每半年1次，每次</w:t>
            </w:r>
            <w:r>
              <w:rPr>
                <w:rFonts w:hint="eastAsia" w:ascii="宋体" w:hAnsi="宋体" w:eastAsia="宋体" w:cs="宋体"/>
                <w:kern w:val="2"/>
                <w:sz w:val="21"/>
                <w:szCs w:val="21"/>
                <w:highlight w:val="none"/>
                <w:lang w:val="en-US" w:eastAsia="zh-CN" w:bidi="ar-SA"/>
              </w:rPr>
              <w:t>56套系统，每次安排1人，一套系统3天，</w:t>
            </w:r>
            <w:r>
              <w:rPr>
                <w:rFonts w:hint="eastAsia" w:ascii="宋体" w:hAnsi="宋体" w:eastAsia="宋体" w:cs="宋体"/>
                <w:kern w:val="2"/>
                <w:sz w:val="21"/>
                <w:szCs w:val="21"/>
                <w:highlight w:val="none"/>
                <w:lang w:val="zh-CN" w:eastAsia="zh-CN" w:bidi="ar-SA"/>
              </w:rPr>
              <w:t>包括新上线系统渗透测试。</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服务人员级别：高级工程师（网络安全、渗透安全）。</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打包所有系统，每年2次，每半年1次，每次全部系统，每次安排1人，一套系统3天，包括新上线系统渗透测试。使用一系列现有安全产品和工具，结合人工服务，模拟当前流行的多种黑客入侵方法对自治区财政厅所有系统进行深度渗透测试，确保核心业务系统的安全稳定。在不影响业务正常运行的情况下，测试人员应贴近攻击真实，进行攻击突破，尽可能挖掘安全隐患。对于测试发现的重大安全漏洞和隐患应立即报告并协助修补整改。其余非重大安全隐患在实施完成一个月内出具测试报告和整改方案。</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渗透测试内容包括但不限于：在系统开发的安全代码的基础上，深入挖掘业务系统间的漏洞，防止重要的敏感数据泄露；针对业务系统渗透的结果对业务系统开发厂商的开发人员进行指导实施，包括漏洞产生的原因、加固方法、测试方法等；并指导业务系统开发人员对系统进行加固。加固建议包含开发代码指导、安全配置建议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（3）安全配置检查。</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工作安排：包年（全部设备，每年2次，每半年1次，每次30天，每次安排1人，包括新上线系统安全配置检查）。</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服务人员级别：中级工程师（网络安全、渗透安全）以上。</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包年（全部设备，每年2次，每半年1次，每次30天，每次安排1人，包括新上线系统安全配置检查）。对财政厅所有基础网络、信息系统包含但不限于网络设备、安全设备、不同类型操作系统、应用中间件、应用系统、数据库管理系统安全等进行安全配置检查，采用脚本工具或人工参照审计手册进行安全脆弱性分析，出具检查报告和整改方案，指导并协助进行安全加固。</w:t>
            </w:r>
          </w:p>
          <w:p>
            <w:pPr>
              <w:widowControl w:val="0"/>
              <w:numPr>
                <w:ilvl w:val="0"/>
                <w:numId w:val="1"/>
              </w:numPr>
              <w:spacing w:line="46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入侵痕迹检查</w:t>
            </w:r>
          </w:p>
          <w:p>
            <w:pPr>
              <w:widowControl w:val="0"/>
              <w:spacing w:line="460" w:lineRule="exact"/>
              <w:ind w:firstLine="420" w:firstLineChars="200"/>
              <w:jc w:val="both"/>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工作安排：包年（全部设备，每年2次，每半年1次，每次15天，每次安排1人，包括新上线系统入侵痕迹检查）。</w:t>
            </w:r>
          </w:p>
          <w:p>
            <w:pPr>
              <w:widowControl w:val="0"/>
              <w:spacing w:line="460" w:lineRule="exact"/>
              <w:ind w:firstLine="420" w:firstLineChars="200"/>
              <w:jc w:val="both"/>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服务人员级别：中级工程师（网络安全、渗透安全）以上。</w:t>
            </w:r>
          </w:p>
          <w:p>
            <w:pPr>
              <w:widowControl w:val="0"/>
              <w:spacing w:line="460" w:lineRule="exact"/>
              <w:ind w:firstLine="420" w:firstLineChars="200"/>
              <w:jc w:val="both"/>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服务内容：包年（全部设备，每年2次，每半年1次，每次15天，每次安排1人，包括新上线系统入侵痕迹检查）。对财政厅所有基础网络、信息系统包含但不限于网络设备、安全设备、不同类型操作系统、应用中间件、应用系统、数据库管理系统安全等进行入侵痕迹检查。</w:t>
            </w:r>
          </w:p>
          <w:p>
            <w:pPr>
              <w:widowControl w:val="0"/>
              <w:spacing w:line="460" w:lineRule="exact"/>
              <w:ind w:firstLine="420" w:firstLineChars="200"/>
              <w:jc w:val="both"/>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1）入侵痕迹检测能力：包括但不限于恶意代码检测、异常流量分析、系统配置篡改检测等。</w:t>
            </w:r>
          </w:p>
          <w:p>
            <w:pPr>
              <w:widowControl w:val="0"/>
              <w:spacing w:line="460" w:lineRule="exact"/>
              <w:ind w:firstLine="420" w:firstLineChars="200"/>
              <w:jc w:val="both"/>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 入侵检测工具与技术：如入侵检测系统（IDS）、安全信息和事件管理系统（SIEM）等，并能够提供相关工具的技术参数和功能说明。</w:t>
            </w:r>
          </w:p>
          <w:p>
            <w:pPr>
              <w:widowControl w:val="0"/>
              <w:spacing w:line="460" w:lineRule="exact"/>
              <w:ind w:firstLine="420" w:firstLineChars="200"/>
              <w:jc w:val="both"/>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3）数据分析：能够识别潜在的入侵行为和安全威胁，并提供详细的数据分析报告。</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4.安全加固服务。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服务方式：现场服务。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工作安排：每年2次，每次30天，每次安排</w:t>
            </w:r>
            <w:r>
              <w:rPr>
                <w:rFonts w:hint="eastAsia" w:ascii="宋体" w:hAnsi="宋体" w:eastAsia="宋体" w:cs="宋体"/>
                <w:kern w:val="2"/>
                <w:sz w:val="21"/>
                <w:szCs w:val="21"/>
                <w:highlight w:val="none"/>
                <w:lang w:val="en-US" w:eastAsia="zh-CN" w:bidi="ar-SA"/>
              </w:rPr>
              <w:t>1人，</w:t>
            </w:r>
            <w:r>
              <w:rPr>
                <w:rFonts w:hint="eastAsia" w:ascii="宋体" w:hAnsi="宋体" w:eastAsia="宋体" w:cs="宋体"/>
                <w:kern w:val="2"/>
                <w:sz w:val="21"/>
                <w:szCs w:val="21"/>
                <w:highlight w:val="none"/>
                <w:lang w:val="zh-CN" w:eastAsia="zh-CN" w:bidi="ar-SA"/>
              </w:rPr>
              <w:t>根据风险评估、日常安全巡检结果或处理安全事件时提供全年实时服务。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服务人员级别：高级工程师（网络安全、渗透安全）。</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服务内容：包年（根据风险评估结果进行加固，每年2次，每次30天，每次安排</w:t>
            </w:r>
            <w:r>
              <w:rPr>
                <w:rFonts w:hint="eastAsia" w:ascii="宋体" w:hAnsi="宋体" w:eastAsia="宋体" w:cs="宋体"/>
                <w:kern w:val="2"/>
                <w:sz w:val="21"/>
                <w:szCs w:val="21"/>
                <w:highlight w:val="none"/>
                <w:lang w:val="en-US" w:eastAsia="zh-CN" w:bidi="ar-SA"/>
              </w:rPr>
              <w:t>1人，</w:t>
            </w:r>
            <w:r>
              <w:rPr>
                <w:rFonts w:hint="eastAsia" w:ascii="宋体" w:hAnsi="宋体" w:eastAsia="宋体" w:cs="宋体"/>
                <w:kern w:val="2"/>
                <w:sz w:val="21"/>
                <w:szCs w:val="21"/>
                <w:highlight w:val="none"/>
                <w:lang w:val="zh-CN" w:eastAsia="zh-CN" w:bidi="ar-SA"/>
              </w:rPr>
              <w:t>根据风险评估、日常安全巡检结果或处理安全事件时提供全年实时服务，包括新上线系统技术性加固服务)，针对自治区财政厅部署的所有服务器操作系统、数据库及应用中间件等软件系统，通过打补丁、强化账号安全、加固服务、修改安全配置、优化访问控制策略、增加安全机制等方法，堵塞漏洞及“后门”，合理进行安全性加强；并对发现的风险隐患进行归档记录，跟进修复情况，并提交修复记录表，此外，对于突发漏洞，要求在2个工作日内完成修复。确保每一风险都在可控范围内。</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5.驻场值守服务。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服务方式：现场服务，5×8小时对业务系统运行进行实时值守监控和日常安全服务。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服务人员级别：初级工程师（网络安全、渗透安全）以上。</w:t>
            </w:r>
          </w:p>
          <w:p>
            <w:pPr>
              <w:spacing w:line="460" w:lineRule="exact"/>
              <w:ind w:firstLine="420" w:firstLineChars="200"/>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人员要求：提供不少于3名驻场人员。</w:t>
            </w:r>
          </w:p>
          <w:p>
            <w:pPr>
              <w:spacing w:line="460" w:lineRule="exact"/>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 xml:space="preserve">    无特殊情况在项目期间不能有超过2人以上的人员变动。如需进行人员变动，提前2个月向采购人提出申请，经同意后方可进行变更。</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5×8小时对业务系统运行进行实时值守监控和日常安全服务。及时发现网络安全风险或者网络安全事件，并及时处理；若遇到重大网络安全事件，将要求加派具备重大事件处理能力与经验的专业高级工程师进行现场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安全监控服务：驻场工程师对业务系统进行5×8小时不间断监控，对值班期间出现的可疑情况和网络攻击行为，将及时报告信息管理中心网络安全组。得到信息管理中心授权后，与信息管理中心相关人员一起进行事件处理。监控实施内容有：</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1）安全监控：防病毒软件、firewall、防病毒网关（含IPS和IDS功能）、安全审计、态势感知平台、终端安全管理系统等安全设备状态监控。</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2）日志分析：关键服务器、防火墙、路由器、交换机、入侵检测等安全设备日志分析。</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3）资源巡检：对信息系统及其服务器、网络和安全设备作巡查，以便及时发现CPU和内存占用率过高、日志满溢、数据库空间不足等问题。</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应急响应服务：驻场安全服务工程师在出现安全应急事件时，提供7×24小时现场技术支持，及时处理、解决安全问题。遇重大安全问题时，加派安全专家做进一步的响应处理和判断。安全事件处理完成之后，提供相应的事后安全分析和可行性安全建议等报告，协助进行事后安全加固。重大安全事件处理包括但不限于以下几种情况：</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1）处理网站系统出现的非法信息：发现网上出现非法信息时，驻场安全服务工程师立即报告情况，采取处理措施，做好必要的记录，协助清理非法信息，强化安全防范措施，恢复网站系统网页。</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2）处理黑客攻击事件：当发现有黑客正在进行攻击时，驻场安全服务工程师采取措施遏制或阻断攻击，防止攻击影响扩大，并保护现场，同时报告情况；协助追查攻击源、提取入侵证据；协助恢复被破坏系统。</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 xml:space="preserve">3）软件系统遭受破坏性攻击时进行紧急处置：一旦发现重要的软件系统数据软件遭到破坏性攻击，立即报告，采取措施遏制或阻断攻击，保护数据不受破坏；保护现场并协助追查攻击源，恢复被破坏数据。 </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（3）日常安全服务：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1）至少每半个月或者按照设备厂家升级频率对部署在内、外网的杀毒软件升级特征库。</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2）临时性对系统、服务器、网络设备和安全设备等进行安全检测，并对加固修复后的效果进行验证。</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3）其他临时性网络安全相关工作和交办的其他工作。</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4）对网信、公安等网络监管部门通报的问题隐患进行加固整改，并做好结果记录。</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（4）分析网络安全态势：驻场人员每月根据自治区财政厅网络安全态势情况，全盘分析，并每月出具一次分析报告。</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5</w:t>
            </w:r>
            <w:r>
              <w:rPr>
                <w:rFonts w:hint="eastAsia" w:ascii="宋体" w:hAnsi="宋体" w:eastAsia="宋体" w:cs="宋体"/>
                <w:kern w:val="2"/>
                <w:sz w:val="21"/>
                <w:szCs w:val="21"/>
                <w:highlight w:val="none"/>
                <w:lang w:val="zh-CN" w:eastAsia="zh-CN" w:bidi="ar-SA"/>
              </w:rPr>
              <w:t>）提供7×24小时的响应服务和技术咨询：积极响应自治区财政厅系统设备故障或安全事件处理请求。接到自治区财政厅需求通知后，行政班上班时间内（8：00-18：00）须在5分钟内到达现场，其余时间须在30分钟内到达现场处理；一般事故应在4小时内解决，较大事故应在8小时内解决，重大事故应在16小时内解决，确保网络和系统正常运行。</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（6）财政身份认证与授权管理运维服务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接听自治区财政厅5330009和5331982运维电话，协助做好全区广西财政身份认证与授权管理系统运维工作。</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）安全检查服务。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根据财政部、自治区网信办、公安厅、数据局等部门检查要求，协助自治区财政厅完成网络安全、数据安全、风险预警等检查和整改工作，对检查结果进行修复加固或提供整改方案，记录和跟踪修复情况，进行复查验证，确保加固措施有效。</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6.应急演练服务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服务方式：</w:t>
            </w:r>
            <w:r>
              <w:rPr>
                <w:rFonts w:hint="eastAsia" w:ascii="宋体" w:hAnsi="宋体" w:eastAsia="宋体" w:cs="宋体"/>
                <w:kern w:val="2"/>
                <w:sz w:val="21"/>
                <w:szCs w:val="21"/>
                <w:highlight w:val="none"/>
                <w:lang w:val="zh-CN" w:eastAsia="zh-CN" w:bidi="ar-SA"/>
              </w:rPr>
              <w:t>现场服务。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服务人员级别：高级工程师（网络安全、渗透安全）。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每年1次，每次5天，每次安排2人。组织安全技术人员、信息安全专家、顾问进行信息安全事件演练设计。并规划演练脚本，同时组织实施演练，对最新的安全事件进行预防演练，优化财政厅处置安全事件流程，提高应对安全事件能力。</w:t>
            </w:r>
          </w:p>
          <w:p>
            <w:pPr>
              <w:widowControl w:val="0"/>
              <w:numPr>
                <w:ilvl w:val="0"/>
                <w:numId w:val="0"/>
              </w:numPr>
              <w:spacing w:line="460" w:lineRule="exact"/>
              <w:ind w:leftChars="200" w:firstLine="420" w:firstLineChars="200"/>
              <w:jc w:val="both"/>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7.安全培训服务</w:t>
            </w:r>
          </w:p>
          <w:p>
            <w:pPr>
              <w:widowControl w:val="0"/>
              <w:adjustRightInd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服务方式：指导服务。</w:t>
            </w:r>
          </w:p>
          <w:p>
            <w:pPr>
              <w:widowControl w:val="0"/>
              <w:adjustRightInd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服务人员级别：高级工程师（网络安全、渗透安全）。</w:t>
            </w:r>
          </w:p>
          <w:p>
            <w:pPr>
              <w:widowControl w:val="0"/>
              <w:numPr>
                <w:ilvl w:val="0"/>
                <w:numId w:val="0"/>
              </w:numPr>
              <w:adjustRightInd w:val="0"/>
              <w:spacing w:line="460" w:lineRule="exact"/>
              <w:ind w:leftChars="0" w:firstLine="420" w:firstLineChars="200"/>
              <w:jc w:val="both"/>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服务内容：每年4次，每次培训2天，每次安排1人，不限人次，每天5个学时。从加强网络安全能力角度和原则出发，对安全技术人员进行针对性的资质、技术、意识专题培训，通过实际案例演示，视频、电子文档、书籍等学习提高安全技术人员实战经验和能力。视频、电子文档、书籍等学习资料采用共享方式分发至各学习人员，人数不限，在项目服务期内，定期开展4期8天网络安全培训及不定期安排安全专家辅助指导学习人员，培训必须提供培训教材，教材应为电子版并允许拷贝。在合同签订之日起3个月内提交全年的培训计划和内容。</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8.</w:t>
            </w:r>
            <w:r>
              <w:rPr>
                <w:rFonts w:hint="eastAsia" w:ascii="宋体" w:hAnsi="宋体" w:eastAsia="宋体" w:cs="宋体"/>
                <w:kern w:val="2"/>
                <w:sz w:val="21"/>
                <w:szCs w:val="21"/>
                <w:highlight w:val="none"/>
                <w:lang w:val="zh-CN" w:eastAsia="zh-CN" w:bidi="ar-SA"/>
              </w:rPr>
              <w:t>新系统或重大调整系统上线前安全评估和加固服务。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服务方式：现场、远程服务。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服务人员级别：初级工程师（网络安全、渗透安全）以上。</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对新业务系统和有重大结构调整的业务系统在上线前进行安全评估，包括物理环境、网络设备、操作系统、中间件、数据库等安全漏洞检查和安全配置合规性检查等。根据检查的结果，协助进行合理的安全加固，同时按等级保护要求完善相关的管理。对修复加固结果进行复查验证，确保加固措施有效。记录和跟踪修复情况。具体包括：</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（1）安全漏洞检查：使用专业的漏洞扫描系统对应用系统集成环境安全状况进行评估，提供加固建议。</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（2）安全配置合规检查：使用专业的配置核查系统和手工安全检查规范对应用系统的安全策略、服务配置等情况进行检查，并提供相关系统的针对性加固规范书。</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（3）如新系统提供互联网服务，须在互联网侧进行渗透测试，以黑客的视角对应用系统的安全状况进行黑盒测试，使用黑客攻击的工具和手段对应用系统进行模拟攻击测试，挖掘可能存在的安全漏洞。</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（4）如有web网站，对网站系统程序全面检查，提供代码修改建议。</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（5）提供针对业务系统的安全域规划和边界访问控制策略的规划和建议。</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（6）如有重大网络改造，协助网络改造，提供整改建议。</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（7）对修复后的风险点进行复查，验证加固措施是否有效。</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9</w:t>
            </w:r>
            <w:r>
              <w:rPr>
                <w:rFonts w:hint="eastAsia" w:ascii="宋体" w:hAnsi="宋体" w:eastAsia="宋体" w:cs="宋体"/>
                <w:kern w:val="2"/>
                <w:sz w:val="21"/>
                <w:szCs w:val="21"/>
                <w:highlight w:val="none"/>
                <w:lang w:val="zh-CN" w:eastAsia="zh-CN" w:bidi="ar-SA"/>
              </w:rPr>
              <w:t>.重要时期安全保障服务。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服务方式：现场、远程服务。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w:t>
            </w:r>
            <w:r>
              <w:rPr>
                <w:rFonts w:hint="eastAsia" w:ascii="宋体" w:hAnsi="宋体" w:eastAsia="宋体" w:cs="宋体"/>
                <w:kern w:val="2"/>
                <w:sz w:val="21"/>
                <w:szCs w:val="21"/>
                <w:highlight w:val="none"/>
                <w:lang w:val="en-US" w:eastAsia="zh-CN" w:bidi="ar-SA"/>
              </w:rPr>
              <w:t>2025年</w:t>
            </w:r>
            <w:r>
              <w:rPr>
                <w:rFonts w:hint="eastAsia" w:ascii="宋体" w:hAnsi="宋体" w:eastAsia="宋体" w:cs="宋体"/>
                <w:kern w:val="2"/>
                <w:sz w:val="21"/>
                <w:szCs w:val="21"/>
                <w:highlight w:val="none"/>
                <w:lang w:val="zh-CN" w:eastAsia="zh-CN" w:bidi="ar-SA"/>
              </w:rPr>
              <w:t>端午（3天）、中秋（1天）、国庆（7天）、2026年元旦（1天）</w:t>
            </w:r>
            <w:r>
              <w:rPr>
                <w:rFonts w:hint="eastAsia" w:ascii="宋体" w:hAnsi="宋体" w:eastAsia="宋体" w:cs="宋体"/>
                <w:kern w:val="2"/>
                <w:sz w:val="21"/>
                <w:szCs w:val="21"/>
                <w:highlight w:val="none"/>
                <w:lang w:val="en-US" w:eastAsia="zh-CN" w:bidi="ar-SA"/>
              </w:rPr>
              <w:t>和</w:t>
            </w:r>
            <w:r>
              <w:rPr>
                <w:rFonts w:hint="eastAsia" w:ascii="宋体" w:hAnsi="宋体" w:eastAsia="宋体" w:cs="宋体"/>
                <w:kern w:val="2"/>
                <w:sz w:val="21"/>
                <w:szCs w:val="21"/>
                <w:highlight w:val="none"/>
                <w:lang w:val="zh-CN" w:eastAsia="zh-CN" w:bidi="ar-SA"/>
              </w:rPr>
              <w:t>2026年春节（8天）、清明（3天）、三月三（</w:t>
            </w:r>
            <w:r>
              <w:rPr>
                <w:rFonts w:hint="eastAsia" w:ascii="宋体" w:hAnsi="宋体" w:eastAsia="宋体" w:cs="宋体"/>
                <w:kern w:val="2"/>
                <w:sz w:val="21"/>
                <w:szCs w:val="21"/>
                <w:highlight w:val="none"/>
                <w:lang w:val="en-US" w:eastAsia="zh-CN" w:bidi="ar-SA"/>
              </w:rPr>
              <w:t>4</w:t>
            </w:r>
            <w:r>
              <w:rPr>
                <w:rFonts w:hint="eastAsia" w:ascii="宋体" w:hAnsi="宋体" w:eastAsia="宋体" w:cs="宋体"/>
                <w:kern w:val="2"/>
                <w:sz w:val="21"/>
                <w:szCs w:val="21"/>
                <w:highlight w:val="none"/>
                <w:lang w:val="zh-CN" w:eastAsia="zh-CN" w:bidi="ar-SA"/>
              </w:rPr>
              <w:t>天）、</w:t>
            </w:r>
            <w:r>
              <w:rPr>
                <w:rFonts w:hint="eastAsia" w:ascii="宋体" w:hAnsi="宋体" w:eastAsia="宋体" w:cs="宋体"/>
                <w:kern w:val="2"/>
                <w:sz w:val="21"/>
                <w:szCs w:val="21"/>
                <w:highlight w:val="none"/>
                <w:lang w:val="en-US" w:eastAsia="zh-CN" w:bidi="ar-SA"/>
              </w:rPr>
              <w:t>劳动节（5天）、</w:t>
            </w:r>
            <w:r>
              <w:rPr>
                <w:rFonts w:hint="eastAsia" w:ascii="宋体" w:hAnsi="宋体" w:eastAsia="宋体" w:cs="宋体"/>
                <w:kern w:val="2"/>
                <w:sz w:val="21"/>
                <w:szCs w:val="21"/>
                <w:highlight w:val="none"/>
                <w:lang w:val="zh-CN" w:eastAsia="zh-CN" w:bidi="ar-SA"/>
              </w:rPr>
              <w:t>东盟（2天）等假期共</w:t>
            </w:r>
            <w:r>
              <w:rPr>
                <w:rFonts w:hint="eastAsia" w:ascii="宋体" w:hAnsi="宋体" w:eastAsia="宋体" w:cs="宋体"/>
                <w:kern w:val="2"/>
                <w:sz w:val="21"/>
                <w:szCs w:val="21"/>
                <w:highlight w:val="none"/>
                <w:lang w:val="en-US" w:eastAsia="zh-CN" w:bidi="ar-SA"/>
              </w:rPr>
              <w:t>34</w:t>
            </w:r>
            <w:r>
              <w:rPr>
                <w:rFonts w:hint="eastAsia" w:ascii="宋体" w:hAnsi="宋体" w:eastAsia="宋体" w:cs="宋体"/>
                <w:kern w:val="2"/>
                <w:sz w:val="21"/>
                <w:szCs w:val="21"/>
                <w:highlight w:val="none"/>
                <w:lang w:val="zh-CN" w:eastAsia="zh-CN" w:bidi="ar-SA"/>
              </w:rPr>
              <w:t>天，每次假期安排2人。</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服务人员级别：高级工程师（网络安全、渗透安全）。</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服务内容：在国家和自治区重大活动及重大节假日期间</w:t>
            </w:r>
            <w:r>
              <w:rPr>
                <w:rFonts w:hint="eastAsia" w:ascii="宋体" w:hAnsi="宋体" w:eastAsia="宋体" w:cs="宋体"/>
                <w:kern w:val="2"/>
                <w:sz w:val="21"/>
                <w:szCs w:val="21"/>
                <w:highlight w:val="none"/>
                <w:lang w:val="en-US" w:eastAsia="zh-CN" w:bidi="ar-SA"/>
              </w:rPr>
              <w:t>2025年</w:t>
            </w:r>
            <w:r>
              <w:rPr>
                <w:rFonts w:hint="eastAsia" w:ascii="宋体" w:hAnsi="宋体" w:eastAsia="宋体" w:cs="宋体"/>
                <w:kern w:val="2"/>
                <w:sz w:val="21"/>
                <w:szCs w:val="21"/>
                <w:highlight w:val="none"/>
                <w:lang w:val="zh-CN" w:eastAsia="zh-CN" w:bidi="ar-SA"/>
              </w:rPr>
              <w:t>端午（3天）、中秋（1天）、国庆（7天）、2026年元旦（1天）</w:t>
            </w:r>
            <w:r>
              <w:rPr>
                <w:rFonts w:hint="eastAsia" w:ascii="宋体" w:hAnsi="宋体" w:eastAsia="宋体" w:cs="宋体"/>
                <w:kern w:val="2"/>
                <w:sz w:val="21"/>
                <w:szCs w:val="21"/>
                <w:highlight w:val="none"/>
                <w:lang w:val="en-US" w:eastAsia="zh-CN" w:bidi="ar-SA"/>
              </w:rPr>
              <w:t>和</w:t>
            </w:r>
            <w:r>
              <w:rPr>
                <w:rFonts w:hint="eastAsia" w:ascii="宋体" w:hAnsi="宋体" w:eastAsia="宋体" w:cs="宋体"/>
                <w:kern w:val="2"/>
                <w:sz w:val="21"/>
                <w:szCs w:val="21"/>
                <w:highlight w:val="none"/>
                <w:lang w:val="zh-CN" w:eastAsia="zh-CN" w:bidi="ar-SA"/>
              </w:rPr>
              <w:t>2026年春节（8天）、清明（3天）、三月三（3天）、</w:t>
            </w:r>
            <w:r>
              <w:rPr>
                <w:rFonts w:hint="eastAsia" w:ascii="宋体" w:hAnsi="宋体" w:eastAsia="宋体" w:cs="宋体"/>
                <w:kern w:val="2"/>
                <w:sz w:val="21"/>
                <w:szCs w:val="21"/>
                <w:highlight w:val="none"/>
                <w:lang w:val="en-US" w:eastAsia="zh-CN" w:bidi="ar-SA"/>
              </w:rPr>
              <w:t>劳动节（5天）、</w:t>
            </w:r>
            <w:r>
              <w:rPr>
                <w:rFonts w:hint="eastAsia" w:ascii="宋体" w:hAnsi="宋体" w:eastAsia="宋体" w:cs="宋体"/>
                <w:kern w:val="2"/>
                <w:sz w:val="21"/>
                <w:szCs w:val="21"/>
                <w:highlight w:val="none"/>
                <w:lang w:val="zh-CN" w:eastAsia="zh-CN" w:bidi="ar-SA"/>
              </w:rPr>
              <w:t>东盟（2天）等假期共3</w:t>
            </w:r>
            <w:r>
              <w:rPr>
                <w:rFonts w:hint="eastAsia" w:ascii="宋体" w:hAnsi="宋体" w:eastAsia="宋体" w:cs="宋体"/>
                <w:kern w:val="2"/>
                <w:sz w:val="21"/>
                <w:szCs w:val="21"/>
                <w:highlight w:val="none"/>
                <w:lang w:val="en-US" w:eastAsia="zh-CN" w:bidi="ar-SA"/>
              </w:rPr>
              <w:t>4</w:t>
            </w:r>
            <w:r>
              <w:rPr>
                <w:rFonts w:hint="eastAsia" w:ascii="宋体" w:hAnsi="宋体" w:eastAsia="宋体" w:cs="宋体"/>
                <w:kern w:val="2"/>
                <w:sz w:val="21"/>
                <w:szCs w:val="21"/>
                <w:highlight w:val="none"/>
                <w:lang w:val="zh-CN" w:eastAsia="zh-CN" w:bidi="ar-SA"/>
              </w:rPr>
              <w:t>天），每次假期安排2人提供每天24小时安全应急保障服务，8小时的现场值班服务，对可能出现影响业务稳定性的风险进行实时监测、预防、应急和响应等工作。</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服务要求：安排至少2名人员按正常上班时间（8：00-18：00）在财政大厦内值班，当发生网络安全事件或风险预警时，10分钟内响应，60分钟内到现场处置。</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w:t>
            </w:r>
            <w:r>
              <w:rPr>
                <w:rFonts w:hint="eastAsia" w:ascii="宋体" w:hAnsi="宋体" w:eastAsia="宋体" w:cs="宋体"/>
                <w:kern w:val="2"/>
                <w:sz w:val="21"/>
                <w:szCs w:val="21"/>
                <w:highlight w:val="none"/>
                <w:lang w:val="en-US" w:eastAsia="zh-CN" w:bidi="ar-SA"/>
              </w:rPr>
              <w:t>0</w:t>
            </w:r>
            <w:r>
              <w:rPr>
                <w:rFonts w:hint="eastAsia" w:ascii="宋体" w:hAnsi="宋体" w:eastAsia="宋体" w:cs="宋体"/>
                <w:kern w:val="2"/>
                <w:sz w:val="21"/>
                <w:szCs w:val="21"/>
                <w:highlight w:val="none"/>
                <w:lang w:val="zh-CN" w:eastAsia="zh-CN" w:bidi="ar-SA"/>
              </w:rPr>
              <w:t>.护网重点保障和网络攻防演练服务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服务方式：现场服务。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工作安排：每年3次，每次7天，每次安排5人。</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服务人员级别：高级工程师（网络安全、渗透安全）。</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在国家、行业和自治区网络安全攻防演习（护网）期间（每年国家、行业、自治区护网，每年3次，每次7天，每次安排5人，该5人不能与驻场值守服务3人相同），除驻场3名人员外，另外提供至少5名专业安全人员做好自治区财政厅的防守反击任务，必要时加派人手，保证第一时间响应安全需求。增加的5名专业安全人员要求：应具有HCIE或同级别同类型证书人员、CISP证书或同级别认证证书技术专家。</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服务要求：确保网络和系统不被攻破。</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.网络安全检查技术支持服务。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工作安排：每年1次，全区共14个地市和111个区县，含差旅、住宿、人员等费用（供应商承担），按照6组，每组安排1人，每次21天。</w:t>
            </w:r>
          </w:p>
          <w:p>
            <w:pPr>
              <w:widowControl w:val="0"/>
              <w:spacing w:line="460" w:lineRule="exact"/>
              <w:ind w:firstLine="420" w:firstLineChars="200"/>
              <w:jc w:val="both"/>
              <w:outlineLvl w:val="9"/>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服务人员级别：初级工程师（网络安全、渗透安全）以上。</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在自治区财政厅开展的全区财政系统网络安全检查工作中，派技术团队支持对被检查财政局开展网络安全现场检查工作。</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服务要求：每年1次，全区共14个地市和111个区县，含差旅、住宿、人员等费用（供应商承担），按照6组，每组安排1人，每次21天。根据自治区财政厅网络安全检查工作要求和检查小组数量，提供必要的检查工具（如SQLmap、AVWS、Nessus、BurpSuite），每组至少随派1名具备开展漏洞扫描和应用渗透相应能力的网络安全技术人员随同检查小组前往被检查财政局开展网络安全检查工作。</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w:t>
            </w: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zh-CN" w:eastAsia="zh-CN" w:bidi="ar-SA"/>
              </w:rPr>
              <w:t>.特征库升级服务</w:t>
            </w:r>
          </w:p>
          <w:p>
            <w:pPr>
              <w:widowControl w:val="0"/>
              <w:spacing w:line="460" w:lineRule="exact"/>
              <w:ind w:firstLine="420" w:firstLineChars="20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为自治区财政厅安全设备和杀毒软件（2</w:t>
            </w: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zh-CN" w:eastAsia="zh-CN" w:bidi="ar-SA"/>
              </w:rPr>
              <w:t>套，详见服务需求表2安全设备和杀毒软件特征库授权情况表）提供1年特征库升级授权和升级服务。</w:t>
            </w:r>
          </w:p>
          <w:p>
            <w:pPr>
              <w:widowControl w:val="0"/>
              <w:spacing w:line="460" w:lineRule="exact"/>
              <w:ind w:firstLine="420" w:firstLineChars="200"/>
              <w:jc w:val="both"/>
              <w:outlineLvl w:val="2"/>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zh-CN" w:eastAsia="zh-CN" w:bidi="ar-SA"/>
              </w:rPr>
              <w:t>.安全服务团队。</w:t>
            </w:r>
          </w:p>
          <w:p>
            <w:pPr>
              <w:widowControl w:val="0"/>
              <w:spacing w:line="460" w:lineRule="exact"/>
              <w:ind w:firstLine="420" w:firstLineChars="200"/>
              <w:jc w:val="both"/>
              <w:rPr>
                <w:rFonts w:hint="eastAsia" w:ascii="宋体" w:hAnsi="宋体" w:eastAsia="宋体" w:cs="宋体"/>
                <w:w w:val="104"/>
                <w:kern w:val="0"/>
                <w:sz w:val="28"/>
                <w:szCs w:val="21"/>
                <w:highlight w:val="none"/>
                <w:lang w:val="zh-CN" w:eastAsia="zh-CN" w:bidi="ar-SA"/>
              </w:rPr>
            </w:pPr>
            <w:r>
              <w:rPr>
                <w:rFonts w:hint="eastAsia" w:ascii="宋体" w:hAnsi="宋体" w:eastAsia="宋体" w:cs="宋体"/>
                <w:kern w:val="2"/>
                <w:sz w:val="21"/>
                <w:szCs w:val="21"/>
                <w:highlight w:val="none"/>
                <w:lang w:val="zh-CN" w:eastAsia="zh-CN" w:bidi="ar-SA"/>
              </w:rPr>
              <w:t>针对本项目必须成立不少于15人的安全服务团队，服务团队中至少包括1名高级项目经理，拥有5年（含）以上行业从业经验。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9"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s="宋体"/>
                <w:b/>
                <w:szCs w:val="21"/>
                <w:highlight w:val="none"/>
              </w:rPr>
            </w:pPr>
            <w:r>
              <w:rPr>
                <w:rFonts w:hint="eastAsia" w:ascii="宋体" w:hAnsi="宋体" w:eastAsia="宋体" w:cs="宋体"/>
                <w:b/>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460" w:lineRule="exact"/>
              <w:jc w:val="center"/>
              <w:rPr>
                <w:rFonts w:ascii="宋体" w:hAnsi="宋体" w:eastAsia="宋体" w:cs="宋体"/>
                <w:b/>
                <w:kern w:val="0"/>
                <w:sz w:val="20"/>
                <w:szCs w:val="21"/>
                <w:highlight w:val="none"/>
                <w:lang w:val="en-US" w:eastAsia="zh-CN" w:bidi="ar-SA"/>
              </w:rPr>
            </w:pPr>
            <w:r>
              <w:rPr>
                <w:rFonts w:hint="eastAsia" w:ascii="宋体" w:hAnsi="宋体" w:eastAsia="宋体" w:cs="宋体"/>
                <w:kern w:val="0"/>
                <w:sz w:val="21"/>
                <w:szCs w:val="22"/>
                <w:highlight w:val="none"/>
                <w:lang w:val="en-US" w:eastAsia="zh-CN" w:bidi="ar-SA"/>
              </w:rPr>
              <w:t>项目服务期</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460" w:lineRule="exact"/>
              <w:jc w:val="both"/>
              <w:rPr>
                <w:rFonts w:hint="eastAsia" w:ascii="宋体" w:hAnsi="宋体" w:eastAsia="宋体" w:cs="宋体"/>
                <w:kern w:val="0"/>
                <w:sz w:val="20"/>
                <w:szCs w:val="21"/>
                <w:highlight w:val="none"/>
                <w:lang w:val="en-US" w:eastAsia="zh-CN" w:bidi="ar-SA"/>
              </w:rPr>
            </w:pPr>
            <w:r>
              <w:rPr>
                <w:rFonts w:hint="eastAsia" w:ascii="宋体" w:hAnsi="宋体" w:eastAsia="宋体" w:cs="宋体"/>
                <w:kern w:val="0"/>
                <w:sz w:val="21"/>
                <w:szCs w:val="22"/>
                <w:highlight w:val="none"/>
                <w:lang w:val="en-US" w:eastAsia="zh-CN" w:bidi="ar-SA"/>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s="宋体"/>
                <w:w w:val="104"/>
                <w:kern w:val="0"/>
                <w:szCs w:val="21"/>
                <w:highlight w:val="none"/>
              </w:rPr>
            </w:pPr>
            <w:r>
              <w:rPr>
                <w:rFonts w:hint="eastAsia" w:ascii="宋体" w:hAnsi="宋体" w:eastAsia="宋体" w:cs="宋体"/>
                <w:szCs w:val="21"/>
                <w:highlight w:val="none"/>
              </w:rPr>
              <w:t>报价要求</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eastAsia="宋体" w:cs="宋体"/>
                <w:w w:val="104"/>
                <w:kern w:val="0"/>
                <w:szCs w:val="21"/>
                <w:highlight w:val="none"/>
              </w:rPr>
            </w:pPr>
            <w:r>
              <w:rPr>
                <w:rFonts w:hint="eastAsia" w:ascii="宋体" w:hAnsi="宋体" w:eastAsia="宋体" w:cs="宋体"/>
                <w:szCs w:val="21"/>
                <w:highlight w:val="none"/>
              </w:rPr>
              <w:t>本项目磋商报价为人民币金额报价，即一次性报出完成本项目所需所有费用，含维保费用、备品备件费用、派出工作人员的交通费、住宿费、伙食补助费</w:t>
            </w:r>
            <w:r>
              <w:rPr>
                <w:rFonts w:hint="eastAsia" w:ascii="宋体" w:hAnsi="宋体" w:eastAsia="宋体" w:cs="宋体"/>
                <w:highlight w:val="none"/>
              </w:rPr>
              <w:t>、税金</w:t>
            </w:r>
            <w:r>
              <w:rPr>
                <w:rFonts w:hint="eastAsia" w:ascii="宋体" w:hAnsi="宋体" w:eastAsia="宋体" w:cs="宋体"/>
                <w:szCs w:val="21"/>
                <w:highlight w:val="none"/>
              </w:rPr>
              <w:t>及其他与维保服务相关的一切费用。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s="宋体"/>
                <w:b/>
                <w:szCs w:val="21"/>
                <w:highlight w:val="none"/>
              </w:rPr>
            </w:pPr>
            <w:r>
              <w:rPr>
                <w:rFonts w:hint="eastAsia" w:ascii="宋体" w:hAnsi="宋体" w:eastAsia="宋体" w:cs="宋体"/>
                <w:szCs w:val="21"/>
                <w:highlight w:val="none"/>
              </w:rPr>
              <w:t>服务承诺</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eastAsia="宋体" w:cs="宋体"/>
                <w:szCs w:val="21"/>
                <w:highlight w:val="none"/>
                <w:shd w:val="clear" w:color="auto" w:fill="FFFFFF"/>
              </w:rPr>
            </w:pPr>
            <w:r>
              <w:rPr>
                <w:rFonts w:hint="eastAsia" w:ascii="宋体" w:hAnsi="宋体" w:eastAsia="宋体" w:cs="宋体"/>
                <w:highlight w:val="none"/>
              </w:rPr>
              <w:t>响应文件中必须提供针对本项目的实施方案。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s="宋体"/>
                <w:b/>
                <w:kern w:val="0"/>
                <w:szCs w:val="21"/>
                <w:highlight w:val="none"/>
              </w:rPr>
            </w:pPr>
            <w:r>
              <w:rPr>
                <w:rFonts w:hint="eastAsia" w:ascii="宋体" w:hAnsi="宋体" w:eastAsia="宋体" w:cs="宋体"/>
                <w:szCs w:val="21"/>
                <w:highlight w:val="none"/>
              </w:rPr>
              <w:t>付款方式</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eastAsia="宋体" w:cs="宋体"/>
                <w:szCs w:val="21"/>
                <w:highlight w:val="none"/>
              </w:rPr>
            </w:pPr>
            <w:r>
              <w:rPr>
                <w:rFonts w:hint="eastAsia" w:ascii="宋体" w:hAnsi="宋体" w:eastAsia="宋体" w:cs="宋体"/>
                <w:szCs w:val="21"/>
                <w:highlight w:val="none"/>
              </w:rPr>
              <w:t>1．预付款：双方签订合同后（以双方盖章的合同为准），成交供应商提出书面付款申请，采购人在15个工作日内向成交供应商支付项目合同总金额</w:t>
            </w:r>
            <w:r>
              <w:rPr>
                <w:rFonts w:hint="eastAsia" w:ascii="宋体" w:hAnsi="宋体" w:eastAsia="宋体" w:cs="宋体"/>
                <w:szCs w:val="21"/>
                <w:highlight w:val="none"/>
                <w:lang w:val="en-US" w:eastAsia="zh-CN"/>
              </w:rPr>
              <w:t>50</w:t>
            </w:r>
            <w:r>
              <w:rPr>
                <w:rFonts w:hint="eastAsia" w:ascii="宋体" w:hAnsi="宋体" w:eastAsia="宋体" w:cs="宋体"/>
                <w:szCs w:val="21"/>
                <w:highlight w:val="none"/>
              </w:rPr>
              <w:t>%的预付款。</w:t>
            </w:r>
          </w:p>
          <w:p>
            <w:pPr>
              <w:spacing w:line="460" w:lineRule="exact"/>
              <w:rPr>
                <w:rFonts w:hint="eastAsia" w:ascii="宋体" w:hAnsi="宋体" w:eastAsia="宋体" w:cs="宋体"/>
                <w:szCs w:val="21"/>
                <w:highlight w:val="none"/>
              </w:rPr>
            </w:pPr>
            <w:r>
              <w:rPr>
                <w:rFonts w:hint="eastAsia" w:ascii="宋体" w:hAnsi="宋体" w:eastAsia="宋体" w:cs="宋体"/>
                <w:szCs w:val="21"/>
                <w:highlight w:val="none"/>
              </w:rPr>
              <w:t>2．考核服务款：服务结束后，成交供应商应向采购人提出考核书面申请，并提供考核佐证材料，采购人根据《广西财政厅网络安全保障服务考核办法》（100分制打分），对成交供应商提供的服务进行考核，考核结束后，成交供应商向采购人提出书面付款申请，采购人在15个工作日内支付成交供应商服务费，采购人实际支付成交供应商的</w:t>
            </w:r>
            <w:r>
              <w:rPr>
                <w:rFonts w:hint="eastAsia" w:ascii="宋体" w:hAnsi="宋体" w:eastAsia="宋体" w:cs="宋体"/>
                <w:b/>
                <w:bCs/>
                <w:szCs w:val="21"/>
                <w:highlight w:val="none"/>
                <w:lang w:eastAsia="zh-CN"/>
              </w:rPr>
              <w:t>考核</w:t>
            </w:r>
            <w:r>
              <w:rPr>
                <w:rFonts w:hint="eastAsia" w:ascii="宋体" w:hAnsi="宋体" w:eastAsia="宋体" w:cs="宋体"/>
                <w:b/>
                <w:bCs/>
                <w:szCs w:val="21"/>
                <w:highlight w:val="none"/>
              </w:rPr>
              <w:t>服务费=合同总金额</w:t>
            </w:r>
            <w:r>
              <w:rPr>
                <w:rFonts w:hint="eastAsia" w:ascii="宋体" w:hAnsi="宋体" w:eastAsia="宋体" w:cs="宋体"/>
                <w:b/>
                <w:bCs/>
                <w:szCs w:val="21"/>
                <w:highlight w:val="none"/>
                <w:lang w:val="en-US" w:eastAsia="zh-CN"/>
              </w:rPr>
              <w:t>50</w:t>
            </w:r>
            <w:r>
              <w:rPr>
                <w:rFonts w:hint="eastAsia" w:ascii="宋体" w:hAnsi="宋体" w:eastAsia="宋体" w:cs="宋体"/>
                <w:b/>
                <w:bCs/>
                <w:szCs w:val="21"/>
                <w:highlight w:val="none"/>
              </w:rPr>
              <w:t>%*考核</w:t>
            </w:r>
            <w:r>
              <w:rPr>
                <w:rFonts w:hint="eastAsia" w:ascii="宋体" w:hAnsi="宋体" w:eastAsia="宋体" w:cs="宋体"/>
                <w:b/>
                <w:bCs/>
                <w:szCs w:val="21"/>
                <w:highlight w:val="none"/>
                <w:lang w:eastAsia="zh-CN"/>
              </w:rPr>
              <w:t>得分</w:t>
            </w:r>
            <w:r>
              <w:rPr>
                <w:rFonts w:hint="eastAsia" w:ascii="宋体" w:hAnsi="宋体" w:eastAsia="宋体" w:cs="宋体"/>
                <w:b/>
                <w:bCs/>
                <w:szCs w:val="21"/>
                <w:highlight w:val="none"/>
              </w:rPr>
              <w:t>对应的</w:t>
            </w:r>
            <w:r>
              <w:rPr>
                <w:rFonts w:hint="eastAsia" w:ascii="宋体" w:hAnsi="宋体" w:eastAsia="宋体" w:cs="宋体"/>
                <w:b/>
                <w:bCs/>
                <w:szCs w:val="21"/>
                <w:highlight w:val="none"/>
                <w:lang w:eastAsia="zh-CN"/>
              </w:rPr>
              <w:t>考核</w:t>
            </w:r>
            <w:r>
              <w:rPr>
                <w:rFonts w:hint="eastAsia" w:ascii="宋体" w:hAnsi="宋体" w:eastAsia="宋体" w:cs="宋体"/>
                <w:b/>
                <w:bCs/>
                <w:szCs w:val="21"/>
                <w:highlight w:val="none"/>
              </w:rPr>
              <w:t>服务款支付比例-考核扣款</w:t>
            </w:r>
            <w:r>
              <w:rPr>
                <w:rFonts w:hint="eastAsia" w:ascii="宋体" w:hAnsi="宋体" w:eastAsia="宋体" w:cs="宋体"/>
                <w:b/>
                <w:bCs/>
                <w:szCs w:val="21"/>
                <w:highlight w:val="none"/>
                <w:lang w:eastAsia="zh-CN"/>
              </w:rPr>
              <w:t>，</w:t>
            </w:r>
            <w:r>
              <w:rPr>
                <w:rFonts w:hint="eastAsia" w:ascii="宋体" w:hAnsi="宋体" w:eastAsia="宋体" w:cs="宋体"/>
                <w:szCs w:val="21"/>
                <w:highlight w:val="none"/>
                <w:lang w:eastAsia="zh-CN"/>
              </w:rPr>
              <w:t>考核</w:t>
            </w:r>
            <w:r>
              <w:rPr>
                <w:rFonts w:hint="eastAsia" w:ascii="宋体" w:hAnsi="宋体" w:eastAsia="宋体" w:cs="宋体"/>
                <w:szCs w:val="21"/>
                <w:highlight w:val="none"/>
              </w:rPr>
              <w:t>服务款为</w:t>
            </w:r>
            <w:r>
              <w:rPr>
                <w:rFonts w:hint="eastAsia" w:ascii="宋体" w:hAnsi="宋体" w:eastAsia="宋体" w:cs="宋体"/>
                <w:szCs w:val="21"/>
                <w:highlight w:val="none"/>
                <w:lang w:eastAsia="zh-CN"/>
              </w:rPr>
              <w:t>最多</w:t>
            </w:r>
            <w:r>
              <w:rPr>
                <w:rFonts w:hint="eastAsia" w:ascii="宋体" w:hAnsi="宋体" w:eastAsia="宋体" w:cs="宋体"/>
                <w:szCs w:val="21"/>
                <w:highlight w:val="none"/>
              </w:rPr>
              <w:t>合同总金额</w:t>
            </w:r>
            <w:r>
              <w:rPr>
                <w:rFonts w:hint="eastAsia" w:ascii="宋体" w:hAnsi="宋体" w:eastAsia="宋体" w:cs="宋体"/>
                <w:szCs w:val="21"/>
                <w:highlight w:val="none"/>
                <w:lang w:val="en-US" w:eastAsia="zh-CN"/>
              </w:rPr>
              <w:t>50</w:t>
            </w:r>
            <w:r>
              <w:rPr>
                <w:rFonts w:hint="eastAsia" w:ascii="宋体" w:hAnsi="宋体" w:eastAsia="宋体" w:cs="宋体"/>
                <w:szCs w:val="21"/>
                <w:highlight w:val="none"/>
              </w:rPr>
              <w:t>%。考核得分对应服务款支付比例如下表：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106"/>
              <w:gridCol w:w="168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考核得分Z（分）</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服务款支付比例</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考核得分（分）</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服务款支付比例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Z≥80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100%</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45≤Z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50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75≤Z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80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90%</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40≤Z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45</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70≤Z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75</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85%</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35≤Z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40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65≤Z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70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80%</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30≤Z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35</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60≤Z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65</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75%</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25≤Z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30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55≤Z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60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70%</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20≤Z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25</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50≤Z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55</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65%</w:t>
                  </w:r>
                </w:p>
              </w:tc>
              <w:tc>
                <w:tcPr>
                  <w:tcW w:w="168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仿宋_GB2312" w:eastAsia="仿宋_GB2312" w:cs="Times New Roman"/>
                      <w:szCs w:val="21"/>
                      <w:highlight w:val="none"/>
                    </w:rPr>
                    <w:t>0&lt;</w:t>
                  </w:r>
                  <w:r>
                    <w:rPr>
                      <w:rFonts w:hint="eastAsia" w:ascii="仿宋_GB2312" w:hAnsi="Times New Roman" w:eastAsia="仿宋_GB2312" w:cs="Times New Roman"/>
                      <w:szCs w:val="21"/>
                      <w:highlight w:val="none"/>
                    </w:rPr>
                    <w:t>Z</w:t>
                  </w:r>
                  <w:r>
                    <w:rPr>
                      <w:rFonts w:hint="eastAsia" w:ascii="仿宋_GB2312" w:hAnsi="仿宋_GB2312" w:eastAsia="仿宋_GB2312" w:cs="Times New Roman"/>
                      <w:szCs w:val="21"/>
                      <w:highlight w:val="none"/>
                    </w:rPr>
                    <w:t>&lt;</w:t>
                  </w:r>
                  <w:r>
                    <w:rPr>
                      <w:rFonts w:hint="eastAsia" w:ascii="仿宋_GB2312" w:hAnsi="Times New Roman" w:eastAsia="仿宋_GB2312" w:cs="Times New Roman"/>
                      <w:szCs w:val="21"/>
                      <w:highlight w:val="none"/>
                    </w:rPr>
                    <w:t>20</w:t>
                  </w:r>
                </w:p>
              </w:tc>
              <w:tc>
                <w:tcPr>
                  <w:tcW w:w="2106" w:type="dxa"/>
                  <w:noWrap w:val="0"/>
                  <w:vAlign w:val="top"/>
                </w:tcPr>
                <w:p>
                  <w:pPr>
                    <w:spacing w:line="460" w:lineRule="exact"/>
                    <w:jc w:val="center"/>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30%</w:t>
                  </w:r>
                </w:p>
              </w:tc>
            </w:tr>
          </w:tbl>
          <w:p>
            <w:pPr>
              <w:numPr>
                <w:ilvl w:val="0"/>
                <w:numId w:val="2"/>
              </w:num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考核扣款：</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a.成交供应商驻场人员未遵守采购人工作时间，按时打卡。上下班存在迟到、早退等情况的，每发现一次扣款500元。</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成交供应商驻场人员与其提交的响应文件中的驻场人员名单不一致的，每发现1个人员，扣款10000元；驻场人员不得随意更换，更换后的人员应持有不低于原驻场人员的相关资质，无特殊情况在项目期间不能有超过2人以上的人员变动，如需变动至少提前2个月正式书面通知采购人，并提供新驻场人员的相关资质材料。</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c.成交供应商应保障采购人在国家、行业和自治区网络安全攻防演习（护网）期间网络和系统不被攻破，采购人每被攻击队攻破一次，扣除成交供应商5000元。</w:t>
            </w:r>
          </w:p>
          <w:p>
            <w:pPr>
              <w:spacing w:line="46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d.成交供应商应保障采购人在国家和自治区重大活动及重大节假日等重要时期不被攻破，采购人每被攻破一次，扣除成交供应商扣50000元。</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5.验收款</w:t>
            </w:r>
            <w:r>
              <w:rPr>
                <w:rFonts w:hint="eastAsia" w:ascii="宋体" w:hAnsi="宋体" w:eastAsia="宋体" w:cs="宋体"/>
                <w:szCs w:val="21"/>
                <w:highlight w:val="none"/>
                <w:lang w:eastAsia="zh-CN"/>
              </w:rPr>
              <w:t>（考核服务费）</w:t>
            </w:r>
            <w:r>
              <w:rPr>
                <w:rFonts w:hint="eastAsia" w:ascii="宋体" w:hAnsi="宋体" w:eastAsia="宋体" w:cs="宋体"/>
                <w:szCs w:val="21"/>
                <w:highlight w:val="none"/>
              </w:rPr>
              <w:t>：本合同履行完毕后，成交供应商按照项目要求准备齐全验收材料并向采购人提出项目验收申请，由采购人组织专家对本项目进行验收（验收费用由采购人承担）。验收不合格的成交供应商须在15个工作日内进行整改，再按上述验收流程由采购人再次组织验收（验收费用由成交供应商承担），直至项目通过专家验收。</w:t>
            </w:r>
          </w:p>
          <w:p>
            <w:pPr>
              <w:spacing w:line="460" w:lineRule="exact"/>
              <w:ind w:firstLine="420" w:firstLineChars="200"/>
              <w:rPr>
                <w:rFonts w:ascii="Times New Roman" w:hAnsi="Times New Roman" w:eastAsia="宋体" w:cs="Times New Roman"/>
                <w:highlight w:val="none"/>
              </w:rPr>
            </w:pPr>
            <w:r>
              <w:rPr>
                <w:rFonts w:hint="eastAsia" w:ascii="宋体" w:hAnsi="宋体" w:eastAsia="宋体" w:cs="宋体"/>
                <w:szCs w:val="21"/>
                <w:highlight w:val="none"/>
              </w:rPr>
              <w:t>6．成交供应商在合同期内发生《广西财政厅网络安全保障服务考核办法》规定的重大事故或累计第二次发生较大事故的，采购人可单方面终止合同，并拒付合同终止时当期全额服务款。其余违约追责及终止合同处理分别详见合同中“第八条违约责任”及“第九条争议解决和合同终止”条款。</w:t>
            </w:r>
          </w:p>
          <w:p>
            <w:pPr>
              <w:widowControl w:val="0"/>
              <w:adjustRightInd/>
              <w:snapToGrid/>
              <w:spacing w:after="0" w:line="460" w:lineRule="exact"/>
              <w:ind w:firstLine="420" w:firstLineChars="200"/>
              <w:jc w:val="both"/>
              <w:rPr>
                <w:rFonts w:ascii="黑体" w:hAnsi="Calibri" w:eastAsia="黑体" w:cs="Times New Roman"/>
                <w:kern w:val="0"/>
                <w:sz w:val="24"/>
                <w:szCs w:val="21"/>
                <w:highlight w:val="none"/>
                <w:lang w:val="en-US" w:eastAsia="zh-CN" w:bidi="ar-SA"/>
              </w:rPr>
            </w:pPr>
            <w:r>
              <w:rPr>
                <w:rFonts w:hint="eastAsia" w:ascii="宋体" w:hAnsi="宋体" w:eastAsia="宋体" w:cs="宋体"/>
                <w:kern w:val="2"/>
                <w:sz w:val="21"/>
                <w:szCs w:val="21"/>
                <w:highlight w:val="none"/>
                <w:lang w:val="en-US" w:eastAsia="zh-CN" w:bidi="ar-SA"/>
              </w:rPr>
              <w:t>7．成交供应商自收到款项之日起10个工作日内开具发票给采购人。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szCs w:val="21"/>
                <w:highlight w:val="none"/>
              </w:rPr>
            </w:pPr>
            <w:r>
              <w:rPr>
                <w:rFonts w:hint="eastAsia" w:ascii="宋体" w:hAnsi="宋体" w:eastAsia="宋体" w:cs="宋体"/>
                <w:szCs w:val="21"/>
                <w:highlight w:val="none"/>
              </w:rPr>
              <w:t>其它要求</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1.成交供应商在实施项目过程中的交通费、差旅费、住宿费、伙食费、通讯费等自理，所有费用均应包含在磋商报价中，不再另做结算。成交供应商实施项目维护工作期间如出现维护人员人身、财产安全事故、损失等由成交供应商全部负责，采购人不负任何责任。</w:t>
            </w:r>
          </w:p>
          <w:p>
            <w:pPr>
              <w:spacing w:line="46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2.成交供应商须承诺加强参与本项目人员的遵纪守法、廉洁自律教育和监督，对项目人员在项目期间实施违法犯罪行为并对采购人利益造成的侵害承担相应经济和法律责任，在签订合同时提供参与项目人员的</w:t>
            </w:r>
            <w:r>
              <w:rPr>
                <w:rFonts w:hint="eastAsia" w:ascii="Times New Roman" w:hAnsi="Times New Roman" w:eastAsia="宋体" w:cs="Times New Roman"/>
                <w:highlight w:val="none"/>
                <w:lang w:eastAsia="zh-CN"/>
              </w:rPr>
              <w:t>承诺书</w:t>
            </w:r>
            <w:r>
              <w:rPr>
                <w:rFonts w:hint="eastAsia" w:ascii="Times New Roman" w:hAnsi="Times New Roman" w:eastAsia="宋体" w:cs="Times New Roman"/>
                <w:highlight w:val="none"/>
              </w:rPr>
              <w:t>。</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CB544"/>
    <w:multiLevelType w:val="singleLevel"/>
    <w:tmpl w:val="FB8CB544"/>
    <w:lvl w:ilvl="0" w:tentative="0">
      <w:start w:val="4"/>
      <w:numFmt w:val="decimal"/>
      <w:lvlText w:val="(%1)"/>
      <w:lvlJc w:val="left"/>
      <w:pPr>
        <w:tabs>
          <w:tab w:val="left" w:pos="312"/>
        </w:tabs>
      </w:pPr>
    </w:lvl>
  </w:abstractNum>
  <w:abstractNum w:abstractNumId="1">
    <w:nsid w:val="00000003"/>
    <w:multiLevelType w:val="singleLevel"/>
    <w:tmpl w:val="0000000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2EC04086"/>
    <w:rsid w:val="2EC0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2025-04-28T08:48:00Z</dcterms:created>
  <dc:creator>欧明聪</dc:creator>
  <cp:lastModifiedBy>欧明聪</cp:lastModifiedBy>
  <dcterms:modified xsi:type="dcterms:W3CDTF">2025-04-28T08:48:43Z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29E5E58FED5943FDB02EBB72124964A2_11</vt:lpwstr>
  </property>
</Properties>
</file>