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outlineLvl w:val="0"/>
        <w:rPr>
          <w:rFonts w:hint="eastAsia" w:hAnsi="宋体" w:eastAsia="宋体" w:cs="宋体"/>
          <w:b/>
          <w:color w:val="auto"/>
          <w:sz w:val="36"/>
          <w:highlight w:val="none"/>
        </w:rPr>
      </w:pPr>
      <w:bookmarkStart w:id="2" w:name="_GoBack"/>
      <w:r>
        <w:rPr>
          <w:rFonts w:hint="eastAsia" w:hAnsi="宋体" w:eastAsia="宋体" w:cs="宋体"/>
          <w:b/>
          <w:color w:val="auto"/>
          <w:sz w:val="36"/>
          <w:highlight w:val="none"/>
        </w:rPr>
        <w:t>采购需求</w:t>
      </w:r>
      <w:bookmarkEnd w:id="2"/>
    </w:p>
    <w:p>
      <w:pPr>
        <w:adjustRightIn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pPr>
        <w:spacing w:line="360" w:lineRule="auto"/>
        <w:ind w:firstLine="420" w:firstLineChars="200"/>
        <w:jc w:val="left"/>
        <w:rPr>
          <w:rFonts w:ascii="宋体" w:hAnsi="宋体" w:eastAsia="宋体" w:cs="宋体"/>
          <w:i/>
          <w:iCs/>
          <w:color w:val="auto"/>
          <w:szCs w:val="21"/>
          <w:highlight w:val="none"/>
        </w:rPr>
      </w:pPr>
      <w:r>
        <w:rPr>
          <w:rFonts w:hint="eastAsia" w:ascii="宋体" w:hAnsi="宋体" w:eastAsia="宋体" w:cs="宋体"/>
          <w:color w:val="auto"/>
          <w:highlight w:val="none"/>
        </w:rPr>
        <w:t>1. 为落实政府采购政策需满足的要求</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rPr>
        <w:t>服务项目中包含货物的，</w:t>
      </w:r>
      <w:r>
        <w:rPr>
          <w:rFonts w:hint="eastAsia" w:ascii="宋体" w:hAnsi="宋体" w:eastAsia="宋体" w:cs="宋体"/>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2.“实质性要求”是指招标文件中已经指明不满足则投标无效的条款，或者不能负偏离的条款，或者采购需求中带“</w:t>
      </w:r>
      <w:r>
        <w:rPr>
          <w:rFonts w:hint="eastAsia" w:ascii="宋体" w:hAnsi="宋体" w:eastAsia="宋体" w:cs="宋体"/>
          <w:bCs/>
          <w:color w:val="auto"/>
          <w:highlight w:val="none"/>
        </w:rPr>
        <w:t>▲</w:t>
      </w:r>
      <w:r>
        <w:rPr>
          <w:rFonts w:hint="eastAsia" w:ascii="宋体" w:hAnsi="宋体" w:eastAsia="宋体" w:cs="宋体"/>
          <w:color w:val="auto"/>
          <w:szCs w:val="21"/>
          <w:highlight w:val="none"/>
        </w:rPr>
        <w:t>”的条款。</w:t>
      </w:r>
    </w:p>
    <w:p>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3.投标人必须对投标文件中提供的证明材料和资质文件真实性负责，如出现虚假应标情况，投标人除了应接受有关部门的处罚外，还应依据《中华人民共和国民法典》的相关条款来进行赔偿。</w:t>
      </w:r>
    </w:p>
    <w:p>
      <w:pPr>
        <w:keepNext w:val="0"/>
        <w:keepLines w:val="0"/>
        <w:pageBreakBefore w:val="0"/>
        <w:widowControl w:val="0"/>
        <w:tabs>
          <w:tab w:val="left" w:pos="180"/>
          <w:tab w:val="left" w:pos="1620"/>
        </w:tabs>
        <w:kinsoku/>
        <w:wordWrap/>
        <w:overflowPunct/>
        <w:topLinePunct w:val="0"/>
        <w:autoSpaceDE/>
        <w:autoSpaceDN/>
        <w:bidi w:val="0"/>
        <w:snapToGrid/>
        <w:spacing w:line="4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.投标人应对投标内容所涉及的专利承担法律责任，并负责保护采购人的利益不受任何损害。一切由于文字、商标、技术和软件专利授权引起的法律裁决、诉讼和赔偿费用均由中标人负责。</w:t>
      </w:r>
    </w:p>
    <w:p>
      <w:pPr>
        <w:keepNext w:val="0"/>
        <w:keepLines w:val="0"/>
        <w:pageBreakBefore w:val="0"/>
        <w:widowControl w:val="0"/>
        <w:tabs>
          <w:tab w:val="left" w:pos="180"/>
          <w:tab w:val="left" w:pos="1620"/>
        </w:tabs>
        <w:kinsoku/>
        <w:wordWrap/>
        <w:overflowPunct/>
        <w:topLinePunct w:val="0"/>
        <w:autoSpaceDE/>
        <w:autoSpaceDN/>
        <w:bidi w:val="0"/>
        <w:snapToGrid/>
        <w:spacing w:line="460" w:lineRule="exact"/>
        <w:ind w:firstLine="420" w:firstLineChars="200"/>
        <w:jc w:val="left"/>
        <w:textAlignment w:val="auto"/>
        <w:rPr>
          <w:rFonts w:hint="eastAsia" w:ascii="宋体" w:hAnsi="宋体" w:eastAsia="宋体" w:cs="宋体"/>
          <w:color w:val="auto"/>
        </w:rPr>
      </w:pPr>
      <w:r>
        <w:rPr>
          <w:rFonts w:hint="eastAsia" w:ascii="宋体" w:hAnsi="宋体" w:eastAsia="宋体" w:cs="宋体"/>
          <w:color w:val="auto"/>
          <w:highlight w:val="none"/>
          <w:lang w:val="en-US" w:eastAsia="zh-CN"/>
        </w:rPr>
        <w:t>5.本项目所有采购标的对应的中小企业划分标准所属行业：</w:t>
      </w:r>
      <w:r>
        <w:rPr>
          <w:rFonts w:hint="eastAsia" w:ascii="宋体" w:hAnsi="宋体" w:eastAsia="宋体" w:cs="宋体"/>
          <w:color w:val="auto"/>
        </w:rPr>
        <w:t>软件和信息技术服务业</w:t>
      </w:r>
    </w:p>
    <w:tbl>
      <w:tblPr>
        <w:tblStyle w:val="4"/>
        <w:tblW w:w="97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
        <w:gridCol w:w="855"/>
        <w:gridCol w:w="525"/>
        <w:gridCol w:w="7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10"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ascii="宋体" w:hAnsi="宋体" w:eastAsia="宋体" w:cs="宋体"/>
                <w:color w:val="auto"/>
                <w:szCs w:val="21"/>
              </w:rPr>
            </w:pPr>
            <w:r>
              <w:rPr>
                <w:rFonts w:hint="eastAsia" w:ascii="宋体" w:hAnsi="宋体" w:eastAsia="宋体" w:cs="宋体"/>
                <w:color w:val="auto"/>
                <w:kern w:val="0"/>
                <w:szCs w:val="21"/>
              </w:rPr>
              <w:t>序号</w:t>
            </w:r>
          </w:p>
        </w:tc>
        <w:tc>
          <w:tcPr>
            <w:tcW w:w="855"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ascii="宋体" w:hAnsi="宋体" w:eastAsia="宋体" w:cs="宋体"/>
                <w:color w:val="auto"/>
                <w:szCs w:val="21"/>
              </w:rPr>
            </w:pPr>
            <w:r>
              <w:rPr>
                <w:rFonts w:hint="eastAsia" w:ascii="宋体" w:hAnsi="宋体" w:eastAsia="宋体" w:cs="宋体"/>
                <w:color w:val="auto"/>
                <w:kern w:val="0"/>
                <w:szCs w:val="21"/>
              </w:rPr>
              <w:t>标的的名称</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798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10"/>
                <w:tab w:val="left" w:pos="2100"/>
                <w:tab w:val="left" w:pos="2310"/>
              </w:tabs>
              <w:spacing w:line="460" w:lineRule="exact"/>
              <w:jc w:val="center"/>
              <w:rPr>
                <w:rFonts w:hint="eastAsia" w:ascii="宋体" w:hAnsi="宋体" w:eastAsia="宋体" w:cs="宋体"/>
                <w:color w:val="auto"/>
                <w:szCs w:val="21"/>
              </w:rPr>
            </w:pPr>
            <w:r>
              <w:rPr>
                <w:rFonts w:hint="eastAsia" w:ascii="宋体" w:hAnsi="宋体" w:eastAsia="宋体" w:cs="宋体"/>
                <w:color w:val="auto"/>
                <w:szCs w:val="21"/>
              </w:rPr>
              <w:t>服务参数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10"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855"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2025—2026年广西财政信息化技术运维服务项目</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color w:val="auto"/>
                <w:szCs w:val="21"/>
              </w:rPr>
            </w:pPr>
            <w:r>
              <w:rPr>
                <w:rFonts w:hint="eastAsia" w:ascii="宋体" w:hAnsi="宋体" w:eastAsia="宋体" w:cs="宋体"/>
                <w:color w:val="auto"/>
                <w:szCs w:val="21"/>
              </w:rPr>
              <w:t>1项</w:t>
            </w:r>
          </w:p>
        </w:tc>
        <w:tc>
          <w:tcPr>
            <w:tcW w:w="7980" w:type="dxa"/>
            <w:tcBorders>
              <w:top w:val="single" w:color="auto" w:sz="4" w:space="0"/>
              <w:left w:val="single" w:color="auto" w:sz="4" w:space="0"/>
              <w:bottom w:val="single" w:color="auto" w:sz="4" w:space="0"/>
              <w:right w:val="single" w:color="auto" w:sz="4" w:space="0"/>
            </w:tcBorders>
            <w:noWrap w:val="0"/>
            <w:vAlign w:val="center"/>
          </w:tcPr>
          <w:p>
            <w:pPr>
              <w:tabs>
                <w:tab w:val="left" w:pos="5614"/>
              </w:tabs>
              <w:spacing w:line="460" w:lineRule="exact"/>
              <w:jc w:val="both"/>
              <w:outlineLvl w:val="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val="0"/>
                <w:bCs w:val="0"/>
                <w:color w:val="auto"/>
                <w:sz w:val="21"/>
                <w:szCs w:val="21"/>
                <w:highlight w:val="none"/>
                <w:lang w:val="en-US" w:eastAsia="zh-CN"/>
              </w:rPr>
              <w:t>项目目标</w:t>
            </w:r>
          </w:p>
          <w:p>
            <w:pPr>
              <w:pStyle w:val="6"/>
              <w:adjustRightInd w:val="0"/>
              <w:spacing w:line="440" w:lineRule="exact"/>
              <w:ind w:firstLine="560"/>
              <w:rPr>
                <w:rFonts w:hint="eastAsia" w:ascii="宋体" w:hAnsi="宋体" w:eastAsia="宋体" w:cs="宋体"/>
                <w:sz w:val="21"/>
                <w:szCs w:val="21"/>
              </w:rPr>
            </w:pPr>
            <w:bookmarkStart w:id="0" w:name="_Toc525992981"/>
            <w:r>
              <w:rPr>
                <w:rFonts w:hint="eastAsia" w:ascii="宋体" w:hAnsi="宋体" w:eastAsia="宋体" w:cs="宋体"/>
                <w:sz w:val="21"/>
                <w:szCs w:val="21"/>
              </w:rPr>
              <w:t>（一）通过购买</w:t>
            </w:r>
            <w:r>
              <w:rPr>
                <w:rFonts w:hint="eastAsia" w:eastAsia="宋体" w:cs="宋体"/>
                <w:sz w:val="21"/>
                <w:szCs w:val="21"/>
                <w:lang w:eastAsia="zh-CN"/>
              </w:rPr>
              <w:t>专业</w:t>
            </w:r>
            <w:r>
              <w:rPr>
                <w:rFonts w:hint="eastAsia" w:ascii="宋体" w:hAnsi="宋体" w:eastAsia="宋体" w:cs="宋体"/>
                <w:sz w:val="21"/>
                <w:szCs w:val="21"/>
              </w:rPr>
              <w:t>技术运维服务</w:t>
            </w:r>
            <w:r>
              <w:rPr>
                <w:rFonts w:hint="eastAsia" w:eastAsia="宋体" w:cs="宋体"/>
                <w:sz w:val="21"/>
                <w:szCs w:val="21"/>
                <w:lang w:eastAsia="zh-CN"/>
              </w:rPr>
              <w:t>，加强采购人</w:t>
            </w:r>
            <w:r>
              <w:rPr>
                <w:rFonts w:hint="eastAsia" w:ascii="宋体" w:hAnsi="宋体" w:eastAsia="宋体" w:cs="宋体"/>
                <w:sz w:val="21"/>
                <w:szCs w:val="21"/>
              </w:rPr>
              <w:t>信息</w:t>
            </w:r>
            <w:r>
              <w:rPr>
                <w:rFonts w:hint="eastAsia" w:eastAsia="宋体" w:cs="宋体"/>
                <w:sz w:val="21"/>
                <w:szCs w:val="21"/>
                <w:lang w:eastAsia="zh-CN"/>
              </w:rPr>
              <w:t>技术力量，</w:t>
            </w:r>
            <w:r>
              <w:rPr>
                <w:rFonts w:hint="eastAsia" w:ascii="宋体" w:hAnsi="宋体" w:eastAsia="宋体" w:cs="宋体"/>
                <w:sz w:val="21"/>
                <w:szCs w:val="21"/>
              </w:rPr>
              <w:t>提升财政网络安全管理和信息化运维</w:t>
            </w:r>
            <w:r>
              <w:rPr>
                <w:rFonts w:hint="eastAsia" w:eastAsia="宋体" w:cs="宋体"/>
                <w:sz w:val="21"/>
                <w:szCs w:val="21"/>
                <w:lang w:eastAsia="zh-CN"/>
              </w:rPr>
              <w:t>和管理</w:t>
            </w:r>
            <w:r>
              <w:rPr>
                <w:rFonts w:hint="eastAsia" w:ascii="宋体" w:hAnsi="宋体" w:eastAsia="宋体" w:cs="宋体"/>
                <w:sz w:val="21"/>
                <w:szCs w:val="21"/>
              </w:rPr>
              <w:t>水平。</w:t>
            </w:r>
          </w:p>
          <w:p>
            <w:pPr>
              <w:pStyle w:val="6"/>
              <w:adjustRightInd w:val="0"/>
              <w:spacing w:line="440" w:lineRule="exact"/>
              <w:ind w:firstLine="560"/>
              <w:rPr>
                <w:rFonts w:hint="eastAsia" w:ascii="宋体" w:hAnsi="宋体" w:eastAsia="宋体" w:cs="宋体"/>
                <w:sz w:val="21"/>
                <w:szCs w:val="21"/>
              </w:rPr>
            </w:pPr>
            <w:r>
              <w:rPr>
                <w:rFonts w:hint="eastAsia" w:ascii="宋体" w:hAnsi="宋体" w:eastAsia="宋体" w:cs="宋体"/>
                <w:sz w:val="21"/>
                <w:szCs w:val="21"/>
              </w:rPr>
              <w:t>（二）为</w:t>
            </w:r>
            <w:r>
              <w:rPr>
                <w:rFonts w:hint="eastAsia" w:eastAsia="宋体" w:cs="宋体"/>
                <w:sz w:val="21"/>
                <w:szCs w:val="21"/>
                <w:lang w:eastAsia="zh-CN"/>
              </w:rPr>
              <w:t>自治区</w:t>
            </w:r>
            <w:r>
              <w:rPr>
                <w:rFonts w:hint="eastAsia" w:ascii="宋体" w:hAnsi="宋体" w:eastAsia="宋体" w:cs="宋体"/>
                <w:sz w:val="21"/>
                <w:szCs w:val="21"/>
              </w:rPr>
              <w:t>预算管理一体化系统的建设和运维注入力量，保障系统安全稳定运行，助力财政预算制度改革。</w:t>
            </w:r>
          </w:p>
          <w:p>
            <w:pPr>
              <w:pStyle w:val="6"/>
              <w:adjustRightInd w:val="0"/>
              <w:spacing w:line="440" w:lineRule="exact"/>
              <w:ind w:firstLine="560"/>
              <w:rPr>
                <w:rFonts w:hint="eastAsia" w:ascii="宋体" w:hAnsi="宋体" w:eastAsia="宋体" w:cs="宋体"/>
                <w:sz w:val="21"/>
                <w:szCs w:val="21"/>
              </w:rPr>
            </w:pPr>
            <w:r>
              <w:rPr>
                <w:rFonts w:hint="eastAsia" w:ascii="宋体" w:hAnsi="宋体" w:eastAsia="宋体" w:cs="宋体"/>
                <w:sz w:val="21"/>
                <w:szCs w:val="21"/>
              </w:rPr>
              <w:t>（三）完善技术</w:t>
            </w:r>
            <w:r>
              <w:rPr>
                <w:rFonts w:hint="eastAsia" w:eastAsia="宋体" w:cs="宋体"/>
                <w:sz w:val="21"/>
                <w:szCs w:val="21"/>
                <w:lang w:eastAsia="zh-CN"/>
              </w:rPr>
              <w:t>运维力量</w:t>
            </w:r>
            <w:r>
              <w:rPr>
                <w:rFonts w:hint="eastAsia" w:ascii="宋体" w:hAnsi="宋体" w:eastAsia="宋体" w:cs="宋体"/>
                <w:sz w:val="21"/>
                <w:szCs w:val="21"/>
              </w:rPr>
              <w:t>配</w:t>
            </w:r>
            <w:r>
              <w:rPr>
                <w:rFonts w:hint="eastAsia" w:eastAsia="宋体" w:cs="宋体"/>
                <w:sz w:val="21"/>
                <w:szCs w:val="21"/>
                <w:lang w:eastAsia="zh-CN"/>
              </w:rPr>
              <w:t>置</w:t>
            </w:r>
            <w:r>
              <w:rPr>
                <w:rFonts w:hint="eastAsia" w:ascii="宋体" w:hAnsi="宋体" w:eastAsia="宋体" w:cs="宋体"/>
                <w:sz w:val="21"/>
                <w:szCs w:val="21"/>
              </w:rPr>
              <w:t>，加强服务器巡检和网络安全监测力度，保障自治区财政厅网站、业务系统和服务器平台的安全，保障办公和移动办公的稳定正常运行，提高网站和系统抵抗入侵和攻击的能力。</w:t>
            </w:r>
          </w:p>
          <w:p>
            <w:pPr>
              <w:tabs>
                <w:tab w:val="left" w:pos="5614"/>
              </w:tabs>
              <w:spacing w:line="460" w:lineRule="exact"/>
              <w:jc w:val="both"/>
              <w:outlineLvl w:val="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二、项目</w:t>
            </w:r>
            <w:bookmarkEnd w:id="0"/>
            <w:r>
              <w:rPr>
                <w:rFonts w:hint="eastAsia" w:ascii="宋体" w:hAnsi="宋体" w:eastAsia="宋体" w:cs="宋体"/>
                <w:b w:val="0"/>
                <w:bCs w:val="0"/>
                <w:color w:val="auto"/>
                <w:sz w:val="21"/>
                <w:szCs w:val="21"/>
                <w:highlight w:val="none"/>
                <w:lang w:val="en-US" w:eastAsia="zh-CN"/>
              </w:rPr>
              <w:t>需求</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由</w:t>
            </w:r>
            <w:r>
              <w:rPr>
                <w:rFonts w:hint="eastAsia" w:ascii="宋体" w:hAnsi="宋体" w:eastAsia="宋体" w:cs="宋体"/>
                <w:sz w:val="21"/>
                <w:szCs w:val="21"/>
                <w:lang w:eastAsia="zh-CN"/>
              </w:rPr>
              <w:t>中标人</w:t>
            </w:r>
            <w:r>
              <w:rPr>
                <w:rFonts w:hint="eastAsia" w:ascii="宋体" w:hAnsi="宋体" w:eastAsia="宋体" w:cs="宋体"/>
                <w:sz w:val="21"/>
                <w:szCs w:val="21"/>
              </w:rPr>
              <w:t>组建项目团队为采购人提供系统建设实施、系统运行维护、硬件设备管理、网络安全管理、24小时值班备勤等五方面服务。服务期为2年。服务期间</w:t>
            </w:r>
            <w:r>
              <w:rPr>
                <w:rFonts w:hint="eastAsia" w:ascii="宋体" w:hAnsi="宋体" w:eastAsia="宋体" w:cs="宋体"/>
                <w:sz w:val="21"/>
                <w:szCs w:val="21"/>
                <w:lang w:eastAsia="zh-CN"/>
              </w:rPr>
              <w:t>中标人</w:t>
            </w:r>
            <w:r>
              <w:rPr>
                <w:rFonts w:hint="eastAsia" w:ascii="宋体" w:hAnsi="宋体" w:eastAsia="宋体" w:cs="宋体"/>
                <w:sz w:val="21"/>
                <w:szCs w:val="21"/>
              </w:rPr>
              <w:t>必须保证项目团队人员的稳定性，尤其不得随意调换常驻的服务人员。详细内容和要求如下：</w:t>
            </w:r>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（一）系统建设实施。</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协助采购人开展财政业务系统的引进、开发、推广及升级有关工作，重点保障财政预算管理一体化工作开展，管理拥有自主版权的财政业务系统版本和代码。具体包括：</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1.配合做好在全区市、县范围内的财政业务系统推广实施、监督、管理等工作；</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协助做好广西预算管理一体化系统运维保障。接听并处理广西预算管理一体化系统技术服务呼叫中心电话，处理一体化系统全区运维问题；负责为一体化系统区本级用户配置权限；负责对一体化系统第三方运维人员进行监督、考核、统计，协调解决运维相关问题，保障运维体系正常高效运转。管理广西预算管理一体化系统技术服务呼叫中心5330009热线，负责呼叫运维、坐席管理及话机安装维护。</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协助做好广西预算管理一体化系统整合、升级改造相关工作。对接跟踪厅内处室、市县反馈的业务需求；审定需求和可研、初设等方案；负责项目的实施督导，监督实施公司实施进度和质量，审查系统功能和相关文档，协调云网资源分配，组织培训，负责上线和验收相关工作。</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协助做好广西预算管理一体化系统应用环境和数据库管理。管理所有服务器、数据库和应用支撑软件，负责申请云网资源和一体化应用升级部署。负责升级部署、执行数据库脚本，负责排查分析和应用服务、数据库相关的问题及故障。负责协助数据库备份、迁移、验证相关工作，处理所有和数据库相关的运维问题。</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协助做好广西预算管理一体化考核相关工作。负责一体化考核情况分析，出具分析报告，负责每月考核数据验证、脚本执行，负责考核提分、问题整理汇总，负责监督实施公司进行考核提分整改。负责每月市县一体化考核分数计算，协助市县进行问题分析。</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6.协助监督管理自治区财政厅拥有版权的系统的建设、日常修改完善及升级改造，负责源代码及版本发布管理工作；</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7.配合做好其他系统建设需求调研，组织系统承建公司收集整理业务需求，确保新建项目各项功能的实现</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8.协助采购人做好其他系统建设项目管理，包括各类会议会务和记录、项目文档管理、绩效考核、款项支付等辅助工作。</w:t>
            </w:r>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（二）系统运维管理。</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自治区财政厅现在正在使用的计算机系统共63套，其中31套重要系统已购买专项运维外包服务（</w:t>
            </w:r>
            <w:r>
              <w:rPr>
                <w:rFonts w:hint="eastAsia" w:ascii="宋体" w:hAnsi="宋体" w:eastAsia="宋体" w:cs="宋体"/>
                <w:snapToGrid w:val="0"/>
                <w:kern w:val="0"/>
                <w:sz w:val="21"/>
                <w:szCs w:val="21"/>
              </w:rPr>
              <w:t>系统清单见附件1</w:t>
            </w:r>
            <w:r>
              <w:rPr>
                <w:rFonts w:hint="eastAsia" w:ascii="宋体" w:hAnsi="宋体" w:eastAsia="宋体" w:cs="宋体"/>
                <w:sz w:val="21"/>
                <w:szCs w:val="21"/>
              </w:rPr>
              <w:t>）。本项目中的运维范围除了包括其余32套系统的全部运维工作外，还包括协助和监督相关服务外包商对这31个重要系统进行运维。第三方运维服务商与本项目</w:t>
            </w:r>
            <w:r>
              <w:rPr>
                <w:rFonts w:hint="eastAsia" w:ascii="宋体" w:hAnsi="宋体" w:eastAsia="宋体" w:cs="宋体"/>
                <w:sz w:val="21"/>
                <w:szCs w:val="21"/>
                <w:lang w:val="en-US" w:eastAsia="zh-CN"/>
              </w:rPr>
              <w:t>中标人的</w:t>
            </w:r>
            <w:r>
              <w:rPr>
                <w:rFonts w:hint="eastAsia" w:ascii="宋体" w:hAnsi="宋体" w:eastAsia="宋体" w:cs="宋体"/>
                <w:sz w:val="21"/>
                <w:szCs w:val="21"/>
              </w:rPr>
              <w:t>驻场人员的工作分界：前者的工作主要面向应用系统后台和财政用户，根据采购人管理要求，培训后者使之成为系统管理员和运维技术员，并提供应用系统的性能优化和功能完善升级、修复系统缺陷、排除系统运行疑难故障等后台技术支持。后者工作主要面向应用系统前台和厅机关、自治区本级乃至全区的广大预算单位用户，保障系统稳定运行的同时，解决他们在系统操作和使用上的问题，主要的工作包括为系统用户提供日常咨询、操作指导、数据报表等前台运维工作和用户角色授权、权限修改、软硬维修等系统管理工作，具体如下：</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提供财政应用系统日常维护服务。一是负责系统用户在使用过程的问题解答和使用故障处理，并收集记录新需求。二是负责系统监控和客户端维护，及时做好系统基础数据更新和维护工作。三是做好业务人员操作权限调整、以及其它涉及系统的相关问题处理。对用户反映的问题及时解决并做好登记，及时提交有关报告。四是按照自治区财政厅要求对新增系统数据节点及时更新系统相关配置，按要求开通节点并提供培训服务；</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2.负责为本厅用户提供现场技术支持。自治区财政厅各处室、厅属各单位如有运维问题，通过远程联接仍无法解决的，</w:t>
            </w:r>
            <w:r>
              <w:rPr>
                <w:rFonts w:hint="eastAsia" w:ascii="Times New Roman" w:hAnsi="Times New Roman" w:eastAsia="宋体" w:cs="Times New Roman"/>
                <w:lang w:val="en-US" w:eastAsia="zh-CN"/>
              </w:rPr>
              <w:t>中标人</w:t>
            </w:r>
            <w:r>
              <w:rPr>
                <w:rFonts w:hint="eastAsia" w:ascii="宋体" w:hAnsi="宋体" w:eastAsia="宋体" w:cs="宋体"/>
                <w:sz w:val="21"/>
                <w:szCs w:val="21"/>
              </w:rPr>
              <w:t>须在10分钟内做出响应，并在规定时间内派出技术人员到达现场解决问题。</w:t>
            </w:r>
          </w:p>
          <w:p>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提供5天×8小时金财工程1800热线电话服务，及时接听电话办理用户需求。针对用户单位因对系统的不熟悉而造成的业务无法办理的情况，须为其提供电话咨询答疑服务，帮助其处理在系统软硬件设备使用中遇到的技术问题。</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建立系统配置、使用和维护档案。协助采购人建立健全系统使用维护的技术流程及规范，负责收集、整理、完善系统文档，如用户手册、操作指南、培训教材、配置文档、实施文档、常见问题集和升级维护档案记录等，定期提交系统维护及管理报告。</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5.网站运维管理。一是配合做好财政厅网站集约化的管理工作。二是每日对财政网进行三次巡检，确保网站页面的正常浏览，并落实“一日三报”制度，填报网站监测报表。三是按要求及时更新网站信息。</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6.协助视频会议系统保障。对接厂商，协助做好视频会议系统的调试、联调和维护工作，做好视频会议会务技术保障。</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配合服务外包方人员进行系统升级完善。根据第三方运维公司在测试环境调试成功的系统修改、脚本升级、安全加固等实施方案，在运维操作间及生产环境中具体实施运维。防止第三方运维公司人员单独接触生产数据。</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8.授权和监督服务外包方人员运维操作。负责使用运维安全审计系统对服务外包方运维人员进行授权、资源分配，并对其操作进行全程屏幕录像和事后安全审计。</w:t>
            </w:r>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（三）硬件设备管理。</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协助做好广西财政数据处理中心、广西财政数据容灾备份中心、同城备份中心的硬件基础设施设备维护工作；承担厅机关1000多台办公电脑，700多台打印机，50多台复印机等办公设备及耗材的固定资产管理，指导用户操作和使用，解决使用问题；负责各类广域网、城域网和局域网线路及设备的维护。具体包括： </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协助和监督有关运维服务外包商做好硬件设备运维，对精密空调、消防器材、监控、不间断电源、路由器交换机、VPN、防火墙、应用软件服务器、存储等机房基础设施设备进行日常巡检维护，主要检查系统状态、硬件运行状况，设备清洁情况等。提供系统运行性能诊断及系统性能扩充和使用建议，根据结果调整系统参数，优化相关设备的安全管理策略,保持系统和环境的最佳运行状态。</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负责终端设备的管理，指导用户操作和使用设备。对操作系统、办公软件及其他辅助软件进行安装、优化升级和维护。做好电脑、打印机、复印机等办公设备安装调试、维修零配件出入库管理、更换记录。做好设备台账，协助做好资产盘点、入账、报废等固定资产管理工作。   </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3.维护财政大厦和综合楼</w:t>
            </w:r>
            <w:r>
              <w:rPr>
                <w:rFonts w:hint="eastAsia" w:ascii="宋体" w:hAnsi="宋体" w:eastAsia="宋体" w:cs="宋体"/>
                <w:b/>
                <w:sz w:val="21"/>
                <w:szCs w:val="21"/>
              </w:rPr>
              <w:t>局域网</w:t>
            </w:r>
            <w:r>
              <w:rPr>
                <w:rFonts w:hint="eastAsia" w:ascii="宋体" w:hAnsi="宋体" w:eastAsia="宋体" w:cs="宋体"/>
                <w:sz w:val="21"/>
                <w:szCs w:val="21"/>
              </w:rPr>
              <w:t>（含内外网）网络线路及设备，管理内外网网络准入管理系统，处理楼层配线间交换机的异常问题，根据用户实际需求调整上网策略，并定期备份网络访问数据；维护本厅</w:t>
            </w:r>
            <w:r>
              <w:rPr>
                <w:rFonts w:hint="eastAsia" w:ascii="宋体" w:hAnsi="宋体" w:eastAsia="宋体" w:cs="宋体"/>
                <w:b/>
                <w:sz w:val="21"/>
                <w:szCs w:val="21"/>
              </w:rPr>
              <w:t>广域网</w:t>
            </w:r>
            <w:r>
              <w:rPr>
                <w:rFonts w:hint="eastAsia" w:ascii="宋体" w:hAnsi="宋体" w:eastAsia="宋体" w:cs="宋体"/>
                <w:sz w:val="21"/>
                <w:szCs w:val="21"/>
              </w:rPr>
              <w:t>出口设备，协助市县和梧州异地灾备中心解决广域网出现的问题，协助财政部和财政部西安灾备中心解决广域网出现的各类问题；维护本厅</w:t>
            </w:r>
            <w:r>
              <w:rPr>
                <w:rFonts w:hint="eastAsia" w:ascii="宋体" w:hAnsi="宋体" w:eastAsia="宋体" w:cs="宋体"/>
                <w:b/>
                <w:sz w:val="21"/>
                <w:szCs w:val="21"/>
              </w:rPr>
              <w:t>城域网</w:t>
            </w:r>
            <w:r>
              <w:rPr>
                <w:rFonts w:hint="eastAsia" w:ascii="宋体" w:hAnsi="宋体" w:eastAsia="宋体" w:cs="宋体"/>
                <w:sz w:val="21"/>
                <w:szCs w:val="21"/>
              </w:rPr>
              <w:t>出口线路及设备，处理本厅与自治区本级预算单位、人民银行等部门之间的线路故障；维护厅本级广西</w:t>
            </w:r>
            <w:r>
              <w:rPr>
                <w:rFonts w:hint="eastAsia" w:ascii="宋体" w:hAnsi="宋体" w:eastAsia="宋体" w:cs="宋体"/>
                <w:b/>
                <w:sz w:val="21"/>
                <w:szCs w:val="21"/>
              </w:rPr>
              <w:t>电子政务外网</w:t>
            </w:r>
            <w:r>
              <w:rPr>
                <w:rFonts w:hint="eastAsia" w:ascii="宋体" w:hAnsi="宋体" w:eastAsia="宋体" w:cs="宋体"/>
                <w:sz w:val="21"/>
                <w:szCs w:val="21"/>
              </w:rPr>
              <w:t>接入线路，配置业务网络开通、地址映射等，协助自治区信息中心和政府办公厅维护</w:t>
            </w:r>
            <w:r>
              <w:rPr>
                <w:rFonts w:hint="eastAsia" w:ascii="宋体" w:hAnsi="宋体" w:eastAsia="宋体" w:cs="宋体"/>
                <w:sz w:val="21"/>
                <w:szCs w:val="21"/>
                <w:lang w:eastAsia="zh-CN"/>
              </w:rPr>
              <w:t>自治区财政厅</w:t>
            </w:r>
            <w:r>
              <w:rPr>
                <w:rFonts w:hint="eastAsia" w:ascii="宋体" w:hAnsi="宋体" w:eastAsia="宋体" w:cs="宋体"/>
                <w:sz w:val="21"/>
                <w:szCs w:val="21"/>
              </w:rPr>
              <w:t>端电子政务外网、政府资源网等设施。维护内外网负载均衡设备：管理配置内外网负载均衡策略，处理网络间地址映射互联问题。</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负责数据存储和备份管理。管理主数据存储、同城备份存储等设备，确保数据可用；管理数据备份软件，确保复制和备份正常（重点保障预算管理一体化系统数据）；根据系统业务管理处室或系统管理员要求，提供技术支持，协助其恢复指定数据对备份的数据进行不定期校验，检测数据的可用性和完整性；对系统数据备份的状态和进程进行巡检，记录备份情况。</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5.协助开展楼层办公网络设备更换、数据处理中心网络设备更换、财政专网租赁等项目的方案编制、方案论证、采购合同签订及付款、项目实施管理及项目验收等工作。负责网络综合治理和信息化发展相关工作。</w:t>
            </w:r>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（四）网络安全管理。</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协助采购人做好厅机关局域网、城域网、广域网的日常安全运维和管理，做好网站和业务系统安全防护，巡检管理防火墙、入侵检测、VPN等近100台网络安全设备，维护和管理财政CA系统。主要有：</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管理内外网安全设备。对自治区财政厅的防火墙系统、安全数据交换系统（网闸、光闸）、病毒发现系统、漏洞扫描系统、入侵检测系统、安全态势感知系统等安全防护和监控系统进行日常维护管理，确保网络安全策略生效，定期升级病毒库、特征库，定期备份设备配置：对系统日志进行检查与分析，根据系统的报错信息，发现系统潜在问题，采取措施，排除故障隐患和安全漏洞。做好防病毒软件在内网和外网的部署，防病毒码日常巡检等。</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网络安全风险监控检测。对网络安全态势感知平台系统、云防护平台、防病毒软件、防火墙、防病毒网关（含IPS和IDS功能）、安全审计、终端安全管理系统等安全设备进行状态监控，及时发现各类病毒、木马、网络攻击、黑客入侵等网络异常行为，并第一时间报告采购人。</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3.网络安全响应处置。协助第三方驻场安全服务工程师在出现安全应急事件时，提供7</w:t>
            </w:r>
            <w:r>
              <w:rPr>
                <w:rFonts w:hint="eastAsia" w:ascii="宋体" w:hAnsi="宋体" w:eastAsia="宋体" w:cs="宋体"/>
                <w:color w:val="000000"/>
                <w:sz w:val="21"/>
                <w:szCs w:val="21"/>
              </w:rPr>
              <w:t>×</w:t>
            </w:r>
            <w:r>
              <w:rPr>
                <w:rFonts w:hint="eastAsia" w:ascii="宋体" w:hAnsi="宋体" w:eastAsia="宋体" w:cs="宋体"/>
                <w:sz w:val="21"/>
                <w:szCs w:val="21"/>
              </w:rPr>
              <w:t>24小时现场技术支持，及时响应，做好事件研判和处置、现场保护、证据提取和保存等工作。安全事件处理完成之后，配合提供相应的事后安全分析和可行性安全建议等报告，协助进行事后安全加固。</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网络安全风险评估。协助采购人开展年度信息系统安全等级保护测评，包括信息系统的定级备案与变更相关工作。协助采购人开展商用密码应用安全性测评工作，根据行业主管部门来文草拟如密码应用情况总结等材料。负责第三方测评服务采购项目方案编写、项目投评、合同签订、款项支付。做好项目实施监督管理与项目验收，配合机构进行现场测评，同时跟进测评问题整改。</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做好数据安全保护工作。包括日常数据安全监测预警，数据分类分级保护相关工作。管理系统存储数据，定期核查备份数据的可用性，解决数据备份中出现的异常问题。根据行业主管部门来文草拟如数据安全风险评估报告、年度数据安全工作要点等材料。</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安全运维审计管理。维护堡垒机系统，及时接办相关运维申请，严格按采购人领导批示和工单内容进行用户的新增、解锁、延期和服务器添加、授权等操作。负责运维操作间管理，维护操作间计算机设备，按照《运维操作间管理办法》对运维操作间使用人进行管理登记和监督使用人是否规范操作。</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广西财政CA系统管理。负责维护广西财政CA系统，维护VPN设备，同步更新CA证书和VPN用户信息；制作、发放、解锁、补办和注销自治区本级财政CA证书；接听全区CA服务热线，处理用户咨询、工单和VPN运维支撑（13万用户）。</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网络安全监督检查。协助采购人开展各项本厅网络安全自查自检、对全区财政系统的年度网络安全检查工作，做好检查通知等文件材料的草拟，沟通对接受检单位，到现场开展检查，检查结果记录和汇总等。配合自治区相关主管部门对本厅开展的各项网络安全检查。</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网络安全类项目监督管理。协助采购人对年度安全保障、安全设施加固维护服务等项目的执行情况进行监督，审查各类项目报告文档；对运维过程中发现的问题进行记录、整理，并跟进问题整改情况；对项目驻场人员工作情况、出勤情况进行监督，并按合同要求对项目实施情况考核评分，做好项目验收。</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其他网络安全相关工作。负责财政网络信息安全信息通报工作，及时接收、汇总各市县上报信息，向财政部报送月报、季报和年报。配合做好网络安全攻防演习防守工作，包括监控告警，协调系统管理员处理安全事件，开展应急响应工作等。协助做好厅内计算机保密检查，做好各类检查结果记录和材料报送。</w:t>
            </w:r>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（五）24小时值班备勤。</w:t>
            </w:r>
          </w:p>
          <w:p>
            <w:pPr>
              <w:adjustRightInd w:val="0"/>
              <w:snapToGrid w:val="0"/>
              <w:spacing w:line="44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每日三班，每班安排1名值守人员，对</w:t>
            </w:r>
            <w:r>
              <w:rPr>
                <w:rFonts w:hint="eastAsia" w:ascii="宋体" w:hAnsi="宋体" w:eastAsia="宋体" w:cs="宋体"/>
                <w:sz w:val="21"/>
                <w:szCs w:val="21"/>
                <w:lang w:eastAsia="zh-CN"/>
              </w:rPr>
              <w:t>自治区财政厅</w:t>
            </w:r>
            <w:r>
              <w:rPr>
                <w:rFonts w:hint="eastAsia" w:ascii="宋体" w:hAnsi="宋体" w:eastAsia="宋体" w:cs="宋体"/>
                <w:sz w:val="21"/>
                <w:szCs w:val="21"/>
              </w:rPr>
              <w:t>数据处理中心机房、门户网站、核心业务系统等软硬件设备实施全天候24小时监控，保障</w:t>
            </w:r>
            <w:r>
              <w:rPr>
                <w:rFonts w:hint="eastAsia" w:ascii="宋体" w:hAnsi="宋体" w:eastAsia="宋体" w:cs="宋体"/>
                <w:sz w:val="21"/>
                <w:szCs w:val="21"/>
                <w:lang w:eastAsia="zh-CN"/>
              </w:rPr>
              <w:t>自治区财政厅</w:t>
            </w:r>
            <w:r>
              <w:rPr>
                <w:rFonts w:hint="eastAsia" w:ascii="宋体" w:hAnsi="宋体" w:eastAsia="宋体" w:cs="宋体"/>
                <w:sz w:val="21"/>
                <w:szCs w:val="21"/>
              </w:rPr>
              <w:t>门户网站和财政业务系统安全稳定运行。主要包括：</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1.实时监控门户网站、政府采购网和会计网的安全情况，监控过程确认出现异常情况，立即启动应急响应程序，向上级报告。如出现被篡改或入侵等较为严重的情况，第一时间断网，防止影响扩大。</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2.对检查机房硬件设备关键基础设备重点巡检，利用机房环境监控系统实时监测数据处理中心温度、湿度、电力等重要指标参数，及时处理设备预警和意外事件，消除故障隐患。</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3.监测核心业务系统的运行情况，实时监测过程中重点关注系统可用性、CPU内存占用率等关键指标，确保各业务系统安全稳定运行。</w:t>
            </w:r>
          </w:p>
          <w:p>
            <w:pPr>
              <w:pStyle w:val="3"/>
              <w:adjustRightInd w:val="0"/>
              <w:snapToGri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四、服务要求</w:t>
            </w:r>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（一）人员配置。</w:t>
            </w:r>
          </w:p>
          <w:p>
            <w:pPr>
              <w:adjustRightIn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中标人</w:t>
            </w:r>
            <w:r>
              <w:rPr>
                <w:rFonts w:hint="eastAsia" w:ascii="宋体" w:hAnsi="宋体" w:eastAsia="宋体" w:cs="宋体"/>
                <w:sz w:val="21"/>
                <w:szCs w:val="21"/>
              </w:rPr>
              <w:t>应根据项目服务内容配备项目团队人员，至少包括以下人员：</w:t>
            </w:r>
          </w:p>
          <w:p>
            <w:pPr>
              <w:adjustRightIn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1.项目管理人员。至少配备2名人员，其中包括1名项目经理和1名IT技术经理。项目经理应具备项目管理类认证证书</w:t>
            </w:r>
            <w:r>
              <w:rPr>
                <w:rFonts w:hint="eastAsia" w:ascii="宋体" w:hAnsi="宋体" w:eastAsia="宋体" w:cs="宋体"/>
                <w:sz w:val="21"/>
                <w:szCs w:val="21"/>
                <w:lang w:eastAsia="zh-CN"/>
              </w:rPr>
              <w:t>（信息系统管理工程师或信息系统项目管理师</w:t>
            </w:r>
            <w:r>
              <w:rPr>
                <w:rFonts w:hint="eastAsia" w:ascii="宋体" w:hAnsi="宋体" w:eastAsia="宋体" w:cs="宋体"/>
                <w:strike w:val="0"/>
                <w:sz w:val="21"/>
                <w:szCs w:val="21"/>
                <w:lang w:val="en-US" w:eastAsia="zh-CN"/>
              </w:rPr>
              <w:t>或ITSS IT服务项目经理</w:t>
            </w:r>
            <w:r>
              <w:rPr>
                <w:rFonts w:hint="eastAsia" w:ascii="宋体" w:hAnsi="宋体" w:eastAsia="宋体" w:cs="宋体"/>
                <w:sz w:val="21"/>
                <w:szCs w:val="21"/>
                <w:lang w:val="en-US" w:eastAsia="zh-CN"/>
              </w:rPr>
              <w:t>证书</w:t>
            </w:r>
            <w:r>
              <w:rPr>
                <w:rFonts w:hint="eastAsia" w:ascii="宋体" w:hAnsi="宋体" w:eastAsia="宋体" w:cs="宋体"/>
                <w:sz w:val="21"/>
                <w:szCs w:val="21"/>
                <w:lang w:eastAsia="zh-CN"/>
              </w:rPr>
              <w:t>）</w:t>
            </w:r>
            <w:r>
              <w:rPr>
                <w:rFonts w:hint="eastAsia" w:ascii="宋体" w:hAnsi="宋体" w:eastAsia="宋体" w:cs="宋体"/>
                <w:sz w:val="21"/>
                <w:szCs w:val="21"/>
              </w:rPr>
              <w:t>和10年以上信息化项目管理经验。投标</w:t>
            </w:r>
            <w:r>
              <w:rPr>
                <w:rFonts w:hint="eastAsia" w:ascii="宋体" w:hAnsi="宋体" w:eastAsia="宋体" w:cs="宋体"/>
                <w:sz w:val="21"/>
                <w:szCs w:val="21"/>
                <w:lang w:val="en-US" w:eastAsia="zh-CN"/>
              </w:rPr>
              <w:t>文件</w:t>
            </w:r>
            <w:r>
              <w:rPr>
                <w:rFonts w:hint="eastAsia" w:ascii="宋体" w:hAnsi="宋体" w:eastAsia="宋体" w:cs="宋体"/>
                <w:sz w:val="21"/>
                <w:szCs w:val="21"/>
              </w:rPr>
              <w:t>提供其工作经历、</w:t>
            </w:r>
            <w:r>
              <w:rPr>
                <w:rFonts w:hint="eastAsia" w:ascii="宋体" w:hAnsi="宋体" w:eastAsia="宋体" w:cs="宋体"/>
                <w:sz w:val="21"/>
                <w:szCs w:val="21"/>
                <w:lang w:val="en-US" w:eastAsia="zh-CN"/>
              </w:rPr>
              <w:t>认证</w:t>
            </w:r>
            <w:r>
              <w:rPr>
                <w:rFonts w:hint="eastAsia" w:ascii="宋体" w:hAnsi="宋体" w:eastAsia="宋体" w:cs="宋体"/>
                <w:sz w:val="21"/>
                <w:szCs w:val="21"/>
              </w:rPr>
              <w:t>证书</w:t>
            </w:r>
            <w:r>
              <w:rPr>
                <w:rFonts w:hint="eastAsia" w:ascii="宋体" w:hAnsi="宋体" w:eastAsia="宋体" w:cs="宋体"/>
                <w:sz w:val="21"/>
                <w:szCs w:val="21"/>
                <w:lang w:val="en-US" w:eastAsia="zh-CN"/>
              </w:rPr>
              <w:t>扫描件</w:t>
            </w:r>
            <w:r>
              <w:rPr>
                <w:rFonts w:hint="eastAsia" w:ascii="宋体" w:hAnsi="宋体" w:eastAsia="宋体" w:cs="宋体"/>
                <w:sz w:val="21"/>
                <w:szCs w:val="21"/>
              </w:rPr>
              <w:t>和其本人作为项目经理参与的</w:t>
            </w:r>
            <w:r>
              <w:rPr>
                <w:rFonts w:hint="eastAsia" w:ascii="宋体" w:hAnsi="宋体" w:eastAsia="宋体" w:cs="宋体"/>
                <w:sz w:val="21"/>
                <w:szCs w:val="21"/>
                <w:lang w:val="en-US" w:eastAsia="zh-CN"/>
              </w:rPr>
              <w:t>2</w:t>
            </w:r>
            <w:r>
              <w:rPr>
                <w:rFonts w:hint="eastAsia" w:ascii="宋体" w:hAnsi="宋体" w:eastAsia="宋体" w:cs="宋体"/>
                <w:sz w:val="21"/>
                <w:szCs w:val="21"/>
              </w:rPr>
              <w:t>个</w:t>
            </w:r>
            <w:r>
              <w:rPr>
                <w:rFonts w:hint="eastAsia" w:ascii="宋体" w:hAnsi="宋体" w:eastAsia="宋体" w:cs="宋体"/>
                <w:sz w:val="21"/>
                <w:szCs w:val="21"/>
                <w:lang w:val="en-US" w:eastAsia="zh-CN"/>
              </w:rPr>
              <w:t>或</w:t>
            </w:r>
            <w:r>
              <w:rPr>
                <w:rFonts w:hint="eastAsia" w:ascii="宋体" w:hAnsi="宋体" w:eastAsia="宋体" w:cs="宋体"/>
                <w:sz w:val="21"/>
                <w:szCs w:val="21"/>
              </w:rPr>
              <w:t>以上信息化项目</w:t>
            </w:r>
            <w:r>
              <w:rPr>
                <w:rFonts w:hint="eastAsia" w:ascii="宋体" w:hAnsi="宋体" w:eastAsia="宋体" w:cs="宋体"/>
                <w:sz w:val="21"/>
                <w:szCs w:val="21"/>
                <w:lang w:val="en-US"/>
              </w:rPr>
              <w:t>案例</w:t>
            </w:r>
            <w:r>
              <w:rPr>
                <w:rFonts w:hint="eastAsia" w:ascii="宋体" w:hAnsi="宋体" w:eastAsia="宋体" w:cs="宋体"/>
                <w:sz w:val="21"/>
                <w:szCs w:val="21"/>
                <w:lang w:val="en-US" w:eastAsia="zh-CN"/>
              </w:rPr>
              <w:t>介绍</w:t>
            </w:r>
            <w:r>
              <w:rPr>
                <w:rFonts w:hint="eastAsia" w:ascii="宋体" w:hAnsi="宋体" w:eastAsia="宋体" w:cs="宋体"/>
                <w:sz w:val="21"/>
                <w:szCs w:val="21"/>
              </w:rPr>
              <w:t>；IT技术经理应具备具有计算机类</w:t>
            </w:r>
            <w:r>
              <w:rPr>
                <w:rFonts w:hint="eastAsia" w:ascii="宋体" w:hAnsi="宋体" w:eastAsia="宋体" w:cs="宋体"/>
                <w:sz w:val="21"/>
                <w:szCs w:val="21"/>
                <w:lang w:eastAsia="zh-CN"/>
              </w:rPr>
              <w:t>或通信工程类</w:t>
            </w:r>
            <w:r>
              <w:rPr>
                <w:rFonts w:hint="eastAsia" w:ascii="宋体" w:hAnsi="宋体" w:eastAsia="宋体" w:cs="宋体"/>
                <w:sz w:val="21"/>
                <w:szCs w:val="21"/>
              </w:rPr>
              <w:t>专业本科及以上学历</w:t>
            </w:r>
            <w:r>
              <w:rPr>
                <w:rFonts w:hint="eastAsia" w:ascii="宋体" w:hAnsi="宋体" w:eastAsia="宋体" w:cs="宋体"/>
                <w:bCs/>
                <w:sz w:val="21"/>
                <w:szCs w:val="21"/>
                <w:lang w:eastAsia="zh-CN"/>
              </w:rPr>
              <w:t>、</w:t>
            </w:r>
            <w:r>
              <w:rPr>
                <w:rFonts w:hint="eastAsia" w:ascii="宋体" w:hAnsi="宋体" w:eastAsia="宋体" w:cs="宋体"/>
                <w:sz w:val="21"/>
                <w:szCs w:val="21"/>
              </w:rPr>
              <w:t>10年以上信息化项目建设实施经验。投标</w:t>
            </w:r>
            <w:r>
              <w:rPr>
                <w:rFonts w:hint="eastAsia" w:ascii="宋体" w:hAnsi="宋体" w:eastAsia="宋体" w:cs="宋体"/>
                <w:sz w:val="21"/>
                <w:szCs w:val="21"/>
                <w:lang w:eastAsia="zh-CN"/>
              </w:rPr>
              <w:t>文件</w:t>
            </w:r>
            <w:r>
              <w:rPr>
                <w:rFonts w:hint="eastAsia" w:ascii="宋体" w:hAnsi="宋体" w:eastAsia="宋体" w:cs="宋体"/>
                <w:sz w:val="21"/>
                <w:szCs w:val="21"/>
              </w:rPr>
              <w:t>提供其工作经历、</w:t>
            </w:r>
            <w:r>
              <w:rPr>
                <w:rFonts w:hint="eastAsia" w:ascii="宋体" w:hAnsi="宋体" w:eastAsia="宋体" w:cs="宋体"/>
                <w:sz w:val="21"/>
                <w:szCs w:val="21"/>
                <w:lang w:val="en-US" w:eastAsia="zh-CN"/>
              </w:rPr>
              <w:t>认证</w:t>
            </w:r>
            <w:r>
              <w:rPr>
                <w:rFonts w:hint="eastAsia" w:ascii="宋体" w:hAnsi="宋体" w:eastAsia="宋体" w:cs="宋体"/>
                <w:sz w:val="21"/>
                <w:szCs w:val="21"/>
              </w:rPr>
              <w:t>证书</w:t>
            </w:r>
            <w:r>
              <w:rPr>
                <w:rFonts w:hint="eastAsia" w:ascii="宋体" w:hAnsi="宋体" w:eastAsia="宋体" w:cs="宋体"/>
                <w:sz w:val="21"/>
                <w:szCs w:val="21"/>
                <w:lang w:val="en-US" w:eastAsia="zh-CN"/>
              </w:rPr>
              <w:t>扫描件</w:t>
            </w:r>
            <w:r>
              <w:rPr>
                <w:rFonts w:hint="eastAsia" w:ascii="宋体" w:hAnsi="宋体" w:eastAsia="宋体" w:cs="宋体"/>
                <w:sz w:val="21"/>
                <w:szCs w:val="21"/>
              </w:rPr>
              <w:t>和其本人作为IT技术经理（或技术负责人）参与的</w:t>
            </w:r>
            <w:r>
              <w:rPr>
                <w:rFonts w:hint="eastAsia" w:ascii="宋体" w:hAnsi="宋体" w:eastAsia="宋体" w:cs="宋体"/>
                <w:sz w:val="21"/>
                <w:szCs w:val="21"/>
                <w:lang w:val="en-US" w:eastAsia="zh-CN"/>
              </w:rPr>
              <w:t>2</w:t>
            </w:r>
            <w:r>
              <w:rPr>
                <w:rFonts w:hint="eastAsia" w:ascii="宋体" w:hAnsi="宋体" w:eastAsia="宋体" w:cs="宋体"/>
                <w:sz w:val="21"/>
                <w:szCs w:val="21"/>
              </w:rPr>
              <w:t>个</w:t>
            </w:r>
            <w:r>
              <w:rPr>
                <w:rFonts w:hint="eastAsia" w:ascii="宋体" w:hAnsi="宋体" w:eastAsia="宋体" w:cs="宋体"/>
                <w:sz w:val="21"/>
                <w:szCs w:val="21"/>
                <w:lang w:val="en-US" w:eastAsia="zh-CN"/>
              </w:rPr>
              <w:t>或</w:t>
            </w:r>
            <w:r>
              <w:rPr>
                <w:rFonts w:hint="eastAsia" w:ascii="宋体" w:hAnsi="宋体" w:eastAsia="宋体" w:cs="宋体"/>
                <w:sz w:val="21"/>
                <w:szCs w:val="21"/>
              </w:rPr>
              <w:t>以上信息化项目案例</w:t>
            </w:r>
            <w:r>
              <w:rPr>
                <w:rFonts w:hint="eastAsia" w:ascii="宋体" w:hAnsi="宋体" w:eastAsia="宋体" w:cs="宋体"/>
                <w:sz w:val="21"/>
                <w:szCs w:val="21"/>
                <w:lang w:eastAsia="zh-CN"/>
              </w:rPr>
              <w:t>介绍</w:t>
            </w:r>
            <w:r>
              <w:rPr>
                <w:rFonts w:hint="eastAsia" w:ascii="宋体" w:hAnsi="宋体" w:eastAsia="宋体" w:cs="宋体"/>
                <w:sz w:val="21"/>
                <w:szCs w:val="21"/>
              </w:rPr>
              <w:t xml:space="preserve">； </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2.驻场技术运维人员。配备不少于12名熟悉</w:t>
            </w:r>
            <w:r>
              <w:rPr>
                <w:rFonts w:hint="eastAsia" w:ascii="宋体" w:hAnsi="宋体" w:eastAsia="宋体" w:cs="宋体"/>
                <w:sz w:val="21"/>
                <w:szCs w:val="21"/>
                <w:lang w:eastAsia="zh-CN"/>
              </w:rPr>
              <w:t>信息</w:t>
            </w:r>
            <w:r>
              <w:rPr>
                <w:rFonts w:hint="eastAsia" w:ascii="宋体" w:hAnsi="宋体" w:eastAsia="宋体" w:cs="宋体"/>
                <w:sz w:val="21"/>
                <w:szCs w:val="21"/>
              </w:rPr>
              <w:t>系统</w:t>
            </w:r>
            <w:r>
              <w:rPr>
                <w:rFonts w:hint="eastAsia" w:ascii="宋体" w:hAnsi="宋体" w:eastAsia="宋体" w:cs="宋体"/>
                <w:sz w:val="21"/>
                <w:szCs w:val="21"/>
                <w:lang w:eastAsia="zh-CN"/>
              </w:rPr>
              <w:t>或网络软硬件设备维护或网络安全运维</w:t>
            </w:r>
            <w:r>
              <w:rPr>
                <w:rFonts w:hint="eastAsia" w:ascii="宋体" w:hAnsi="宋体" w:eastAsia="宋体" w:cs="宋体"/>
                <w:sz w:val="21"/>
                <w:szCs w:val="21"/>
              </w:rPr>
              <w:t>，具备与相应</w:t>
            </w:r>
            <w:r>
              <w:rPr>
                <w:rFonts w:hint="eastAsia" w:ascii="宋体" w:hAnsi="宋体" w:eastAsia="宋体" w:cs="宋体"/>
                <w:sz w:val="21"/>
                <w:szCs w:val="21"/>
                <w:lang w:eastAsia="zh-CN"/>
              </w:rPr>
              <w:t>运维工作</w:t>
            </w:r>
            <w:r>
              <w:rPr>
                <w:rFonts w:hint="eastAsia" w:ascii="宋体" w:hAnsi="宋体" w:eastAsia="宋体" w:cs="宋体"/>
                <w:sz w:val="21"/>
                <w:szCs w:val="21"/>
              </w:rPr>
              <w:t>相匹配的专业技术能力，能胜任</w:t>
            </w:r>
            <w:r>
              <w:rPr>
                <w:rFonts w:hint="eastAsia" w:ascii="宋体" w:hAnsi="宋体" w:eastAsia="宋体" w:cs="宋体"/>
                <w:sz w:val="21"/>
                <w:szCs w:val="21"/>
                <w:lang w:eastAsia="zh-CN"/>
              </w:rPr>
              <w:t>相应运维</w:t>
            </w:r>
            <w:r>
              <w:rPr>
                <w:rFonts w:hint="eastAsia" w:ascii="宋体" w:hAnsi="宋体" w:eastAsia="宋体" w:cs="宋体"/>
                <w:sz w:val="21"/>
                <w:szCs w:val="21"/>
              </w:rPr>
              <w:t>工作的驻场人员，其中至少1人具备计算机类高级职称，2人具备计算机类中级职称。个人基本要求：</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（1）具有计算机类或通信工程类专业本科及以上学历；</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（2）熟悉常见数据库及中间件的部署应用及基本操作；</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（3）掌握</w:t>
            </w:r>
            <w:r>
              <w:rPr>
                <w:rFonts w:hint="eastAsia" w:ascii="宋体" w:hAnsi="宋体" w:eastAsia="宋体" w:cs="宋体"/>
                <w:sz w:val="21"/>
                <w:szCs w:val="21"/>
                <w:lang w:eastAsia="zh-CN"/>
              </w:rPr>
              <w:t>计算机软硬件、</w:t>
            </w:r>
            <w:r>
              <w:rPr>
                <w:rFonts w:hint="eastAsia" w:ascii="宋体" w:hAnsi="宋体" w:eastAsia="宋体" w:cs="宋体"/>
                <w:sz w:val="21"/>
                <w:szCs w:val="21"/>
              </w:rPr>
              <w:t>计算机网络、信息安全基础理论知识；</w:t>
            </w:r>
          </w:p>
          <w:p>
            <w:pPr>
              <w:adjustRightInd w:val="0"/>
              <w:snapToGrid w:val="0"/>
              <w:spacing w:line="440" w:lineRule="exact"/>
              <w:ind w:firstLine="420" w:firstLineChars="200"/>
              <w:rPr>
                <w:rFonts w:hint="eastAsia" w:ascii="宋体" w:hAnsi="宋体" w:eastAsia="宋体" w:cs="宋体"/>
                <w:color w:val="0000FF"/>
                <w:sz w:val="21"/>
                <w:szCs w:val="21"/>
              </w:rPr>
            </w:pPr>
            <w:r>
              <w:rPr>
                <w:rFonts w:hint="eastAsia" w:ascii="宋体" w:hAnsi="宋体" w:eastAsia="宋体" w:cs="宋体"/>
                <w:sz w:val="21"/>
                <w:szCs w:val="21"/>
              </w:rPr>
              <w:t>（4）具备至少1年以上IT行业的工作经验。</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w:t>
            </w:r>
            <w:r>
              <w:rPr>
                <w:rFonts w:hint="eastAsia" w:ascii="宋体" w:hAnsi="宋体" w:eastAsia="宋体" w:cs="宋体"/>
                <w:sz w:val="21"/>
                <w:szCs w:val="21"/>
                <w:lang w:val="en-US" w:eastAsia="zh-CN"/>
              </w:rPr>
              <w:t>文件</w:t>
            </w:r>
            <w:r>
              <w:rPr>
                <w:rFonts w:hint="eastAsia" w:ascii="宋体" w:hAnsi="宋体" w:eastAsia="宋体" w:cs="宋体"/>
                <w:sz w:val="21"/>
                <w:szCs w:val="21"/>
              </w:rPr>
              <w:t>提供驻场技术运维人员个人工作经历、学历证书、专业</w:t>
            </w:r>
            <w:r>
              <w:rPr>
                <w:rFonts w:hint="eastAsia" w:ascii="宋体" w:hAnsi="宋体" w:eastAsia="宋体" w:cs="宋体"/>
                <w:sz w:val="21"/>
                <w:szCs w:val="21"/>
                <w:lang w:val="en-US" w:eastAsia="zh-CN"/>
              </w:rPr>
              <w:t>认证</w:t>
            </w:r>
            <w:r>
              <w:rPr>
                <w:rFonts w:hint="eastAsia" w:ascii="宋体" w:hAnsi="宋体" w:eastAsia="宋体" w:cs="宋体"/>
                <w:sz w:val="21"/>
                <w:szCs w:val="21"/>
              </w:rPr>
              <w:t>证书</w:t>
            </w:r>
            <w:r>
              <w:rPr>
                <w:rFonts w:hint="eastAsia" w:ascii="宋体" w:hAnsi="宋体" w:eastAsia="宋体" w:cs="宋体"/>
                <w:sz w:val="21"/>
                <w:szCs w:val="21"/>
                <w:lang w:val="en-US" w:eastAsia="zh-CN"/>
              </w:rPr>
              <w:t>扫描件</w:t>
            </w:r>
            <w:r>
              <w:rPr>
                <w:rFonts w:hint="eastAsia" w:ascii="宋体" w:hAnsi="宋体" w:eastAsia="宋体" w:cs="宋体"/>
                <w:sz w:val="21"/>
                <w:szCs w:val="21"/>
                <w:lang w:eastAsia="zh-CN"/>
              </w:rPr>
              <w:t>（如有）、技术技能专长</w:t>
            </w:r>
            <w:r>
              <w:rPr>
                <w:rFonts w:hint="eastAsia" w:ascii="宋体" w:hAnsi="宋体" w:eastAsia="宋体" w:cs="宋体"/>
                <w:sz w:val="21"/>
                <w:szCs w:val="21"/>
              </w:rPr>
              <w:t>和其本人</w:t>
            </w:r>
            <w:r>
              <w:rPr>
                <w:rFonts w:hint="eastAsia" w:ascii="宋体" w:hAnsi="宋体" w:eastAsia="宋体" w:cs="宋体"/>
                <w:sz w:val="21"/>
                <w:szCs w:val="21"/>
                <w:lang w:eastAsia="zh-CN"/>
              </w:rPr>
              <w:t>参与</w:t>
            </w:r>
            <w:r>
              <w:rPr>
                <w:rFonts w:hint="eastAsia" w:ascii="宋体" w:hAnsi="宋体" w:eastAsia="宋体" w:cs="宋体"/>
                <w:sz w:val="21"/>
                <w:szCs w:val="21"/>
              </w:rPr>
              <w:t>的</w:t>
            </w:r>
            <w:r>
              <w:rPr>
                <w:rFonts w:hint="eastAsia" w:ascii="宋体" w:hAnsi="宋体" w:eastAsia="宋体" w:cs="宋体"/>
                <w:sz w:val="21"/>
                <w:szCs w:val="21"/>
                <w:lang w:eastAsia="zh-CN"/>
              </w:rPr>
              <w:t>至少</w:t>
            </w:r>
            <w:r>
              <w:rPr>
                <w:rFonts w:hint="eastAsia" w:ascii="宋体" w:hAnsi="宋体" w:eastAsia="宋体" w:cs="宋体"/>
                <w:sz w:val="21"/>
                <w:szCs w:val="21"/>
                <w:lang w:val="en-US" w:eastAsia="zh-CN"/>
              </w:rPr>
              <w:t>1个信息化技术运维项目</w:t>
            </w:r>
            <w:r>
              <w:rPr>
                <w:rFonts w:hint="eastAsia" w:ascii="宋体" w:hAnsi="宋体" w:eastAsia="宋体" w:cs="宋体"/>
                <w:sz w:val="21"/>
                <w:szCs w:val="21"/>
                <w:lang w:eastAsia="zh-CN"/>
              </w:rPr>
              <w:t>案例介绍</w:t>
            </w:r>
            <w:r>
              <w:rPr>
                <w:rFonts w:hint="eastAsia" w:ascii="宋体" w:hAnsi="宋体" w:eastAsia="宋体" w:cs="宋体"/>
                <w:sz w:val="21"/>
                <w:szCs w:val="21"/>
              </w:rPr>
              <w:t>；</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专家支撑团队，应配备至少3名技术专家。专家应具备本科及以上学历以及10年以上IT行业工作经验。需要具备在计算机网络、数据库、软件开发、网络安全、系统集成、电子政务等相关领域内具备丰富的从业经验，能够针对技术运维团队在工作中遇到的各种复杂问题和挑战，提供及时、准确且有效的解决方案和专业建议。必要时能及时到达现场处理问题。</w:t>
            </w:r>
            <w:r>
              <w:rPr>
                <w:rFonts w:hint="eastAsia" w:ascii="宋体" w:hAnsi="宋体" w:eastAsia="宋体" w:cs="宋体"/>
                <w:sz w:val="21"/>
                <w:szCs w:val="21"/>
                <w:lang w:eastAsia="zh-CN"/>
              </w:rPr>
              <w:t>投标文件</w:t>
            </w:r>
            <w:r>
              <w:rPr>
                <w:rFonts w:hint="eastAsia" w:ascii="宋体" w:hAnsi="宋体" w:eastAsia="宋体" w:cs="宋体"/>
                <w:sz w:val="21"/>
                <w:szCs w:val="21"/>
              </w:rPr>
              <w:t>提供专家个人工作经历、学历证书、</w:t>
            </w:r>
            <w:r>
              <w:rPr>
                <w:rFonts w:hint="eastAsia" w:ascii="宋体" w:hAnsi="宋体" w:eastAsia="宋体" w:cs="宋体"/>
                <w:sz w:val="21"/>
                <w:szCs w:val="21"/>
                <w:lang w:eastAsia="zh-CN"/>
              </w:rPr>
              <w:t>专业</w:t>
            </w:r>
            <w:r>
              <w:rPr>
                <w:rFonts w:hint="eastAsia" w:ascii="宋体" w:hAnsi="宋体" w:eastAsia="宋体" w:cs="宋体"/>
                <w:sz w:val="21"/>
                <w:szCs w:val="21"/>
                <w:lang w:val="en-US" w:eastAsia="zh-CN"/>
              </w:rPr>
              <w:t>认证</w:t>
            </w:r>
            <w:r>
              <w:rPr>
                <w:rFonts w:hint="eastAsia" w:ascii="宋体" w:hAnsi="宋体" w:eastAsia="宋体" w:cs="宋体"/>
                <w:sz w:val="21"/>
                <w:szCs w:val="21"/>
              </w:rPr>
              <w:t>证书</w:t>
            </w:r>
            <w:r>
              <w:rPr>
                <w:rFonts w:hint="eastAsia" w:ascii="宋体" w:hAnsi="宋体" w:eastAsia="宋体" w:cs="宋体"/>
                <w:sz w:val="21"/>
                <w:szCs w:val="21"/>
                <w:lang w:val="en-US" w:eastAsia="zh-CN"/>
              </w:rPr>
              <w:t>扫描件</w:t>
            </w:r>
            <w:r>
              <w:rPr>
                <w:rFonts w:hint="eastAsia" w:ascii="宋体" w:hAnsi="宋体" w:eastAsia="宋体" w:cs="宋体"/>
                <w:sz w:val="21"/>
                <w:szCs w:val="21"/>
                <w:lang w:eastAsia="zh-CN"/>
              </w:rPr>
              <w:t>（如有）</w:t>
            </w:r>
            <w:r>
              <w:rPr>
                <w:rFonts w:hint="eastAsia" w:ascii="宋体" w:hAnsi="宋体" w:eastAsia="宋体" w:cs="宋体"/>
                <w:sz w:val="21"/>
                <w:szCs w:val="21"/>
              </w:rPr>
              <w:t>和其本人参与的</w:t>
            </w:r>
            <w:r>
              <w:rPr>
                <w:rFonts w:hint="eastAsia" w:ascii="宋体" w:hAnsi="宋体" w:eastAsia="宋体" w:cs="宋体"/>
                <w:sz w:val="21"/>
                <w:szCs w:val="21"/>
                <w:lang w:val="en-US" w:eastAsia="zh-CN"/>
              </w:rPr>
              <w:t>2</w:t>
            </w:r>
            <w:r>
              <w:rPr>
                <w:rFonts w:hint="eastAsia" w:ascii="宋体" w:hAnsi="宋体" w:eastAsia="宋体" w:cs="宋体"/>
                <w:sz w:val="21"/>
                <w:szCs w:val="21"/>
              </w:rPr>
              <w:t>个以上信息化项目</w:t>
            </w:r>
            <w:r>
              <w:rPr>
                <w:rFonts w:hint="eastAsia" w:ascii="宋体" w:hAnsi="宋体" w:eastAsia="宋体" w:cs="宋体"/>
                <w:sz w:val="21"/>
                <w:szCs w:val="21"/>
                <w:lang w:val="en-US"/>
              </w:rPr>
              <w:t>案例</w:t>
            </w:r>
            <w:r>
              <w:rPr>
                <w:rFonts w:hint="eastAsia" w:ascii="宋体" w:hAnsi="宋体" w:eastAsia="宋体" w:cs="宋体"/>
                <w:sz w:val="21"/>
                <w:szCs w:val="21"/>
              </w:rPr>
              <w:t>介绍。</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4.个人参与的信息化案例介绍必须包含项目名称、建设单位名称、投资规模、项目内容、建设单位联系人及电话、本人在项目中负责的工作情况。</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5.为确保项目团队人员配备真实性，</w:t>
            </w:r>
            <w:bookmarkStart w:id="1" w:name="OLE_LINK18"/>
            <w:r>
              <w:rPr>
                <w:rFonts w:hint="eastAsia" w:ascii="宋体" w:hAnsi="宋体" w:eastAsia="宋体" w:cs="宋体"/>
                <w:sz w:val="21"/>
                <w:szCs w:val="21"/>
              </w:rPr>
              <w:t>以上所有人员必须为投标人在职人员，</w:t>
            </w:r>
            <w:r>
              <w:rPr>
                <w:rFonts w:hint="eastAsia" w:ascii="宋体" w:hAnsi="宋体" w:eastAsia="宋体" w:cs="宋体"/>
                <w:sz w:val="21"/>
                <w:szCs w:val="21"/>
                <w:lang w:eastAsia="zh-CN"/>
              </w:rPr>
              <w:t>投标文件</w:t>
            </w:r>
            <w:r>
              <w:rPr>
                <w:rFonts w:hint="eastAsia" w:ascii="宋体" w:hAnsi="宋体" w:eastAsia="宋体" w:cs="宋体"/>
                <w:sz w:val="21"/>
                <w:szCs w:val="21"/>
              </w:rPr>
              <w:t>提供其正式劳动合同复印件</w:t>
            </w:r>
            <w:r>
              <w:rPr>
                <w:rFonts w:hint="eastAsia" w:ascii="宋体" w:hAnsi="宋体" w:eastAsia="宋体" w:cs="宋体"/>
                <w:sz w:val="21"/>
                <w:szCs w:val="21"/>
                <w:lang w:val="en-US"/>
              </w:rPr>
              <w:t>及</w:t>
            </w:r>
            <w:r>
              <w:rPr>
                <w:rFonts w:hint="eastAsia" w:ascii="宋体" w:hAnsi="宋体" w:eastAsia="宋体" w:cs="宋体"/>
                <w:sz w:val="21"/>
                <w:szCs w:val="21"/>
              </w:rPr>
              <w:t>工资银行流水证明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2024年6月1日至投标截止时间前任意3个月</w:t>
            </w:r>
            <w:r>
              <w:rPr>
                <w:rFonts w:hint="eastAsia" w:ascii="宋体" w:hAnsi="宋体" w:eastAsia="宋体" w:cs="宋体"/>
                <w:sz w:val="21"/>
                <w:szCs w:val="21"/>
                <w:lang w:eastAsia="zh-CN"/>
              </w:rPr>
              <w:t>）</w:t>
            </w:r>
            <w:r>
              <w:rPr>
                <w:rFonts w:hint="eastAsia" w:ascii="宋体" w:hAnsi="宋体" w:eastAsia="宋体" w:cs="宋体"/>
                <w:sz w:val="21"/>
                <w:szCs w:val="21"/>
              </w:rPr>
              <w:t>。</w:t>
            </w:r>
            <w:bookmarkEnd w:id="1"/>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（二）人员管理。</w:t>
            </w:r>
          </w:p>
          <w:p>
            <w:pPr>
              <w:adjustRightInd w:val="0"/>
              <w:spacing w:line="44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1.建立制度。</w:t>
            </w:r>
            <w:r>
              <w:rPr>
                <w:rFonts w:hint="eastAsia" w:ascii="宋体" w:hAnsi="宋体" w:eastAsia="宋体" w:cs="宋体"/>
                <w:sz w:val="21"/>
                <w:szCs w:val="21"/>
              </w:rPr>
              <w:t>为保障驻场人员队伍的稳定性，驻场人员应为与中标人签订了正式劳动合同的正式员工。中标人应按照合同约定的人员数量、</w:t>
            </w:r>
            <w:r>
              <w:rPr>
                <w:rFonts w:hint="eastAsia" w:ascii="宋体" w:hAnsi="宋体" w:eastAsia="宋体" w:cs="宋体"/>
                <w:sz w:val="21"/>
                <w:szCs w:val="21"/>
                <w:lang w:eastAsia="zh-CN"/>
              </w:rPr>
              <w:t>能力</w:t>
            </w:r>
            <w:r>
              <w:rPr>
                <w:rFonts w:hint="eastAsia" w:ascii="宋体" w:hAnsi="宋体" w:eastAsia="宋体" w:cs="宋体"/>
                <w:sz w:val="21"/>
                <w:szCs w:val="21"/>
              </w:rPr>
              <w:t>要求和条件统一派遣驻点技术人员。派遣期间，中标人负责驻场人员的日常管理，监督现场派驻人员的日常工作，负责每月工作汇报，负责现场运维组绩效考核管理、人事管理，制定SLA服务级别。</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（1）中标人必须有完善的项目管理架构；</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（2）中标人应针对本项目制订运维人员管理制度，以规范运维人员服务，提高工作效率及服务水平；</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（3）中标人应针对本项目制定岗位责任制，并对岗位责任制执行和落实情况进行经常性（每月/季度）的监督检查。</w:t>
            </w:r>
          </w:p>
          <w:p>
            <w:pPr>
              <w:adjustRightInd w:val="0"/>
              <w:snapToGrid w:val="0"/>
              <w:spacing w:line="44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2.培训教育。</w:t>
            </w:r>
            <w:r>
              <w:rPr>
                <w:rFonts w:hint="eastAsia" w:ascii="宋体" w:hAnsi="宋体" w:eastAsia="宋体" w:cs="宋体"/>
                <w:sz w:val="21"/>
                <w:szCs w:val="21"/>
              </w:rPr>
              <w:t>合同期内，中标人每年要对派驻员工进行至少2次培训，以不断提高其综合素质，增强其劳动技能，积极引导其爱岗敬业，努力工作，不断提</w:t>
            </w:r>
            <w:r>
              <w:rPr>
                <w:rFonts w:hint="eastAsia" w:ascii="宋体" w:hAnsi="宋体" w:eastAsia="宋体" w:cs="宋体"/>
                <w:sz w:val="21"/>
                <w:szCs w:val="21"/>
                <w:lang w:val="en-US" w:eastAsia="zh-CN"/>
              </w:rPr>
              <w:t>高</w:t>
            </w:r>
            <w:r>
              <w:rPr>
                <w:rFonts w:hint="eastAsia" w:ascii="宋体" w:hAnsi="宋体" w:eastAsia="宋体" w:cs="宋体"/>
                <w:sz w:val="21"/>
                <w:szCs w:val="21"/>
              </w:rPr>
              <w:t>服务质量。</w:t>
            </w:r>
            <w:r>
              <w:rPr>
                <w:rFonts w:hint="eastAsia" w:ascii="宋体" w:hAnsi="宋体" w:eastAsia="宋体" w:cs="宋体"/>
                <w:b/>
                <w:sz w:val="21"/>
                <w:szCs w:val="21"/>
              </w:rPr>
              <w:t>一是</w:t>
            </w:r>
            <w:r>
              <w:rPr>
                <w:rFonts w:hint="eastAsia" w:ascii="宋体" w:hAnsi="宋体" w:eastAsia="宋体" w:cs="宋体"/>
                <w:sz w:val="21"/>
                <w:szCs w:val="21"/>
              </w:rPr>
              <w:t>开展岗前培训，主要宣贯采购人的各项规章制度要求，教育并督促驻场人员遵守国家法律法规和恪守</w:t>
            </w:r>
            <w:r>
              <w:rPr>
                <w:rFonts w:hint="eastAsia" w:ascii="宋体" w:hAnsi="宋体" w:eastAsia="宋体" w:cs="宋体"/>
                <w:sz w:val="21"/>
                <w:szCs w:val="21"/>
                <w:lang w:eastAsia="zh-CN"/>
              </w:rPr>
              <w:t>工作</w:t>
            </w:r>
            <w:r>
              <w:rPr>
                <w:rFonts w:hint="eastAsia" w:ascii="宋体" w:hAnsi="宋体" w:eastAsia="宋体" w:cs="宋体"/>
                <w:sz w:val="21"/>
                <w:szCs w:val="21"/>
              </w:rPr>
              <w:t>职责，保守工作秘密，不得从事与劳务范围无关的工作。帮助驻场人员能尽快适应、胜任岗位工作。</w:t>
            </w:r>
            <w:r>
              <w:rPr>
                <w:rFonts w:hint="eastAsia" w:ascii="宋体" w:hAnsi="宋体" w:eastAsia="宋体" w:cs="宋体"/>
                <w:b/>
                <w:sz w:val="21"/>
                <w:szCs w:val="21"/>
              </w:rPr>
              <w:t>二是</w:t>
            </w:r>
            <w:r>
              <w:rPr>
                <w:rFonts w:hint="eastAsia" w:ascii="宋体" w:hAnsi="宋体" w:eastAsia="宋体" w:cs="宋体"/>
                <w:sz w:val="21"/>
                <w:szCs w:val="21"/>
              </w:rPr>
              <w:t>组织开展各类技术技能培训、网络安全意识培训、财政业务知识培训，进一步提高驻场人员的工作能力，以适应财政信息化工作不断发展要求。</w:t>
            </w:r>
          </w:p>
          <w:p>
            <w:pPr>
              <w:adjustRightInd w:val="0"/>
              <w:snapToGrid w:val="0"/>
              <w:spacing w:line="44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3.绩效考核。</w:t>
            </w:r>
            <w:r>
              <w:rPr>
                <w:rFonts w:hint="eastAsia" w:ascii="宋体" w:hAnsi="宋体" w:eastAsia="宋体" w:cs="宋体"/>
                <w:sz w:val="21"/>
                <w:szCs w:val="21"/>
              </w:rPr>
              <w:t>中标人应针对本项目制订运维人员绩效考核和奖惩制度并严格执行落实；绩效考核应至少包括季度考核和年终考核，以量化的指标全面、合理地度量驻场人员的工作业绩与质量，以激发驻场人员的工作积极性。</w:t>
            </w:r>
          </w:p>
          <w:p>
            <w:pPr>
              <w:adjustRightInd w:val="0"/>
              <w:snapToGrid w:val="0"/>
              <w:spacing w:line="44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4.人员优胜劣汰制。</w:t>
            </w:r>
            <w:r>
              <w:rPr>
                <w:rFonts w:hint="eastAsia" w:ascii="宋体" w:hAnsi="宋体" w:eastAsia="宋体" w:cs="宋体"/>
                <w:sz w:val="21"/>
                <w:szCs w:val="21"/>
              </w:rPr>
              <w:t>中标人应建立驻场人员优胜劣汰制度，对存在以下情况之一的驻场人员进行撤换：</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驻场</w:t>
            </w:r>
            <w:r>
              <w:rPr>
                <w:rFonts w:hint="eastAsia" w:ascii="宋体" w:hAnsi="宋体" w:eastAsia="宋体" w:cs="宋体"/>
                <w:sz w:val="21"/>
                <w:szCs w:val="21"/>
              </w:rPr>
              <w:t>2个月后，仍不能胜任所</w:t>
            </w:r>
            <w:r>
              <w:rPr>
                <w:rFonts w:hint="eastAsia" w:ascii="宋体" w:hAnsi="宋体" w:eastAsia="宋体" w:cs="宋体"/>
                <w:sz w:val="21"/>
                <w:szCs w:val="21"/>
                <w:lang w:eastAsia="zh-CN"/>
              </w:rPr>
              <w:t>承担的技术运维</w:t>
            </w:r>
            <w:r>
              <w:rPr>
                <w:rFonts w:hint="eastAsia" w:ascii="宋体" w:hAnsi="宋体" w:eastAsia="宋体" w:cs="宋体"/>
                <w:sz w:val="21"/>
                <w:szCs w:val="21"/>
              </w:rPr>
              <w:t>工作的；</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（2）一年度内2次季度考核不合格的；</w:t>
            </w:r>
          </w:p>
          <w:p>
            <w:pPr>
              <w:adjustRightInd w:val="0"/>
              <w:snapToGrid w:val="0"/>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（3）年度绩效考核不合格的</w:t>
            </w:r>
            <w:r>
              <w:rPr>
                <w:rFonts w:hint="eastAsia" w:ascii="宋体" w:hAnsi="宋体" w:eastAsia="宋体" w:cs="宋体"/>
                <w:sz w:val="21"/>
                <w:szCs w:val="21"/>
                <w:lang w:eastAsia="zh-CN"/>
              </w:rPr>
              <w:t>；</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（4）严重违反采购人各种规章制度且屡教不改的（达到3次）；</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（5）利用工作职权之便谋取私利造成较坏影响的；</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（6）年度绩效考核排名末位的。</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出现以上情形，采购人有权提出撤换有关人员的要求。在采购人提出人员撤换书面申请后3天内，由中标人负责将其撤换回公司，并做好相关解释及安置工作。人员退回之日起，中标人须在15日内补充符合相应</w:t>
            </w:r>
            <w:r>
              <w:rPr>
                <w:rFonts w:hint="eastAsia" w:ascii="宋体" w:hAnsi="宋体" w:eastAsia="宋体" w:cs="宋体"/>
                <w:sz w:val="21"/>
                <w:szCs w:val="21"/>
                <w:lang w:eastAsia="zh-CN"/>
              </w:rPr>
              <w:t>工作</w:t>
            </w:r>
            <w:r>
              <w:rPr>
                <w:rFonts w:hint="eastAsia" w:ascii="宋体" w:hAnsi="宋体" w:eastAsia="宋体" w:cs="宋体"/>
                <w:sz w:val="21"/>
                <w:szCs w:val="21"/>
              </w:rPr>
              <w:t>要求的人员到位工作，否则</w:t>
            </w:r>
            <w:r>
              <w:rPr>
                <w:rFonts w:hint="eastAsia" w:ascii="宋体" w:hAnsi="宋体" w:eastAsia="宋体" w:cs="宋体"/>
                <w:b/>
                <w:bCs/>
                <w:sz w:val="21"/>
                <w:szCs w:val="21"/>
                <w:u w:val="none"/>
                <w:lang w:val="en-US" w:eastAsia="zh-CN"/>
              </w:rPr>
              <w:t>中标人应当</w:t>
            </w:r>
            <w:r>
              <w:rPr>
                <w:rFonts w:hint="eastAsia" w:ascii="宋体" w:hAnsi="宋体" w:eastAsia="宋体" w:cs="宋体"/>
                <w:b/>
                <w:bCs/>
                <w:sz w:val="21"/>
                <w:szCs w:val="21"/>
                <w:u w:val="none"/>
              </w:rPr>
              <w:t>按每人5万元的标准</w:t>
            </w:r>
            <w:r>
              <w:rPr>
                <w:rFonts w:hint="eastAsia" w:ascii="宋体" w:hAnsi="宋体" w:eastAsia="宋体" w:cs="宋体"/>
                <w:b/>
                <w:bCs/>
                <w:sz w:val="21"/>
                <w:szCs w:val="21"/>
                <w:u w:val="none"/>
                <w:lang w:val="en-US" w:eastAsia="zh-CN"/>
              </w:rPr>
              <w:t>向</w:t>
            </w:r>
            <w:r>
              <w:rPr>
                <w:rFonts w:hint="eastAsia" w:ascii="宋体" w:hAnsi="宋体" w:eastAsia="宋体" w:cs="宋体"/>
                <w:b/>
                <w:bCs/>
                <w:sz w:val="21"/>
                <w:szCs w:val="21"/>
                <w:u w:val="none"/>
              </w:rPr>
              <w:t>采购人</w:t>
            </w:r>
            <w:r>
              <w:rPr>
                <w:rFonts w:hint="eastAsia" w:ascii="宋体" w:hAnsi="宋体" w:eastAsia="宋体" w:cs="宋体"/>
                <w:b/>
                <w:bCs/>
                <w:sz w:val="21"/>
                <w:szCs w:val="21"/>
                <w:u w:val="none"/>
                <w:lang w:val="en-US" w:eastAsia="zh-CN"/>
              </w:rPr>
              <w:t>支付违约金</w:t>
            </w:r>
            <w:r>
              <w:rPr>
                <w:rFonts w:hint="eastAsia" w:ascii="宋体" w:hAnsi="宋体" w:eastAsia="宋体" w:cs="宋体"/>
                <w:b/>
                <w:sz w:val="21"/>
                <w:szCs w:val="21"/>
              </w:rPr>
              <w:t>。</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此外，出现（1）—（5）情况导致撤换人员的，</w:t>
            </w:r>
            <w:r>
              <w:rPr>
                <w:rFonts w:hint="eastAsia" w:ascii="宋体" w:hAnsi="宋体" w:eastAsia="宋体" w:cs="宋体"/>
                <w:b/>
                <w:bCs/>
                <w:sz w:val="21"/>
                <w:szCs w:val="21"/>
                <w:u w:val="none"/>
                <w:lang w:val="en-US" w:eastAsia="zh-CN"/>
              </w:rPr>
              <w:t>中标人应当</w:t>
            </w:r>
            <w:r>
              <w:rPr>
                <w:rFonts w:hint="eastAsia" w:ascii="宋体" w:hAnsi="宋体" w:eastAsia="宋体" w:cs="宋体"/>
                <w:b/>
                <w:bCs/>
                <w:sz w:val="21"/>
                <w:szCs w:val="21"/>
                <w:u w:val="none"/>
              </w:rPr>
              <w:t>按每人</w:t>
            </w:r>
            <w:r>
              <w:rPr>
                <w:rFonts w:hint="eastAsia" w:ascii="宋体" w:hAnsi="宋体" w:eastAsia="宋体" w:cs="宋体"/>
                <w:b/>
                <w:bCs/>
                <w:sz w:val="21"/>
                <w:szCs w:val="21"/>
                <w:u w:val="none"/>
                <w:lang w:val="en-US" w:eastAsia="zh-CN"/>
              </w:rPr>
              <w:t>5</w:t>
            </w:r>
            <w:r>
              <w:rPr>
                <w:rFonts w:hint="eastAsia" w:ascii="宋体" w:hAnsi="宋体" w:eastAsia="宋体" w:cs="宋体"/>
                <w:b/>
                <w:bCs/>
                <w:sz w:val="21"/>
                <w:szCs w:val="21"/>
                <w:u w:val="none"/>
              </w:rPr>
              <w:t>万元的标准</w:t>
            </w:r>
            <w:r>
              <w:rPr>
                <w:rFonts w:hint="eastAsia" w:ascii="宋体" w:hAnsi="宋体" w:eastAsia="宋体" w:cs="宋体"/>
                <w:b/>
                <w:bCs/>
                <w:sz w:val="21"/>
                <w:szCs w:val="21"/>
                <w:u w:val="none"/>
                <w:lang w:val="en-US" w:eastAsia="zh-CN"/>
              </w:rPr>
              <w:t>向</w:t>
            </w:r>
            <w:r>
              <w:rPr>
                <w:rFonts w:hint="eastAsia" w:ascii="宋体" w:hAnsi="宋体" w:eastAsia="宋体" w:cs="宋体"/>
                <w:b/>
                <w:bCs/>
                <w:sz w:val="21"/>
                <w:szCs w:val="21"/>
                <w:u w:val="none"/>
              </w:rPr>
              <w:t>采购人</w:t>
            </w:r>
            <w:r>
              <w:rPr>
                <w:rFonts w:hint="eastAsia" w:ascii="宋体" w:hAnsi="宋体" w:eastAsia="宋体" w:cs="宋体"/>
                <w:b/>
                <w:bCs/>
                <w:sz w:val="21"/>
                <w:szCs w:val="21"/>
                <w:u w:val="none"/>
                <w:lang w:val="en-US" w:eastAsia="zh-CN"/>
              </w:rPr>
              <w:t>支付违约金</w:t>
            </w:r>
            <w:r>
              <w:rPr>
                <w:rFonts w:hint="eastAsia" w:ascii="宋体" w:hAnsi="宋体" w:eastAsia="宋体" w:cs="宋体"/>
                <w:b/>
                <w:sz w:val="21"/>
                <w:szCs w:val="21"/>
              </w:rPr>
              <w:t>。</w:t>
            </w:r>
          </w:p>
          <w:p>
            <w:pPr>
              <w:adjustRightInd w:val="0"/>
              <w:snapToGrid w:val="0"/>
              <w:spacing w:line="44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5.人员离职。</w:t>
            </w:r>
            <w:r>
              <w:rPr>
                <w:rFonts w:hint="eastAsia" w:ascii="宋体" w:hAnsi="宋体" w:eastAsia="宋体" w:cs="宋体"/>
                <w:sz w:val="21"/>
                <w:szCs w:val="21"/>
              </w:rPr>
              <w:t>驻场人员要离职的，须符合以下约定，否则</w:t>
            </w:r>
            <w:r>
              <w:rPr>
                <w:rFonts w:hint="eastAsia" w:ascii="宋体" w:hAnsi="宋体" w:eastAsia="宋体" w:cs="宋体"/>
                <w:b/>
                <w:bCs/>
                <w:sz w:val="21"/>
                <w:szCs w:val="21"/>
                <w:u w:val="none"/>
                <w:lang w:val="en-US" w:eastAsia="zh-CN"/>
              </w:rPr>
              <w:t>中标人应当</w:t>
            </w:r>
            <w:r>
              <w:rPr>
                <w:rFonts w:hint="eastAsia" w:ascii="宋体" w:hAnsi="宋体" w:eastAsia="宋体" w:cs="宋体"/>
                <w:b/>
                <w:bCs/>
                <w:sz w:val="21"/>
                <w:szCs w:val="21"/>
                <w:u w:val="none"/>
              </w:rPr>
              <w:t>按每人5万元的标准</w:t>
            </w:r>
            <w:r>
              <w:rPr>
                <w:rFonts w:hint="eastAsia" w:ascii="宋体" w:hAnsi="宋体" w:eastAsia="宋体" w:cs="宋体"/>
                <w:b/>
                <w:bCs/>
                <w:sz w:val="21"/>
                <w:szCs w:val="21"/>
                <w:u w:val="none"/>
                <w:lang w:val="en-US" w:eastAsia="zh-CN"/>
              </w:rPr>
              <w:t>向</w:t>
            </w:r>
            <w:r>
              <w:rPr>
                <w:rFonts w:hint="eastAsia" w:ascii="宋体" w:hAnsi="宋体" w:eastAsia="宋体" w:cs="宋体"/>
                <w:b/>
                <w:bCs/>
                <w:sz w:val="21"/>
                <w:szCs w:val="21"/>
                <w:u w:val="none"/>
              </w:rPr>
              <w:t>采购人</w:t>
            </w:r>
            <w:r>
              <w:rPr>
                <w:rFonts w:hint="eastAsia" w:ascii="宋体" w:hAnsi="宋体" w:eastAsia="宋体" w:cs="宋体"/>
                <w:b/>
                <w:bCs/>
                <w:sz w:val="21"/>
                <w:szCs w:val="21"/>
                <w:u w:val="none"/>
                <w:lang w:val="en-US" w:eastAsia="zh-CN"/>
              </w:rPr>
              <w:t>支付违约金</w:t>
            </w:r>
            <w:r>
              <w:rPr>
                <w:rFonts w:hint="eastAsia" w:ascii="宋体" w:hAnsi="宋体" w:eastAsia="宋体" w:cs="宋体"/>
                <w:b/>
                <w:sz w:val="21"/>
                <w:szCs w:val="21"/>
              </w:rPr>
              <w:t>：</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（1）本人提前30天向采购人提出书面申请，经采购人同意后，方可与中标人办理离职手续工作。</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（2）中标人须在采购人同意离职申请后的15日内重新派遣符合相应</w:t>
            </w:r>
            <w:r>
              <w:rPr>
                <w:rFonts w:hint="eastAsia" w:ascii="宋体" w:hAnsi="宋体" w:eastAsia="宋体" w:cs="宋体"/>
                <w:sz w:val="21"/>
                <w:szCs w:val="21"/>
                <w:lang w:eastAsia="zh-CN"/>
              </w:rPr>
              <w:t>工作</w:t>
            </w:r>
            <w:r>
              <w:rPr>
                <w:rFonts w:hint="eastAsia" w:ascii="宋体" w:hAnsi="宋体" w:eastAsia="宋体" w:cs="宋体"/>
                <w:sz w:val="21"/>
                <w:szCs w:val="21"/>
              </w:rPr>
              <w:t>要求的补缺人员到位。</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（3）未经采购人书面同意，中标人不得随意调换驻场人员。</w:t>
            </w:r>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（三）系统故障响应时间要求。</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一级故障:系统瘫痪引起的全区性的财政应用系统无法使用故障，须提供7天×24小时的服务响应；驻场人员5分钟内到现场</w:t>
            </w:r>
            <w:r>
              <w:rPr>
                <w:rFonts w:hint="eastAsia" w:ascii="Times New Roman" w:hAnsi="Times New Roman" w:eastAsia="宋体" w:cs="Times New Roman"/>
                <w:lang w:val="en-US" w:eastAsia="zh-CN"/>
              </w:rPr>
              <w:t>处理</w:t>
            </w:r>
            <w:r>
              <w:rPr>
                <w:rFonts w:hint="eastAsia" w:ascii="宋体" w:hAnsi="宋体" w:eastAsia="宋体" w:cs="宋体"/>
                <w:sz w:val="21"/>
                <w:szCs w:val="21"/>
              </w:rPr>
              <w:t>，技术专家40分钟内到现场，4小时内恢复系统使用；</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二级故障:系统原因引起的厅机关范围内的财政应用系统无法使用故障，须提供7天×24小时的服务响应，驻场人员5分钟内到现场，驻场人员无法解决时技术专家1小时内到现场，8小时内恢复系统使用；</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级故障:系统性能或服务部分退化的故障，但是不影响系统功能使用的故障(例如:系统使用缓慢)，提供5天×8小时的服务响应，驻场人员10分钟内到现场，驻场人员无法解决时技术专家1小时内到现场，1个工作日内解决问题；</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四级故障:单个用户提交的财政应用系统服务请求，提供5天×8小时的服务响应，1个工作日内解决问题。需要现场服务的，驻场人员15分钟内到现场。</w:t>
            </w:r>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（四）8小时外保障服务。</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根据采购人工作实际需要，提供8小时正常上班时间之外的技术支持保障服务，主要有：</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1.配合完成业务系统或网络切换、检修、风险排查等临时性工作任务；提供保障财政业务临时性工作任务正常开展所需的技术支持；</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2.协助处理突发的网络、系统和设备故障、网络安全事件，及时报告情况，协助采取处理措施，做好必要的记录，协助清理非法信息，强化安全防范措施，恢复业务； </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在国家和自治区重大活动及重大节假日期间（如两会、东盟博览会、三月三、国庆节、春节等），提供每天24小时安全应急保障服务，8小时的现场值班服务，对可能出现影响业务稳定性的风险进行实时监测、预防、应急和响应等工作。</w:t>
            </w:r>
          </w:p>
          <w:p>
            <w:pPr>
              <w:pStyle w:val="3"/>
              <w:adjustRightInd w:val="0"/>
              <w:spacing w:before="0" w:after="0" w:line="440" w:lineRule="exact"/>
              <w:ind w:firstLine="420"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4.在国家、行业和自治区网络安全攻防演习（护网）期间，协助做好自治区财政厅的防守反击任务。在规定的攻防时段（包括非行政班时间）内，对可能出现影响业务稳定性的风险进行实时监测、预防、应急和响应等工作。</w:t>
            </w:r>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（五）服务质量考核。</w:t>
            </w:r>
          </w:p>
          <w:p>
            <w:pPr>
              <w:adjustRightIn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加强对本项目的监督管理，确保合同有效执行，进一步提高服务效率和服务质量，稳定驻场人员队伍，中标人必须接受采购人的考核以及依据考核结果做出的奖惩措施。考核依照《广西财政信息化技术运维服务考核办法》按期（每12个月）进行，检查其提供的服务是否满足合同要求，并作出评分及奖惩的结果，具体内容详见附件2。</w:t>
            </w:r>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（六）文档交付。</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项目</w:t>
            </w:r>
            <w:r>
              <w:rPr>
                <w:rFonts w:hint="eastAsia" w:ascii="宋体" w:hAnsi="宋体" w:eastAsia="宋体" w:cs="宋体"/>
                <w:sz w:val="21"/>
                <w:szCs w:val="21"/>
                <w:lang w:val="zh-CN"/>
              </w:rPr>
              <w:t>验收时，中标人需就</w:t>
            </w:r>
            <w:r>
              <w:rPr>
                <w:rFonts w:hint="eastAsia" w:ascii="宋体" w:hAnsi="宋体" w:eastAsia="宋体" w:cs="宋体"/>
                <w:sz w:val="21"/>
                <w:szCs w:val="21"/>
              </w:rPr>
              <w:t>系统建设实施、系统运行维护、硬件设备管理、网络安全管理、24小时值班备勤、人员管理和培训等方面工作</w:t>
            </w:r>
            <w:r>
              <w:rPr>
                <w:rFonts w:hint="eastAsia" w:ascii="宋体" w:hAnsi="宋体" w:eastAsia="宋体" w:cs="宋体"/>
                <w:sz w:val="21"/>
                <w:szCs w:val="21"/>
                <w:lang w:val="zh-CN"/>
              </w:rPr>
              <w:t>提交成果文档，包括但不限于以下文档：</w:t>
            </w:r>
          </w:p>
          <w:p>
            <w:pPr>
              <w:adjustRightIn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1.系统建设实施。提</w:t>
            </w:r>
            <w:r>
              <w:rPr>
                <w:rFonts w:hint="eastAsia" w:ascii="宋体" w:hAnsi="宋体" w:eastAsia="宋体" w:cs="宋体"/>
                <w:sz w:val="21"/>
                <w:szCs w:val="21"/>
                <w:lang w:val="zh-CN"/>
              </w:rPr>
              <w:t>交</w:t>
            </w:r>
            <w:r>
              <w:rPr>
                <w:rFonts w:hint="eastAsia" w:ascii="宋体" w:hAnsi="宋体" w:eastAsia="宋体" w:cs="宋体"/>
                <w:sz w:val="21"/>
                <w:szCs w:val="21"/>
              </w:rPr>
              <w:t>建设实施过程中的《XX系统部署实施记录》《XX系统实施方案》等以及其他相关材料和工作日志或记录。</w:t>
            </w:r>
          </w:p>
          <w:p>
            <w:pPr>
              <w:adjustRightIn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2.系统运行维护。</w:t>
            </w:r>
            <w:r>
              <w:rPr>
                <w:rFonts w:hint="eastAsia" w:ascii="宋体" w:hAnsi="宋体" w:eastAsia="宋体" w:cs="宋体"/>
                <w:sz w:val="21"/>
                <w:szCs w:val="21"/>
                <w:lang w:val="zh-CN"/>
              </w:rPr>
              <w:t>提交</w:t>
            </w:r>
            <w:r>
              <w:rPr>
                <w:rFonts w:hint="eastAsia" w:ascii="宋体" w:hAnsi="宋体" w:eastAsia="宋体" w:cs="宋体"/>
                <w:sz w:val="21"/>
                <w:szCs w:val="21"/>
              </w:rPr>
              <w:t>《XX系统运维操作问题记录表》《XX系统运维知识库》《XX系统运维服务操作登记表》《月度接听电话及处理信息化问题记录表》</w:t>
            </w:r>
            <w:r>
              <w:rPr>
                <w:rFonts w:hint="eastAsia" w:ascii="宋体" w:hAnsi="宋体" w:eastAsia="宋体" w:cs="宋体"/>
                <w:kern w:val="0"/>
                <w:sz w:val="21"/>
                <w:szCs w:val="21"/>
              </w:rPr>
              <w:t>《服务热线事件工单》</w:t>
            </w:r>
            <w:r>
              <w:rPr>
                <w:rFonts w:hint="eastAsia" w:ascii="宋体" w:hAnsi="宋体" w:eastAsia="宋体" w:cs="宋体"/>
                <w:sz w:val="21"/>
                <w:szCs w:val="21"/>
              </w:rPr>
              <w:t>《广西财政IT统一运维服务管理系统工单》《网站月监测报表》《季度普查》《监管情况表》《网站信息发布记录表》等。</w:t>
            </w:r>
          </w:p>
          <w:p>
            <w:pPr>
              <w:adjustRightIn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3.硬件设备管理。提</w:t>
            </w:r>
            <w:r>
              <w:rPr>
                <w:rFonts w:hint="eastAsia" w:ascii="宋体" w:hAnsi="宋体" w:eastAsia="宋体" w:cs="宋体"/>
                <w:sz w:val="21"/>
                <w:szCs w:val="21"/>
                <w:lang w:val="zh-CN"/>
              </w:rPr>
              <w:t>交</w:t>
            </w:r>
            <w:r>
              <w:rPr>
                <w:rFonts w:hint="eastAsia" w:ascii="宋体" w:hAnsi="宋体" w:eastAsia="宋体" w:cs="宋体"/>
                <w:sz w:val="21"/>
                <w:szCs w:val="21"/>
              </w:rPr>
              <w:t>《财政厅计算机设备领用表》《日常巡检报告》《资产报废处置统计表》《资产购置申请统计表》《资产领用统计表》等。</w:t>
            </w:r>
          </w:p>
          <w:p>
            <w:pPr>
              <w:adjustRightIn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4.网络安全管理。</w:t>
            </w:r>
            <w:r>
              <w:rPr>
                <w:rFonts w:hint="eastAsia" w:ascii="宋体" w:hAnsi="宋体" w:eastAsia="宋体" w:cs="宋体"/>
                <w:sz w:val="21"/>
                <w:szCs w:val="21"/>
                <w:lang w:val="zh-CN"/>
              </w:rPr>
              <w:t>提交《安全风险修复情况记录》《故障处理报告》</w:t>
            </w:r>
            <w:r>
              <w:rPr>
                <w:rFonts w:hint="eastAsia" w:ascii="宋体" w:hAnsi="宋体" w:eastAsia="宋体" w:cs="宋体"/>
                <w:sz w:val="21"/>
                <w:szCs w:val="21"/>
              </w:rPr>
              <w:t>《财政数字证书办理统计及领取登记表》《运维操作登记表》等。</w:t>
            </w:r>
          </w:p>
          <w:p>
            <w:pPr>
              <w:adjustRightIn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5.24小时值班备勤。提交《网站安全值班记录表》《运维操作间检查记录表》《24小时值班交接班登记表》。</w:t>
            </w:r>
          </w:p>
          <w:p>
            <w:pPr>
              <w:adjustRightIn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6.人员管理。提交相关绩效考核和奖惩制度，以及制度执行的相关记录。</w:t>
            </w:r>
          </w:p>
          <w:p>
            <w:pPr>
              <w:adjustRightIn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7.人员培训。提交《培训签到表》《培训教材》等培训记录。</w:t>
            </w:r>
          </w:p>
          <w:p>
            <w:pPr>
              <w:adjustRightIn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以上文件格式自拟。</w:t>
            </w:r>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（七）安全保密要求。</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sz w:val="21"/>
                <w:szCs w:val="21"/>
                <w:lang w:val="zh-CN"/>
              </w:rPr>
              <w:t>为加强自治区财政厅数据和信息安全管理，确保工作秘密和敏感信息不被泄露，中标人及其驻场运维人员必须与采购人签订保密协议。中标人必须承诺在服务过程中不经采购人许可，对采购人的所有资料文档，包括服务成果文档，不得擅自拷贝、带离、留存，不得向第三方泄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770" w:type="dxa"/>
            <w:gridSpan w:val="4"/>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eastAsia="宋体" w:cs="宋体"/>
                <w:b/>
                <w:color w:val="auto"/>
                <w:szCs w:val="21"/>
              </w:rPr>
            </w:pPr>
            <w:r>
              <w:rPr>
                <w:rFonts w:hint="eastAsia" w:ascii="宋体" w:hAnsi="宋体" w:eastAsia="宋体" w:cs="宋体"/>
                <w:b/>
                <w:bCs w:val="0"/>
                <w:color w:val="auto"/>
                <w:szCs w:val="21"/>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5" w:hRule="atLeast"/>
          <w:jc w:val="center"/>
        </w:trPr>
        <w:tc>
          <w:tcPr>
            <w:tcW w:w="9770" w:type="dxa"/>
            <w:gridSpan w:val="4"/>
            <w:tcBorders>
              <w:top w:val="single" w:color="auto" w:sz="4" w:space="0"/>
              <w:left w:val="single" w:color="auto" w:sz="4" w:space="0"/>
              <w:bottom w:val="single" w:color="auto" w:sz="4" w:space="0"/>
              <w:right w:val="single" w:color="auto" w:sz="4" w:space="0"/>
            </w:tcBorders>
            <w:noWrap w:val="0"/>
            <w:vAlign w:val="top"/>
          </w:tcPr>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（一）服务年限及服务地点。</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1.服务年限：</w:t>
            </w:r>
            <w:r>
              <w:rPr>
                <w:rFonts w:hint="eastAsia" w:ascii="宋体" w:hAnsi="宋体" w:eastAsia="宋体" w:cs="宋体"/>
                <w:sz w:val="21"/>
                <w:szCs w:val="21"/>
                <w:lang w:val="en-US" w:eastAsia="zh-CN"/>
              </w:rPr>
              <w:t>2年</w:t>
            </w:r>
            <w:r>
              <w:rPr>
                <w:rFonts w:hint="eastAsia" w:ascii="宋体" w:hAnsi="宋体" w:eastAsia="宋体" w:cs="宋体"/>
                <w:sz w:val="21"/>
                <w:szCs w:val="21"/>
                <w:lang w:val="zh-CN"/>
              </w:rPr>
              <w:t>。</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2.服务地点：广西区内采购人指定地点。</w:t>
            </w:r>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（二）付款条件。</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rPr>
              <w:t>签订合同之日起</w:t>
            </w:r>
            <w:r>
              <w:rPr>
                <w:rFonts w:hint="eastAsia" w:ascii="宋体" w:hAnsi="宋体" w:eastAsia="宋体" w:cs="宋体"/>
                <w:sz w:val="21"/>
                <w:szCs w:val="21"/>
                <w:lang w:val="zh-CN" w:eastAsia="zh-CN"/>
              </w:rPr>
              <w:t>15</w:t>
            </w:r>
            <w:r>
              <w:rPr>
                <w:rFonts w:hint="eastAsia" w:ascii="宋体" w:hAnsi="宋体" w:eastAsia="宋体" w:cs="宋体"/>
                <w:sz w:val="21"/>
                <w:szCs w:val="21"/>
                <w:lang w:val="zh-CN"/>
              </w:rPr>
              <w:t>个工作日内，采购人向中标人支付预付款，金额为30％合同总金额；</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rPr>
              <w:t>2026-2027年，每年的第一季度内，采购人根据对中标人服务情况的考核结果向中标人分别支付第一、二期服务款，每期应支付的服务款金额=30％合同总金额×（1-当期考核扣款比例）。</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3. 中标人在合同期内发生《广西财政信息化技术运维服务考核办法》规定的特大事故或累计发生二次重大事故的，</w:t>
            </w:r>
            <w:r>
              <w:rPr>
                <w:rFonts w:hint="eastAsia" w:ascii="宋体" w:hAnsi="宋体" w:eastAsia="宋体" w:cs="宋体"/>
                <w:sz w:val="21"/>
                <w:szCs w:val="21"/>
                <w:lang w:val="zh-CN" w:eastAsia="zh-CN"/>
              </w:rPr>
              <w:t>采购人</w:t>
            </w:r>
            <w:r>
              <w:rPr>
                <w:rFonts w:hint="eastAsia" w:ascii="宋体" w:hAnsi="宋体" w:eastAsia="宋体" w:cs="宋体"/>
                <w:sz w:val="21"/>
                <w:szCs w:val="21"/>
                <w:lang w:val="zh-CN"/>
              </w:rPr>
              <w:t>可拒付当期服务费，并有权终止合同并对中标人进行违约追责和损失索赔。</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4.服务期满后，自项目验收合格之日起1</w:t>
            </w:r>
            <w:r>
              <w:rPr>
                <w:rFonts w:hint="eastAsia" w:ascii="宋体" w:hAnsi="宋体" w:eastAsia="宋体" w:cs="宋体"/>
                <w:sz w:val="21"/>
                <w:szCs w:val="21"/>
                <w:lang w:val="zh-CN" w:eastAsia="zh-CN"/>
              </w:rPr>
              <w:t>0</w:t>
            </w:r>
            <w:r>
              <w:rPr>
                <w:rFonts w:hint="eastAsia" w:ascii="宋体" w:hAnsi="宋体" w:eastAsia="宋体" w:cs="宋体"/>
                <w:sz w:val="21"/>
                <w:szCs w:val="21"/>
                <w:lang w:val="zh-CN"/>
              </w:rPr>
              <w:t>个工作日内，采购人向中标人支付10％合同总金额。</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5.服务期间出现的违约金和经济赔偿，采购人可在</w:t>
            </w:r>
            <w:r>
              <w:rPr>
                <w:rFonts w:hint="eastAsia" w:ascii="宋体" w:hAnsi="宋体" w:eastAsia="宋体" w:cs="宋体"/>
                <w:i w:val="0"/>
                <w:caps w:val="0"/>
                <w:spacing w:val="0"/>
                <w:kern w:val="2"/>
                <w:sz w:val="21"/>
                <w:szCs w:val="21"/>
                <w:shd w:val="clear" w:color="auto" w:fill="auto"/>
                <w:lang w:val="zh-CN" w:eastAsia="zh-CN" w:bidi="ar"/>
              </w:rPr>
              <w:t>剩余支付款项中予以扣除，不足部分中标人应在</w:t>
            </w:r>
            <w:r>
              <w:rPr>
                <w:rFonts w:hint="eastAsia" w:ascii="宋体" w:hAnsi="宋体" w:eastAsia="宋体" w:cs="宋体"/>
                <w:sz w:val="21"/>
                <w:szCs w:val="21"/>
                <w:lang w:val="zh-CN"/>
              </w:rPr>
              <w:t>收到书面通知之日起5个工作日内支付。</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6. 中标人自收到款项之日起5个工作日内开具发票给采购人。</w:t>
            </w:r>
          </w:p>
          <w:p>
            <w:pPr>
              <w:pStyle w:val="3"/>
              <w:adjustRightInd w:val="0"/>
              <w:spacing w:before="0" w:after="0" w:line="440" w:lineRule="exact"/>
              <w:ind w:firstLine="422" w:firstLineChars="200"/>
              <w:jc w:val="both"/>
              <w:rPr>
                <w:rFonts w:hint="eastAsia" w:ascii="宋体" w:hAnsi="宋体" w:eastAsia="宋体" w:cs="宋体"/>
                <w:sz w:val="21"/>
                <w:szCs w:val="21"/>
                <w:lang w:eastAsia="zh-CN"/>
              </w:rPr>
            </w:pPr>
            <w:r>
              <w:rPr>
                <w:rFonts w:hint="eastAsia" w:ascii="宋体" w:hAnsi="宋体" w:eastAsia="宋体" w:cs="宋体"/>
                <w:sz w:val="21"/>
                <w:szCs w:val="21"/>
              </w:rPr>
              <w:t>（三）</w:t>
            </w:r>
            <w:r>
              <w:rPr>
                <w:rFonts w:hint="eastAsia" w:ascii="宋体" w:hAnsi="宋体" w:eastAsia="宋体" w:cs="宋体"/>
                <w:sz w:val="21"/>
                <w:szCs w:val="21"/>
                <w:lang w:eastAsia="zh-CN"/>
              </w:rPr>
              <w:t>付款方式：</w:t>
            </w:r>
            <w:r>
              <w:rPr>
                <w:rFonts w:hint="eastAsia" w:ascii="宋体" w:hAnsi="宋体" w:eastAsia="宋体" w:cs="宋体"/>
                <w:b w:val="0"/>
                <w:bCs w:val="0"/>
                <w:sz w:val="21"/>
                <w:szCs w:val="21"/>
                <w:lang w:eastAsia="zh-CN"/>
              </w:rPr>
              <w:t>银行转账。</w:t>
            </w:r>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lang w:eastAsia="zh-CN"/>
              </w:rPr>
              <w:t>（四）</w:t>
            </w:r>
            <w:r>
              <w:rPr>
                <w:rFonts w:hint="eastAsia" w:ascii="宋体" w:hAnsi="宋体" w:eastAsia="宋体" w:cs="宋体"/>
                <w:sz w:val="21"/>
                <w:szCs w:val="21"/>
              </w:rPr>
              <w:t>验收标准。</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服务期满后，中标人提出书面验收申请，并提交验收文档材料，经采购人审核同意后，由采购人组织专家验收会进行项目验收。项目通过验收的，相关费用由采购人承担。项目未通过验收的，中标人应在10个工作日内完成整改，由采购人审核同意后，重新组织专家验收，直至项目验收合格为止。重新验收相关费用由中标人承担。</w:t>
            </w:r>
          </w:p>
          <w:p>
            <w:pPr>
              <w:pStyle w:val="3"/>
              <w:adjustRightInd w:val="0"/>
              <w:spacing w:before="0" w:after="0" w:line="440" w:lineRule="exact"/>
              <w:ind w:firstLine="422" w:firstLineChars="2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auto"/>
                <w:sz w:val="21"/>
                <w:szCs w:val="21"/>
                <w:lang w:eastAsia="zh-CN"/>
              </w:rPr>
              <w:t>五</w:t>
            </w:r>
            <w:r>
              <w:rPr>
                <w:rFonts w:hint="eastAsia" w:ascii="宋体" w:hAnsi="宋体" w:eastAsia="宋体" w:cs="宋体"/>
                <w:sz w:val="21"/>
                <w:szCs w:val="21"/>
              </w:rPr>
              <w:t>）其他要求。</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1.投标人必须在开标一览表中列出单个年度的服务价格，并以</w:t>
            </w:r>
            <w:r>
              <w:rPr>
                <w:rFonts w:hint="eastAsia" w:ascii="宋体" w:hAnsi="宋体" w:eastAsia="宋体" w:cs="宋体"/>
                <w:sz w:val="21"/>
                <w:szCs w:val="21"/>
              </w:rPr>
              <w:t>2</w:t>
            </w:r>
            <w:r>
              <w:rPr>
                <w:rFonts w:hint="eastAsia" w:ascii="宋体" w:hAnsi="宋体" w:eastAsia="宋体" w:cs="宋体"/>
                <w:sz w:val="21"/>
                <w:szCs w:val="21"/>
                <w:lang w:val="zh-CN"/>
              </w:rPr>
              <w:t>个年度的总价作为投标报价，本项目投标报价为人民币金额报价，即一次性报出完成本项目所需所有费用，</w:t>
            </w:r>
            <w:r>
              <w:rPr>
                <w:rFonts w:hint="eastAsia" w:ascii="Times New Roman" w:hAnsi="Times New Roman" w:eastAsia="宋体" w:cs="Times New Roman"/>
                <w:lang w:val="en-US" w:eastAsia="zh-CN"/>
              </w:rPr>
              <w:t>应包</w:t>
            </w:r>
            <w:r>
              <w:rPr>
                <w:rFonts w:hint="eastAsia" w:ascii="宋体" w:hAnsi="宋体" w:eastAsia="宋体" w:cs="宋体"/>
                <w:sz w:val="21"/>
                <w:szCs w:val="21"/>
                <w:lang w:val="zh-CN"/>
              </w:rPr>
              <w:t>含服务费用、派驻人员的社保、税金及其他与本项目服务相关的一切费用。</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2.投标人必须针对本项目提供技术方案和运维实施方案。</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3.投标人如有能体现其履约能力的如业绩、荣（信）誉、奖项、资质（格）证书等有关证明材料的，可在投标文件中提供。</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4. 本项目的驻场人员必须与中标人投标文件一致，并在合同约定服务期开始之日全部到位，且进场后必须通过采购人组织的业务考核；考核不合格者，中标人必须在10天内调换人员到位；调换人员也必须通过上岗考核。上岗考核（包括调换人员考核）不合格的人员，</w:t>
            </w:r>
            <w:r>
              <w:rPr>
                <w:rFonts w:hint="eastAsia" w:ascii="宋体" w:hAnsi="宋体" w:eastAsia="宋体" w:cs="宋体"/>
                <w:b w:val="0"/>
                <w:bCs w:val="0"/>
                <w:sz w:val="21"/>
                <w:szCs w:val="21"/>
                <w:u w:val="none"/>
                <w:lang w:val="en-US" w:eastAsia="zh-CN"/>
              </w:rPr>
              <w:t>中标人应当</w:t>
            </w:r>
            <w:r>
              <w:rPr>
                <w:rFonts w:hint="eastAsia" w:ascii="宋体" w:hAnsi="宋体" w:eastAsia="宋体" w:cs="宋体"/>
                <w:b w:val="0"/>
                <w:bCs w:val="0"/>
                <w:sz w:val="21"/>
                <w:szCs w:val="21"/>
                <w:u w:val="none"/>
              </w:rPr>
              <w:t>按每人5万元的标准</w:t>
            </w:r>
            <w:r>
              <w:rPr>
                <w:rFonts w:hint="eastAsia" w:ascii="宋体" w:hAnsi="宋体" w:eastAsia="宋体" w:cs="宋体"/>
                <w:b w:val="0"/>
                <w:bCs w:val="0"/>
                <w:sz w:val="21"/>
                <w:szCs w:val="21"/>
                <w:u w:val="none"/>
                <w:lang w:val="en-US" w:eastAsia="zh-CN"/>
              </w:rPr>
              <w:t>向</w:t>
            </w:r>
            <w:r>
              <w:rPr>
                <w:rFonts w:hint="eastAsia" w:ascii="宋体" w:hAnsi="宋体" w:eastAsia="宋体" w:cs="宋体"/>
                <w:b w:val="0"/>
                <w:bCs w:val="0"/>
                <w:sz w:val="21"/>
                <w:szCs w:val="21"/>
                <w:u w:val="none"/>
              </w:rPr>
              <w:t>采购人</w:t>
            </w:r>
            <w:r>
              <w:rPr>
                <w:rFonts w:hint="eastAsia" w:ascii="宋体" w:hAnsi="宋体" w:eastAsia="宋体" w:cs="宋体"/>
                <w:b w:val="0"/>
                <w:bCs w:val="0"/>
                <w:sz w:val="21"/>
                <w:szCs w:val="21"/>
                <w:u w:val="none"/>
                <w:lang w:val="en-US" w:eastAsia="zh-CN"/>
              </w:rPr>
              <w:t>支付违约金</w:t>
            </w:r>
            <w:r>
              <w:rPr>
                <w:rFonts w:hint="eastAsia" w:ascii="宋体" w:hAnsi="宋体" w:eastAsia="宋体" w:cs="宋体"/>
                <w:sz w:val="21"/>
                <w:szCs w:val="21"/>
                <w:lang w:val="zh-CN"/>
              </w:rPr>
              <w:t>。</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5.项目服务期间如出现非采购人方原因导致的中标人方驻场人员人身、财产安全事故、损失等由中标人全部负责，采购人不负任何责任。</w:t>
            </w:r>
          </w:p>
          <w:p>
            <w:pPr>
              <w:adjustRightInd w:val="0"/>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6.投标人必须承诺加强参与本项目人员的遵纪守法、廉洁自律教育和监督，对项目人员在项目期间实施违法犯罪行为并对采购人利益造成的侵害承担相应经济和法律责任，承诺在签订合同之日起30天内提供参与项目人员的遵纪守法，恪守职业道德的入职调查材料（含无犯罪记录证明、个人征信情况）。</w:t>
            </w:r>
          </w:p>
          <w:p>
            <w:pPr>
              <w:tabs>
                <w:tab w:val="left" w:pos="2882"/>
                <w:tab w:val="center" w:pos="4878"/>
              </w:tabs>
              <w:jc w:val="left"/>
              <w:rPr>
                <w:rFonts w:hint="eastAsia" w:ascii="宋体" w:hAnsi="宋体" w:eastAsia="宋体" w:cs="宋体"/>
                <w:b/>
                <w:bCs/>
                <w:color w:val="auto"/>
                <w:sz w:val="21"/>
                <w:szCs w:val="21"/>
                <w:highlight w:val="none"/>
              </w:rPr>
            </w:pP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附件：1.广西壮族自治区财政厅计算机系统统计表</w:t>
            </w:r>
          </w:p>
          <w:p>
            <w:pPr>
              <w:spacing w:line="460" w:lineRule="exact"/>
              <w:ind w:firstLine="1050" w:firstLineChars="500"/>
              <w:rPr>
                <w:rFonts w:hint="eastAsia" w:ascii="宋体" w:hAnsi="宋体" w:eastAsia="宋体" w:cs="宋体"/>
                <w:bCs/>
                <w:color w:val="auto"/>
                <w:sz w:val="21"/>
                <w:szCs w:val="21"/>
              </w:rPr>
            </w:pPr>
            <w:r>
              <w:rPr>
                <w:rFonts w:hint="eastAsia" w:ascii="宋体" w:hAnsi="宋体" w:eastAsia="宋体" w:cs="宋体"/>
                <w:sz w:val="21"/>
                <w:szCs w:val="21"/>
              </w:rPr>
              <w:t>2.广西财政信息化技术运维服务考核办法</w:t>
            </w:r>
          </w:p>
        </w:tc>
      </w:tr>
    </w:tbl>
    <w:p>
      <w:pPr>
        <w:adjustRightInd w:val="0"/>
        <w:spacing w:line="440" w:lineRule="exact"/>
        <w:rPr>
          <w:rFonts w:ascii="宋体" w:hAnsi="宋体" w:eastAsia="宋体" w:cs="Times New Roman"/>
          <w:b w:val="0"/>
          <w:bCs w:val="0"/>
        </w:rPr>
      </w:pPr>
      <w:r>
        <w:rPr>
          <w:rFonts w:hint="eastAsia" w:ascii="宋体" w:hAnsi="宋体" w:eastAsia="宋体" w:cs="宋体"/>
          <w:b/>
          <w:bCs/>
          <w:color w:val="auto"/>
          <w:sz w:val="24"/>
          <w:highlight w:val="none"/>
          <w:lang w:val="en-US" w:eastAsia="zh-CN"/>
        </w:rPr>
        <w:br w:type="page"/>
      </w:r>
      <w:r>
        <w:rPr>
          <w:rFonts w:ascii="宋体" w:hAnsi="宋体" w:eastAsia="宋体" w:cs="Times New Roman"/>
          <w:b w:val="0"/>
          <w:bCs w:val="0"/>
          <w:sz w:val="28"/>
          <w:szCs w:val="36"/>
        </w:rPr>
        <w:t>附件</w:t>
      </w:r>
      <w:r>
        <w:rPr>
          <w:rFonts w:hint="eastAsia" w:ascii="宋体" w:hAnsi="宋体" w:eastAsia="宋体" w:cs="Times New Roman"/>
          <w:b w:val="0"/>
          <w:bCs w:val="0"/>
          <w:sz w:val="28"/>
          <w:szCs w:val="36"/>
        </w:rPr>
        <w:t>1</w:t>
      </w:r>
    </w:p>
    <w:p>
      <w:pPr>
        <w:jc w:val="center"/>
        <w:rPr>
          <w:rFonts w:ascii="方正小标宋简体" w:hAnsi="Times New Roman" w:eastAsia="方正小标宋简体" w:cs="Times New Roman"/>
        </w:rPr>
      </w:pPr>
      <w:r>
        <w:rPr>
          <w:rFonts w:hint="eastAsia" w:ascii="方正小标宋简体" w:hAnsi="Times New Roman" w:eastAsia="方正小标宋简体" w:cs="Times New Roman"/>
          <w:sz w:val="32"/>
          <w:szCs w:val="32"/>
        </w:rPr>
        <w:t>广西壮族自治区财政厅计算机系统统计表</w:t>
      </w:r>
    </w:p>
    <w:tbl>
      <w:tblPr>
        <w:tblStyle w:val="4"/>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5472"/>
        <w:gridCol w:w="850"/>
        <w:gridCol w:w="823"/>
        <w:gridCol w:w="71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549" w:type="dxa"/>
            <w:noWrap w:val="0"/>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序号</w:t>
            </w:r>
          </w:p>
        </w:tc>
        <w:tc>
          <w:tcPr>
            <w:tcW w:w="5472" w:type="dxa"/>
            <w:noWrap w:val="0"/>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信息系统名称</w:t>
            </w:r>
          </w:p>
        </w:tc>
        <w:tc>
          <w:tcPr>
            <w:tcW w:w="850" w:type="dxa"/>
            <w:noWrap w:val="0"/>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系统类型</w:t>
            </w:r>
          </w:p>
        </w:tc>
        <w:tc>
          <w:tcPr>
            <w:tcW w:w="823" w:type="dxa"/>
            <w:noWrap w:val="0"/>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运维情况</w:t>
            </w:r>
          </w:p>
        </w:tc>
        <w:tc>
          <w:tcPr>
            <w:tcW w:w="710" w:type="dxa"/>
            <w:noWrap w:val="0"/>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运维方式</w:t>
            </w:r>
          </w:p>
        </w:tc>
        <w:tc>
          <w:tcPr>
            <w:tcW w:w="1284" w:type="dxa"/>
            <w:noWrap w:val="0"/>
            <w:vAlign w:val="center"/>
          </w:tcPr>
          <w:p>
            <w:pPr>
              <w:widowControl/>
              <w:jc w:val="center"/>
              <w:textAlignment w:val="center"/>
              <w:rPr>
                <w:rFonts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军队转业干部信息管理系统</w:t>
            </w:r>
          </w:p>
        </w:tc>
        <w:tc>
          <w:tcPr>
            <w:tcW w:w="850" w:type="dxa"/>
            <w:vMerge w:val="restart"/>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业务系统</w:t>
            </w:r>
          </w:p>
          <w:p>
            <w:pPr>
              <w:widowControl/>
              <w:jc w:val="center"/>
              <w:textAlignment w:val="center"/>
              <w:rPr>
                <w:rFonts w:ascii="仿宋_GB2312" w:hAnsi="仿宋_GB2312" w:eastAsia="仿宋_GB2312" w:cs="仿宋_GB2312"/>
                <w:color w:val="000000"/>
                <w:sz w:val="24"/>
              </w:rPr>
            </w:pPr>
          </w:p>
        </w:tc>
        <w:tc>
          <w:tcPr>
            <w:tcW w:w="823" w:type="dxa"/>
            <w:vMerge w:val="restart"/>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未购买运维服务</w:t>
            </w:r>
          </w:p>
          <w:p>
            <w:pPr>
              <w:widowControl/>
              <w:jc w:val="center"/>
              <w:textAlignment w:val="center"/>
              <w:rPr>
                <w:rFonts w:ascii="仿宋_GB2312" w:hAnsi="仿宋_GB2312" w:eastAsia="仿宋_GB2312" w:cs="仿宋_GB2312"/>
                <w:color w:val="000000"/>
                <w:sz w:val="24"/>
              </w:rPr>
            </w:pPr>
          </w:p>
        </w:tc>
        <w:tc>
          <w:tcPr>
            <w:tcW w:w="710" w:type="dxa"/>
            <w:vMerge w:val="restart"/>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自主运维</w:t>
            </w:r>
          </w:p>
          <w:p>
            <w:pPr>
              <w:widowControl/>
              <w:jc w:val="center"/>
              <w:textAlignment w:val="center"/>
              <w:rPr>
                <w:rFonts w:ascii="仿宋_GB2312" w:hAnsi="仿宋_GB2312" w:eastAsia="仿宋_GB2312" w:cs="仿宋_GB2312"/>
                <w:color w:val="000000"/>
                <w:sz w:val="24"/>
              </w:rPr>
            </w:pPr>
          </w:p>
        </w:tc>
        <w:tc>
          <w:tcPr>
            <w:tcW w:w="1284" w:type="dxa"/>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财政厅在线培训系统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广西壮族自治区财政应用支撑平台统一门户系统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非税收入收缴管理系统（旧）</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仅交警部门使用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预算单位财务管理系统（旧）</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restart"/>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旧系统，仅查询历史数据用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部门预算管理系统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预算指标管理系统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国库集中支付一体化系统（含公务卡、动态监控、总账）</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9</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行政事业单位资产管理信息系统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10</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电子凭证库（旧）</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财政工资统发系统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仅用于军转数据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广西财政IT统一运维管理系统</w:t>
            </w:r>
          </w:p>
        </w:tc>
        <w:tc>
          <w:tcPr>
            <w:tcW w:w="850" w:type="dxa"/>
            <w:vMerge w:val="restart"/>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非业务系统</w:t>
            </w:r>
          </w:p>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电子支付安全控件</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网络安全态势感知平台</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数据库审计系统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日志审计系统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安全运维审计系统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全国政府网站信息报送系统</w:t>
            </w:r>
          </w:p>
        </w:tc>
        <w:tc>
          <w:tcPr>
            <w:tcW w:w="850" w:type="dxa"/>
            <w:vMerge w:val="restart"/>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国垂、区垂系统</w:t>
            </w:r>
          </w:p>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restart"/>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维护基础数据、用户和授权管理，以及数据报送、系统应用管理。</w:t>
            </w:r>
          </w:p>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19</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全国互联网安全管理平台</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20</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全国党政机关事业单位互联网网站标识管理服务平台</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21</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智桂通移动端维护</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22</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自治区政务信息资源共享交换平台</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自治区公共数据开放平台</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自治区政务信息化资产管理系统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广西电子政务外网安全电子邮件系统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自治区电子证照系统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政府综合办公平台</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“桂在行”智慧督查系统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区直公文交换系统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财政部信源豆豆软件</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广西财政邮件系统（内网邮箱）</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财政部地方政府采购信息统计管理系统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广西预算管理一体化系统</w:t>
            </w:r>
          </w:p>
        </w:tc>
        <w:tc>
          <w:tcPr>
            <w:tcW w:w="850" w:type="dxa"/>
            <w:vMerge w:val="restart"/>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业务系统</w:t>
            </w:r>
          </w:p>
        </w:tc>
        <w:tc>
          <w:tcPr>
            <w:tcW w:w="823" w:type="dxa"/>
            <w:vMerge w:val="restart"/>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已购买服务</w:t>
            </w:r>
          </w:p>
        </w:tc>
        <w:tc>
          <w:tcPr>
            <w:tcW w:w="710" w:type="dxa"/>
            <w:vMerge w:val="restart"/>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第三方运维</w:t>
            </w:r>
          </w:p>
        </w:tc>
        <w:tc>
          <w:tcPr>
            <w:tcW w:w="1284" w:type="dxa"/>
            <w:vMerge w:val="restart"/>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协助和监督相</w:t>
            </w:r>
            <w:r>
              <w:rPr>
                <w:rFonts w:hint="eastAsia" w:ascii="仿宋_GB2312" w:hAnsi="仿宋_GB2312" w:eastAsia="仿宋_GB2312" w:cs="仿宋_GB2312"/>
                <w:color w:val="000000"/>
                <w:kern w:val="0"/>
                <w:sz w:val="24"/>
                <w:lang w:val="en-US" w:eastAsia="zh-CN" w:bidi="ar"/>
              </w:rPr>
              <w:t>关</w:t>
            </w:r>
            <w:r>
              <w:rPr>
                <w:rFonts w:hint="eastAsia" w:ascii="仿宋_GB2312" w:hAnsi="仿宋_GB2312" w:eastAsia="仿宋_GB2312" w:cs="仿宋_GB2312"/>
                <w:color w:val="000000"/>
                <w:kern w:val="0"/>
                <w:sz w:val="24"/>
                <w:lang w:bidi="ar"/>
              </w:rPr>
              <w:t>第三方运维服务进行运维； 接听1800热线电话，提供系统前端技术支持服务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34</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广西统一公共收付系统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35</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广西政府采购云平台</w:t>
            </w:r>
          </w:p>
        </w:tc>
        <w:tc>
          <w:tcPr>
            <w:tcW w:w="850"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36</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财政扶贫（直达）资金动态监控平台</w:t>
            </w:r>
          </w:p>
        </w:tc>
        <w:tc>
          <w:tcPr>
            <w:tcW w:w="850"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37</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广西财经运行信息平台</w:t>
            </w:r>
          </w:p>
        </w:tc>
        <w:tc>
          <w:tcPr>
            <w:tcW w:w="850"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38</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预算执行分析信息系统3.0</w:t>
            </w:r>
          </w:p>
        </w:tc>
        <w:tc>
          <w:tcPr>
            <w:tcW w:w="850"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39</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广西政策性农业保险保费补贴与业务管理系统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广西壮族自治区政府采购网</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广西财政投资评审信息系统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地方政府性债务管理系统（含政府债券发行兑付管理系统模块）</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43</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广西财政厅档案管理系统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44</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统一报表管理系统（包含财政部及财政厅本级）</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45</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办公自动化系统（OA）含移动办公平台</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46</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农村综合改革工作管理信息系统（一事一议财政奖补）</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47</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地方融资平台公司债务和政府中长期支出事项监测系统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48</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广西财政票据电子化管理系统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49</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广西财政厅干部管理系统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地方政府专项债券项目穿透式监测系统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51</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广西惠民惠农财政补贴资金“一卡通”管理系统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52</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广西会计资格考试考务综合管理平台</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53</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广西会计管理系统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54</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广西壮族自治区财政厅网站</w:t>
            </w:r>
          </w:p>
        </w:tc>
        <w:tc>
          <w:tcPr>
            <w:tcW w:w="850" w:type="dxa"/>
            <w:vMerge w:val="restart"/>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非业务系统</w:t>
            </w: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55</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广西财政厅文档云系统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kern w:val="0"/>
                <w:sz w:val="24"/>
                <w:lang w:bidi="ar"/>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56</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智能文件交换与跟踪系统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57</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视频会议系统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58</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财政安全客户端监控管理系统（通软桌面终端管理系统）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59</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Style w:val="7"/>
                <w:rFonts w:hint="default" w:ascii="仿宋_GB2312" w:hAnsi="仿宋_GB2312" w:eastAsia="仿宋_GB2312" w:cs="仿宋_GB2312"/>
                <w:lang w:bidi="ar"/>
              </w:rPr>
              <w:t>亚信安全云主机深度安全防护系统</w:t>
            </w:r>
            <w:r>
              <w:rPr>
                <w:rStyle w:val="8"/>
                <w:rFonts w:hint="default" w:ascii="仿宋_GB2312" w:hAnsi="仿宋_GB2312" w:eastAsia="仿宋_GB2312" w:cs="仿宋_GB2312"/>
                <w:sz w:val="24"/>
                <w:lang w:bidi="ar"/>
              </w:rPr>
              <w:t>亚信安全防病毒墙网络版</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60</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广西财政身份认证与授权管理系统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61</w:t>
            </w:r>
          </w:p>
        </w:tc>
        <w:tc>
          <w:tcPr>
            <w:tcW w:w="5472"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全区财政灾备系统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62</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云新CloudSino带外监测运维系统</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49"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63</w:t>
            </w:r>
          </w:p>
        </w:tc>
        <w:tc>
          <w:tcPr>
            <w:tcW w:w="5472" w:type="dxa"/>
            <w:noWrap w:val="0"/>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预算管理一体化PaaS平台</w:t>
            </w:r>
          </w:p>
        </w:tc>
        <w:tc>
          <w:tcPr>
            <w:tcW w:w="85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823"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710" w:type="dxa"/>
            <w:vMerge w:val="continue"/>
            <w:noWrap w:val="0"/>
            <w:vAlign w:val="center"/>
          </w:tcPr>
          <w:p>
            <w:pPr>
              <w:widowControl/>
              <w:jc w:val="center"/>
              <w:textAlignment w:val="center"/>
              <w:rPr>
                <w:rFonts w:ascii="仿宋_GB2312" w:hAnsi="仿宋_GB2312" w:eastAsia="仿宋_GB2312" w:cs="仿宋_GB2312"/>
                <w:color w:val="000000"/>
                <w:sz w:val="24"/>
              </w:rPr>
            </w:pPr>
          </w:p>
        </w:tc>
        <w:tc>
          <w:tcPr>
            <w:tcW w:w="1284" w:type="dxa"/>
            <w:vMerge w:val="continue"/>
            <w:noWrap w:val="0"/>
            <w:vAlign w:val="center"/>
          </w:tcPr>
          <w:p>
            <w:pPr>
              <w:widowControl/>
              <w:jc w:val="center"/>
              <w:textAlignment w:val="center"/>
              <w:rPr>
                <w:rFonts w:ascii="仿宋_GB2312" w:hAnsi="仿宋_GB2312" w:eastAsia="仿宋_GB2312" w:cs="仿宋_GB2312"/>
                <w:color w:val="000000"/>
                <w:sz w:val="24"/>
              </w:rPr>
            </w:pPr>
          </w:p>
        </w:tc>
      </w:tr>
    </w:tbl>
    <w:p>
      <w:pPr>
        <w:pStyle w:val="3"/>
        <w:jc w:val="both"/>
        <w:rPr>
          <w:rFonts w:ascii="宋体" w:hAnsi="宋体" w:eastAsia="宋体" w:cs="Times New Roman"/>
        </w:rPr>
      </w:pPr>
      <w:r>
        <w:rPr>
          <w:rFonts w:ascii="宋体" w:hAnsi="宋体" w:eastAsia="宋体" w:cs="Times New Roman"/>
          <w:b w:val="0"/>
          <w:bCs w:val="0"/>
        </w:rPr>
        <w:br w:type="page"/>
      </w:r>
      <w:r>
        <w:rPr>
          <w:rFonts w:ascii="宋体" w:hAnsi="宋体" w:eastAsia="宋体" w:cs="Times New Roman"/>
          <w:b w:val="0"/>
          <w:bCs w:val="0"/>
        </w:rPr>
        <w:t>附件</w:t>
      </w:r>
      <w:r>
        <w:rPr>
          <w:rFonts w:hint="eastAsia" w:ascii="宋体" w:hAnsi="宋体" w:eastAsia="宋体" w:cs="Times New Roman"/>
          <w:b w:val="0"/>
          <w:bCs w:val="0"/>
        </w:rPr>
        <w:t>2</w:t>
      </w:r>
    </w:p>
    <w:p>
      <w:pPr>
        <w:tabs>
          <w:tab w:val="left" w:pos="5751"/>
        </w:tabs>
        <w:adjustRightInd w:val="0"/>
        <w:snapToGrid w:val="0"/>
        <w:spacing w:line="560" w:lineRule="exact"/>
        <w:jc w:val="center"/>
        <w:rPr>
          <w:rFonts w:ascii="方正小标宋简体" w:hAnsi="仿宋" w:eastAsia="方正小标宋简体" w:cs="Times New Roman"/>
          <w:sz w:val="36"/>
          <w:szCs w:val="36"/>
        </w:rPr>
      </w:pPr>
      <w:r>
        <w:rPr>
          <w:rFonts w:hint="eastAsia" w:ascii="方正小标宋简体" w:hAnsi="仿宋" w:eastAsia="方正小标宋简体" w:cs="Times New Roman"/>
          <w:sz w:val="36"/>
          <w:szCs w:val="36"/>
        </w:rPr>
        <w:t>广西财政信息化技术运维服务考核办法</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为确保财政业务系统和网络的正常运转，提高自治区财政厅信息化运维水平，加强对技术运维服务的监督管理，确保合同有效执行，特制定此办法。</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一、考核范围</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本办法适用于服务商依据合同约定提供的广西财政信息化技术运维服务（以下简称“服务”）。</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二、考核内容</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广西财政信息管理中心（以下简称“信息中心”）按期（每12个月）对合同规定的服务进行考核，检查服务是否满足合同要求。每期服务期满后5个工作日内，服务商必须按本项目方案的文档要求提供相关文档作为考核的评分参考依据，如不提供的本期服务考核为0分。</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三、评分办法</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left="105" w:firstLine="352" w:firstLineChars="168"/>
        <w:textAlignment w:val="auto"/>
        <w:rPr>
          <w:rFonts w:hint="eastAsia" w:ascii="宋体" w:hAnsi="宋体" w:eastAsia="宋体" w:cs="宋体"/>
          <w:sz w:val="21"/>
          <w:szCs w:val="21"/>
        </w:rPr>
      </w:pPr>
      <w:r>
        <w:rPr>
          <w:rFonts w:hint="eastAsia" w:ascii="宋体" w:hAnsi="宋体" w:eastAsia="宋体" w:cs="宋体"/>
          <w:sz w:val="21"/>
          <w:szCs w:val="21"/>
        </w:rPr>
        <w:t>（一）评分标准将从服务质量、人员管理、提交文档三大项来进行评分，评分细则详见附表。</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left="105" w:firstLine="352" w:firstLineChars="168"/>
        <w:textAlignment w:val="auto"/>
        <w:rPr>
          <w:rFonts w:hint="eastAsia" w:ascii="宋体" w:hAnsi="宋体" w:eastAsia="宋体" w:cs="宋体"/>
          <w:sz w:val="21"/>
          <w:szCs w:val="21"/>
        </w:rPr>
      </w:pPr>
      <w:r>
        <w:rPr>
          <w:rFonts w:hint="eastAsia" w:ascii="宋体" w:hAnsi="宋体" w:eastAsia="宋体" w:cs="宋体"/>
          <w:sz w:val="21"/>
          <w:szCs w:val="21"/>
        </w:rPr>
        <w:t>（二）本项目考核采用扣分制，信息中心组长及以上领导均有权根据服务商和服务团队表现作出扣分决定，并由信息中心统计服务期间的扣分记录（以信息中心发出的扣分通知为准），根据统计结果计算最终考核得分。</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left="105" w:firstLine="352" w:firstLineChars="168"/>
        <w:textAlignment w:val="auto"/>
        <w:rPr>
          <w:rFonts w:hint="eastAsia" w:ascii="宋体" w:hAnsi="宋体" w:eastAsia="宋体" w:cs="宋体"/>
          <w:sz w:val="21"/>
          <w:szCs w:val="21"/>
        </w:rPr>
      </w:pPr>
      <w:r>
        <w:rPr>
          <w:rFonts w:hint="eastAsia" w:ascii="宋体" w:hAnsi="宋体" w:eastAsia="宋体" w:cs="宋体"/>
          <w:sz w:val="21"/>
          <w:szCs w:val="21"/>
        </w:rPr>
        <w:t>（三）本项目服务考核的合格线定为80分，80分以上全额拨付当期合同款，80分以下按得分确定扣款比例，扣款后应支付的具体比例如下表：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861"/>
        <w:gridCol w:w="1828"/>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考核得分Z</w:t>
            </w:r>
          </w:p>
        </w:tc>
        <w:tc>
          <w:tcPr>
            <w:tcW w:w="1861"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当期服务款</w:t>
            </w:r>
          </w:p>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支付比例</w:t>
            </w:r>
          </w:p>
        </w:tc>
        <w:tc>
          <w:tcPr>
            <w:tcW w:w="1828"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考核得分Z</w:t>
            </w:r>
          </w:p>
        </w:tc>
        <w:tc>
          <w:tcPr>
            <w:tcW w:w="1814"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当期服务款</w:t>
            </w:r>
          </w:p>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Z≥80</w:t>
            </w:r>
          </w:p>
        </w:tc>
        <w:tc>
          <w:tcPr>
            <w:tcW w:w="1861"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100% </w:t>
            </w:r>
          </w:p>
        </w:tc>
        <w:tc>
          <w:tcPr>
            <w:tcW w:w="1828"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45≤Z&lt;50</w:t>
            </w:r>
          </w:p>
        </w:tc>
        <w:tc>
          <w:tcPr>
            <w:tcW w:w="1814"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75≤Z&lt;80</w:t>
            </w:r>
          </w:p>
        </w:tc>
        <w:tc>
          <w:tcPr>
            <w:tcW w:w="1861"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90% </w:t>
            </w:r>
          </w:p>
        </w:tc>
        <w:tc>
          <w:tcPr>
            <w:tcW w:w="1828"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40≤Z&lt;45</w:t>
            </w:r>
          </w:p>
        </w:tc>
        <w:tc>
          <w:tcPr>
            <w:tcW w:w="1814"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70≤Z&lt;75</w:t>
            </w:r>
          </w:p>
        </w:tc>
        <w:tc>
          <w:tcPr>
            <w:tcW w:w="1861"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85% </w:t>
            </w:r>
          </w:p>
        </w:tc>
        <w:tc>
          <w:tcPr>
            <w:tcW w:w="1828"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35≤Z&lt;40</w:t>
            </w:r>
          </w:p>
        </w:tc>
        <w:tc>
          <w:tcPr>
            <w:tcW w:w="1814"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65≤Z&lt;70</w:t>
            </w:r>
          </w:p>
        </w:tc>
        <w:tc>
          <w:tcPr>
            <w:tcW w:w="1861"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80% </w:t>
            </w:r>
          </w:p>
        </w:tc>
        <w:tc>
          <w:tcPr>
            <w:tcW w:w="1828"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30≤Z&lt;35</w:t>
            </w:r>
          </w:p>
        </w:tc>
        <w:tc>
          <w:tcPr>
            <w:tcW w:w="1814"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60≤Z&lt;65</w:t>
            </w:r>
          </w:p>
        </w:tc>
        <w:tc>
          <w:tcPr>
            <w:tcW w:w="1861"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75% </w:t>
            </w:r>
          </w:p>
        </w:tc>
        <w:tc>
          <w:tcPr>
            <w:tcW w:w="1828"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25≤Z&lt;30</w:t>
            </w:r>
          </w:p>
        </w:tc>
        <w:tc>
          <w:tcPr>
            <w:tcW w:w="1814"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55≤Z&lt;60</w:t>
            </w:r>
          </w:p>
        </w:tc>
        <w:tc>
          <w:tcPr>
            <w:tcW w:w="1861"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70% </w:t>
            </w:r>
          </w:p>
        </w:tc>
        <w:tc>
          <w:tcPr>
            <w:tcW w:w="1828"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20≤Z&lt;25</w:t>
            </w:r>
          </w:p>
        </w:tc>
        <w:tc>
          <w:tcPr>
            <w:tcW w:w="1814"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50≤Z&lt;55</w:t>
            </w:r>
          </w:p>
        </w:tc>
        <w:tc>
          <w:tcPr>
            <w:tcW w:w="1861"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65% </w:t>
            </w:r>
          </w:p>
        </w:tc>
        <w:tc>
          <w:tcPr>
            <w:tcW w:w="1828"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Z&lt;20</w:t>
            </w:r>
          </w:p>
        </w:tc>
        <w:tc>
          <w:tcPr>
            <w:tcW w:w="1814" w:type="dxa"/>
            <w:noWrap w:val="0"/>
            <w:vAlign w:val="top"/>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30% </w:t>
            </w:r>
          </w:p>
        </w:tc>
      </w:tr>
    </w:tbl>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（四）被扣款金额视同从合同总金额中减除，在整个项目期间及项目结束后，信息中心都不需再向服务商支付该部分款项。</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四、安全事故定级说明</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由于服务商未认真履行合同约定而造成安全事故的，将根据安全事故等级采取相应扣分措施。安全事故定级和解释如下： </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一）特大事故：是指因服务商派驻技术服务人员的原因导致财政业务系统或网络不能正常运行，遭受特别重大损失，影响全区财政业务系统运行，恢复业务和消除事故负面影响所需付出代价巨大，为信息中心不可承受。具体有： </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1.财政业务系统或网络不能正常运行且恢复时间超过48小时（工作日）；</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2.造成业务数据丢失或被破坏不可用，无法恢复；</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3.其他后果特别严重的事故。</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本期内发生一次特大事故的，本期考核为零分。信息中心有权终止合同并按违约处理。</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重大事故。是指因服务商派驻技术服务人员的原因导致财政业务系统或网络不能正常运行，遭受重大损失，影响涉及大部分财政业务系统用户，恢复正常运行和消除事故负面影响所需付出代价很大，但对于信息中心来说仍可承受。具体有：</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1.财政业务系统或网络不能正常运行且恢复时间超过24小时（工作日）；</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2.造成业务数据丢失或被破坏但可恢复，恢复时间超过24小时（工作日）；</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3.其他后果严重的事故。</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本期内发生一次重大事故的，本期考核每次减40分。合同期内发生二次重大事故可终止合同并保留追责权力；</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三）一般事故。是指因服务商派驻技术服务人员的原因导致财政业务系统或网络不能正常运行，遭受较大损失，影响涉及部分财政业务系统用户，恢复正常运行和消除事故负面影响所需付出代价较大，对于信息中心来说可承受。具体有： </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1.财政业务系统或网络不能正常运行且恢复时间超过12小时（工作日）；</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2.造成业务数据丢失或被破坏但可恢复，恢复时间超过12小时（工作日）；</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3.因服务商派驻技术服务人员的原因导致财政业务系统或网络不能正常运行，累计次数超过3次，经信息中心复查情况属实的；</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4.其他后果较严重的事故。</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本期内发生一次一般事故的，本期考核每次减20分。</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五、其他</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信息中心拥有本考核办法及附表的最终解释权和评判权。</w:t>
      </w: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p>
    <w:p>
      <w:pPr>
        <w:keepNext w:val="0"/>
        <w:keepLines w:val="0"/>
        <w:pageBreakBefore w:val="0"/>
        <w:widowControl w:val="0"/>
        <w:tabs>
          <w:tab w:val="left" w:pos="5751"/>
        </w:tabs>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附表：广西财政信息化技术运维服务考核表</w:t>
      </w:r>
    </w:p>
    <w:p>
      <w:pPr>
        <w:pStyle w:val="2"/>
        <w:spacing w:line="336" w:lineRule="auto"/>
        <w:ind w:firstLine="241"/>
        <w:outlineLvl w:val="2"/>
        <w:rPr>
          <w:rFonts w:ascii="仿宋_GB2312" w:hAnsi="仿宋" w:eastAsia="仿宋_GB2312" w:cs="Times New Roman"/>
          <w:sz w:val="32"/>
          <w:szCs w:val="32"/>
        </w:rPr>
      </w:pPr>
      <w:r>
        <w:rPr>
          <w:rFonts w:ascii="仿宋_GB2312" w:hAnsi="仿宋" w:eastAsia="仿宋_GB2312" w:cs="Times New Roman"/>
          <w:b/>
          <w:sz w:val="24"/>
          <w:szCs w:val="24"/>
        </w:rPr>
        <w:br w:type="page"/>
      </w:r>
      <w:r>
        <w:rPr>
          <w:rFonts w:hint="eastAsia" w:ascii="仿宋_GB2312" w:hAnsi="仿宋" w:eastAsia="仿宋_GB2312" w:cs="Times New Roman"/>
          <w:sz w:val="32"/>
          <w:szCs w:val="32"/>
        </w:rPr>
        <w:t>附表</w:t>
      </w:r>
    </w:p>
    <w:p>
      <w:pPr>
        <w:pStyle w:val="2"/>
        <w:spacing w:line="336" w:lineRule="auto"/>
        <w:ind w:firstLine="360"/>
        <w:jc w:val="center"/>
        <w:rPr>
          <w:rFonts w:ascii="方正小标宋简体" w:hAnsi="仿宋" w:eastAsia="方正小标宋简体" w:cs="Times New Roman"/>
          <w:sz w:val="36"/>
          <w:szCs w:val="36"/>
        </w:rPr>
      </w:pPr>
      <w:r>
        <w:rPr>
          <w:rFonts w:hint="eastAsia" w:ascii="方正小标宋简体" w:hAnsi="仿宋" w:eastAsia="方正小标宋简体" w:cs="Times New Roman"/>
          <w:sz w:val="36"/>
          <w:szCs w:val="36"/>
        </w:rPr>
        <w:t>广西财政信息化技术运维服务考核表</w:t>
      </w:r>
    </w:p>
    <w:p>
      <w:pPr>
        <w:pStyle w:val="2"/>
        <w:spacing w:line="336" w:lineRule="auto"/>
        <w:ind w:firstLine="117" w:firstLineChars="49"/>
        <w:rPr>
          <w:rFonts w:hAnsi="宋体" w:eastAsia="宋体" w:cs="Times New Roman"/>
          <w:sz w:val="24"/>
          <w:szCs w:val="24"/>
        </w:rPr>
      </w:pPr>
    </w:p>
    <w:p>
      <w:pPr>
        <w:pStyle w:val="2"/>
        <w:spacing w:line="336" w:lineRule="auto"/>
        <w:ind w:firstLine="117" w:firstLineChars="49"/>
        <w:rPr>
          <w:rFonts w:hAnsi="宋体" w:eastAsia="宋体" w:cs="Times New Roman"/>
          <w:sz w:val="24"/>
          <w:szCs w:val="24"/>
        </w:rPr>
      </w:pPr>
      <w:r>
        <w:rPr>
          <w:rFonts w:hint="eastAsia" w:hAnsi="宋体" w:eastAsia="宋体" w:cs="Times New Roman"/>
          <w:sz w:val="24"/>
          <w:szCs w:val="24"/>
        </w:rPr>
        <w:t>考核区间：</w:t>
      </w:r>
      <w:r>
        <w:rPr>
          <w:rFonts w:hint="eastAsia" w:hAnsi="宋体" w:eastAsia="宋体" w:cs="Times New Roman"/>
          <w:sz w:val="24"/>
          <w:szCs w:val="24"/>
          <w:u w:val="single"/>
        </w:rPr>
        <w:t xml:space="preserve">    </w:t>
      </w:r>
      <w:r>
        <w:rPr>
          <w:rFonts w:hint="eastAsia" w:hAnsi="宋体" w:eastAsia="宋体" w:cs="Times New Roman"/>
          <w:sz w:val="24"/>
          <w:szCs w:val="24"/>
        </w:rPr>
        <w:t>年</w:t>
      </w:r>
      <w:r>
        <w:rPr>
          <w:rFonts w:hint="eastAsia" w:hAnsi="宋体" w:eastAsia="宋体" w:cs="Times New Roman"/>
          <w:sz w:val="24"/>
          <w:szCs w:val="24"/>
          <w:u w:val="single"/>
        </w:rPr>
        <w:t xml:space="preserve">   </w:t>
      </w:r>
      <w:r>
        <w:rPr>
          <w:rFonts w:hint="eastAsia" w:hAnsi="宋体" w:eastAsia="宋体" w:cs="Times New Roman"/>
          <w:sz w:val="24"/>
          <w:szCs w:val="24"/>
        </w:rPr>
        <w:t>月至</w:t>
      </w:r>
      <w:r>
        <w:rPr>
          <w:rFonts w:hint="eastAsia" w:hAnsi="宋体" w:eastAsia="宋体" w:cs="Times New Roman"/>
          <w:sz w:val="24"/>
          <w:szCs w:val="24"/>
          <w:u w:val="single"/>
        </w:rPr>
        <w:t xml:space="preserve">    </w:t>
      </w:r>
      <w:r>
        <w:rPr>
          <w:rFonts w:hint="eastAsia" w:hAnsi="宋体" w:eastAsia="宋体" w:cs="Times New Roman"/>
          <w:sz w:val="24"/>
          <w:szCs w:val="24"/>
        </w:rPr>
        <w:t>年</w:t>
      </w:r>
      <w:r>
        <w:rPr>
          <w:rFonts w:hint="eastAsia" w:hAnsi="宋体" w:eastAsia="宋体" w:cs="Times New Roman"/>
          <w:sz w:val="24"/>
          <w:szCs w:val="24"/>
          <w:u w:val="single"/>
        </w:rPr>
        <w:t xml:space="preserve">   </w:t>
      </w:r>
      <w:r>
        <w:rPr>
          <w:rFonts w:hint="eastAsia" w:hAnsi="宋体" w:eastAsia="宋体" w:cs="Times New Roman"/>
          <w:sz w:val="24"/>
          <w:szCs w:val="24"/>
        </w:rPr>
        <w:t>月</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851"/>
        <w:gridCol w:w="1276"/>
        <w:gridCol w:w="5767"/>
        <w:gridCol w:w="538"/>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4" w:type="dxa"/>
            <w:noWrap w:val="0"/>
            <w:vAlign w:val="center"/>
          </w:tcPr>
          <w:p>
            <w:pPr>
              <w:widowControl/>
              <w:tabs>
                <w:tab w:val="left" w:pos="5751"/>
              </w:tabs>
              <w:spacing w:line="312" w:lineRule="auto"/>
              <w:jc w:val="center"/>
              <w:rPr>
                <w:rFonts w:ascii="黑体" w:hAnsi="黑体" w:eastAsia="黑体" w:cs="Times New Roman"/>
                <w:bCs/>
                <w:kern w:val="0"/>
                <w:sz w:val="24"/>
              </w:rPr>
            </w:pPr>
            <w:r>
              <w:rPr>
                <w:rFonts w:hint="eastAsia" w:ascii="黑体" w:hAnsi="黑体" w:eastAsia="黑体" w:cs="Times New Roman"/>
                <w:bCs/>
                <w:kern w:val="0"/>
                <w:sz w:val="24"/>
              </w:rPr>
              <w:t>序号</w:t>
            </w:r>
          </w:p>
        </w:tc>
        <w:tc>
          <w:tcPr>
            <w:tcW w:w="851" w:type="dxa"/>
            <w:noWrap w:val="0"/>
            <w:vAlign w:val="center"/>
          </w:tcPr>
          <w:p>
            <w:pPr>
              <w:widowControl/>
              <w:tabs>
                <w:tab w:val="left" w:pos="5751"/>
              </w:tabs>
              <w:spacing w:line="312" w:lineRule="auto"/>
              <w:jc w:val="center"/>
              <w:rPr>
                <w:rFonts w:ascii="黑体" w:hAnsi="黑体" w:eastAsia="黑体" w:cs="Times New Roman"/>
                <w:bCs/>
                <w:kern w:val="0"/>
                <w:sz w:val="24"/>
              </w:rPr>
            </w:pPr>
            <w:r>
              <w:rPr>
                <w:rFonts w:hint="eastAsia" w:ascii="黑体" w:hAnsi="黑体" w:eastAsia="黑体" w:cs="Times New Roman"/>
                <w:bCs/>
                <w:kern w:val="0"/>
                <w:sz w:val="24"/>
              </w:rPr>
              <w:t>项目</w:t>
            </w:r>
          </w:p>
        </w:tc>
        <w:tc>
          <w:tcPr>
            <w:tcW w:w="7043" w:type="dxa"/>
            <w:gridSpan w:val="2"/>
            <w:noWrap w:val="0"/>
            <w:vAlign w:val="center"/>
          </w:tcPr>
          <w:p>
            <w:pPr>
              <w:widowControl/>
              <w:tabs>
                <w:tab w:val="left" w:pos="5751"/>
              </w:tabs>
              <w:spacing w:line="312" w:lineRule="auto"/>
              <w:jc w:val="center"/>
              <w:rPr>
                <w:rFonts w:ascii="黑体" w:hAnsi="黑体" w:eastAsia="黑体" w:cs="Times New Roman"/>
                <w:bCs/>
                <w:kern w:val="0"/>
                <w:sz w:val="24"/>
              </w:rPr>
            </w:pPr>
            <w:r>
              <w:rPr>
                <w:rFonts w:hint="eastAsia" w:ascii="黑体" w:hAnsi="黑体" w:eastAsia="黑体" w:cs="Times New Roman"/>
                <w:bCs/>
                <w:kern w:val="0"/>
                <w:sz w:val="24"/>
              </w:rPr>
              <w:t>评分细则</w:t>
            </w:r>
          </w:p>
        </w:tc>
        <w:tc>
          <w:tcPr>
            <w:tcW w:w="538" w:type="dxa"/>
            <w:noWrap w:val="0"/>
            <w:vAlign w:val="top"/>
          </w:tcPr>
          <w:p>
            <w:pPr>
              <w:widowControl/>
              <w:tabs>
                <w:tab w:val="left" w:pos="5751"/>
              </w:tabs>
              <w:spacing w:line="312" w:lineRule="auto"/>
              <w:jc w:val="center"/>
              <w:rPr>
                <w:rFonts w:ascii="黑体" w:hAnsi="黑体" w:eastAsia="黑体" w:cs="Times New Roman"/>
                <w:bCs/>
                <w:kern w:val="0"/>
                <w:sz w:val="24"/>
              </w:rPr>
            </w:pPr>
            <w:r>
              <w:rPr>
                <w:rFonts w:hint="eastAsia" w:ascii="黑体" w:hAnsi="黑体" w:eastAsia="黑体" w:cs="Times New Roman"/>
                <w:bCs/>
                <w:kern w:val="0"/>
                <w:sz w:val="24"/>
              </w:rPr>
              <w:t>扣分</w:t>
            </w:r>
          </w:p>
        </w:tc>
        <w:tc>
          <w:tcPr>
            <w:tcW w:w="538" w:type="dxa"/>
            <w:noWrap w:val="0"/>
            <w:vAlign w:val="center"/>
          </w:tcPr>
          <w:p>
            <w:pPr>
              <w:widowControl/>
              <w:tabs>
                <w:tab w:val="left" w:pos="5751"/>
              </w:tabs>
              <w:spacing w:line="312" w:lineRule="auto"/>
              <w:jc w:val="center"/>
              <w:rPr>
                <w:rFonts w:ascii="黑体" w:hAnsi="黑体" w:eastAsia="黑体" w:cs="Times New Roman"/>
                <w:bCs/>
                <w:kern w:val="0"/>
                <w:sz w:val="24"/>
              </w:rPr>
            </w:pPr>
            <w:r>
              <w:rPr>
                <w:rFonts w:hint="eastAsia" w:ascii="黑体" w:hAnsi="黑体" w:eastAsia="黑体" w:cs="Times New Roman"/>
                <w:bCs/>
                <w:kern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4" w:type="dxa"/>
            <w:vMerge w:val="restart"/>
            <w:noWrap w:val="0"/>
            <w:vAlign w:val="center"/>
          </w:tcPr>
          <w:p>
            <w:pPr>
              <w:widowControl/>
              <w:tabs>
                <w:tab w:val="left" w:pos="5751"/>
              </w:tabs>
              <w:spacing w:line="312" w:lineRule="auto"/>
              <w:jc w:val="center"/>
              <w:rPr>
                <w:rFonts w:ascii="仿宋_GB2312" w:hAnsi="仿宋" w:eastAsia="仿宋_GB2312" w:cs="Times New Roman"/>
                <w:b/>
                <w:bCs/>
                <w:kern w:val="0"/>
                <w:sz w:val="24"/>
              </w:rPr>
            </w:pPr>
            <w:r>
              <w:rPr>
                <w:rFonts w:hint="eastAsia" w:ascii="仿宋_GB2312" w:hAnsi="仿宋" w:eastAsia="仿宋_GB2312" w:cs="Times New Roman"/>
                <w:b/>
                <w:bCs/>
                <w:kern w:val="0"/>
                <w:sz w:val="24"/>
              </w:rPr>
              <w:t>1</w:t>
            </w:r>
          </w:p>
        </w:tc>
        <w:tc>
          <w:tcPr>
            <w:tcW w:w="851" w:type="dxa"/>
            <w:vMerge w:val="restart"/>
            <w:noWrap w:val="0"/>
            <w:vAlign w:val="center"/>
          </w:tcPr>
          <w:p>
            <w:pPr>
              <w:widowControl/>
              <w:tabs>
                <w:tab w:val="left" w:pos="5751"/>
              </w:tabs>
              <w:spacing w:line="312" w:lineRule="auto"/>
              <w:jc w:val="center"/>
              <w:rPr>
                <w:rFonts w:hint="eastAsia" w:ascii="仿宋_GB2312" w:hAnsi="仿宋" w:eastAsia="仿宋_GB2312" w:cs="Times New Roman"/>
                <w:b/>
                <w:bCs/>
                <w:kern w:val="0"/>
                <w:sz w:val="24"/>
                <w:lang w:eastAsia="zh-CN"/>
              </w:rPr>
            </w:pPr>
            <w:r>
              <w:rPr>
                <w:rFonts w:hint="eastAsia" w:ascii="仿宋_GB2312" w:hAnsi="仿宋" w:eastAsia="仿宋_GB2312" w:cs="Times New Roman"/>
                <w:b/>
                <w:bCs/>
                <w:kern w:val="0"/>
                <w:sz w:val="24"/>
              </w:rPr>
              <w:t>服务质量</w:t>
            </w:r>
          </w:p>
          <w:p>
            <w:pPr>
              <w:widowControl/>
              <w:tabs>
                <w:tab w:val="left" w:pos="5751"/>
              </w:tabs>
              <w:spacing w:line="312" w:lineRule="auto"/>
              <w:jc w:val="center"/>
              <w:rPr>
                <w:rFonts w:ascii="仿宋_GB2312" w:hAnsi="仿宋" w:eastAsia="仿宋_GB2312" w:cs="Times New Roman"/>
                <w:b/>
                <w:bCs/>
                <w:kern w:val="0"/>
                <w:sz w:val="24"/>
              </w:rPr>
            </w:pPr>
            <w:r>
              <w:rPr>
                <w:rFonts w:hint="eastAsia" w:ascii="仿宋_GB2312" w:hAnsi="仿宋" w:eastAsia="仿宋_GB2312" w:cs="Times New Roman"/>
                <w:b/>
                <w:bCs/>
                <w:kern w:val="0"/>
                <w:sz w:val="24"/>
              </w:rPr>
              <w:t>（60分）</w:t>
            </w:r>
          </w:p>
        </w:tc>
        <w:tc>
          <w:tcPr>
            <w:tcW w:w="1276" w:type="dxa"/>
            <w:noWrap w:val="0"/>
            <w:vAlign w:val="center"/>
          </w:tcPr>
          <w:p>
            <w:pPr>
              <w:widowControl/>
              <w:tabs>
                <w:tab w:val="left" w:pos="5751"/>
              </w:tabs>
              <w:adjustRightInd w:val="0"/>
              <w:snapToGrid w:val="0"/>
              <w:spacing w:line="300" w:lineRule="exact"/>
              <w:jc w:val="left"/>
              <w:rPr>
                <w:rFonts w:ascii="宋体" w:hAnsi="宋体" w:eastAsia="宋体" w:cs="Times New Roman"/>
                <w:kern w:val="0"/>
                <w:szCs w:val="21"/>
              </w:rPr>
            </w:pPr>
            <w:r>
              <w:rPr>
                <w:rFonts w:hint="eastAsia" w:ascii="宋体" w:hAnsi="宋体" w:eastAsia="宋体" w:cs="Times New Roman"/>
                <w:kern w:val="0"/>
                <w:szCs w:val="21"/>
              </w:rPr>
              <w:t>系统建设实施（10分）</w:t>
            </w:r>
          </w:p>
        </w:tc>
        <w:tc>
          <w:tcPr>
            <w:tcW w:w="5767" w:type="dxa"/>
            <w:noWrap w:val="0"/>
            <w:vAlign w:val="center"/>
          </w:tcPr>
          <w:p>
            <w:pPr>
              <w:widowControl/>
              <w:tabs>
                <w:tab w:val="left" w:pos="5751"/>
              </w:tabs>
              <w:adjustRightInd w:val="0"/>
              <w:snapToGrid w:val="0"/>
              <w:spacing w:line="300" w:lineRule="exact"/>
              <w:jc w:val="left"/>
              <w:rPr>
                <w:rFonts w:ascii="仿宋_GB2312" w:hAnsi="仿宋" w:eastAsia="仿宋_GB2312" w:cs="Times New Roman"/>
                <w:kern w:val="0"/>
                <w:szCs w:val="21"/>
              </w:rPr>
            </w:pP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1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①</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未按时限完成任务，每次扣2分。</w:t>
            </w:r>
          </w:p>
          <w:p>
            <w:pPr>
              <w:widowControl/>
              <w:tabs>
                <w:tab w:val="left" w:pos="5751"/>
              </w:tabs>
              <w:adjustRightInd w:val="0"/>
              <w:snapToGrid w:val="0"/>
              <w:spacing w:line="300" w:lineRule="exact"/>
              <w:jc w:val="left"/>
              <w:rPr>
                <w:rFonts w:ascii="仿宋_GB2312" w:hAnsi="仿宋" w:eastAsia="仿宋_GB2312" w:cs="Times New Roman"/>
                <w:kern w:val="0"/>
                <w:szCs w:val="21"/>
              </w:rPr>
            </w:pP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2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②</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代码及其版本管理不善（丢失、混乱），每系统扣1分。</w:t>
            </w:r>
          </w:p>
        </w:tc>
        <w:tc>
          <w:tcPr>
            <w:tcW w:w="538" w:type="dxa"/>
            <w:noWrap w:val="0"/>
            <w:vAlign w:val="top"/>
          </w:tcPr>
          <w:p>
            <w:pPr>
              <w:widowControl/>
              <w:tabs>
                <w:tab w:val="left" w:pos="5751"/>
              </w:tabs>
              <w:spacing w:line="312" w:lineRule="auto"/>
              <w:jc w:val="left"/>
              <w:rPr>
                <w:rFonts w:ascii="仿宋_GB2312" w:hAnsi="仿宋" w:eastAsia="仿宋_GB2312" w:cs="Times New Roman"/>
                <w:kern w:val="0"/>
                <w:sz w:val="24"/>
              </w:rPr>
            </w:pPr>
          </w:p>
        </w:tc>
        <w:tc>
          <w:tcPr>
            <w:tcW w:w="538" w:type="dxa"/>
            <w:vMerge w:val="restart"/>
            <w:noWrap w:val="0"/>
            <w:vAlign w:val="center"/>
          </w:tcPr>
          <w:p>
            <w:pPr>
              <w:widowControl/>
              <w:tabs>
                <w:tab w:val="left" w:pos="5751"/>
              </w:tabs>
              <w:spacing w:line="312" w:lineRule="auto"/>
              <w:jc w:val="left"/>
              <w:rPr>
                <w:rFonts w:ascii="仿宋_GB2312" w:hAnsi="仿宋" w:eastAsia="仿宋_GB2312" w:cs="Times New Roman"/>
                <w:kern w:val="0"/>
                <w:sz w:val="24"/>
              </w:rPr>
            </w:pPr>
            <w:r>
              <w:rPr>
                <w:rFonts w:hint="eastAsia" w:ascii="仿宋_GB2312" w:hAnsi="仿宋"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4"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851"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1276" w:type="dxa"/>
            <w:noWrap w:val="0"/>
            <w:vAlign w:val="center"/>
          </w:tcPr>
          <w:p>
            <w:pPr>
              <w:widowControl/>
              <w:tabs>
                <w:tab w:val="left" w:pos="5751"/>
              </w:tabs>
              <w:adjustRightInd w:val="0"/>
              <w:snapToGrid w:val="0"/>
              <w:spacing w:line="300" w:lineRule="exact"/>
              <w:jc w:val="left"/>
              <w:rPr>
                <w:rFonts w:ascii="宋体" w:hAnsi="宋体" w:eastAsia="宋体" w:cs="Times New Roman"/>
                <w:kern w:val="0"/>
                <w:szCs w:val="21"/>
              </w:rPr>
            </w:pPr>
            <w:r>
              <w:rPr>
                <w:rFonts w:hint="eastAsia" w:ascii="宋体" w:hAnsi="宋体" w:eastAsia="宋体" w:cs="Times New Roman"/>
                <w:kern w:val="0"/>
                <w:szCs w:val="21"/>
              </w:rPr>
              <w:t>系统运维管理（15分）</w:t>
            </w:r>
          </w:p>
        </w:tc>
        <w:tc>
          <w:tcPr>
            <w:tcW w:w="5767" w:type="dxa"/>
            <w:noWrap w:val="0"/>
            <w:vAlign w:val="center"/>
          </w:tcPr>
          <w:p>
            <w:pPr>
              <w:widowControl/>
              <w:tabs>
                <w:tab w:val="left" w:pos="5751"/>
              </w:tabs>
              <w:adjustRightInd w:val="0"/>
              <w:snapToGrid w:val="0"/>
              <w:spacing w:line="300" w:lineRule="exact"/>
              <w:rPr>
                <w:rFonts w:ascii="仿宋_GB2312" w:hAnsi="仿宋" w:eastAsia="仿宋_GB2312" w:cs="Times New Roman"/>
                <w:kern w:val="0"/>
                <w:szCs w:val="21"/>
              </w:rPr>
            </w:pP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1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①</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用户手册、常见问题集、配置档案和维护记录等缺失的，每系统扣2分；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2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②</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用户权限设置不当，用超级管理员或他人账号运维的，每系统扣2分；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3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③</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系统、中间件、账号使用弱口令的，每系统扣2分；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4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④</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被用户投诉的，每次扣5分；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5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⑤</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维护不善导致系统故障、业务中断的，每次扣5分；</w:t>
            </w:r>
            <w:r>
              <w:rPr>
                <w:rFonts w:hint="eastAsia" w:ascii="华文宋体" w:hAnsi="华文宋体" w:eastAsia="华文宋体" w:cs="华文宋体"/>
                <w:kern w:val="0"/>
                <w:szCs w:val="21"/>
              </w:rPr>
              <w:fldChar w:fldCharType="begin"/>
            </w:r>
            <w:r>
              <w:rPr>
                <w:rFonts w:hint="eastAsia" w:ascii="华文宋体" w:hAnsi="华文宋体" w:eastAsia="华文宋体" w:cs="华文宋体"/>
                <w:kern w:val="0"/>
                <w:szCs w:val="21"/>
              </w:rPr>
              <w:instrText xml:space="preserve"> = 6 \* GB3 \* MERGEFORMAT </w:instrText>
            </w:r>
            <w:r>
              <w:rPr>
                <w:rFonts w:hint="eastAsia" w:ascii="华文宋体" w:hAnsi="华文宋体" w:eastAsia="华文宋体" w:cs="华文宋体"/>
                <w:kern w:val="0"/>
                <w:szCs w:val="21"/>
              </w:rPr>
              <w:fldChar w:fldCharType="separate"/>
            </w:r>
            <w:r>
              <w:rPr>
                <w:rFonts w:hint="eastAsia" w:ascii="宋体" w:hAnsi="宋体" w:eastAsia="宋体" w:cs="宋体"/>
              </w:rPr>
              <w:t>⑥</w:t>
            </w:r>
            <w:r>
              <w:rPr>
                <w:rFonts w:hint="eastAsia" w:ascii="华文宋体" w:hAnsi="华文宋体" w:eastAsia="华文宋体" w:cs="华文宋体"/>
                <w:kern w:val="0"/>
                <w:szCs w:val="21"/>
              </w:rPr>
              <w:fldChar w:fldCharType="end"/>
            </w:r>
            <w:r>
              <w:rPr>
                <w:rFonts w:hint="eastAsia" w:ascii="仿宋_GB2312" w:hAnsi="仿宋" w:eastAsia="仿宋_GB2312" w:cs="Times New Roman"/>
                <w:kern w:val="0"/>
                <w:szCs w:val="21"/>
              </w:rPr>
              <w:t>未按要求及时更新网站信息的，每次扣0.5分；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7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⑦</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未及时答复或处理用户问题的，每次扣1分。</w:t>
            </w:r>
          </w:p>
        </w:tc>
        <w:tc>
          <w:tcPr>
            <w:tcW w:w="538" w:type="dxa"/>
            <w:noWrap w:val="0"/>
            <w:vAlign w:val="top"/>
          </w:tcPr>
          <w:p>
            <w:pPr>
              <w:widowControl/>
              <w:tabs>
                <w:tab w:val="left" w:pos="5751"/>
              </w:tabs>
              <w:spacing w:line="312" w:lineRule="auto"/>
              <w:jc w:val="left"/>
              <w:rPr>
                <w:rFonts w:ascii="仿宋_GB2312" w:hAnsi="仿宋" w:eastAsia="仿宋_GB2312" w:cs="Times New Roman"/>
                <w:kern w:val="0"/>
                <w:sz w:val="24"/>
              </w:rPr>
            </w:pPr>
          </w:p>
        </w:tc>
        <w:tc>
          <w:tcPr>
            <w:tcW w:w="538" w:type="dxa"/>
            <w:vMerge w:val="continue"/>
            <w:noWrap w:val="0"/>
            <w:vAlign w:val="center"/>
          </w:tcPr>
          <w:p>
            <w:pPr>
              <w:widowControl/>
              <w:tabs>
                <w:tab w:val="left" w:pos="5751"/>
              </w:tabs>
              <w:spacing w:line="312" w:lineRule="auto"/>
              <w:jc w:val="left"/>
              <w:rPr>
                <w:rFonts w:ascii="仿宋_GB2312" w:hAnsi="仿宋"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4"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851"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1276" w:type="dxa"/>
            <w:noWrap w:val="0"/>
            <w:vAlign w:val="center"/>
          </w:tcPr>
          <w:p>
            <w:pPr>
              <w:widowControl/>
              <w:tabs>
                <w:tab w:val="left" w:pos="5751"/>
              </w:tabs>
              <w:adjustRightInd w:val="0"/>
              <w:snapToGrid w:val="0"/>
              <w:spacing w:line="300" w:lineRule="exact"/>
              <w:jc w:val="left"/>
              <w:rPr>
                <w:rFonts w:ascii="宋体" w:hAnsi="宋体" w:eastAsia="宋体" w:cs="Times New Roman"/>
                <w:kern w:val="0"/>
                <w:szCs w:val="21"/>
              </w:rPr>
            </w:pPr>
            <w:r>
              <w:rPr>
                <w:rFonts w:hint="eastAsia" w:ascii="宋体" w:hAnsi="宋体" w:eastAsia="宋体" w:cs="Times New Roman"/>
                <w:kern w:val="0"/>
                <w:szCs w:val="21"/>
              </w:rPr>
              <w:t>硬件设备管理（10分）</w:t>
            </w:r>
          </w:p>
        </w:tc>
        <w:tc>
          <w:tcPr>
            <w:tcW w:w="5767" w:type="dxa"/>
            <w:noWrap w:val="0"/>
            <w:vAlign w:val="center"/>
          </w:tcPr>
          <w:p>
            <w:pPr>
              <w:widowControl/>
              <w:tabs>
                <w:tab w:val="left" w:pos="5751"/>
              </w:tabs>
              <w:adjustRightInd w:val="0"/>
              <w:snapToGrid w:val="0"/>
              <w:spacing w:line="300" w:lineRule="exact"/>
              <w:jc w:val="left"/>
              <w:rPr>
                <w:rFonts w:ascii="仿宋_GB2312" w:hAnsi="仿宋" w:eastAsia="仿宋_GB2312" w:cs="Times New Roman"/>
                <w:kern w:val="0"/>
                <w:szCs w:val="21"/>
              </w:rPr>
            </w:pP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1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①</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维护不善，出现设备故障导致业务中断的，每次扣5分。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2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②</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设备手册、配置档案和巡检、维护记录等缺失的，每设备扣0.5分；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3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③</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使用弱口令的，每设备扣0.5分；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4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④</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耗材和配件供应不及时，造成故障或被投诉的，每次扣2分</w:t>
            </w:r>
          </w:p>
        </w:tc>
        <w:tc>
          <w:tcPr>
            <w:tcW w:w="538" w:type="dxa"/>
            <w:noWrap w:val="0"/>
            <w:vAlign w:val="top"/>
          </w:tcPr>
          <w:p>
            <w:pPr>
              <w:widowControl/>
              <w:tabs>
                <w:tab w:val="left" w:pos="5751"/>
              </w:tabs>
              <w:spacing w:line="312" w:lineRule="auto"/>
              <w:jc w:val="left"/>
              <w:rPr>
                <w:rFonts w:ascii="仿宋_GB2312" w:hAnsi="仿宋" w:eastAsia="仿宋_GB2312" w:cs="Times New Roman"/>
                <w:kern w:val="0"/>
                <w:sz w:val="24"/>
              </w:rPr>
            </w:pPr>
          </w:p>
        </w:tc>
        <w:tc>
          <w:tcPr>
            <w:tcW w:w="538" w:type="dxa"/>
            <w:vMerge w:val="continue"/>
            <w:noWrap w:val="0"/>
            <w:vAlign w:val="center"/>
          </w:tcPr>
          <w:p>
            <w:pPr>
              <w:widowControl/>
              <w:tabs>
                <w:tab w:val="left" w:pos="5751"/>
              </w:tabs>
              <w:spacing w:line="312" w:lineRule="auto"/>
              <w:jc w:val="left"/>
              <w:rPr>
                <w:rFonts w:ascii="仿宋_GB2312" w:hAnsi="仿宋"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4"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851"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1276" w:type="dxa"/>
            <w:noWrap w:val="0"/>
            <w:vAlign w:val="center"/>
          </w:tcPr>
          <w:p>
            <w:pPr>
              <w:widowControl/>
              <w:tabs>
                <w:tab w:val="left" w:pos="5751"/>
              </w:tabs>
              <w:adjustRightInd w:val="0"/>
              <w:snapToGrid w:val="0"/>
              <w:spacing w:line="300" w:lineRule="exact"/>
              <w:jc w:val="left"/>
              <w:rPr>
                <w:rFonts w:ascii="宋体" w:hAnsi="宋体" w:eastAsia="宋体" w:cs="Times New Roman"/>
                <w:kern w:val="0"/>
                <w:szCs w:val="21"/>
              </w:rPr>
            </w:pPr>
            <w:r>
              <w:rPr>
                <w:rFonts w:hint="eastAsia" w:ascii="宋体" w:hAnsi="宋体" w:eastAsia="宋体" w:cs="Times New Roman"/>
                <w:kern w:val="0"/>
                <w:szCs w:val="21"/>
              </w:rPr>
              <w:t>网络安全管理（15分）</w:t>
            </w:r>
          </w:p>
        </w:tc>
        <w:tc>
          <w:tcPr>
            <w:tcW w:w="5767" w:type="dxa"/>
            <w:noWrap w:val="0"/>
            <w:vAlign w:val="center"/>
          </w:tcPr>
          <w:p>
            <w:pPr>
              <w:widowControl/>
              <w:tabs>
                <w:tab w:val="left" w:pos="5751"/>
              </w:tabs>
              <w:adjustRightInd w:val="0"/>
              <w:snapToGrid w:val="0"/>
              <w:spacing w:line="300" w:lineRule="exact"/>
              <w:jc w:val="left"/>
              <w:rPr>
                <w:rFonts w:ascii="仿宋_GB2312" w:hAnsi="仿宋" w:eastAsia="仿宋_GB2312" w:cs="Times New Roman"/>
                <w:kern w:val="0"/>
                <w:szCs w:val="21"/>
              </w:rPr>
            </w:pP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1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①</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未按要求定期进行木马病毒查杀、风险评估的，每次扣1分；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2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②</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不遵守自治区财政厅安全运维管理制度，违规操作的，每次扣3分；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3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③</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安全设施（系统）用户手册、配置档案和维护记录等缺失的，每项扣2分；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4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④</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监控预警不到位，未能及时发现并处理网络异常情况的，每次扣1分</w:t>
            </w:r>
          </w:p>
        </w:tc>
        <w:tc>
          <w:tcPr>
            <w:tcW w:w="538" w:type="dxa"/>
            <w:noWrap w:val="0"/>
            <w:vAlign w:val="top"/>
          </w:tcPr>
          <w:p>
            <w:pPr>
              <w:widowControl/>
              <w:tabs>
                <w:tab w:val="left" w:pos="5751"/>
              </w:tabs>
              <w:spacing w:line="312" w:lineRule="auto"/>
              <w:jc w:val="left"/>
              <w:rPr>
                <w:rFonts w:ascii="仿宋_GB2312" w:hAnsi="仿宋" w:eastAsia="仿宋_GB2312" w:cs="Times New Roman"/>
                <w:kern w:val="0"/>
                <w:sz w:val="24"/>
              </w:rPr>
            </w:pPr>
          </w:p>
        </w:tc>
        <w:tc>
          <w:tcPr>
            <w:tcW w:w="538" w:type="dxa"/>
            <w:vMerge w:val="continue"/>
            <w:noWrap w:val="0"/>
            <w:vAlign w:val="center"/>
          </w:tcPr>
          <w:p>
            <w:pPr>
              <w:widowControl/>
              <w:tabs>
                <w:tab w:val="left" w:pos="5751"/>
              </w:tabs>
              <w:spacing w:line="312" w:lineRule="auto"/>
              <w:jc w:val="left"/>
              <w:rPr>
                <w:rFonts w:ascii="仿宋_GB2312" w:hAnsi="仿宋"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4"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851"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1276" w:type="dxa"/>
            <w:vMerge w:val="restart"/>
            <w:noWrap w:val="0"/>
            <w:vAlign w:val="center"/>
          </w:tcPr>
          <w:p>
            <w:pPr>
              <w:widowControl/>
              <w:tabs>
                <w:tab w:val="left" w:pos="5751"/>
              </w:tabs>
              <w:adjustRightInd w:val="0"/>
              <w:snapToGrid w:val="0"/>
              <w:spacing w:line="300" w:lineRule="exact"/>
              <w:jc w:val="left"/>
              <w:rPr>
                <w:rFonts w:ascii="宋体" w:hAnsi="宋体" w:eastAsia="宋体" w:cs="Times New Roman"/>
                <w:kern w:val="0"/>
                <w:szCs w:val="21"/>
              </w:rPr>
            </w:pPr>
            <w:r>
              <w:rPr>
                <w:rFonts w:hint="eastAsia" w:ascii="宋体" w:hAnsi="宋体" w:eastAsia="宋体" w:cs="Times New Roman"/>
                <w:kern w:val="0"/>
                <w:szCs w:val="21"/>
              </w:rPr>
              <w:t>24小时值班备勤（5分）</w:t>
            </w:r>
          </w:p>
        </w:tc>
        <w:tc>
          <w:tcPr>
            <w:tcW w:w="5767" w:type="dxa"/>
            <w:vMerge w:val="restart"/>
            <w:noWrap w:val="0"/>
            <w:vAlign w:val="center"/>
          </w:tcPr>
          <w:p>
            <w:pPr>
              <w:widowControl/>
              <w:tabs>
                <w:tab w:val="left" w:pos="5751"/>
              </w:tabs>
              <w:adjustRightInd w:val="0"/>
              <w:snapToGrid w:val="0"/>
              <w:spacing w:line="300" w:lineRule="exact"/>
              <w:jc w:val="left"/>
              <w:rPr>
                <w:rFonts w:ascii="仿宋_GB2312" w:hAnsi="仿宋" w:eastAsia="仿宋_GB2312" w:cs="Times New Roman"/>
                <w:kern w:val="0"/>
                <w:szCs w:val="21"/>
              </w:rPr>
            </w:pP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1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①</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值班记录不规范、不完整或事件记录不详细的，每次扣0.5分；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2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②</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不及时接听值班电话的，每次扣0.5分；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3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③</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值班人员无故离岗的，每次扣2分；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4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④</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未及时发现并按程序处理异常情况的，每次扣2分；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5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⑤</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未做好交接班工作的，每次扣2分</w:t>
            </w:r>
          </w:p>
        </w:tc>
        <w:tc>
          <w:tcPr>
            <w:tcW w:w="538" w:type="dxa"/>
            <w:noWrap w:val="0"/>
            <w:vAlign w:val="top"/>
          </w:tcPr>
          <w:p>
            <w:pPr>
              <w:widowControl/>
              <w:tabs>
                <w:tab w:val="left" w:pos="5751"/>
              </w:tabs>
              <w:spacing w:line="312" w:lineRule="auto"/>
              <w:jc w:val="left"/>
              <w:rPr>
                <w:rFonts w:ascii="仿宋_GB2312" w:hAnsi="仿宋" w:eastAsia="仿宋_GB2312" w:cs="Times New Roman"/>
                <w:kern w:val="0"/>
                <w:sz w:val="24"/>
              </w:rPr>
            </w:pPr>
          </w:p>
        </w:tc>
        <w:tc>
          <w:tcPr>
            <w:tcW w:w="538" w:type="dxa"/>
            <w:vMerge w:val="continue"/>
            <w:noWrap w:val="0"/>
            <w:vAlign w:val="center"/>
          </w:tcPr>
          <w:p>
            <w:pPr>
              <w:widowControl/>
              <w:tabs>
                <w:tab w:val="left" w:pos="5751"/>
              </w:tabs>
              <w:spacing w:line="312" w:lineRule="auto"/>
              <w:jc w:val="left"/>
              <w:rPr>
                <w:rFonts w:ascii="仿宋_GB2312" w:hAnsi="仿宋"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4"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851"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1276" w:type="dxa"/>
            <w:vMerge w:val="continue"/>
            <w:noWrap w:val="0"/>
            <w:vAlign w:val="center"/>
          </w:tcPr>
          <w:p>
            <w:pPr>
              <w:widowControl/>
              <w:tabs>
                <w:tab w:val="left" w:pos="5751"/>
              </w:tabs>
              <w:adjustRightInd w:val="0"/>
              <w:snapToGrid w:val="0"/>
              <w:spacing w:line="300" w:lineRule="exact"/>
              <w:jc w:val="left"/>
              <w:rPr>
                <w:rFonts w:ascii="宋体" w:hAnsi="宋体" w:eastAsia="宋体" w:cs="Times New Roman"/>
                <w:kern w:val="0"/>
                <w:szCs w:val="21"/>
              </w:rPr>
            </w:pPr>
          </w:p>
        </w:tc>
        <w:tc>
          <w:tcPr>
            <w:tcW w:w="5767" w:type="dxa"/>
            <w:vMerge w:val="continue"/>
            <w:noWrap w:val="0"/>
            <w:vAlign w:val="center"/>
          </w:tcPr>
          <w:p>
            <w:pPr>
              <w:widowControl/>
              <w:tabs>
                <w:tab w:val="left" w:pos="5751"/>
              </w:tabs>
              <w:adjustRightInd w:val="0"/>
              <w:snapToGrid w:val="0"/>
              <w:spacing w:line="300" w:lineRule="exact"/>
              <w:jc w:val="left"/>
              <w:rPr>
                <w:rFonts w:ascii="仿宋_GB2312" w:hAnsi="仿宋" w:eastAsia="仿宋_GB2312" w:cs="Times New Roman"/>
                <w:kern w:val="0"/>
                <w:szCs w:val="21"/>
              </w:rPr>
            </w:pPr>
          </w:p>
        </w:tc>
        <w:tc>
          <w:tcPr>
            <w:tcW w:w="538" w:type="dxa"/>
            <w:noWrap w:val="0"/>
            <w:vAlign w:val="top"/>
          </w:tcPr>
          <w:p>
            <w:pPr>
              <w:widowControl/>
              <w:tabs>
                <w:tab w:val="left" w:pos="5751"/>
              </w:tabs>
              <w:spacing w:line="312" w:lineRule="auto"/>
              <w:jc w:val="left"/>
              <w:rPr>
                <w:rFonts w:ascii="仿宋_GB2312" w:hAnsi="仿宋" w:eastAsia="仿宋_GB2312" w:cs="Times New Roman"/>
                <w:kern w:val="0"/>
                <w:sz w:val="24"/>
              </w:rPr>
            </w:pPr>
          </w:p>
        </w:tc>
        <w:tc>
          <w:tcPr>
            <w:tcW w:w="538" w:type="dxa"/>
            <w:vMerge w:val="continue"/>
            <w:noWrap w:val="0"/>
            <w:vAlign w:val="center"/>
          </w:tcPr>
          <w:p>
            <w:pPr>
              <w:widowControl/>
              <w:tabs>
                <w:tab w:val="left" w:pos="5751"/>
              </w:tabs>
              <w:spacing w:line="312" w:lineRule="auto"/>
              <w:jc w:val="left"/>
              <w:rPr>
                <w:rFonts w:ascii="仿宋_GB2312" w:hAnsi="仿宋"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4"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851"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1276" w:type="dxa"/>
            <w:noWrap w:val="0"/>
            <w:vAlign w:val="center"/>
          </w:tcPr>
          <w:p>
            <w:pPr>
              <w:widowControl/>
              <w:tabs>
                <w:tab w:val="left" w:pos="5751"/>
              </w:tabs>
              <w:adjustRightInd w:val="0"/>
              <w:snapToGrid w:val="0"/>
              <w:spacing w:line="300" w:lineRule="exact"/>
              <w:jc w:val="left"/>
              <w:rPr>
                <w:rFonts w:ascii="宋体" w:hAnsi="宋体" w:eastAsia="宋体" w:cs="Times New Roman"/>
                <w:kern w:val="0"/>
                <w:szCs w:val="21"/>
              </w:rPr>
            </w:pPr>
            <w:r>
              <w:rPr>
                <w:rFonts w:hint="eastAsia" w:ascii="宋体" w:hAnsi="宋体" w:eastAsia="宋体" w:cs="Times New Roman"/>
                <w:kern w:val="0"/>
                <w:szCs w:val="21"/>
              </w:rPr>
              <w:t>1800热线服务（5分）</w:t>
            </w:r>
          </w:p>
        </w:tc>
        <w:tc>
          <w:tcPr>
            <w:tcW w:w="5767" w:type="dxa"/>
            <w:noWrap w:val="0"/>
            <w:vAlign w:val="center"/>
          </w:tcPr>
          <w:p>
            <w:pPr>
              <w:widowControl/>
              <w:tabs>
                <w:tab w:val="left" w:pos="5751"/>
              </w:tabs>
              <w:adjustRightInd w:val="0"/>
              <w:snapToGrid w:val="0"/>
              <w:spacing w:line="300" w:lineRule="exact"/>
              <w:jc w:val="left"/>
              <w:rPr>
                <w:rFonts w:ascii="仿宋_GB2312" w:hAnsi="仿宋" w:eastAsia="仿宋_GB2312" w:cs="Times New Roman"/>
                <w:kern w:val="0"/>
                <w:szCs w:val="21"/>
              </w:rPr>
            </w:pP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1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①</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未按要求建立工单或工单记录不规范、不详细的，每次扣0.2分；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2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②</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不及时处理工单的，每次扣0.2分；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3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③</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值班人员无故离岗的，每次扣0.5分；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4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④</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不及时接听电话的，每次扣0.2分；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5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⑤</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被用户投诉的，每次扣0.5分</w:t>
            </w:r>
          </w:p>
        </w:tc>
        <w:tc>
          <w:tcPr>
            <w:tcW w:w="538" w:type="dxa"/>
            <w:noWrap w:val="0"/>
            <w:vAlign w:val="top"/>
          </w:tcPr>
          <w:p>
            <w:pPr>
              <w:widowControl/>
              <w:tabs>
                <w:tab w:val="left" w:pos="5751"/>
              </w:tabs>
              <w:spacing w:line="312" w:lineRule="auto"/>
              <w:jc w:val="left"/>
              <w:rPr>
                <w:rFonts w:ascii="仿宋_GB2312" w:hAnsi="仿宋" w:eastAsia="仿宋_GB2312" w:cs="Times New Roman"/>
                <w:kern w:val="0"/>
                <w:sz w:val="24"/>
              </w:rPr>
            </w:pPr>
          </w:p>
        </w:tc>
        <w:tc>
          <w:tcPr>
            <w:tcW w:w="538" w:type="dxa"/>
            <w:vMerge w:val="continue"/>
            <w:noWrap w:val="0"/>
            <w:vAlign w:val="center"/>
          </w:tcPr>
          <w:p>
            <w:pPr>
              <w:widowControl/>
              <w:tabs>
                <w:tab w:val="left" w:pos="5751"/>
              </w:tabs>
              <w:spacing w:line="312" w:lineRule="auto"/>
              <w:jc w:val="left"/>
              <w:rPr>
                <w:rFonts w:ascii="仿宋_GB2312" w:hAnsi="仿宋"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4" w:type="dxa"/>
            <w:vMerge w:val="restart"/>
            <w:noWrap w:val="0"/>
            <w:vAlign w:val="center"/>
          </w:tcPr>
          <w:p>
            <w:pPr>
              <w:widowControl/>
              <w:tabs>
                <w:tab w:val="left" w:pos="5751"/>
              </w:tabs>
              <w:spacing w:line="312" w:lineRule="auto"/>
              <w:jc w:val="center"/>
              <w:rPr>
                <w:rFonts w:ascii="仿宋_GB2312" w:hAnsi="仿宋" w:eastAsia="仿宋_GB2312" w:cs="Times New Roman"/>
                <w:b/>
                <w:bCs/>
                <w:kern w:val="0"/>
                <w:sz w:val="24"/>
              </w:rPr>
            </w:pPr>
            <w:r>
              <w:rPr>
                <w:rFonts w:hint="eastAsia" w:ascii="仿宋_GB2312" w:hAnsi="仿宋" w:eastAsia="仿宋_GB2312" w:cs="Times New Roman"/>
                <w:b/>
                <w:bCs/>
                <w:kern w:val="0"/>
                <w:sz w:val="24"/>
              </w:rPr>
              <w:t>2</w:t>
            </w:r>
          </w:p>
        </w:tc>
        <w:tc>
          <w:tcPr>
            <w:tcW w:w="851" w:type="dxa"/>
            <w:vMerge w:val="restart"/>
            <w:noWrap w:val="0"/>
            <w:vAlign w:val="center"/>
          </w:tcPr>
          <w:p>
            <w:pPr>
              <w:widowControl/>
              <w:tabs>
                <w:tab w:val="left" w:pos="5751"/>
              </w:tabs>
              <w:spacing w:line="312" w:lineRule="auto"/>
              <w:jc w:val="center"/>
              <w:rPr>
                <w:rFonts w:ascii="仿宋_GB2312" w:hAnsi="仿宋" w:eastAsia="仿宋_GB2312" w:cs="Times New Roman"/>
                <w:b/>
                <w:bCs/>
                <w:kern w:val="0"/>
                <w:sz w:val="24"/>
              </w:rPr>
            </w:pPr>
            <w:r>
              <w:rPr>
                <w:rFonts w:hint="eastAsia" w:ascii="仿宋_GB2312" w:hAnsi="仿宋" w:eastAsia="仿宋_GB2312" w:cs="Times New Roman"/>
                <w:b/>
                <w:bCs/>
                <w:kern w:val="0"/>
                <w:sz w:val="24"/>
              </w:rPr>
              <w:t>人员管理（30分）</w:t>
            </w:r>
          </w:p>
        </w:tc>
        <w:tc>
          <w:tcPr>
            <w:tcW w:w="1276" w:type="dxa"/>
            <w:noWrap w:val="0"/>
            <w:vAlign w:val="center"/>
          </w:tcPr>
          <w:p>
            <w:pPr>
              <w:widowControl/>
              <w:tabs>
                <w:tab w:val="left" w:pos="5751"/>
              </w:tabs>
              <w:adjustRightInd w:val="0"/>
              <w:snapToGrid w:val="0"/>
              <w:spacing w:line="300" w:lineRule="exact"/>
              <w:jc w:val="left"/>
              <w:rPr>
                <w:rFonts w:ascii="宋体" w:hAnsi="宋体" w:eastAsia="宋体" w:cs="Times New Roman"/>
                <w:kern w:val="0"/>
                <w:szCs w:val="21"/>
              </w:rPr>
            </w:pPr>
            <w:r>
              <w:rPr>
                <w:rFonts w:hint="eastAsia" w:ascii="宋体" w:hAnsi="宋体" w:eastAsia="宋体" w:cs="Times New Roman"/>
                <w:kern w:val="0"/>
                <w:szCs w:val="21"/>
              </w:rPr>
              <w:t>工作态度</w:t>
            </w:r>
          </w:p>
          <w:p>
            <w:pPr>
              <w:widowControl/>
              <w:tabs>
                <w:tab w:val="left" w:pos="5751"/>
              </w:tabs>
              <w:adjustRightInd w:val="0"/>
              <w:snapToGrid w:val="0"/>
              <w:spacing w:line="300" w:lineRule="exact"/>
              <w:jc w:val="left"/>
              <w:rPr>
                <w:rFonts w:ascii="宋体" w:hAnsi="宋体" w:eastAsia="宋体" w:cs="Times New Roman"/>
                <w:kern w:val="0"/>
                <w:szCs w:val="21"/>
              </w:rPr>
            </w:pPr>
            <w:r>
              <w:rPr>
                <w:rFonts w:hint="eastAsia" w:ascii="宋体" w:hAnsi="宋体" w:eastAsia="宋体" w:cs="Times New Roman"/>
                <w:kern w:val="0"/>
                <w:szCs w:val="21"/>
              </w:rPr>
              <w:t>（10分）</w:t>
            </w:r>
          </w:p>
        </w:tc>
        <w:tc>
          <w:tcPr>
            <w:tcW w:w="5767" w:type="dxa"/>
            <w:noWrap w:val="0"/>
            <w:vAlign w:val="center"/>
          </w:tcPr>
          <w:p>
            <w:pPr>
              <w:widowControl/>
              <w:tabs>
                <w:tab w:val="left" w:pos="5751"/>
              </w:tabs>
              <w:adjustRightInd w:val="0"/>
              <w:snapToGrid w:val="0"/>
              <w:spacing w:line="300" w:lineRule="exact"/>
              <w:jc w:val="left"/>
              <w:rPr>
                <w:rFonts w:ascii="仿宋_GB2312" w:hAnsi="仿宋" w:eastAsia="仿宋_GB2312" w:cs="Times New Roman"/>
                <w:kern w:val="0"/>
                <w:szCs w:val="21"/>
              </w:rPr>
            </w:pPr>
            <w:r>
              <w:rPr>
                <w:rFonts w:hint="eastAsia" w:ascii="仿宋_GB2312" w:hAnsi="仿宋" w:eastAsia="仿宋_GB2312" w:cs="Times New Roman"/>
                <w:kern w:val="0"/>
                <w:szCs w:val="21"/>
              </w:rPr>
              <w:t>派驻人员</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1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①</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不服从工作安排的，每人次扣3分；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2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②</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对工作推诿、拖延的，每人次扣2分；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3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③</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工作马虎，质量低劣或出错，每人次扣3分；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4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④</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服务不规范，态度恶劣的，每人次扣3分；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5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⑤</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被用户投诉或被领导点名批评的，每人次扣5分；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6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⑥</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缺乏团队精神，合作度差的，每人次扣2分</w:t>
            </w:r>
          </w:p>
        </w:tc>
        <w:tc>
          <w:tcPr>
            <w:tcW w:w="538" w:type="dxa"/>
            <w:noWrap w:val="0"/>
            <w:vAlign w:val="top"/>
          </w:tcPr>
          <w:p>
            <w:pPr>
              <w:widowControl/>
              <w:tabs>
                <w:tab w:val="left" w:pos="5751"/>
              </w:tabs>
              <w:spacing w:line="312" w:lineRule="auto"/>
              <w:jc w:val="left"/>
              <w:rPr>
                <w:rFonts w:ascii="仿宋_GB2312" w:hAnsi="仿宋" w:eastAsia="仿宋_GB2312" w:cs="Times New Roman"/>
                <w:kern w:val="0"/>
                <w:sz w:val="24"/>
              </w:rPr>
            </w:pPr>
          </w:p>
        </w:tc>
        <w:tc>
          <w:tcPr>
            <w:tcW w:w="538" w:type="dxa"/>
            <w:vMerge w:val="restart"/>
            <w:noWrap w:val="0"/>
            <w:vAlign w:val="center"/>
          </w:tcPr>
          <w:p>
            <w:pPr>
              <w:widowControl/>
              <w:tabs>
                <w:tab w:val="left" w:pos="5751"/>
              </w:tabs>
              <w:spacing w:line="312" w:lineRule="auto"/>
              <w:jc w:val="left"/>
              <w:rPr>
                <w:rFonts w:ascii="仿宋_GB2312" w:hAnsi="仿宋" w:eastAsia="仿宋_GB2312" w:cs="Times New Roman"/>
                <w:kern w:val="0"/>
                <w:sz w:val="24"/>
              </w:rPr>
            </w:pPr>
            <w:r>
              <w:rPr>
                <w:rFonts w:hint="eastAsia" w:ascii="仿宋_GB2312" w:hAnsi="仿宋"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84"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851"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1276" w:type="dxa"/>
            <w:noWrap w:val="0"/>
            <w:vAlign w:val="center"/>
          </w:tcPr>
          <w:p>
            <w:pPr>
              <w:widowControl/>
              <w:tabs>
                <w:tab w:val="left" w:pos="5751"/>
              </w:tabs>
              <w:adjustRightInd w:val="0"/>
              <w:snapToGrid w:val="0"/>
              <w:spacing w:line="300" w:lineRule="exact"/>
              <w:jc w:val="left"/>
              <w:rPr>
                <w:rFonts w:ascii="宋体" w:hAnsi="宋体" w:eastAsia="宋体" w:cs="Times New Roman"/>
                <w:kern w:val="0"/>
                <w:szCs w:val="21"/>
              </w:rPr>
            </w:pPr>
            <w:r>
              <w:rPr>
                <w:rFonts w:hint="eastAsia" w:ascii="宋体" w:hAnsi="宋体" w:eastAsia="宋体" w:cs="Times New Roman"/>
                <w:kern w:val="0"/>
                <w:szCs w:val="21"/>
              </w:rPr>
              <w:t>工作纪律</w:t>
            </w:r>
          </w:p>
          <w:p>
            <w:pPr>
              <w:widowControl/>
              <w:tabs>
                <w:tab w:val="left" w:pos="5751"/>
              </w:tabs>
              <w:adjustRightInd w:val="0"/>
              <w:snapToGrid w:val="0"/>
              <w:spacing w:line="300" w:lineRule="exact"/>
              <w:jc w:val="left"/>
              <w:rPr>
                <w:rFonts w:ascii="宋体" w:hAnsi="宋体" w:eastAsia="宋体" w:cs="Times New Roman"/>
                <w:kern w:val="0"/>
                <w:szCs w:val="21"/>
              </w:rPr>
            </w:pPr>
            <w:r>
              <w:rPr>
                <w:rFonts w:hint="eastAsia" w:ascii="宋体" w:hAnsi="宋体" w:eastAsia="宋体" w:cs="Times New Roman"/>
                <w:kern w:val="0"/>
                <w:szCs w:val="21"/>
              </w:rPr>
              <w:t>（10分）</w:t>
            </w:r>
          </w:p>
        </w:tc>
        <w:tc>
          <w:tcPr>
            <w:tcW w:w="5767" w:type="dxa"/>
            <w:noWrap w:val="0"/>
            <w:vAlign w:val="center"/>
          </w:tcPr>
          <w:p>
            <w:pPr>
              <w:widowControl/>
              <w:tabs>
                <w:tab w:val="left" w:pos="5751"/>
              </w:tabs>
              <w:adjustRightInd w:val="0"/>
              <w:snapToGrid w:val="0"/>
              <w:spacing w:line="300" w:lineRule="exact"/>
              <w:jc w:val="left"/>
              <w:rPr>
                <w:rFonts w:ascii="仿宋_GB2312" w:hAnsi="仿宋" w:eastAsia="仿宋_GB2312" w:cs="Times New Roman"/>
                <w:kern w:val="0"/>
                <w:szCs w:val="21"/>
              </w:rPr>
            </w:pPr>
            <w:r>
              <w:rPr>
                <w:rFonts w:hint="eastAsia" w:ascii="仿宋_GB2312" w:hAnsi="仿宋" w:eastAsia="仿宋_GB2312" w:cs="Times New Roman"/>
                <w:kern w:val="0"/>
                <w:szCs w:val="21"/>
              </w:rPr>
              <w:t>派驻人员</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1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①</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违反廉政纪律的，每人次扣10分；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2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②</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未按信息中心作息规定，无故迟到、早退、离岗的，每10人次扣0.5分；旷工的，每人次扣1分；</w:t>
            </w:r>
            <w:r>
              <w:rPr>
                <w:rFonts w:hint="eastAsia" w:ascii="仿宋_GB2312" w:hAnsi="仿宋" w:eastAsia="仿宋_GB2312" w:cs="Times New Roman"/>
                <w:kern w:val="0"/>
                <w:szCs w:val="21"/>
              </w:rPr>
              <w:fldChar w:fldCharType="begin"/>
            </w:r>
            <w:r>
              <w:rPr>
                <w:rFonts w:hint="eastAsia" w:ascii="仿宋_GB2312" w:hAnsi="仿宋" w:eastAsia="仿宋_GB2312" w:cs="Times New Roman"/>
                <w:kern w:val="0"/>
                <w:szCs w:val="21"/>
              </w:rPr>
              <w:instrText xml:space="preserve"> = 3 \* GB3 </w:instrText>
            </w:r>
            <w:r>
              <w:rPr>
                <w:rFonts w:hint="eastAsia" w:ascii="仿宋_GB2312" w:hAnsi="仿宋" w:eastAsia="仿宋_GB2312" w:cs="Times New Roman"/>
                <w:kern w:val="0"/>
                <w:szCs w:val="21"/>
              </w:rPr>
              <w:fldChar w:fldCharType="separate"/>
            </w:r>
            <w:r>
              <w:rPr>
                <w:rFonts w:hint="eastAsia" w:ascii="仿宋_GB2312" w:hAnsi="仿宋" w:eastAsia="仿宋_GB2312" w:cs="Times New Roman"/>
                <w:kern w:val="0"/>
                <w:szCs w:val="21"/>
              </w:rPr>
              <w:t>③</w:t>
            </w:r>
            <w:r>
              <w:rPr>
                <w:rFonts w:hint="eastAsia" w:ascii="仿宋_GB2312" w:hAnsi="仿宋" w:eastAsia="仿宋_GB2312" w:cs="Times New Roman"/>
                <w:kern w:val="0"/>
                <w:szCs w:val="21"/>
              </w:rPr>
              <w:fldChar w:fldCharType="end"/>
            </w:r>
            <w:r>
              <w:rPr>
                <w:rFonts w:hint="eastAsia" w:ascii="仿宋_GB2312" w:hAnsi="仿宋" w:eastAsia="仿宋_GB2312" w:cs="Times New Roman"/>
                <w:kern w:val="0"/>
                <w:szCs w:val="21"/>
              </w:rPr>
              <w:t>违反运维或安全相关管理制度的，每次扣1分；</w:t>
            </w:r>
            <w:r>
              <w:rPr>
                <w:rFonts w:hint="eastAsia" w:ascii="仿宋_GB2312" w:hAnsi="仿宋" w:eastAsia="仿宋_GB2312" w:cs="Times New Roman"/>
                <w:kern w:val="0"/>
                <w:szCs w:val="21"/>
              </w:rPr>
              <w:fldChar w:fldCharType="begin"/>
            </w:r>
            <w:r>
              <w:rPr>
                <w:rFonts w:hint="eastAsia" w:ascii="仿宋_GB2312" w:hAnsi="仿宋" w:eastAsia="仿宋_GB2312" w:cs="Times New Roman"/>
                <w:kern w:val="0"/>
                <w:szCs w:val="21"/>
              </w:rPr>
              <w:instrText xml:space="preserve"> = 4 \* GB3 </w:instrText>
            </w:r>
            <w:r>
              <w:rPr>
                <w:rFonts w:hint="eastAsia" w:ascii="仿宋_GB2312" w:hAnsi="仿宋" w:eastAsia="仿宋_GB2312" w:cs="Times New Roman"/>
                <w:kern w:val="0"/>
                <w:szCs w:val="21"/>
              </w:rPr>
              <w:fldChar w:fldCharType="separate"/>
            </w:r>
            <w:r>
              <w:rPr>
                <w:rFonts w:hint="eastAsia" w:ascii="仿宋_GB2312" w:hAnsi="仿宋" w:eastAsia="仿宋_GB2312" w:cs="Times New Roman"/>
                <w:kern w:val="0"/>
                <w:szCs w:val="21"/>
              </w:rPr>
              <w:t>④</w:t>
            </w:r>
            <w:r>
              <w:rPr>
                <w:rFonts w:hint="eastAsia" w:ascii="仿宋_GB2312" w:hAnsi="仿宋" w:eastAsia="仿宋_GB2312" w:cs="Times New Roman"/>
                <w:kern w:val="0"/>
                <w:szCs w:val="21"/>
              </w:rPr>
              <w:fldChar w:fldCharType="end"/>
            </w:r>
            <w:r>
              <w:rPr>
                <w:rFonts w:hint="eastAsia" w:ascii="仿宋_GB2312" w:hAnsi="仿宋" w:eastAsia="仿宋_GB2312" w:cs="Times New Roman"/>
                <w:kern w:val="0"/>
                <w:szCs w:val="21"/>
              </w:rPr>
              <w:t>有兼职且兼职工作损害信息中心利益的，每人次扣10分；</w:t>
            </w:r>
            <w:r>
              <w:rPr>
                <w:rFonts w:hint="eastAsia" w:ascii="仿宋_GB2312" w:hAnsi="仿宋" w:eastAsia="仿宋_GB2312" w:cs="Times New Roman"/>
                <w:kern w:val="0"/>
                <w:szCs w:val="21"/>
              </w:rPr>
              <w:fldChar w:fldCharType="begin"/>
            </w:r>
            <w:r>
              <w:rPr>
                <w:rFonts w:hint="eastAsia" w:ascii="仿宋_GB2312" w:hAnsi="仿宋" w:eastAsia="仿宋_GB2312" w:cs="Times New Roman"/>
                <w:kern w:val="0"/>
                <w:szCs w:val="21"/>
              </w:rPr>
              <w:instrText xml:space="preserve"> = 5 \* GB3 </w:instrText>
            </w:r>
            <w:r>
              <w:rPr>
                <w:rFonts w:hint="eastAsia" w:ascii="仿宋_GB2312" w:hAnsi="仿宋" w:eastAsia="仿宋_GB2312" w:cs="Times New Roman"/>
                <w:kern w:val="0"/>
                <w:szCs w:val="21"/>
              </w:rPr>
              <w:fldChar w:fldCharType="separate"/>
            </w:r>
            <w:r>
              <w:rPr>
                <w:rFonts w:hint="eastAsia" w:ascii="仿宋_GB2312" w:hAnsi="仿宋" w:eastAsia="仿宋_GB2312" w:cs="Times New Roman"/>
                <w:kern w:val="0"/>
                <w:szCs w:val="21"/>
              </w:rPr>
              <w:t>⑤</w:t>
            </w:r>
            <w:r>
              <w:rPr>
                <w:rFonts w:hint="eastAsia" w:ascii="仿宋_GB2312" w:hAnsi="仿宋" w:eastAsia="仿宋_GB2312" w:cs="Times New Roman"/>
                <w:kern w:val="0"/>
                <w:szCs w:val="21"/>
              </w:rPr>
              <w:fldChar w:fldCharType="end"/>
            </w:r>
            <w:r>
              <w:rPr>
                <w:rFonts w:hint="eastAsia" w:ascii="仿宋_GB2312" w:hAnsi="仿宋" w:eastAsia="仿宋_GB2312" w:cs="Times New Roman"/>
                <w:kern w:val="0"/>
                <w:szCs w:val="21"/>
              </w:rPr>
              <w:t>利用工作职权之便谋利造成较坏影响的，每人次扣10分；</w:t>
            </w:r>
            <w:r>
              <w:rPr>
                <w:rFonts w:hint="eastAsia" w:ascii="仿宋_GB2312" w:hAnsi="仿宋" w:eastAsia="仿宋_GB2312" w:cs="Times New Roman"/>
                <w:kern w:val="0"/>
                <w:szCs w:val="21"/>
              </w:rPr>
              <w:fldChar w:fldCharType="begin"/>
            </w:r>
            <w:r>
              <w:rPr>
                <w:rFonts w:hint="eastAsia" w:ascii="仿宋_GB2312" w:hAnsi="仿宋" w:eastAsia="仿宋_GB2312" w:cs="Times New Roman"/>
                <w:kern w:val="0"/>
                <w:szCs w:val="21"/>
              </w:rPr>
              <w:instrText xml:space="preserve"> = 6 \* GB3 \* MERGEFORMAT </w:instrText>
            </w:r>
            <w:r>
              <w:rPr>
                <w:rFonts w:hint="eastAsia" w:ascii="仿宋_GB2312" w:hAnsi="仿宋" w:eastAsia="仿宋_GB2312" w:cs="Times New Roman"/>
                <w:kern w:val="0"/>
                <w:szCs w:val="21"/>
              </w:rPr>
              <w:fldChar w:fldCharType="separate"/>
            </w:r>
            <w:r>
              <w:rPr>
                <w:rFonts w:hint="eastAsia" w:ascii="仿宋_GB2312" w:hAnsi="仿宋" w:eastAsia="仿宋_GB2312" w:cs="Times New Roman"/>
                <w:kern w:val="0"/>
                <w:szCs w:val="21"/>
              </w:rPr>
              <w:t>⑥</w:t>
            </w:r>
            <w:r>
              <w:rPr>
                <w:rFonts w:hint="eastAsia" w:ascii="仿宋_GB2312" w:hAnsi="仿宋" w:eastAsia="仿宋_GB2312" w:cs="Times New Roman"/>
                <w:kern w:val="0"/>
                <w:szCs w:val="21"/>
              </w:rPr>
              <w:fldChar w:fldCharType="end"/>
            </w:r>
            <w:r>
              <w:rPr>
                <w:rFonts w:hint="eastAsia" w:ascii="仿宋_GB2312" w:hAnsi="仿宋" w:eastAsia="仿宋_GB2312" w:cs="Times New Roman"/>
                <w:kern w:val="0"/>
                <w:szCs w:val="21"/>
              </w:rPr>
              <w:t>违反保密协议的，每人次扣10分。</w:t>
            </w:r>
          </w:p>
        </w:tc>
        <w:tc>
          <w:tcPr>
            <w:tcW w:w="538" w:type="dxa"/>
            <w:noWrap w:val="0"/>
            <w:vAlign w:val="top"/>
          </w:tcPr>
          <w:p>
            <w:pPr>
              <w:widowControl/>
              <w:tabs>
                <w:tab w:val="left" w:pos="5751"/>
              </w:tabs>
              <w:spacing w:line="312" w:lineRule="auto"/>
              <w:jc w:val="left"/>
              <w:rPr>
                <w:rFonts w:ascii="仿宋_GB2312" w:hAnsi="仿宋" w:eastAsia="仿宋_GB2312" w:cs="Times New Roman"/>
                <w:kern w:val="0"/>
                <w:sz w:val="24"/>
              </w:rPr>
            </w:pPr>
          </w:p>
        </w:tc>
        <w:tc>
          <w:tcPr>
            <w:tcW w:w="538" w:type="dxa"/>
            <w:vMerge w:val="continue"/>
            <w:noWrap w:val="0"/>
            <w:vAlign w:val="center"/>
          </w:tcPr>
          <w:p>
            <w:pPr>
              <w:widowControl/>
              <w:tabs>
                <w:tab w:val="left" w:pos="5751"/>
              </w:tabs>
              <w:spacing w:line="312" w:lineRule="auto"/>
              <w:jc w:val="left"/>
              <w:rPr>
                <w:rFonts w:ascii="仿宋_GB2312" w:hAnsi="仿宋"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84"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851" w:type="dxa"/>
            <w:vMerge w:val="continue"/>
            <w:noWrap w:val="0"/>
            <w:vAlign w:val="center"/>
          </w:tcPr>
          <w:p>
            <w:pPr>
              <w:widowControl/>
              <w:tabs>
                <w:tab w:val="left" w:pos="5751"/>
              </w:tabs>
              <w:spacing w:line="312" w:lineRule="auto"/>
              <w:jc w:val="center"/>
              <w:rPr>
                <w:rFonts w:ascii="仿宋_GB2312" w:hAnsi="仿宋" w:eastAsia="仿宋_GB2312" w:cs="Times New Roman"/>
                <w:b/>
                <w:bCs/>
                <w:kern w:val="0"/>
                <w:sz w:val="24"/>
              </w:rPr>
            </w:pPr>
          </w:p>
        </w:tc>
        <w:tc>
          <w:tcPr>
            <w:tcW w:w="1276" w:type="dxa"/>
            <w:noWrap w:val="0"/>
            <w:vAlign w:val="center"/>
          </w:tcPr>
          <w:p>
            <w:pPr>
              <w:widowControl/>
              <w:tabs>
                <w:tab w:val="left" w:pos="5751"/>
              </w:tabs>
              <w:adjustRightInd w:val="0"/>
              <w:snapToGrid w:val="0"/>
              <w:spacing w:line="300" w:lineRule="exact"/>
              <w:jc w:val="left"/>
              <w:rPr>
                <w:rFonts w:ascii="宋体" w:hAnsi="宋体" w:eastAsia="宋体" w:cs="Times New Roman"/>
                <w:kern w:val="0"/>
                <w:szCs w:val="21"/>
              </w:rPr>
            </w:pPr>
            <w:r>
              <w:rPr>
                <w:rFonts w:hint="eastAsia" w:ascii="宋体" w:hAnsi="宋体" w:eastAsia="宋体" w:cs="Times New Roman"/>
                <w:kern w:val="0"/>
                <w:szCs w:val="21"/>
              </w:rPr>
              <w:t>人力资源保障（10分）</w:t>
            </w:r>
          </w:p>
        </w:tc>
        <w:tc>
          <w:tcPr>
            <w:tcW w:w="5767" w:type="dxa"/>
            <w:noWrap w:val="0"/>
            <w:vAlign w:val="center"/>
          </w:tcPr>
          <w:p>
            <w:pPr>
              <w:widowControl/>
              <w:tabs>
                <w:tab w:val="left" w:pos="5751"/>
              </w:tabs>
              <w:adjustRightInd w:val="0"/>
              <w:snapToGrid w:val="0"/>
              <w:spacing w:line="300" w:lineRule="exact"/>
              <w:jc w:val="left"/>
              <w:rPr>
                <w:rFonts w:ascii="仿宋_GB2312" w:hAnsi="仿宋" w:eastAsia="仿宋_GB2312" w:cs="Times New Roman"/>
                <w:kern w:val="0"/>
                <w:szCs w:val="21"/>
              </w:rPr>
            </w:pPr>
            <w:r>
              <w:rPr>
                <w:rFonts w:hint="eastAsia" w:ascii="仿宋_GB2312" w:hAnsi="仿宋" w:eastAsia="仿宋_GB2312" w:cs="Times New Roman"/>
                <w:kern w:val="0"/>
                <w:szCs w:val="21"/>
              </w:rPr>
              <w:t>服务商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1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①</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派驻人员不胜任岗位工作被退回的，每人次扣5分；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2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②</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派驻人员离职、被退回15天内新人不能补充到位的，每人次扣5分；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3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③</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未针对本项目派驻人员制订人员管理和考核制度的，每项扣5分；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4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④</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未对本项目派驻人员进行季度和年度绩效考核的，每次扣5分；</w:t>
            </w: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5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⑤</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未按合同要求进行人员培训的，每次扣5分；</w:t>
            </w:r>
            <w:r>
              <w:rPr>
                <w:rFonts w:hint="eastAsia" w:ascii="仿宋_GB2312" w:hAnsi="仿宋" w:eastAsia="仿宋_GB2312" w:cs="Times New Roman"/>
                <w:kern w:val="0"/>
                <w:szCs w:val="21"/>
              </w:rPr>
              <w:fldChar w:fldCharType="begin"/>
            </w:r>
            <w:r>
              <w:rPr>
                <w:rFonts w:hint="eastAsia" w:ascii="仿宋_GB2312" w:hAnsi="仿宋" w:eastAsia="仿宋_GB2312" w:cs="Times New Roman"/>
                <w:kern w:val="0"/>
                <w:szCs w:val="21"/>
              </w:rPr>
              <w:instrText xml:space="preserve"> = 6 \* GB3 \* MERGEFORMAT </w:instrText>
            </w:r>
            <w:r>
              <w:rPr>
                <w:rFonts w:hint="eastAsia" w:ascii="仿宋_GB2312" w:hAnsi="仿宋" w:eastAsia="仿宋_GB2312" w:cs="Times New Roman"/>
                <w:kern w:val="0"/>
                <w:szCs w:val="21"/>
              </w:rPr>
              <w:fldChar w:fldCharType="separate"/>
            </w:r>
            <w:r>
              <w:rPr>
                <w:rFonts w:hint="eastAsia" w:ascii="仿宋_GB2312" w:hAnsi="仿宋" w:eastAsia="仿宋_GB2312" w:cs="Times New Roman"/>
                <w:kern w:val="0"/>
                <w:szCs w:val="21"/>
              </w:rPr>
              <w:t>⑥</w:t>
            </w:r>
            <w:r>
              <w:rPr>
                <w:rFonts w:hint="eastAsia" w:ascii="仿宋_GB2312" w:hAnsi="仿宋" w:eastAsia="仿宋_GB2312" w:cs="Times New Roman"/>
                <w:kern w:val="0"/>
                <w:szCs w:val="21"/>
              </w:rPr>
              <w:fldChar w:fldCharType="end"/>
            </w:r>
            <w:r>
              <w:rPr>
                <w:rFonts w:hint="eastAsia" w:ascii="仿宋_GB2312" w:hAnsi="仿宋" w:eastAsia="仿宋_GB2312" w:cs="Times New Roman"/>
                <w:kern w:val="0"/>
                <w:szCs w:val="21"/>
              </w:rPr>
              <w:t>未妥善处理员工劳动关系，引起劳资纠纷的，每人次扣10分。</w:t>
            </w:r>
          </w:p>
        </w:tc>
        <w:tc>
          <w:tcPr>
            <w:tcW w:w="538" w:type="dxa"/>
            <w:noWrap w:val="0"/>
            <w:vAlign w:val="top"/>
          </w:tcPr>
          <w:p>
            <w:pPr>
              <w:widowControl/>
              <w:tabs>
                <w:tab w:val="left" w:pos="5751"/>
              </w:tabs>
              <w:spacing w:line="312" w:lineRule="auto"/>
              <w:jc w:val="left"/>
              <w:rPr>
                <w:rFonts w:ascii="仿宋_GB2312" w:hAnsi="仿宋" w:eastAsia="仿宋_GB2312" w:cs="Times New Roman"/>
                <w:kern w:val="0"/>
                <w:sz w:val="24"/>
              </w:rPr>
            </w:pPr>
          </w:p>
        </w:tc>
        <w:tc>
          <w:tcPr>
            <w:tcW w:w="538" w:type="dxa"/>
            <w:vMerge w:val="continue"/>
            <w:noWrap w:val="0"/>
            <w:vAlign w:val="center"/>
          </w:tcPr>
          <w:p>
            <w:pPr>
              <w:widowControl/>
              <w:tabs>
                <w:tab w:val="left" w:pos="5751"/>
              </w:tabs>
              <w:spacing w:line="312" w:lineRule="auto"/>
              <w:jc w:val="left"/>
              <w:rPr>
                <w:rFonts w:ascii="仿宋_GB2312" w:hAnsi="仿宋"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484" w:type="dxa"/>
            <w:noWrap w:val="0"/>
            <w:vAlign w:val="center"/>
          </w:tcPr>
          <w:p>
            <w:pPr>
              <w:widowControl/>
              <w:tabs>
                <w:tab w:val="left" w:pos="5751"/>
              </w:tabs>
              <w:spacing w:line="312" w:lineRule="auto"/>
              <w:jc w:val="center"/>
              <w:rPr>
                <w:rFonts w:ascii="仿宋_GB2312" w:hAnsi="仿宋" w:eastAsia="仿宋_GB2312" w:cs="Times New Roman"/>
                <w:b/>
                <w:bCs/>
                <w:kern w:val="0"/>
                <w:sz w:val="24"/>
              </w:rPr>
            </w:pPr>
            <w:r>
              <w:rPr>
                <w:rFonts w:hint="eastAsia" w:ascii="仿宋_GB2312" w:hAnsi="仿宋" w:eastAsia="仿宋_GB2312" w:cs="Times New Roman"/>
                <w:b/>
                <w:bCs/>
                <w:kern w:val="0"/>
                <w:sz w:val="24"/>
              </w:rPr>
              <w:t>3</w:t>
            </w:r>
          </w:p>
        </w:tc>
        <w:tc>
          <w:tcPr>
            <w:tcW w:w="851" w:type="dxa"/>
            <w:noWrap w:val="0"/>
            <w:vAlign w:val="center"/>
          </w:tcPr>
          <w:p>
            <w:pPr>
              <w:widowControl/>
              <w:tabs>
                <w:tab w:val="left" w:pos="5751"/>
              </w:tabs>
              <w:spacing w:line="312" w:lineRule="auto"/>
              <w:jc w:val="left"/>
              <w:rPr>
                <w:rFonts w:ascii="仿宋_GB2312" w:hAnsi="仿宋" w:eastAsia="仿宋_GB2312" w:cs="Times New Roman"/>
                <w:b/>
                <w:bCs/>
                <w:kern w:val="0"/>
                <w:sz w:val="24"/>
              </w:rPr>
            </w:pPr>
            <w:r>
              <w:rPr>
                <w:rFonts w:hint="eastAsia" w:ascii="仿宋_GB2312" w:hAnsi="仿宋" w:eastAsia="仿宋_GB2312" w:cs="Times New Roman"/>
                <w:b/>
                <w:bCs/>
                <w:kern w:val="0"/>
                <w:sz w:val="24"/>
              </w:rPr>
              <w:t>提交文档（10分）</w:t>
            </w:r>
          </w:p>
        </w:tc>
        <w:tc>
          <w:tcPr>
            <w:tcW w:w="7043" w:type="dxa"/>
            <w:gridSpan w:val="2"/>
            <w:noWrap w:val="0"/>
            <w:vAlign w:val="center"/>
          </w:tcPr>
          <w:p>
            <w:pPr>
              <w:widowControl/>
              <w:tabs>
                <w:tab w:val="left" w:pos="5751"/>
              </w:tabs>
              <w:adjustRightInd w:val="0"/>
              <w:snapToGrid w:val="0"/>
              <w:spacing w:line="300" w:lineRule="exact"/>
              <w:jc w:val="left"/>
              <w:rPr>
                <w:rFonts w:ascii="仿宋_GB2312" w:hAnsi="仿宋" w:eastAsia="仿宋_GB2312" w:cs="Times New Roman"/>
                <w:kern w:val="0"/>
                <w:szCs w:val="21"/>
              </w:rPr>
            </w:pPr>
            <w:r>
              <w:rPr>
                <w:rFonts w:ascii="仿宋_GB2312" w:hAnsi="仿宋" w:eastAsia="仿宋_GB2312" w:cs="Times New Roman"/>
                <w:kern w:val="0"/>
                <w:szCs w:val="21"/>
              </w:rPr>
              <w:fldChar w:fldCharType="begin"/>
            </w:r>
            <w:r>
              <w:rPr>
                <w:rFonts w:ascii="仿宋_GB2312" w:hAnsi="仿宋" w:eastAsia="仿宋_GB2312" w:cs="Times New Roman"/>
                <w:kern w:val="0"/>
                <w:szCs w:val="21"/>
              </w:rPr>
              <w:instrText xml:space="preserve"> </w:instrText>
            </w:r>
            <w:r>
              <w:rPr>
                <w:rFonts w:hint="eastAsia" w:ascii="仿宋_GB2312" w:hAnsi="仿宋" w:eastAsia="仿宋_GB2312" w:cs="Times New Roman"/>
                <w:kern w:val="0"/>
                <w:szCs w:val="21"/>
              </w:rPr>
              <w:instrText xml:space="preserve">= 1 \* GB3</w:instrText>
            </w:r>
            <w:r>
              <w:rPr>
                <w:rFonts w:ascii="仿宋_GB2312" w:hAnsi="仿宋" w:eastAsia="仿宋_GB2312" w:cs="Times New Roman"/>
                <w:kern w:val="0"/>
                <w:szCs w:val="21"/>
              </w:rPr>
              <w:instrText xml:space="preserve"> </w:instrText>
            </w:r>
            <w:r>
              <w:rPr>
                <w:rFonts w:ascii="仿宋_GB2312" w:hAnsi="仿宋" w:eastAsia="仿宋_GB2312" w:cs="Times New Roman"/>
                <w:kern w:val="0"/>
                <w:szCs w:val="21"/>
              </w:rPr>
              <w:fldChar w:fldCharType="separate"/>
            </w:r>
            <w:r>
              <w:rPr>
                <w:rFonts w:hint="eastAsia" w:ascii="仿宋_GB2312" w:hAnsi="仿宋" w:eastAsia="仿宋_GB2312" w:cs="Times New Roman"/>
                <w:kern w:val="0"/>
                <w:szCs w:val="21"/>
              </w:rPr>
              <w:t>①</w:t>
            </w:r>
            <w:r>
              <w:rPr>
                <w:rFonts w:ascii="仿宋_GB2312" w:hAnsi="仿宋" w:eastAsia="仿宋_GB2312" w:cs="Times New Roman"/>
                <w:kern w:val="0"/>
                <w:szCs w:val="21"/>
              </w:rPr>
              <w:fldChar w:fldCharType="end"/>
            </w:r>
            <w:r>
              <w:rPr>
                <w:rFonts w:hint="eastAsia" w:ascii="仿宋_GB2312" w:hAnsi="仿宋" w:eastAsia="仿宋_GB2312" w:cs="Times New Roman"/>
                <w:kern w:val="0"/>
                <w:szCs w:val="21"/>
              </w:rPr>
              <w:t xml:space="preserve">文档不按时提供的，每次扣2分；  </w:t>
            </w:r>
          </w:p>
          <w:p>
            <w:pPr>
              <w:widowControl/>
              <w:tabs>
                <w:tab w:val="left" w:pos="5751"/>
              </w:tabs>
              <w:adjustRightInd w:val="0"/>
              <w:snapToGrid w:val="0"/>
              <w:spacing w:line="300" w:lineRule="exact"/>
              <w:jc w:val="left"/>
              <w:rPr>
                <w:rFonts w:ascii="仿宋_GB2312" w:hAnsi="仿宋" w:eastAsia="仿宋_GB2312" w:cs="Times New Roman"/>
                <w:kern w:val="0"/>
                <w:szCs w:val="21"/>
              </w:rPr>
            </w:pPr>
            <w:r>
              <w:rPr>
                <w:rFonts w:hint="eastAsia" w:ascii="仿宋_GB2312" w:hAnsi="仿宋" w:eastAsia="仿宋_GB2312" w:cs="Times New Roman"/>
                <w:kern w:val="0"/>
                <w:szCs w:val="21"/>
              </w:rPr>
              <w:t>②文档不齐全的，每项扣1分；</w:t>
            </w:r>
          </w:p>
          <w:p>
            <w:pPr>
              <w:widowControl/>
              <w:tabs>
                <w:tab w:val="left" w:pos="5751"/>
              </w:tabs>
              <w:adjustRightInd w:val="0"/>
              <w:snapToGrid w:val="0"/>
              <w:spacing w:line="300" w:lineRule="exact"/>
              <w:jc w:val="left"/>
              <w:rPr>
                <w:rFonts w:ascii="仿宋_GB2312" w:hAnsi="仿宋" w:eastAsia="仿宋_GB2312" w:cs="Times New Roman"/>
                <w:kern w:val="0"/>
                <w:szCs w:val="21"/>
              </w:rPr>
            </w:pPr>
            <w:r>
              <w:rPr>
                <w:rFonts w:hint="eastAsia" w:ascii="仿宋_GB2312" w:hAnsi="仿宋" w:eastAsia="仿宋_GB2312" w:cs="Times New Roman"/>
                <w:kern w:val="0"/>
                <w:szCs w:val="21"/>
              </w:rPr>
              <w:t>③文档格式不规范，内容不详细、有错漏，文理不通、逻辑混乱的，每份扣0.5分</w:t>
            </w:r>
          </w:p>
        </w:tc>
        <w:tc>
          <w:tcPr>
            <w:tcW w:w="538" w:type="dxa"/>
            <w:noWrap w:val="0"/>
            <w:vAlign w:val="top"/>
          </w:tcPr>
          <w:p>
            <w:pPr>
              <w:widowControl/>
              <w:tabs>
                <w:tab w:val="left" w:pos="5751"/>
              </w:tabs>
              <w:spacing w:line="312" w:lineRule="auto"/>
              <w:jc w:val="left"/>
              <w:rPr>
                <w:rFonts w:ascii="仿宋_GB2312" w:hAnsi="仿宋" w:eastAsia="仿宋_GB2312" w:cs="Times New Roman"/>
                <w:kern w:val="0"/>
                <w:sz w:val="24"/>
              </w:rPr>
            </w:pPr>
          </w:p>
        </w:tc>
        <w:tc>
          <w:tcPr>
            <w:tcW w:w="538" w:type="dxa"/>
            <w:noWrap w:val="0"/>
            <w:vAlign w:val="center"/>
          </w:tcPr>
          <w:p>
            <w:pPr>
              <w:widowControl/>
              <w:tabs>
                <w:tab w:val="left" w:pos="5751"/>
              </w:tabs>
              <w:spacing w:line="312" w:lineRule="auto"/>
              <w:jc w:val="left"/>
              <w:rPr>
                <w:rFonts w:ascii="仿宋_GB2312" w:hAnsi="仿宋" w:eastAsia="仿宋_GB2312" w:cs="Times New Roman"/>
                <w:kern w:val="0"/>
                <w:sz w:val="24"/>
              </w:rPr>
            </w:pPr>
            <w:r>
              <w:rPr>
                <w:rFonts w:hint="eastAsia" w:ascii="仿宋_GB2312" w:hAnsi="仿宋"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378" w:type="dxa"/>
            <w:gridSpan w:val="4"/>
            <w:noWrap w:val="0"/>
            <w:vAlign w:val="center"/>
          </w:tcPr>
          <w:p>
            <w:pPr>
              <w:widowControl/>
              <w:tabs>
                <w:tab w:val="left" w:pos="5751"/>
              </w:tabs>
              <w:adjustRightInd w:val="0"/>
              <w:snapToGrid w:val="0"/>
              <w:spacing w:line="300" w:lineRule="exact"/>
              <w:jc w:val="center"/>
              <w:rPr>
                <w:rFonts w:ascii="仿宋_GB2312" w:hAnsi="仿宋" w:eastAsia="仿宋_GB2312" w:cs="Times New Roman"/>
                <w:kern w:val="0"/>
                <w:sz w:val="24"/>
              </w:rPr>
            </w:pPr>
            <w:r>
              <w:rPr>
                <w:rFonts w:hint="eastAsia" w:ascii="仿宋_GB2312" w:hAnsi="仿宋" w:eastAsia="仿宋_GB2312" w:cs="Times New Roman"/>
                <w:kern w:val="0"/>
                <w:sz w:val="24"/>
              </w:rPr>
              <w:t>总分=1+2+3</w:t>
            </w:r>
          </w:p>
        </w:tc>
        <w:tc>
          <w:tcPr>
            <w:tcW w:w="1076" w:type="dxa"/>
            <w:gridSpan w:val="2"/>
            <w:noWrap w:val="0"/>
            <w:vAlign w:val="top"/>
          </w:tcPr>
          <w:p>
            <w:pPr>
              <w:widowControl/>
              <w:tabs>
                <w:tab w:val="left" w:pos="5751"/>
              </w:tabs>
              <w:spacing w:line="312" w:lineRule="auto"/>
              <w:jc w:val="center"/>
              <w:rPr>
                <w:rFonts w:ascii="仿宋_GB2312" w:hAnsi="仿宋"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454" w:type="dxa"/>
            <w:gridSpan w:val="6"/>
            <w:noWrap w:val="0"/>
            <w:vAlign w:val="center"/>
          </w:tcPr>
          <w:p>
            <w:pPr>
              <w:widowControl/>
              <w:jc w:val="left"/>
              <w:rPr>
                <w:rFonts w:ascii="宋体" w:hAnsi="宋体" w:eastAsia="宋体" w:cs="宋体"/>
                <w:szCs w:val="21"/>
              </w:rPr>
            </w:pPr>
            <w:r>
              <w:rPr>
                <w:rFonts w:hint="eastAsia" w:ascii="宋体" w:hAnsi="宋体" w:eastAsia="宋体" w:cs="宋体"/>
                <w:szCs w:val="21"/>
              </w:rPr>
              <w:t>考核结论：</w:t>
            </w:r>
            <w:r>
              <w:rPr>
                <w:rFonts w:ascii="宋体" w:hAnsi="宋体" w:eastAsia="宋体" w:cs="宋体"/>
                <w:szCs w:val="21"/>
              </w:rPr>
              <w:t xml:space="preserve"> </w:t>
            </w:r>
          </w:p>
          <w:p>
            <w:pPr>
              <w:widowControl/>
              <w:jc w:val="left"/>
              <w:rPr>
                <w:rFonts w:ascii="宋体" w:hAnsi="宋体" w:eastAsia="宋体" w:cs="宋体"/>
                <w:sz w:val="24"/>
                <w:szCs w:val="21"/>
              </w:rPr>
            </w:pPr>
          </w:p>
          <w:p>
            <w:pPr>
              <w:widowControl/>
              <w:jc w:val="left"/>
              <w:rPr>
                <w:rFonts w:ascii="宋体" w:hAnsi="宋体" w:eastAsia="宋体" w:cs="宋体"/>
                <w:szCs w:val="21"/>
              </w:rPr>
            </w:pPr>
          </w:p>
          <w:p>
            <w:pPr>
              <w:widowControl/>
              <w:jc w:val="left"/>
              <w:rPr>
                <w:rFonts w:ascii="宋体" w:hAnsi="宋体" w:eastAsia="宋体" w:cs="宋体"/>
                <w:szCs w:val="21"/>
              </w:rPr>
            </w:pPr>
          </w:p>
          <w:p>
            <w:pPr>
              <w:widowControl/>
              <w:jc w:val="left"/>
              <w:rPr>
                <w:rFonts w:ascii="宋体" w:hAnsi="宋体" w:eastAsia="宋体" w:cs="宋体"/>
                <w:szCs w:val="21"/>
              </w:rPr>
            </w:pPr>
          </w:p>
          <w:p>
            <w:pPr>
              <w:widowControl/>
              <w:jc w:val="left"/>
              <w:rPr>
                <w:rFonts w:ascii="宋体" w:hAnsi="宋体" w:eastAsia="宋体" w:cs="宋体"/>
                <w:szCs w:val="21"/>
              </w:rPr>
            </w:pPr>
          </w:p>
          <w:p>
            <w:pPr>
              <w:widowControl/>
              <w:jc w:val="left"/>
              <w:rPr>
                <w:rFonts w:ascii="宋体" w:hAnsi="宋体" w:eastAsia="宋体" w:cs="宋体"/>
                <w:szCs w:val="21"/>
              </w:rPr>
            </w:pPr>
          </w:p>
          <w:p>
            <w:pPr>
              <w:widowControl/>
              <w:ind w:firstLine="5250" w:firstLineChars="2500"/>
              <w:jc w:val="left"/>
              <w:rPr>
                <w:rFonts w:ascii="宋体" w:hAnsi="宋体" w:eastAsia="宋体" w:cs="宋体"/>
                <w:szCs w:val="21"/>
              </w:rPr>
            </w:pPr>
            <w:r>
              <w:rPr>
                <w:rFonts w:hint="eastAsia" w:ascii="宋体" w:hAnsi="宋体" w:eastAsia="宋体" w:cs="宋体"/>
                <w:szCs w:val="21"/>
              </w:rPr>
              <w:t>建设单位（公章）：</w:t>
            </w:r>
          </w:p>
          <w:p>
            <w:pPr>
              <w:widowControl/>
              <w:jc w:val="left"/>
              <w:rPr>
                <w:rFonts w:ascii="宋体" w:hAnsi="宋体" w:eastAsia="宋体" w:cs="宋体"/>
                <w:szCs w:val="21"/>
              </w:rPr>
            </w:pPr>
            <w:r>
              <w:rPr>
                <w:rFonts w:hint="eastAsia" w:ascii="宋体" w:hAnsi="宋体" w:eastAsia="宋体" w:cs="宋体"/>
                <w:szCs w:val="21"/>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9454" w:type="dxa"/>
            <w:gridSpan w:val="6"/>
            <w:noWrap w:val="0"/>
            <w:vAlign w:val="center"/>
          </w:tcPr>
          <w:p>
            <w:pPr>
              <w:widowControl/>
              <w:jc w:val="left"/>
              <w:rPr>
                <w:rFonts w:ascii="宋体" w:hAnsi="宋体" w:eastAsia="宋体" w:cs="宋体"/>
                <w:szCs w:val="21"/>
              </w:rPr>
            </w:pPr>
            <w:r>
              <w:rPr>
                <w:rFonts w:hint="eastAsia" w:ascii="宋体" w:hAnsi="宋体" w:eastAsia="宋体" w:cs="宋体"/>
                <w:szCs w:val="21"/>
              </w:rPr>
              <w:t>服务商意见：</w:t>
            </w:r>
          </w:p>
          <w:p>
            <w:pPr>
              <w:widowControl/>
              <w:jc w:val="left"/>
              <w:rPr>
                <w:rFonts w:ascii="宋体" w:hAnsi="宋体" w:eastAsia="宋体" w:cs="宋体"/>
                <w:sz w:val="24"/>
                <w:szCs w:val="21"/>
              </w:rPr>
            </w:pPr>
          </w:p>
          <w:p>
            <w:pPr>
              <w:widowControl/>
              <w:jc w:val="left"/>
              <w:rPr>
                <w:rFonts w:ascii="宋体" w:hAnsi="宋体" w:eastAsia="宋体" w:cs="宋体"/>
                <w:szCs w:val="21"/>
              </w:rPr>
            </w:pPr>
          </w:p>
          <w:p>
            <w:pPr>
              <w:widowControl/>
              <w:jc w:val="left"/>
              <w:rPr>
                <w:rFonts w:ascii="宋体" w:hAnsi="宋体" w:eastAsia="宋体" w:cs="宋体"/>
                <w:szCs w:val="21"/>
              </w:rPr>
            </w:pPr>
          </w:p>
          <w:p>
            <w:pPr>
              <w:widowControl/>
              <w:jc w:val="left"/>
              <w:rPr>
                <w:rFonts w:ascii="宋体" w:hAnsi="宋体" w:eastAsia="宋体" w:cs="宋体"/>
                <w:szCs w:val="21"/>
              </w:rPr>
            </w:pPr>
          </w:p>
          <w:p>
            <w:pPr>
              <w:widowControl/>
              <w:jc w:val="left"/>
              <w:rPr>
                <w:rFonts w:ascii="宋体" w:hAnsi="宋体" w:eastAsia="宋体" w:cs="宋体"/>
                <w:szCs w:val="21"/>
              </w:rPr>
            </w:pPr>
          </w:p>
          <w:p>
            <w:pPr>
              <w:widowControl/>
              <w:jc w:val="left"/>
              <w:rPr>
                <w:rFonts w:ascii="宋体" w:hAnsi="宋体" w:eastAsia="宋体" w:cs="宋体"/>
                <w:szCs w:val="21"/>
              </w:rPr>
            </w:pPr>
            <w:r>
              <w:rPr>
                <w:rFonts w:hint="eastAsia" w:ascii="宋体" w:hAnsi="宋体" w:eastAsia="宋体" w:cs="宋体"/>
                <w:szCs w:val="21"/>
              </w:rPr>
              <w:t xml:space="preserve">                                                  服务商（公章）：</w:t>
            </w:r>
          </w:p>
          <w:p>
            <w:pPr>
              <w:widowControl/>
              <w:ind w:firstLine="5250" w:firstLineChars="2500"/>
              <w:jc w:val="left"/>
              <w:rPr>
                <w:rFonts w:ascii="宋体" w:hAnsi="宋体" w:eastAsia="宋体" w:cs="宋体"/>
                <w:szCs w:val="21"/>
              </w:rPr>
            </w:pPr>
            <w:r>
              <w:rPr>
                <w:rFonts w:hint="eastAsia" w:ascii="宋体" w:hAnsi="宋体" w:eastAsia="宋体" w:cs="宋体"/>
                <w:szCs w:val="21"/>
              </w:rPr>
              <w:t>日期：     年     月     日</w:t>
            </w:r>
          </w:p>
        </w:tc>
      </w:tr>
    </w:tbl>
    <w:p>
      <w:pPr>
        <w:ind w:firstLine="240" w:firstLineChars="100"/>
        <w:rPr>
          <w:rFonts w:ascii="仿宋_GB2312" w:hAnsi="宋体" w:eastAsia="仿宋_GB2312" w:cs="Times New Roman"/>
          <w:sz w:val="24"/>
        </w:rPr>
      </w:pPr>
      <w:r>
        <w:rPr>
          <w:rFonts w:hint="eastAsia" w:ascii="仿宋_GB2312" w:hAnsi="宋体" w:eastAsia="仿宋_GB2312" w:cs="Times New Roman"/>
          <w:sz w:val="24"/>
        </w:rPr>
        <w:t>注：</w:t>
      </w:r>
      <w:r>
        <w:rPr>
          <w:rFonts w:hint="eastAsia" w:ascii="宋体" w:hAnsi="宋体" w:eastAsia="宋体" w:cs="宋体"/>
          <w:szCs w:val="21"/>
        </w:rPr>
        <w:t>每个扣分项的上限为该扣分项所在考核栏目的总分，扣完为止</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26EEE3-8199-4838-8E5F-942B9B1EBE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9525BE-7FF9-48E8-8534-1A3EBB4636E1}"/>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5D783C66-6B79-4AFB-ADF2-08389CEDA0F8}"/>
  </w:font>
  <w:font w:name="方正小标宋简体">
    <w:panose1 w:val="02000000000000000000"/>
    <w:charset w:val="86"/>
    <w:family w:val="auto"/>
    <w:pitch w:val="default"/>
    <w:sig w:usb0="00000001" w:usb1="08000000" w:usb2="00000000" w:usb3="00000000" w:csb0="00040000" w:csb1="00000000"/>
    <w:embedRegular r:id="rId4" w:fontKey="{BB6D500D-3345-4332-9E2C-31E4CBB0BCCC}"/>
  </w:font>
  <w:font w:name="仿宋_GB2312">
    <w:panose1 w:val="02010609030101010101"/>
    <w:charset w:val="86"/>
    <w:family w:val="modern"/>
    <w:pitch w:val="default"/>
    <w:sig w:usb0="00000001" w:usb1="080E0000" w:usb2="00000000" w:usb3="00000000" w:csb0="00040000" w:csb1="00000000"/>
    <w:embedRegular r:id="rId5" w:fontKey="{50B7527E-2589-40B6-BFE7-3EF62459A823}"/>
  </w:font>
  <w:font w:name="华文宋体">
    <w:panose1 w:val="02010600040101010101"/>
    <w:charset w:val="86"/>
    <w:family w:val="auto"/>
    <w:pitch w:val="default"/>
    <w:sig w:usb0="00000287" w:usb1="080F0000" w:usb2="00000000" w:usb3="00000000" w:csb0="0004009F" w:csb1="DFD70000"/>
    <w:embedRegular r:id="rId6" w:fontKey="{49309677-DF6F-4857-93FD-448F3AB390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NTE4Y2EwNGUwNTA5ZTk0ODVmYmYwNWU3YjQyYWUifQ=="/>
  </w:docVars>
  <w:rsids>
    <w:rsidRoot w:val="0B177C30"/>
    <w:rsid w:val="0B177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unhideWhenUsed/>
    <w:qFormat/>
    <w:uiPriority w:val="0"/>
    <w:pPr>
      <w:widowControl w:val="0"/>
      <w:jc w:val="both"/>
    </w:pPr>
    <w:rPr>
      <w:rFonts w:ascii="宋体" w:hAnsi="Courier New" w:eastAsia="宋体" w:cs="Times New Roman"/>
      <w:kern w:val="2"/>
      <w:sz w:val="21"/>
      <w:szCs w:val="20"/>
      <w:lang w:val="en-US" w:eastAsia="zh-CN" w:bidi="ar-SA"/>
    </w:rPr>
  </w:style>
  <w:style w:type="paragraph" w:styleId="3">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customStyle="1" w:styleId="6">
    <w:name w:val="*正文"/>
    <w:autoRedefine/>
    <w:qFormat/>
    <w:uiPriority w:val="0"/>
    <w:pPr>
      <w:widowControl w:val="0"/>
      <w:spacing w:line="360" w:lineRule="auto"/>
      <w:ind w:firstLine="200" w:firstLineChars="200"/>
      <w:jc w:val="both"/>
    </w:pPr>
    <w:rPr>
      <w:rFonts w:ascii="宋体" w:hAnsi="宋体" w:eastAsia="宋体" w:cs="Times New Roman"/>
      <w:kern w:val="2"/>
      <w:sz w:val="28"/>
      <w:szCs w:val="24"/>
      <w:lang w:val="zh-CN" w:eastAsia="zh-CN" w:bidi="ar-SA"/>
    </w:rPr>
  </w:style>
  <w:style w:type="character" w:customStyle="1" w:styleId="7">
    <w:name w:val="font21"/>
    <w:autoRedefine/>
    <w:qFormat/>
    <w:uiPriority w:val="0"/>
    <w:rPr>
      <w:rFonts w:hint="eastAsia" w:ascii="仿宋" w:hAnsi="仿宋" w:eastAsia="仿宋" w:cs="仿宋"/>
      <w:color w:val="000000"/>
      <w:sz w:val="24"/>
      <w:szCs w:val="24"/>
      <w:u w:val="none"/>
    </w:rPr>
  </w:style>
  <w:style w:type="character" w:customStyle="1" w:styleId="8">
    <w:name w:val="font31"/>
    <w:autoRedefine/>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2024-12-20T02:39:00Z</dcterms:created>
  <dc:creator>欧明聪</dc:creator>
  <cp:lastModifiedBy>欧明聪</cp:lastModifiedBy>
  <dcterms:modified xsi:type="dcterms:W3CDTF">2024-12-20T02:39:56Z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54C5CFBEA0D5463A910104A682CB0FB5_11</vt:lpwstr>
  </property>
</Properties>
</file>