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8"/>
          <w:szCs w:val="48"/>
          <w:highlight w:val="none"/>
        </w:rPr>
      </w:pPr>
      <w:bookmarkStart w:id="186" w:name="_GoBack"/>
      <w:bookmarkEnd w:id="186"/>
      <w:r>
        <w:rPr>
          <w:rFonts w:hint="eastAsia" w:ascii="宋体" w:hAnsi="宋体" w:eastAsia="宋体" w:cs="宋体"/>
          <w:color w:val="auto"/>
          <w:highlight w:val="none"/>
        </w:rPr>
        <w:drawing>
          <wp:inline distT="0" distB="0" distL="114300" distR="114300">
            <wp:extent cx="5469890" cy="2917190"/>
            <wp:effectExtent l="0" t="0" r="16510" b="16510"/>
            <wp:docPr id="2" name="图片 1" descr="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源文件"/>
                    <pic:cNvPicPr>
                      <a:picLocks noChangeAspect="1"/>
                    </pic:cNvPicPr>
                  </pic:nvPicPr>
                  <pic:blipFill>
                    <a:blip r:embed="rId17"/>
                    <a:srcRect t="10445"/>
                    <a:stretch>
                      <a:fillRect/>
                    </a:stretch>
                  </pic:blipFill>
                  <pic:spPr>
                    <a:xfrm>
                      <a:off x="0" y="0"/>
                      <a:ext cx="5469890" cy="2917190"/>
                    </a:xfrm>
                    <a:prstGeom prst="rect">
                      <a:avLst/>
                    </a:prstGeom>
                    <a:noFill/>
                    <a:ln>
                      <a:noFill/>
                    </a:ln>
                  </pic:spPr>
                </pic:pic>
              </a:graphicData>
            </a:graphic>
          </wp:inline>
        </w:drawing>
      </w:r>
    </w:p>
    <w:p>
      <w:pPr>
        <w:spacing w:line="400" w:lineRule="exact"/>
        <w:rPr>
          <w:rFonts w:hint="eastAsia" w:ascii="宋体" w:hAnsi="宋体" w:eastAsia="宋体" w:cs="宋体"/>
          <w:b/>
          <w:color w:val="auto"/>
          <w:sz w:val="28"/>
          <w:highlight w:val="none"/>
        </w:rPr>
      </w:pPr>
    </w:p>
    <w:p>
      <w:pPr>
        <w:spacing w:line="400" w:lineRule="exact"/>
        <w:rPr>
          <w:rFonts w:hint="eastAsia" w:ascii="宋体" w:hAnsi="宋体" w:eastAsia="宋体" w:cs="宋体"/>
          <w:b/>
          <w:color w:val="auto"/>
          <w:sz w:val="28"/>
          <w:highlight w:val="none"/>
        </w:rPr>
      </w:pPr>
    </w:p>
    <w:p>
      <w:pPr>
        <w:spacing w:line="400" w:lineRule="exact"/>
        <w:rPr>
          <w:rFonts w:hint="eastAsia" w:ascii="宋体" w:hAnsi="宋体" w:eastAsia="宋体" w:cs="宋体"/>
          <w:b/>
          <w:color w:val="auto"/>
          <w:sz w:val="28"/>
          <w:highlight w:val="none"/>
        </w:rPr>
      </w:pPr>
    </w:p>
    <w:p>
      <w:pPr>
        <w:spacing w:line="600" w:lineRule="exact"/>
        <w:ind w:firstLine="1533" w:firstLineChars="347"/>
        <w:rPr>
          <w:rFonts w:hint="eastAsia" w:ascii="宋体" w:hAnsi="宋体" w:eastAsia="宋体" w:cs="宋体"/>
          <w:b/>
          <w:color w:val="auto"/>
          <w:sz w:val="44"/>
          <w:szCs w:val="44"/>
          <w:highlight w:val="none"/>
        </w:rPr>
      </w:pPr>
    </w:p>
    <w:p>
      <w:pPr>
        <w:autoSpaceDE w:val="0"/>
        <w:autoSpaceDN w:val="0"/>
        <w:jc w:val="center"/>
        <w:rPr>
          <w:rFonts w:hint="eastAsia" w:ascii="宋体" w:hAnsi="宋体" w:eastAsia="宋体" w:cs="宋体"/>
          <w:b/>
          <w:color w:val="auto"/>
          <w:sz w:val="90"/>
          <w:highlight w:val="none"/>
        </w:rPr>
      </w:pPr>
      <w:r>
        <w:rPr>
          <w:rFonts w:hint="eastAsia" w:ascii="宋体" w:hAnsi="宋体" w:eastAsia="宋体" w:cs="宋体"/>
          <w:b/>
          <w:color w:val="auto"/>
          <w:sz w:val="70"/>
          <w:szCs w:val="70"/>
          <w:highlight w:val="none"/>
        </w:rPr>
        <w:t>竞争性磋商采购文件</w:t>
      </w:r>
    </w:p>
    <w:p>
      <w:pPr>
        <w:spacing w:line="400" w:lineRule="exact"/>
        <w:jc w:val="center"/>
        <w:rPr>
          <w:rFonts w:hint="eastAsia" w:ascii="宋体" w:hAnsi="宋体" w:eastAsia="宋体" w:cs="宋体"/>
          <w:b/>
          <w:color w:val="auto"/>
          <w:sz w:val="32"/>
          <w:szCs w:val="32"/>
          <w:highlight w:val="none"/>
        </w:rPr>
      </w:pPr>
    </w:p>
    <w:p>
      <w:pPr>
        <w:pStyle w:val="19"/>
        <w:spacing w:line="400" w:lineRule="exact"/>
        <w:jc w:val="center"/>
        <w:rPr>
          <w:rFonts w:hint="eastAsia" w:ascii="宋体" w:hAnsi="宋体" w:eastAsia="宋体" w:cs="宋体"/>
          <w:b/>
          <w:color w:val="auto"/>
          <w:sz w:val="32"/>
          <w:szCs w:val="32"/>
          <w:highlight w:val="none"/>
        </w:rPr>
      </w:pPr>
    </w:p>
    <w:p>
      <w:pPr>
        <w:pStyle w:val="19"/>
        <w:spacing w:line="400" w:lineRule="exact"/>
        <w:jc w:val="center"/>
        <w:rPr>
          <w:rFonts w:hint="eastAsia" w:ascii="宋体" w:hAnsi="宋体" w:eastAsia="宋体" w:cs="宋体"/>
          <w:b/>
          <w:color w:val="auto"/>
          <w:sz w:val="32"/>
          <w:szCs w:val="32"/>
          <w:highlight w:val="none"/>
        </w:rPr>
      </w:pPr>
    </w:p>
    <w:p>
      <w:pPr>
        <w:pStyle w:val="25"/>
        <w:rPr>
          <w:rFonts w:hint="eastAsia" w:ascii="宋体" w:hAnsi="宋体" w:eastAsia="宋体" w:cs="宋体"/>
          <w:color w:val="auto"/>
          <w:highlight w:val="none"/>
        </w:rPr>
      </w:pPr>
    </w:p>
    <w:p>
      <w:pPr>
        <w:pStyle w:val="19"/>
        <w:spacing w:line="400" w:lineRule="exact"/>
        <w:jc w:val="center"/>
        <w:rPr>
          <w:rFonts w:hint="eastAsia" w:ascii="宋体" w:hAnsi="宋体" w:eastAsia="宋体" w:cs="宋体"/>
          <w:b/>
          <w:color w:val="auto"/>
          <w:sz w:val="32"/>
          <w:szCs w:val="32"/>
          <w:highlight w:val="none"/>
        </w:rPr>
      </w:pPr>
    </w:p>
    <w:p>
      <w:pPr>
        <w:pStyle w:val="19"/>
        <w:spacing w:line="400" w:lineRule="exact"/>
        <w:ind w:left="3170" w:leftChars="666" w:hanging="1771" w:hangingChars="63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bookmarkStart w:id="0" w:name="_Toc251051298"/>
      <w:r>
        <w:rPr>
          <w:rFonts w:hint="eastAsia" w:ascii="宋体" w:hAnsi="宋体" w:eastAsia="宋体" w:cs="宋体"/>
          <w:b/>
          <w:color w:val="auto"/>
          <w:sz w:val="28"/>
          <w:szCs w:val="28"/>
          <w:highlight w:val="none"/>
          <w:lang w:eastAsia="zh-CN"/>
        </w:rPr>
        <w:t>贺州市平桂区黄花山公园景观建设工程[一期(服务部分)]</w:t>
      </w:r>
    </w:p>
    <w:p>
      <w:pPr>
        <w:spacing w:line="400" w:lineRule="exact"/>
        <w:ind w:firstLine="562" w:firstLineChars="200"/>
        <w:rPr>
          <w:rFonts w:hint="eastAsia" w:ascii="宋体" w:hAnsi="宋体" w:eastAsia="宋体" w:cs="宋体"/>
          <w:b/>
          <w:color w:val="auto"/>
          <w:sz w:val="28"/>
          <w:szCs w:val="28"/>
          <w:highlight w:val="none"/>
        </w:rPr>
      </w:pPr>
    </w:p>
    <w:p>
      <w:pPr>
        <w:pStyle w:val="19"/>
        <w:spacing w:line="400" w:lineRule="exact"/>
        <w:ind w:firstLine="1405" w:firstLineChars="5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bookmarkEnd w:id="0"/>
      <w:r>
        <w:rPr>
          <w:rFonts w:hint="eastAsia" w:hAnsi="宋体" w:cs="宋体"/>
          <w:b/>
          <w:color w:val="auto"/>
          <w:sz w:val="28"/>
          <w:szCs w:val="28"/>
          <w:highlight w:val="none"/>
          <w:lang w:eastAsia="zh-CN"/>
        </w:rPr>
        <w:t>HZZC2024-C3-030209-GXWX</w:t>
      </w:r>
    </w:p>
    <w:p>
      <w:pPr>
        <w:spacing w:line="400" w:lineRule="exact"/>
        <w:jc w:val="center"/>
        <w:rPr>
          <w:rFonts w:hint="eastAsia" w:ascii="宋体" w:hAnsi="宋体" w:eastAsia="宋体" w:cs="宋体"/>
          <w:b/>
          <w:color w:val="auto"/>
          <w:sz w:val="28"/>
          <w:szCs w:val="28"/>
          <w:highlight w:val="none"/>
        </w:rPr>
      </w:pPr>
    </w:p>
    <w:p>
      <w:pPr>
        <w:spacing w:line="400" w:lineRule="exact"/>
        <w:jc w:val="center"/>
        <w:rPr>
          <w:rFonts w:hint="eastAsia" w:ascii="宋体" w:hAnsi="宋体" w:eastAsia="宋体" w:cs="宋体"/>
          <w:b/>
          <w:color w:val="auto"/>
          <w:sz w:val="28"/>
          <w:szCs w:val="28"/>
          <w:highlight w:val="none"/>
        </w:rPr>
      </w:pPr>
    </w:p>
    <w:p>
      <w:pPr>
        <w:pStyle w:val="44"/>
        <w:rPr>
          <w:rFonts w:hint="eastAsia" w:ascii="宋体" w:hAnsi="宋体" w:eastAsia="宋体" w:cs="宋体"/>
          <w:color w:val="auto"/>
          <w:highlight w:val="none"/>
        </w:rPr>
      </w:pPr>
    </w:p>
    <w:p>
      <w:pPr>
        <w:pStyle w:val="44"/>
        <w:rPr>
          <w:rFonts w:hint="eastAsia" w:ascii="宋体" w:hAnsi="宋体" w:eastAsia="宋体" w:cs="宋体"/>
          <w:color w:val="auto"/>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607060</wp:posOffset>
                </wp:positionH>
                <wp:positionV relativeFrom="paragraph">
                  <wp:posOffset>93980</wp:posOffset>
                </wp:positionV>
                <wp:extent cx="5532120" cy="2857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32120" cy="285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7.8pt;margin-top:7.4pt;height:2.25pt;width:435.6pt;z-index:251659264;mso-width-relative:page;mso-height-relative:page;" filled="f" stroked="t" coordsize="21600,21600" o:gfxdata="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n7LC1AAAAAgBAAAPAAAAAAAAAAEAIAAAACIAAABkcnMvZG93bnJldi54bWxQ&#10;SwECFAAUAAAACACHTuJAkeRXu/sBAAD2AwAADgAAAAAAAAABACAAAAAj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606425</wp:posOffset>
                </wp:positionH>
                <wp:positionV relativeFrom="paragraph">
                  <wp:posOffset>52705</wp:posOffset>
                </wp:positionV>
                <wp:extent cx="5514975" cy="2857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14975" cy="285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7.75pt;margin-top:4.15pt;height:2.25pt;width:434.25pt;z-index:251660288;mso-width-relative:page;mso-height-relative:page;" filled="f" stroked="t" coordsize="21600,21600" o:gfxdata="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bH4vnWAAAABwEAAA8AAAAAAAAAAQAgAAAAIgAAAGRycy9kb3ducmV2Lnht&#10;bFBLAQIUABQAAAAIAIdO4kBr11cN+wEAAPYDAAAOAAAAAAAAAAEAIAAAACUBAABkcnMvZTJvRG9j&#10;LnhtbFBLBQYAAAAABgAGAFkBAACSBQAAAAA=&#10;">
                <v:fill on="f" focussize="0,0"/>
                <v:stroke color="#000000" joinstyle="round"/>
                <v:imagedata o:title=""/>
                <o:lock v:ext="edit" aspectratio="f"/>
              </v:line>
            </w:pict>
          </mc:Fallback>
        </mc:AlternateContent>
      </w:r>
    </w:p>
    <w:p>
      <w:pPr>
        <w:spacing w:line="400" w:lineRule="exact"/>
        <w:jc w:val="left"/>
        <w:rPr>
          <w:rFonts w:hint="eastAsia" w:ascii="宋体" w:hAnsi="宋体" w:eastAsia="宋体" w:cs="宋体"/>
          <w:bCs/>
          <w:color w:val="auto"/>
          <w:sz w:val="28"/>
          <w:szCs w:val="28"/>
          <w:highlight w:val="none"/>
          <w:u w:val="double"/>
        </w:rPr>
      </w:pPr>
    </w:p>
    <w:p>
      <w:pPr>
        <w:spacing w:line="400" w:lineRule="exact"/>
        <w:ind w:firstLine="1687" w:firstLineChars="600"/>
        <w:rPr>
          <w:rFonts w:hint="eastAsia" w:ascii="宋体" w:hAnsi="宋体" w:eastAsia="宋体" w:cs="宋体"/>
          <w:color w:val="auto"/>
          <w:sz w:val="28"/>
          <w:szCs w:val="28"/>
          <w:highlight w:val="none"/>
          <w:lang w:eastAsia="zh-CN"/>
        </w:rPr>
      </w:pPr>
      <w:bookmarkStart w:id="1" w:name="_Toc251051300"/>
      <w:r>
        <w:rPr>
          <w:rFonts w:hint="eastAsia" w:ascii="宋体" w:hAnsi="宋体" w:eastAsia="宋体" w:cs="宋体"/>
          <w:b/>
          <w:bCs/>
          <w:color w:val="auto"/>
          <w:sz w:val="28"/>
          <w:szCs w:val="28"/>
          <w:highlight w:val="none"/>
        </w:rPr>
        <w:t>采购人:</w:t>
      </w:r>
      <w:bookmarkEnd w:id="1"/>
      <w:bookmarkStart w:id="2" w:name="_Toc251051301"/>
      <w:r>
        <w:rPr>
          <w:rFonts w:hint="eastAsia" w:ascii="宋体" w:hAnsi="宋体" w:eastAsia="宋体" w:cs="宋体"/>
          <w:b/>
          <w:bCs/>
          <w:color w:val="auto"/>
          <w:sz w:val="28"/>
          <w:szCs w:val="28"/>
          <w:highlight w:val="none"/>
          <w:lang w:eastAsia="zh-CN"/>
        </w:rPr>
        <w:t>贺州市平桂区城市管理综合执法局</w:t>
      </w:r>
    </w:p>
    <w:p>
      <w:pPr>
        <w:spacing w:line="400" w:lineRule="exact"/>
        <w:ind w:firstLine="1687" w:firstLineChars="6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采购代理机构:</w:t>
      </w:r>
      <w:bookmarkEnd w:id="2"/>
      <w:r>
        <w:rPr>
          <w:rFonts w:hint="eastAsia" w:ascii="宋体" w:hAnsi="宋体" w:eastAsia="宋体" w:cs="宋体"/>
          <w:b/>
          <w:bCs/>
          <w:color w:val="auto"/>
          <w:sz w:val="28"/>
          <w:szCs w:val="28"/>
          <w:highlight w:val="none"/>
          <w:lang w:eastAsia="zh-CN"/>
        </w:rPr>
        <w:t>广西旺鑫项目管理咨询有限公司</w:t>
      </w:r>
    </w:p>
    <w:p>
      <w:pPr>
        <w:spacing w:line="400" w:lineRule="exac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 xml:space="preserve">            发布日期：</w:t>
      </w:r>
      <w:r>
        <w:rPr>
          <w:rFonts w:hint="eastAsia" w:ascii="宋体" w:hAnsi="宋体" w:eastAsia="宋体" w:cs="宋体"/>
          <w:b/>
          <w:bCs/>
          <w:color w:val="auto"/>
          <w:sz w:val="28"/>
          <w:szCs w:val="28"/>
          <w:highlight w:val="none"/>
          <w:lang w:eastAsia="zh-CN"/>
        </w:rPr>
        <w:t>2024年5月</w:t>
      </w:r>
      <w:r>
        <w:rPr>
          <w:rFonts w:hint="eastAsia" w:ascii="宋体" w:hAnsi="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lang w:eastAsia="zh-CN"/>
        </w:rPr>
        <w:t>日</w:t>
      </w:r>
    </w:p>
    <w:p>
      <w:pPr>
        <w:pStyle w:val="19"/>
        <w:spacing w:line="400" w:lineRule="exact"/>
        <w:jc w:val="center"/>
        <w:rPr>
          <w:rFonts w:hint="eastAsia" w:ascii="宋体" w:hAnsi="宋体" w:eastAsia="宋体" w:cs="宋体"/>
          <w:b/>
          <w:color w:val="auto"/>
          <w:sz w:val="44"/>
          <w:highlight w:val="none"/>
        </w:rPr>
        <w:sectPr>
          <w:headerReference r:id="rId5" w:type="first"/>
          <w:headerReference r:id="rId3" w:type="default"/>
          <w:footerReference r:id="rId6" w:type="default"/>
          <w:headerReference r:id="rId4" w:type="even"/>
          <w:footerReference r:id="rId7" w:type="even"/>
          <w:pgSz w:w="11906" w:h="16838"/>
          <w:pgMar w:top="1134" w:right="1062" w:bottom="1134" w:left="964" w:header="851" w:footer="992" w:gutter="0"/>
          <w:pgNumType w:start="1"/>
          <w:cols w:space="720" w:num="1"/>
          <w:titlePg/>
          <w:docGrid w:type="lines" w:linePitch="312" w:charSpace="0"/>
        </w:sect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pPr>
        <w:spacing w:line="400" w:lineRule="exact"/>
        <w:jc w:val="center"/>
        <w:rPr>
          <w:rFonts w:hint="eastAsia" w:ascii="宋体" w:hAnsi="宋体" w:eastAsia="宋体" w:cs="宋体"/>
          <w:b/>
          <w:color w:val="auto"/>
          <w:sz w:val="44"/>
          <w:szCs w:val="44"/>
          <w:highlight w:val="none"/>
        </w:rPr>
      </w:pPr>
    </w:p>
    <w:p>
      <w:pPr>
        <w:pStyle w:val="24"/>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"1-3" \h \z \u</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"_Toc44229877" </w:instrText>
      </w:r>
      <w:r>
        <w:rPr>
          <w:rFonts w:hint="eastAsia" w:ascii="宋体" w:hAnsi="宋体" w:eastAsia="宋体" w:cs="宋体"/>
          <w:color w:val="auto"/>
          <w:highlight w:val="none"/>
        </w:rPr>
        <w:fldChar w:fldCharType="separate"/>
      </w:r>
      <w:r>
        <w:rPr>
          <w:rStyle w:val="37"/>
          <w:rFonts w:hint="eastAsia" w:ascii="宋体" w:hAnsi="宋体" w:eastAsia="宋体" w:cs="宋体"/>
          <w:color w:val="auto"/>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_Toc44229877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"_Toc44229894" </w:instrText>
      </w:r>
      <w:r>
        <w:rPr>
          <w:rFonts w:hint="eastAsia" w:ascii="宋体" w:hAnsi="宋体" w:eastAsia="宋体" w:cs="宋体"/>
          <w:color w:val="auto"/>
          <w:highlight w:val="none"/>
        </w:rPr>
        <w:fldChar w:fldCharType="separate"/>
      </w:r>
      <w:r>
        <w:rPr>
          <w:rStyle w:val="37"/>
          <w:rFonts w:hint="eastAsia" w:ascii="宋体" w:hAnsi="宋体" w:eastAsia="宋体" w:cs="宋体"/>
          <w:color w:val="auto"/>
          <w:sz w:val="28"/>
          <w:szCs w:val="28"/>
          <w:highlight w:val="none"/>
        </w:rPr>
        <w:t>第二章 供应商须</w:t>
      </w:r>
      <w:bookmarkStart w:id="3" w:name="_Hlt45187173"/>
      <w:bookmarkStart w:id="4" w:name="_Hlt45187174"/>
      <w:r>
        <w:rPr>
          <w:rStyle w:val="37"/>
          <w:rFonts w:hint="eastAsia" w:ascii="宋体" w:hAnsi="宋体" w:eastAsia="宋体" w:cs="宋体"/>
          <w:color w:val="auto"/>
          <w:sz w:val="28"/>
          <w:szCs w:val="28"/>
          <w:highlight w:val="none"/>
        </w:rPr>
        <w:t>知</w:t>
      </w:r>
      <w:bookmarkEnd w:id="3"/>
      <w:bookmarkEnd w:id="4"/>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_Toc44229894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"_Toc44229895" </w:instrText>
      </w:r>
      <w:r>
        <w:rPr>
          <w:rFonts w:hint="eastAsia" w:ascii="宋体" w:hAnsi="宋体" w:eastAsia="宋体" w:cs="宋体"/>
          <w:color w:val="auto"/>
          <w:highlight w:val="none"/>
        </w:rPr>
        <w:fldChar w:fldCharType="separate"/>
      </w:r>
      <w:r>
        <w:rPr>
          <w:rStyle w:val="37"/>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_Toc44229895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"_Toc44229896" </w:instrText>
      </w:r>
      <w:r>
        <w:rPr>
          <w:rFonts w:hint="eastAsia" w:ascii="宋体" w:hAnsi="宋体" w:eastAsia="宋体" w:cs="宋体"/>
          <w:color w:val="auto"/>
          <w:highlight w:val="none"/>
        </w:rPr>
        <w:fldChar w:fldCharType="separate"/>
      </w:r>
      <w:r>
        <w:rPr>
          <w:rStyle w:val="37"/>
          <w:rFonts w:hint="eastAsia" w:ascii="宋体" w:hAnsi="宋体" w:eastAsia="宋体" w:cs="宋体"/>
          <w:color w:val="auto"/>
          <w:sz w:val="28"/>
          <w:szCs w:val="28"/>
          <w:highlight w:val="none"/>
        </w:rPr>
        <w:t>第四章 评审程序、评审方法和</w:t>
      </w:r>
      <w:bookmarkStart w:id="5" w:name="_Hlt44924516"/>
      <w:bookmarkStart w:id="6" w:name="_Hlt44924517"/>
      <w:r>
        <w:rPr>
          <w:rStyle w:val="37"/>
          <w:rFonts w:hint="eastAsia" w:ascii="宋体" w:hAnsi="宋体" w:eastAsia="宋体" w:cs="宋体"/>
          <w:color w:val="auto"/>
          <w:sz w:val="28"/>
          <w:szCs w:val="28"/>
          <w:highlight w:val="none"/>
        </w:rPr>
        <w:t>评</w:t>
      </w:r>
      <w:bookmarkEnd w:id="5"/>
      <w:bookmarkEnd w:id="6"/>
      <w:r>
        <w:rPr>
          <w:rStyle w:val="37"/>
          <w:rFonts w:hint="eastAsia" w:ascii="宋体" w:hAnsi="宋体" w:eastAsia="宋体" w:cs="宋体"/>
          <w:color w:val="auto"/>
          <w:sz w:val="28"/>
          <w:szCs w:val="28"/>
          <w:highlight w:val="none"/>
        </w:rPr>
        <w:t>审标准</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pPr>
        <w:pStyle w:val="24"/>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"_Toc44229897" </w:instrText>
      </w:r>
      <w:r>
        <w:rPr>
          <w:rFonts w:hint="eastAsia" w:ascii="宋体" w:hAnsi="宋体" w:eastAsia="宋体" w:cs="宋体"/>
          <w:color w:val="auto"/>
          <w:highlight w:val="none"/>
        </w:rPr>
        <w:fldChar w:fldCharType="separate"/>
      </w:r>
      <w:r>
        <w:rPr>
          <w:rStyle w:val="37"/>
          <w:rFonts w:hint="eastAsia" w:ascii="宋体" w:hAnsi="宋体" w:eastAsia="宋体" w:cs="宋体"/>
          <w:color w:val="auto"/>
          <w:sz w:val="28"/>
          <w:szCs w:val="28"/>
          <w:highlight w:val="none"/>
        </w:rPr>
        <w:t xml:space="preserve">第五章 </w:t>
      </w:r>
      <w:bookmarkStart w:id="7" w:name="_Hlk65837638"/>
      <w:r>
        <w:rPr>
          <w:rStyle w:val="37"/>
          <w:rFonts w:hint="eastAsia" w:ascii="宋体" w:hAnsi="宋体" w:eastAsia="宋体" w:cs="宋体"/>
          <w:color w:val="auto"/>
          <w:sz w:val="28"/>
          <w:szCs w:val="28"/>
          <w:highlight w:val="none"/>
        </w:rPr>
        <w:t>响应文件格式</w:t>
      </w:r>
      <w:bookmarkEnd w:id="7"/>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_Toc44229897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"_Toc44229900" </w:instrText>
      </w:r>
      <w:r>
        <w:rPr>
          <w:rFonts w:hint="eastAsia" w:ascii="宋体" w:hAnsi="宋体" w:eastAsia="宋体" w:cs="宋体"/>
          <w:color w:val="auto"/>
          <w:highlight w:val="none"/>
        </w:rPr>
        <w:fldChar w:fldCharType="separate"/>
      </w:r>
      <w:r>
        <w:rPr>
          <w:rStyle w:val="37"/>
          <w:rFonts w:hint="eastAsia" w:ascii="宋体" w:hAnsi="宋体" w:eastAsia="宋体" w:cs="宋体"/>
          <w:color w:val="auto"/>
          <w:sz w:val="28"/>
          <w:szCs w:val="28"/>
          <w:highlight w:val="none"/>
        </w:rPr>
        <w:t>第六章 合同文本</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24"/>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end"/>
      </w:r>
    </w:p>
    <w:p>
      <w:pPr>
        <w:spacing w:line="400" w:lineRule="exact"/>
        <w:jc w:val="left"/>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bidi w:val="0"/>
        <w:rPr>
          <w:rFonts w:hint="eastAsia" w:ascii="宋体" w:hAnsi="宋体" w:eastAsia="宋体" w:cs="宋体"/>
          <w:color w:val="auto"/>
          <w:kern w:val="2"/>
          <w:sz w:val="21"/>
          <w:szCs w:val="24"/>
          <w:highlight w:val="none"/>
          <w:lang w:val="en-US" w:eastAsia="zh-CN" w:bidi="ar-SA"/>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tabs>
          <w:tab w:val="center" w:pos="4819"/>
        </w:tabs>
        <w:bidi w:val="0"/>
        <w:jc w:val="left"/>
        <w:rPr>
          <w:rFonts w:hint="eastAsia" w:ascii="宋体" w:hAnsi="宋体" w:eastAsia="宋体" w:cs="宋体"/>
          <w:color w:val="auto"/>
          <w:highlight w:val="none"/>
          <w:lang w:val="en-US" w:eastAsia="zh-CN"/>
        </w:rPr>
        <w:sectPr>
          <w:headerReference r:id="rId9" w:type="first"/>
          <w:footerReference r:id="rId11" w:type="first"/>
          <w:headerReference r:id="rId8" w:type="default"/>
          <w:footerReference r:id="rId10" w:type="default"/>
          <w:pgSz w:w="11906" w:h="16838"/>
          <w:pgMar w:top="1134" w:right="1134" w:bottom="1134" w:left="1134" w:header="851" w:footer="992" w:gutter="0"/>
          <w:pgNumType w:fmt="decimal" w:start="1"/>
          <w:cols w:space="0" w:num="1"/>
          <w:titlePg/>
          <w:docGrid w:type="lines" w:linePitch="312" w:charSpace="0"/>
        </w:sectPr>
      </w:pPr>
    </w:p>
    <w:p>
      <w:pPr>
        <w:pStyle w:val="4"/>
        <w:numPr>
          <w:ilvl w:val="0"/>
          <w:numId w:val="4"/>
        </w:numPr>
        <w:jc w:val="center"/>
        <w:rPr>
          <w:rFonts w:hint="eastAsia" w:ascii="宋体" w:hAnsi="宋体" w:eastAsia="宋体" w:cs="宋体"/>
          <w:color w:val="auto"/>
          <w:highlight w:val="none"/>
        </w:rPr>
      </w:pPr>
      <w:bookmarkStart w:id="8" w:name="_Toc44229877"/>
      <w:r>
        <w:rPr>
          <w:rFonts w:hint="eastAsia" w:ascii="宋体" w:hAnsi="宋体" w:eastAsia="宋体" w:cs="宋体"/>
          <w:color w:val="auto"/>
          <w:highlight w:val="none"/>
        </w:rPr>
        <w:t>竞争性磋商公告</w:t>
      </w:r>
      <w:bookmarkEnd w:id="8"/>
    </w:p>
    <w:p>
      <w:pPr>
        <w:snapToGrid w:val="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广西旺鑫项目管理咨询有限公司</w:t>
      </w:r>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关于</w:t>
      </w:r>
      <w:r>
        <w:rPr>
          <w:rFonts w:hint="eastAsia" w:ascii="宋体" w:hAnsi="宋体" w:eastAsia="宋体" w:cs="宋体"/>
          <w:b/>
          <w:color w:val="auto"/>
          <w:sz w:val="24"/>
          <w:highlight w:val="none"/>
          <w:lang w:eastAsia="zh-CN"/>
        </w:rPr>
        <w:t>贺州市平桂区黄花山公园景观建设工程[一期(服务部分)]</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HZZC2024-C3-030209-GXWX</w:t>
      </w:r>
      <w:r>
        <w:rPr>
          <w:rFonts w:hint="eastAsia" w:ascii="宋体" w:hAnsi="宋体" w:eastAsia="宋体" w:cs="宋体"/>
          <w:b/>
          <w:color w:val="auto"/>
          <w:sz w:val="24"/>
          <w:highlight w:val="none"/>
        </w:rPr>
        <w:t>）</w:t>
      </w:r>
    </w:p>
    <w:p>
      <w:pPr>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竞争性磋商公告（远程异地评标）</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eastAsia="宋体" w:cs="宋体"/>
          <w:color w:val="auto"/>
          <w:szCs w:val="21"/>
          <w:highlight w:val="none"/>
        </w:rPr>
      </w:pPr>
      <w:bookmarkStart w:id="9" w:name="_Hlk37430271"/>
      <w:r>
        <w:rPr>
          <w:rFonts w:hint="eastAsia" w:ascii="宋体" w:hAnsi="宋体" w:eastAsia="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贺州市平桂区黄花山公园景观建设工程[一期(服务部分)]</w:t>
      </w:r>
      <w:r>
        <w:rPr>
          <w:rFonts w:hint="eastAsia" w:ascii="宋体" w:hAnsi="宋体" w:eastAsia="宋体" w:cs="宋体"/>
          <w:color w:val="auto"/>
          <w:szCs w:val="21"/>
          <w:highlight w:val="none"/>
        </w:rPr>
        <w:t>项目的潜在供应商应在</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广西政府采购云</w:t>
      </w:r>
      <w:r>
        <w:rPr>
          <w:rFonts w:hint="eastAsia" w:ascii="宋体" w:hAnsi="宋体" w:eastAsia="宋体" w:cs="宋体"/>
          <w:color w:val="auto"/>
          <w:szCs w:val="21"/>
          <w:highlight w:val="none"/>
          <w:u w:val="single"/>
        </w:rPr>
        <w:t>”平台（https://www.gcy.zfcg.gxzf.gov.cn）</w:t>
      </w:r>
      <w:r>
        <w:rPr>
          <w:rFonts w:hint="eastAsia" w:ascii="宋体" w:hAnsi="宋体" w:eastAsia="宋体" w:cs="宋体"/>
          <w:color w:val="auto"/>
          <w:szCs w:val="21"/>
          <w:highlight w:val="none"/>
        </w:rPr>
        <w:t>下载竞争性磋商文件，并于</w:t>
      </w:r>
      <w:r>
        <w:rPr>
          <w:rFonts w:hint="eastAsia" w:ascii="宋体" w:hAnsi="宋体" w:cs="宋体"/>
          <w:color w:val="auto"/>
          <w:szCs w:val="21"/>
          <w:highlight w:val="none"/>
          <w:u w:val="single"/>
          <w:lang w:eastAsia="zh-CN"/>
        </w:rPr>
        <w:t>2024年5月22日9时00分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pPr>
        <w:pStyle w:val="4"/>
        <w:spacing w:before="0" w:after="0" w:line="400" w:lineRule="exact"/>
        <w:ind w:firstLine="422" w:firstLineChars="200"/>
        <w:rPr>
          <w:rFonts w:hint="eastAsia" w:ascii="宋体" w:hAnsi="宋体" w:eastAsia="宋体" w:cs="宋体"/>
          <w:bCs w:val="0"/>
          <w:color w:val="auto"/>
          <w:sz w:val="21"/>
          <w:szCs w:val="21"/>
          <w:highlight w:val="none"/>
        </w:rPr>
      </w:pPr>
      <w:bookmarkStart w:id="10" w:name="_Toc28359012"/>
      <w:bookmarkStart w:id="11" w:name="_Toc35393798"/>
      <w:bookmarkStart w:id="12" w:name="_Toc35393629"/>
      <w:bookmarkStart w:id="13" w:name="_Toc44229878"/>
      <w:bookmarkStart w:id="14" w:name="_Toc28359089"/>
      <w:r>
        <w:rPr>
          <w:rFonts w:hint="eastAsia" w:ascii="宋体" w:hAnsi="宋体" w:eastAsia="宋体" w:cs="宋体"/>
          <w:bCs w:val="0"/>
          <w:color w:val="auto"/>
          <w:sz w:val="21"/>
          <w:szCs w:val="21"/>
          <w:highlight w:val="none"/>
        </w:rPr>
        <w:t>一、项目基本情况</w:t>
      </w:r>
      <w:bookmarkEnd w:id="10"/>
      <w:bookmarkEnd w:id="11"/>
      <w:bookmarkEnd w:id="12"/>
      <w:bookmarkEnd w:id="13"/>
      <w:bookmarkEnd w:id="14"/>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HZZC2024-C3-030209-GXWX</w:t>
      </w:r>
    </w:p>
    <w:p>
      <w:pPr>
        <w:spacing w:line="40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2.项目名称：</w:t>
      </w:r>
      <w:r>
        <w:rPr>
          <w:rFonts w:hint="eastAsia" w:ascii="宋体" w:hAnsi="宋体" w:eastAsia="宋体" w:cs="宋体"/>
          <w:color w:val="auto"/>
          <w:szCs w:val="21"/>
          <w:highlight w:val="none"/>
          <w:lang w:eastAsia="zh-CN"/>
        </w:rPr>
        <w:t>贺州市平桂区黄花山公园景观建设工程[一期(服务部分)]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4.预算金额：</w:t>
      </w:r>
      <w:r>
        <w:rPr>
          <w:rFonts w:hint="eastAsia" w:ascii="宋体" w:hAnsi="宋体" w:eastAsia="宋体" w:cs="宋体"/>
          <w:color w:val="auto"/>
          <w:szCs w:val="21"/>
          <w:highlight w:val="none"/>
          <w:u w:val="single"/>
          <w:lang w:val="en-US" w:eastAsia="zh-CN"/>
        </w:rPr>
        <w:t>147</w:t>
      </w:r>
      <w:r>
        <w:rPr>
          <w:rFonts w:hint="eastAsia" w:ascii="宋体" w:hAnsi="宋体" w:eastAsia="宋体" w:cs="宋体"/>
          <w:color w:val="auto"/>
          <w:szCs w:val="21"/>
          <w:highlight w:val="none"/>
          <w:u w:val="single"/>
        </w:rPr>
        <w:t>万</w:t>
      </w:r>
      <w:r>
        <w:rPr>
          <w:rFonts w:hint="eastAsia" w:ascii="宋体" w:hAnsi="宋体" w:eastAsia="宋体" w:cs="宋体"/>
          <w:color w:val="auto"/>
          <w:szCs w:val="21"/>
          <w:highlight w:val="none"/>
        </w:rPr>
        <w:t>元</w:t>
      </w:r>
    </w:p>
    <w:p>
      <w:pPr>
        <w:spacing w:line="40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5.最高限价：</w:t>
      </w:r>
      <w:r>
        <w:rPr>
          <w:rFonts w:hint="eastAsia" w:ascii="宋体" w:hAnsi="宋体" w:eastAsia="宋体" w:cs="宋体"/>
          <w:color w:val="auto"/>
          <w:szCs w:val="21"/>
          <w:highlight w:val="none"/>
          <w:u w:val="single"/>
          <w:lang w:val="en-US" w:eastAsia="zh-CN"/>
        </w:rPr>
        <w:t>147</w:t>
      </w:r>
      <w:r>
        <w:rPr>
          <w:rFonts w:hint="eastAsia" w:ascii="宋体" w:hAnsi="宋体" w:eastAsia="宋体" w:cs="宋体"/>
          <w:color w:val="auto"/>
          <w:szCs w:val="21"/>
          <w:highlight w:val="none"/>
          <w:u w:val="single"/>
        </w:rPr>
        <w:t>万元</w:t>
      </w:r>
    </w:p>
    <w:p>
      <w:pPr>
        <w:spacing w:line="40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6.采购需求：</w:t>
      </w:r>
      <w:r>
        <w:rPr>
          <w:rFonts w:hint="eastAsia" w:ascii="宋体" w:hAnsi="宋体" w:eastAsia="宋体" w:cs="宋体"/>
          <w:color w:val="auto"/>
          <w:szCs w:val="21"/>
          <w:highlight w:val="none"/>
          <w:u w:val="none"/>
          <w:lang w:eastAsia="zh-CN"/>
        </w:rPr>
        <w:t>贺州市平桂区黄花山公园景观建设工程[一期(服务部分)]</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按照需求</w:t>
      </w:r>
      <w:r>
        <w:rPr>
          <w:rFonts w:hint="eastAsia" w:ascii="宋体" w:hAnsi="宋体" w:eastAsia="宋体" w:cs="宋体"/>
          <w:color w:val="auto"/>
          <w:szCs w:val="21"/>
          <w:highlight w:val="none"/>
          <w:u w:val="none"/>
        </w:rPr>
        <w:t>采购苗木并且完成苗木种植及提供苗木种植后</w:t>
      </w:r>
      <w:r>
        <w:rPr>
          <w:rFonts w:hint="eastAsia" w:ascii="宋体" w:hAnsi="宋体" w:cs="宋体"/>
          <w:color w:val="auto"/>
          <w:szCs w:val="21"/>
          <w:highlight w:val="none"/>
          <w:u w:val="none"/>
          <w:lang w:val="en-US" w:eastAsia="zh-CN"/>
        </w:rPr>
        <w:t>一年时间</w:t>
      </w:r>
      <w:r>
        <w:rPr>
          <w:rFonts w:hint="eastAsia" w:ascii="宋体" w:hAnsi="宋体" w:eastAsia="宋体" w:cs="宋体"/>
          <w:color w:val="auto"/>
          <w:szCs w:val="21"/>
          <w:highlight w:val="none"/>
          <w:u w:val="none"/>
        </w:rPr>
        <w:t>养护等技术服务。（详见第三章“采购需求和说明”）。</w:t>
      </w:r>
    </w:p>
    <w:p>
      <w:pPr>
        <w:spacing w:line="40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7.合同履行期限：</w:t>
      </w:r>
      <w:bookmarkStart w:id="15" w:name="_Hlk50729448"/>
      <w:r>
        <w:rPr>
          <w:rFonts w:hint="eastAsia" w:ascii="宋体" w:hAnsi="宋体" w:eastAsia="宋体" w:cs="宋体"/>
          <w:color w:val="auto"/>
          <w:szCs w:val="21"/>
          <w:highlight w:val="none"/>
          <w:u w:val="none"/>
        </w:rPr>
        <w:t>按合同约定</w:t>
      </w:r>
      <w:r>
        <w:rPr>
          <w:rFonts w:hint="eastAsia" w:ascii="宋体" w:hAnsi="宋体" w:eastAsia="宋体" w:cs="宋体"/>
          <w:bCs/>
          <w:color w:val="auto"/>
          <w:szCs w:val="21"/>
          <w:highlight w:val="none"/>
          <w:u w:val="none"/>
        </w:rPr>
        <w:t>。</w:t>
      </w:r>
      <w:bookmarkEnd w:id="15"/>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8.本项目不接受联合体</w:t>
      </w:r>
    </w:p>
    <w:p>
      <w:pPr>
        <w:pStyle w:val="4"/>
        <w:spacing w:before="0" w:after="0" w:line="400" w:lineRule="exact"/>
        <w:ind w:firstLine="422" w:firstLineChars="200"/>
        <w:rPr>
          <w:rFonts w:hint="eastAsia" w:ascii="宋体" w:hAnsi="宋体" w:eastAsia="宋体" w:cs="宋体"/>
          <w:bCs w:val="0"/>
          <w:color w:val="auto"/>
          <w:sz w:val="21"/>
          <w:szCs w:val="21"/>
          <w:highlight w:val="none"/>
        </w:rPr>
      </w:pPr>
      <w:bookmarkStart w:id="16" w:name="_Toc35393630"/>
      <w:bookmarkStart w:id="17" w:name="_Toc28359013"/>
      <w:bookmarkStart w:id="18" w:name="_Toc35393799"/>
      <w:bookmarkStart w:id="19" w:name="_Toc28359090"/>
      <w:bookmarkStart w:id="20" w:name="_Toc44229879"/>
      <w:r>
        <w:rPr>
          <w:rFonts w:hint="eastAsia" w:ascii="宋体" w:hAnsi="宋体" w:eastAsia="宋体" w:cs="宋体"/>
          <w:bCs w:val="0"/>
          <w:color w:val="auto"/>
          <w:sz w:val="21"/>
          <w:szCs w:val="21"/>
          <w:highlight w:val="none"/>
        </w:rPr>
        <w:t>二、供应商的资格条件：</w:t>
      </w:r>
      <w:bookmarkEnd w:id="16"/>
      <w:bookmarkEnd w:id="17"/>
      <w:bookmarkEnd w:id="18"/>
      <w:bookmarkEnd w:id="19"/>
      <w:bookmarkEnd w:id="20"/>
    </w:p>
    <w:p>
      <w:pPr>
        <w:spacing w:line="400" w:lineRule="exact"/>
        <w:ind w:firstLine="420" w:firstLineChars="200"/>
        <w:rPr>
          <w:rFonts w:hint="eastAsia" w:ascii="宋体" w:hAnsi="宋体" w:eastAsia="宋体" w:cs="宋体"/>
          <w:color w:val="auto"/>
          <w:szCs w:val="21"/>
          <w:highlight w:val="none"/>
        </w:rPr>
      </w:pPr>
      <w:bookmarkStart w:id="21" w:name="_Toc28359014"/>
      <w:bookmarkStart w:id="22" w:name="_Toc35393800"/>
      <w:bookmarkStart w:id="23" w:name="_Toc35393631"/>
      <w:bookmarkStart w:id="24" w:name="_Toc44229880"/>
      <w:bookmarkStart w:id="25" w:name="_Toc28359091"/>
      <w:r>
        <w:rPr>
          <w:rFonts w:hint="eastAsia" w:ascii="宋体" w:hAnsi="宋体" w:eastAsia="宋体" w:cs="宋体"/>
          <w:color w:val="auto"/>
          <w:szCs w:val="21"/>
          <w:highlight w:val="none"/>
        </w:rPr>
        <w:t xml:space="preserve">1.符合《中华人民共和国政府采购法》第二十二条的规定。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未被“信用中国”（www.creditchina.gov.cn）、中国政府采购网（www.ccgp.gov.cn）列入失信被执行人、重大税收违法案件当事人名单、政府采购严重违法失信行为记录名单。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.落实政府采购政策需满足的资格要求：专门面向小微企业采购项目（供应商应为小微企业、监狱企业、残疾人福利性单位)；</w:t>
      </w:r>
    </w:p>
    <w:p>
      <w:pPr>
        <w:spacing w:line="400" w:lineRule="exact"/>
        <w:ind w:firstLine="420" w:firstLineChars="200"/>
        <w:rPr>
          <w:rFonts w:hint="eastAsia" w:ascii="宋体" w:hAnsi="宋体" w:eastAsia="宋体" w:cs="宋体"/>
          <w:b w:val="0"/>
          <w:bCs w:val="0"/>
          <w:color w:val="auto"/>
          <w:kern w:val="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无</w:t>
      </w:r>
      <w:r>
        <w:rPr>
          <w:rFonts w:hint="eastAsia" w:ascii="宋体" w:hAnsi="宋体" w:eastAsia="宋体" w:cs="宋体"/>
          <w:color w:val="auto"/>
          <w:kern w:val="1"/>
          <w:szCs w:val="21"/>
          <w:highlight w:val="none"/>
          <w:lang w:eastAsia="zh-CN"/>
        </w:rPr>
        <w:t>。</w:t>
      </w:r>
    </w:p>
    <w:p>
      <w:pPr>
        <w:pStyle w:val="4"/>
        <w:spacing w:before="0" w:after="0" w:line="400" w:lineRule="exact"/>
        <w:ind w:firstLine="422"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三、获取竞争性磋商文件</w:t>
      </w:r>
      <w:bookmarkEnd w:id="21"/>
      <w:bookmarkEnd w:id="22"/>
      <w:bookmarkEnd w:id="23"/>
      <w:bookmarkEnd w:id="24"/>
      <w:bookmarkEnd w:id="25"/>
    </w:p>
    <w:p>
      <w:pPr>
        <w:snapToGrid w:val="0"/>
        <w:spacing w:line="400" w:lineRule="exact"/>
        <w:ind w:firstLine="420" w:firstLineChars="200"/>
        <w:rPr>
          <w:rFonts w:hint="eastAsia" w:ascii="宋体" w:hAnsi="宋体" w:eastAsia="宋体" w:cs="宋体"/>
          <w:color w:val="auto"/>
          <w:szCs w:val="21"/>
          <w:highlight w:val="none"/>
        </w:rPr>
      </w:pPr>
      <w:bookmarkStart w:id="26" w:name="_Toc35393793"/>
      <w:r>
        <w:rPr>
          <w:rFonts w:hint="eastAsia" w:ascii="宋体" w:hAnsi="宋体" w:eastAsia="宋体" w:cs="宋体"/>
          <w:color w:val="auto"/>
          <w:szCs w:val="21"/>
          <w:highlight w:val="none"/>
        </w:rPr>
        <w:t>1.时间：</w:t>
      </w:r>
      <w:bookmarkEnd w:id="26"/>
      <w:r>
        <w:rPr>
          <w:rFonts w:hint="eastAsia" w:ascii="宋体" w:hAnsi="宋体" w:eastAsia="宋体" w:cs="宋体"/>
          <w:color w:val="auto"/>
          <w:szCs w:val="21"/>
          <w:highlight w:val="none"/>
        </w:rPr>
        <w:t>公告发布之时至202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日18:00（北京时间）。</w:t>
      </w:r>
    </w:p>
    <w:p>
      <w:pPr>
        <w:spacing w:line="400" w:lineRule="exact"/>
        <w:ind w:firstLine="420" w:firstLineChars="200"/>
        <w:rPr>
          <w:rFonts w:hint="eastAsia" w:ascii="宋体" w:hAnsi="宋体" w:eastAsia="宋体" w:cs="宋体"/>
          <w:b/>
          <w:bCs/>
          <w:color w:val="auto"/>
          <w:szCs w:val="21"/>
          <w:highlight w:val="none"/>
        </w:rPr>
      </w:pPr>
      <w:bookmarkStart w:id="27" w:name="_Toc28359015"/>
      <w:bookmarkStart w:id="28" w:name="_Toc35393632"/>
      <w:bookmarkStart w:id="29" w:name="_Toc35393801"/>
      <w:bookmarkStart w:id="30" w:name="_Toc28359092"/>
      <w:bookmarkStart w:id="31" w:name="_Toc44229881"/>
      <w:r>
        <w:rPr>
          <w:rFonts w:hint="eastAsia" w:ascii="宋体" w:hAnsi="宋体" w:eastAsia="宋体" w:cs="宋体"/>
          <w:color w:val="auto"/>
          <w:szCs w:val="21"/>
          <w:highlight w:val="none"/>
        </w:rPr>
        <w:t>2.地点：</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平台（https://www.gcy.zfcg.gxzf.gov.cn）</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3.方式：供应商登录</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在线申请获取采购文件（进入“项目采购”应用，在获取采购文件菜单中选择项目，申请获取采购文件）</w:t>
      </w:r>
    </w:p>
    <w:p>
      <w:pPr>
        <w:snapToGrid w:val="0"/>
        <w:spacing w:line="400" w:lineRule="exact"/>
        <w:ind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4.售价：0元。</w:t>
      </w:r>
    </w:p>
    <w:p>
      <w:pPr>
        <w:pStyle w:val="4"/>
        <w:spacing w:before="0" w:after="0" w:line="400" w:lineRule="exact"/>
        <w:ind w:firstLine="422"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四、响应文件提交</w:t>
      </w:r>
      <w:bookmarkEnd w:id="27"/>
      <w:bookmarkEnd w:id="28"/>
      <w:bookmarkEnd w:id="29"/>
      <w:bookmarkEnd w:id="30"/>
      <w:bookmarkEnd w:id="31"/>
      <w:r>
        <w:rPr>
          <w:rFonts w:hint="eastAsia" w:ascii="宋体" w:hAnsi="宋体" w:eastAsia="宋体" w:cs="宋体"/>
          <w:bCs w:val="0"/>
          <w:color w:val="auto"/>
          <w:sz w:val="21"/>
          <w:szCs w:val="21"/>
          <w:highlight w:val="none"/>
        </w:rPr>
        <w:t>截止时间、开标时间和地点</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rPr>
      </w:pPr>
      <w:bookmarkStart w:id="32" w:name="_Toc35393802"/>
      <w:bookmarkStart w:id="33" w:name="_Toc44229882"/>
      <w:bookmarkStart w:id="34" w:name="_Toc35393633"/>
      <w:bookmarkStart w:id="35" w:name="_Toc28359093"/>
      <w:bookmarkStart w:id="36" w:name="_Toc28359016"/>
      <w:bookmarkStart w:id="37" w:name="_Toc35393803"/>
      <w:bookmarkStart w:id="38" w:name="_Toc28359017"/>
      <w:bookmarkStart w:id="39" w:name="_Toc35393634"/>
      <w:bookmarkStart w:id="40" w:name="_Toc28359094"/>
      <w:bookmarkStart w:id="41" w:name="_Toc44229883"/>
      <w:r>
        <w:rPr>
          <w:rFonts w:hint="eastAsia" w:ascii="宋体" w:hAnsi="宋体" w:eastAsia="宋体" w:cs="宋体"/>
          <w:color w:val="auto"/>
          <w:szCs w:val="21"/>
          <w:highlight w:val="none"/>
        </w:rPr>
        <w:t>截止时间：</w:t>
      </w:r>
      <w:r>
        <w:rPr>
          <w:rFonts w:hint="eastAsia" w:ascii="宋体" w:hAnsi="宋体" w:cs="宋体"/>
          <w:color w:val="auto"/>
          <w:szCs w:val="21"/>
          <w:highlight w:val="none"/>
          <w:u w:val="none"/>
          <w:lang w:val="en-US" w:eastAsia="zh-CN"/>
        </w:rPr>
        <w:t>2024年5月22日9时00分</w:t>
      </w:r>
      <w:r>
        <w:rPr>
          <w:rFonts w:hint="eastAsia" w:ascii="宋体" w:hAnsi="宋体" w:eastAsia="宋体" w:cs="宋体"/>
          <w:bCs/>
          <w:color w:val="auto"/>
          <w:szCs w:val="21"/>
          <w:highlight w:val="none"/>
        </w:rPr>
        <w:t>（北京时间）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w:t>
      </w:r>
      <w:r>
        <w:rPr>
          <w:rFonts w:hint="eastAsia" w:ascii="宋体" w:hAnsi="宋体" w:eastAsia="宋体" w:cs="宋体"/>
          <w:color w:val="auto"/>
          <w:szCs w:val="21"/>
          <w:highlight w:val="none"/>
          <w:lang w:eastAsia="zh-CN"/>
        </w:rPr>
        <w:t>https://www.gcy.zfcg.gxzf.gov.cn</w:t>
      </w:r>
    </w:p>
    <w:p>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color w:val="auto"/>
          <w:sz w:val="24"/>
          <w:highlight w:val="none"/>
        </w:rPr>
      </w:pPr>
      <w:bookmarkStart w:id="42" w:name="_Toc71366170"/>
      <w:r>
        <w:rPr>
          <w:rFonts w:hint="eastAsia" w:ascii="宋体" w:hAnsi="宋体" w:eastAsia="宋体" w:cs="宋体"/>
          <w:b/>
          <w:bCs w:val="0"/>
          <w:color w:val="auto"/>
          <w:kern w:val="2"/>
          <w:sz w:val="21"/>
          <w:szCs w:val="21"/>
          <w:highlight w:val="none"/>
          <w:lang w:val="en-US" w:eastAsia="zh-CN" w:bidi="ar-SA"/>
        </w:rPr>
        <w:t>五、开启</w:t>
      </w:r>
      <w:bookmarkEnd w:id="32"/>
      <w:bookmarkEnd w:id="33"/>
      <w:bookmarkEnd w:id="34"/>
      <w:bookmarkEnd w:id="35"/>
      <w:bookmarkEnd w:id="36"/>
      <w:bookmarkEnd w:id="42"/>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cs="宋体"/>
          <w:color w:val="auto"/>
          <w:szCs w:val="21"/>
          <w:highlight w:val="none"/>
          <w:lang w:val="en-US" w:eastAsia="zh-CN"/>
        </w:rPr>
        <w:t>2024年5月22日9时00分</w:t>
      </w:r>
      <w:r>
        <w:rPr>
          <w:rFonts w:hint="eastAsia" w:ascii="宋体" w:hAnsi="宋体" w:eastAsia="宋体" w:cs="宋体"/>
          <w:bCs/>
          <w:color w:val="auto"/>
          <w:szCs w:val="21"/>
          <w:highlight w:val="none"/>
        </w:rPr>
        <w:t>（北京时间）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2.地点：广西旺鑫项目管理咨询有限公司</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广西贺州市八步区城东新区安置E地块27号六楼</w:t>
      </w:r>
      <w:r>
        <w:rPr>
          <w:rFonts w:hint="eastAsia" w:ascii="宋体" w:hAnsi="宋体" w:eastAsia="宋体" w:cs="宋体"/>
          <w:bCs/>
          <w:color w:val="auto"/>
          <w:szCs w:val="21"/>
          <w:highlight w:val="none"/>
        </w:rPr>
        <w:t>）</w:t>
      </w:r>
    </w:p>
    <w:p>
      <w:pPr>
        <w:pStyle w:val="4"/>
        <w:spacing w:before="0" w:after="0" w:line="400" w:lineRule="exact"/>
        <w:ind w:firstLine="422"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五、公告期限</w:t>
      </w:r>
      <w:bookmarkEnd w:id="37"/>
      <w:bookmarkEnd w:id="38"/>
      <w:bookmarkEnd w:id="39"/>
      <w:bookmarkEnd w:id="40"/>
      <w:bookmarkEnd w:id="41"/>
    </w:p>
    <w:p>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w:t>
      </w:r>
    </w:p>
    <w:p>
      <w:pPr>
        <w:pStyle w:val="4"/>
        <w:spacing w:before="0" w:after="0" w:line="400" w:lineRule="exact"/>
        <w:ind w:firstLine="422" w:firstLineChars="200"/>
        <w:rPr>
          <w:rFonts w:hint="eastAsia" w:ascii="宋体" w:hAnsi="宋体" w:eastAsia="宋体" w:cs="宋体"/>
          <w:bCs w:val="0"/>
          <w:color w:val="auto"/>
          <w:sz w:val="21"/>
          <w:szCs w:val="21"/>
          <w:highlight w:val="none"/>
        </w:rPr>
      </w:pPr>
      <w:bookmarkStart w:id="43" w:name="_Toc44229884"/>
      <w:bookmarkStart w:id="44" w:name="_Toc35393635"/>
      <w:bookmarkStart w:id="45" w:name="_Toc35393804"/>
      <w:r>
        <w:rPr>
          <w:rFonts w:hint="eastAsia" w:ascii="宋体" w:hAnsi="宋体" w:eastAsia="宋体" w:cs="宋体"/>
          <w:bCs w:val="0"/>
          <w:color w:val="auto"/>
          <w:sz w:val="21"/>
          <w:szCs w:val="21"/>
          <w:highlight w:val="none"/>
        </w:rPr>
        <w:t>六、其他补充事宜</w:t>
      </w:r>
      <w:bookmarkEnd w:id="43"/>
      <w:bookmarkEnd w:id="44"/>
      <w:bookmarkEnd w:id="45"/>
    </w:p>
    <w:p>
      <w:pPr>
        <w:tabs>
          <w:tab w:val="left" w:pos="412"/>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1.磋商保证金：</w:t>
      </w:r>
      <w:r>
        <w:rPr>
          <w:rFonts w:hint="eastAsia" w:ascii="宋体" w:hAnsi="宋体" w:eastAsia="宋体" w:cs="宋体"/>
          <w:b/>
          <w:bCs/>
          <w:color w:val="auto"/>
          <w:kern w:val="0"/>
          <w:szCs w:val="21"/>
          <w:highlight w:val="none"/>
        </w:rPr>
        <w:t>本项目不收取磋商保证金</w:t>
      </w:r>
      <w:r>
        <w:rPr>
          <w:rFonts w:hint="eastAsia" w:ascii="宋体" w:hAnsi="宋体" w:eastAsia="宋体" w:cs="宋体"/>
          <w:b/>
          <w:bCs/>
          <w:color w:val="auto"/>
          <w:kern w:val="0"/>
          <w:szCs w:val="21"/>
          <w:highlight w:val="none"/>
          <w:lang w:eastAsia="zh-CN"/>
        </w:rPr>
        <w:t>。</w:t>
      </w:r>
    </w:p>
    <w:p>
      <w:pPr>
        <w:keepNext w:val="0"/>
        <w:keepLines w:val="0"/>
        <w:pageBreakBefore w:val="0"/>
        <w:widowControl w:val="0"/>
        <w:numPr>
          <w:ilvl w:val="0"/>
          <w:numId w:val="0"/>
        </w:numPr>
        <w:kinsoku/>
        <w:overflowPunct/>
        <w:topLinePunct w:val="0"/>
        <w:autoSpaceDE/>
        <w:autoSpaceDN/>
        <w:bidi w:val="0"/>
        <w:spacing w:line="420" w:lineRule="exact"/>
        <w:ind w:firstLine="420" w:firstLineChars="200"/>
        <w:rPr>
          <w:rFonts w:hint="eastAsia" w:ascii="宋体" w:hAnsi="宋体" w:eastAsia="宋体" w:cs="宋体"/>
          <w:color w:val="auto"/>
          <w:szCs w:val="21"/>
          <w:highlight w:val="none"/>
          <w:lang w:eastAsia="zh-CN"/>
        </w:rPr>
      </w:pPr>
      <w:bookmarkStart w:id="46" w:name="_Toc28359018"/>
      <w:bookmarkStart w:id="47" w:name="_Toc28359095"/>
      <w:bookmarkStart w:id="48" w:name="_Toc44229885"/>
      <w:bookmarkStart w:id="49" w:name="_Toc35393636"/>
      <w:bookmarkStart w:id="50" w:name="_Toc35393805"/>
      <w:r>
        <w:rPr>
          <w:rFonts w:hint="eastAsia" w:ascii="宋体" w:hAnsi="宋体" w:eastAsia="宋体" w:cs="宋体"/>
          <w:color w:val="auto"/>
          <w:kern w:val="0"/>
          <w:szCs w:val="21"/>
          <w:highlight w:val="none"/>
        </w:rPr>
        <w:t>2.本项目需要落实的政府采购政策：</w:t>
      </w:r>
      <w:r>
        <w:rPr>
          <w:rFonts w:hint="eastAsia" w:ascii="宋体" w:hAnsi="宋体" w:eastAsia="宋体" w:cs="宋体"/>
          <w:color w:val="auto"/>
          <w:szCs w:val="21"/>
          <w:highlight w:val="none"/>
        </w:rPr>
        <w:t>《中华人民共和国政府采购法》、《中华人民共和国政府采购法实施条例》、按照《政府采购促进中小企业发展管理办法》（财库〔2020〕46号）、《关于进一步加大政府采购支持中小企业力度的通知》（财库【2022】19号）、桂财采【2022】30号《广西壮族自治区财政厅关于进一步发挥政府采购政策功能促进企业发展的通知》的规定、《关于政府采购支持监狱企业展有关问题的通知（财库[2014]68号）》、《关于促进残疾人就业政府采购政策的通知（财库 [2017]141号）》：扶持中小企业政策：评审时小型、微型企业（提供本企业服务）的价格给予</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%的扣除。监狱企业、残疾人福利性单位视同小型、微型企业，其价格在评审时给予相同的扣除。</w:t>
      </w:r>
      <w:r>
        <w:rPr>
          <w:rFonts w:hint="eastAsia" w:ascii="宋体" w:hAnsi="宋体" w:eastAsia="宋体" w:cs="宋体"/>
          <w:b w:val="0"/>
          <w:bCs w:val="0"/>
          <w:color w:val="auto"/>
          <w:szCs w:val="21"/>
          <w:highlight w:val="none"/>
        </w:rPr>
        <w:t>本项目为专门面向“小微企业”的项目或者采购包，不再执行价格评审优惠的扶持政策。</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3.在线投标响应（电子投标）说明：</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（1）本项目通过</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平台实行在线投标响应（电子投标），供应商需要先安装“</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电子交易客户端”，并按照本竞争性磋商采购文件和</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平台的要求，通过“</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电子交易客户端”编制并加密响应文件。供应商未按规定编制并加密的响应文件，</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平台将予以拒收。</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电子交易客户端”请自行前往广西政府采购网下载并安装；电子投标具体操作流程参考《政府采购项目电子交易管理操作指南-供应商》；在使用</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投标客户端时，建议使用WIN7及以上操作系统，通过</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平台参与在线投标时如遇平台技术问题详询</w:t>
      </w:r>
      <w:r>
        <w:rPr>
          <w:rFonts w:hint="eastAsia" w:ascii="宋体" w:hAnsi="宋体" w:eastAsia="宋体" w:cs="宋体"/>
          <w:bCs/>
          <w:color w:val="auto"/>
          <w:szCs w:val="21"/>
          <w:highlight w:val="none"/>
          <w:lang w:val="en-US" w:eastAsia="zh-CN"/>
        </w:rPr>
        <w:t>95763</w:t>
      </w:r>
      <w:r>
        <w:rPr>
          <w:rFonts w:hint="eastAsia" w:ascii="宋体" w:hAnsi="宋体" w:eastAsia="宋体" w:cs="宋体"/>
          <w:bCs/>
          <w:color w:val="auto"/>
          <w:szCs w:val="21"/>
          <w:highlight w:val="none"/>
        </w:rPr>
        <w:t>。</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（3）为确保网上操作合法、有效和安全，磋商供应商应当在开标截止时间前完成在“政府采购云平台”的身份认证，确保在电子投标过程中能够对相关数据电文进行加密和使用盖章。使用“</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电子交易客户端”需要提前申领CA数字证书，申领流程请自行前往相关网站进行查阅（完成CA数字证书办理预计一周左右，建议供应商获取竞争性磋商采购文件后立即办理）。</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（4）磋商供应商应当在开标截止时间前，将生成的“电子加密响应文件”上传递交至</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平台。响应文件递交截止时间前可以补充、修改或者撤回电子磋商响应文件。补充或者修改电子磋商响应文件的，应当先行撤回原文件，补充、修改后重新传输递交，开标截止时间前未完成传输的，视为撤回响应文件。</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（5）响应文件递交截止时间后，</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（电子交易平台）自动提取所有响应文件，各供应商须在提交响应文件截止后30分钟内对上传</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的响应文件进行解密，所有供应商在规定的解密时限内解密完成或解密时限到后，采购代理机构开启响应文件；供应商超过解密时限的，系统默认自动放弃。</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（6）供应商可以参与现场开标，所需在线投标响应及解密开启设备自带。</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（7）在供应商提交了电子备份响应文件后，如通过</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平台上传递交的电子加密响应文件无法按时解密且无法通过</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“异常处理”端口处理的视为响应文件撤回，所造成的后果由供应商自行承担。</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r>
        <w:rPr>
          <w:rFonts w:hint="eastAsia" w:ascii="宋体" w:hAnsi="宋体" w:eastAsia="宋体" w:cs="宋体"/>
          <w:bCs/>
          <w:color w:val="auto"/>
          <w:sz w:val="21"/>
          <w:szCs w:val="21"/>
          <w:highlight w:val="none"/>
          <w:lang w:val="en-US" w:eastAsia="zh-CN"/>
        </w:rPr>
        <w:t>本项目采用远程异地评标，评标主会场地址：</w:t>
      </w:r>
      <w:r>
        <w:rPr>
          <w:rFonts w:hint="eastAsia" w:ascii="宋体" w:hAnsi="宋体" w:eastAsia="宋体" w:cs="宋体"/>
          <w:color w:val="auto"/>
          <w:szCs w:val="21"/>
          <w:highlight w:val="none"/>
        </w:rPr>
        <w:t>广西旺鑫项目管理咨询有限公司</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广西贺州市八步区城东新区安置E地块27号六楼</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 w:val="21"/>
          <w:szCs w:val="21"/>
          <w:highlight w:val="none"/>
          <w:lang w:val="en-US" w:eastAsia="zh-CN"/>
        </w:rPr>
        <w:t>评标副会场地址：广西恒桥项目管理有限公司（百色市右江区前程路8号三祺.龙景国际小区写字楼16层1613、1614）。</w:t>
      </w:r>
    </w:p>
    <w:p>
      <w:pPr>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发布公告的媒介：中国政府采购网、广西壮族自治区政府采购网</w:t>
      </w:r>
      <w:r>
        <w:rPr>
          <w:rFonts w:hint="eastAsia" w:ascii="宋体" w:hAnsi="宋体" w:eastAsia="宋体" w:cs="宋体"/>
          <w:bCs/>
          <w:color w:val="auto"/>
          <w:highlight w:val="none"/>
          <w:lang w:eastAsia="zh-CN"/>
        </w:rPr>
        <w:t>。</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七、凡对本次采购提出询问，请按以下方式联系。</w:t>
      </w:r>
      <w:bookmarkEnd w:id="46"/>
      <w:bookmarkEnd w:id="47"/>
      <w:bookmarkEnd w:id="48"/>
      <w:bookmarkEnd w:id="49"/>
      <w:bookmarkEnd w:id="50"/>
    </w:p>
    <w:bookmarkEnd w:id="9"/>
    <w:p>
      <w:pPr>
        <w:spacing w:line="40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spacing w:line="400" w:lineRule="exact"/>
        <w:ind w:firstLine="42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贺州市平桂区城市管理综合执法局</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lang w:eastAsia="zh-CN"/>
        </w:rPr>
        <w:t>贺州市平桂区平桂大道1号B座4楼</w:t>
      </w:r>
    </w:p>
    <w:p>
      <w:pPr>
        <w:spacing w:line="400" w:lineRule="exact"/>
        <w:ind w:firstLine="424" w:firstLineChars="202"/>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联系方式：黄工，0774-8839548</w:t>
      </w:r>
    </w:p>
    <w:p>
      <w:pPr>
        <w:spacing w:line="40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spacing w:line="400" w:lineRule="exact"/>
        <w:ind w:firstLine="42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广西旺鑫项目管理咨询有限公司</w:t>
      </w:r>
    </w:p>
    <w:p>
      <w:pPr>
        <w:spacing w:line="400" w:lineRule="exact"/>
        <w:ind w:firstLine="42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贺州市八步区城东新区安置E地块27号六楼</w:t>
      </w:r>
    </w:p>
    <w:p>
      <w:pPr>
        <w:spacing w:line="400" w:lineRule="exact"/>
        <w:ind w:firstLine="42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eastAsia="zh-CN"/>
        </w:rPr>
        <w:t>0774-5079392</w:t>
      </w:r>
    </w:p>
    <w:p>
      <w:pPr>
        <w:spacing w:line="33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3.监督部门：</w:t>
      </w:r>
      <w:r>
        <w:rPr>
          <w:rFonts w:hint="eastAsia" w:ascii="宋体" w:hAnsi="宋体" w:eastAsia="宋体" w:cs="宋体"/>
          <w:color w:val="auto"/>
          <w:szCs w:val="21"/>
          <w:highlight w:val="none"/>
        </w:rPr>
        <w:t>贺州市平桂区财政局政府采购管理办公室  联系方式: 0774-8832896</w:t>
      </w:r>
    </w:p>
    <w:p>
      <w:pPr>
        <w:spacing w:line="33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4.项目联系方式   项目联系人：</w:t>
      </w:r>
      <w:r>
        <w:rPr>
          <w:rFonts w:hint="eastAsia" w:ascii="宋体" w:hAnsi="宋体" w:eastAsia="宋体" w:cs="宋体"/>
          <w:color w:val="auto"/>
          <w:highlight w:val="none"/>
          <w:lang w:eastAsia="zh-CN"/>
        </w:rPr>
        <w:t>陈小珍</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0774-5079392</w:t>
      </w:r>
    </w:p>
    <w:p>
      <w:pPr>
        <w:spacing w:line="400" w:lineRule="exact"/>
        <w:ind w:firstLine="424" w:firstLineChars="202"/>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贺州市平桂区城市管理综合执法局</w:t>
      </w:r>
    </w:p>
    <w:p>
      <w:pPr>
        <w:spacing w:line="400" w:lineRule="exact"/>
        <w:ind w:firstLine="424" w:firstLineChars="202"/>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lang w:eastAsia="zh-CN"/>
        </w:rPr>
        <w:t>广西旺鑫项目管理咨询有限公司</w:t>
      </w:r>
    </w:p>
    <w:p>
      <w:pPr>
        <w:spacing w:line="400" w:lineRule="exact"/>
        <w:ind w:firstLine="424" w:firstLineChars="20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2024年5月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br w:type="page"/>
      </w:r>
      <w:bookmarkStart w:id="51" w:name="_Toc44229894"/>
    </w:p>
    <w:p>
      <w:pPr>
        <w:spacing w:line="400" w:lineRule="exact"/>
        <w:ind w:firstLine="424" w:firstLineChars="202"/>
        <w:jc w:val="right"/>
        <w:rPr>
          <w:rFonts w:hint="eastAsia" w:ascii="宋体" w:hAnsi="宋体" w:eastAsia="宋体" w:cs="宋体"/>
          <w:color w:val="auto"/>
          <w:szCs w:val="21"/>
          <w:highlight w:val="none"/>
        </w:rPr>
      </w:pPr>
    </w:p>
    <w:p>
      <w:pPr>
        <w:spacing w:line="400" w:lineRule="exact"/>
        <w:ind w:firstLine="649" w:firstLineChars="202"/>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第二章 供应商须知</w:t>
      </w:r>
      <w:bookmarkEnd w:id="51"/>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供应商须知前附表</w:t>
      </w:r>
    </w:p>
    <w:p>
      <w:pPr>
        <w:spacing w:line="400" w:lineRule="exact"/>
        <w:jc w:val="center"/>
        <w:rPr>
          <w:rFonts w:hint="eastAsia" w:ascii="宋体" w:hAnsi="宋体" w:eastAsia="宋体" w:cs="宋体"/>
          <w:b/>
          <w:color w:val="auto"/>
          <w:szCs w:val="21"/>
          <w:highlight w:val="none"/>
        </w:rPr>
      </w:pPr>
    </w:p>
    <w:tbl>
      <w:tblPr>
        <w:tblStyle w:val="26"/>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7912" w:type="dxa"/>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912" w:type="dxa"/>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供应商的资格条件</w:t>
            </w: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912" w:type="dxa"/>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 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7912" w:type="dxa"/>
            <w:vAlign w:val="center"/>
          </w:tcPr>
          <w:p>
            <w:pPr>
              <w:pStyle w:val="11"/>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不允许分包</w:t>
            </w:r>
          </w:p>
          <w:p>
            <w:pPr>
              <w:pStyle w:val="11"/>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w:t>
            </w:r>
          </w:p>
          <w:p>
            <w:pPr>
              <w:pStyle w:val="11"/>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                               。</w:t>
            </w:r>
          </w:p>
          <w:p>
            <w:pPr>
              <w:pStyle w:val="11"/>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7912" w:type="dxa"/>
            <w:vAlign w:val="center"/>
          </w:tcPr>
          <w:p>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pPr>
              <w:pStyle w:val="11"/>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1.政府采购供应商信用承诺函（格式后附）</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2.供应商直接控股、管理关系信息表（格式后附）；（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.竞标声明（格式后附）；（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.联合体协议书（格式后附）；（</w:t>
            </w:r>
            <w:r>
              <w:rPr>
                <w:rFonts w:hint="eastAsia" w:ascii="宋体" w:hAnsi="宋体" w:eastAsia="宋体" w:cs="宋体"/>
                <w:b/>
                <w:color w:val="auto"/>
                <w:szCs w:val="21"/>
                <w:highlight w:val="none"/>
              </w:rPr>
              <w:t>联合体竞标时必须提供，否则响应文件按无效响应处理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小微企业声明函</w:t>
            </w:r>
            <w:r>
              <w:rPr>
                <w:rFonts w:hint="eastAsia" w:ascii="宋体" w:hAnsi="宋体" w:eastAsia="宋体" w:cs="宋体"/>
                <w:color w:val="auto"/>
                <w:szCs w:val="21"/>
                <w:highlight w:val="none"/>
              </w:rPr>
              <w:t>或者残疾人福利性单位声明函或者供应商属于监狱企业的证明材料；（</w:t>
            </w:r>
            <w:r>
              <w:rPr>
                <w:rFonts w:hint="eastAsia" w:ascii="宋体" w:hAnsi="宋体" w:eastAsia="宋体" w:cs="宋体"/>
                <w:b/>
                <w:color w:val="auto"/>
                <w:szCs w:val="21"/>
                <w:highlight w:val="none"/>
              </w:rPr>
              <w:t>本项目为专门面向小</w:t>
            </w:r>
            <w:r>
              <w:rPr>
                <w:rFonts w:hint="eastAsia" w:ascii="宋体" w:hAnsi="宋体" w:cs="宋体"/>
                <w:b/>
                <w:color w:val="auto"/>
                <w:szCs w:val="21"/>
                <w:highlight w:val="none"/>
                <w:lang w:val="en-US" w:eastAsia="zh-CN"/>
              </w:rPr>
              <w:t>微</w:t>
            </w:r>
            <w:r>
              <w:rPr>
                <w:rFonts w:hint="eastAsia" w:ascii="宋体" w:hAnsi="宋体" w:eastAsia="宋体" w:cs="宋体"/>
                <w:b/>
                <w:color w:val="auto"/>
                <w:szCs w:val="21"/>
                <w:highlight w:val="none"/>
              </w:rPr>
              <w:t>企业采购</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除磋商文件规定必须提供以外，供应商认为需要提供的其他证明材料；</w:t>
            </w:r>
          </w:p>
          <w:p>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napToGrid w:val="0"/>
              <w:spacing w:line="40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1.以上标明“必须提供”的材料属于复印件的，必须加盖供应商公章，否则响应文件按无效响应处理。</w:t>
            </w:r>
          </w:p>
          <w:p>
            <w:pPr>
              <w:snapToGrid w:val="0"/>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2.竞标声明必须由法定代表人在规定签章处签字并加盖供应商公章，否则响应文件按无效响应处理。</w:t>
            </w:r>
          </w:p>
          <w:p>
            <w:pPr>
              <w:pStyle w:val="11"/>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7912" w:type="dxa"/>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报价商务技术文件</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2.竞标报价表（格式后附）；（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3.法定代表人身份证明书及法定代表人有效身份证正反面复印件（格式后附）；（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4.法定代表人授权委托书及委托代理人有效身份证正反面复印件（格式后附）；（</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5.磋商保证金提交凭证；（</w:t>
            </w:r>
            <w:r>
              <w:rPr>
                <w:rFonts w:hint="eastAsia" w:ascii="宋体" w:hAnsi="宋体" w:eastAsia="宋体" w:cs="宋体"/>
                <w:b/>
                <w:bCs/>
                <w:color w:val="auto"/>
                <w:szCs w:val="21"/>
                <w:highlight w:val="none"/>
              </w:rPr>
              <w:t>如要求提交则必须提供</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6.商务条款偏离表（格式后附）；（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7.服务方案；（</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8.服务需求偏离表（格式后附）；（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9.项目实施人员一览表（格式自拟）； </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10.对应采购需求的服务需求、商务条款提供的其他文件资料；</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11.供应商认为需要提供的其他有关资料。</w:t>
            </w:r>
          </w:p>
          <w:p>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40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pPr>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2.以上标明“必须提供”的材料属于复印件的，必须加盖供应商公章，否则响应文件按无效响应处理。</w:t>
            </w:r>
          </w:p>
          <w:p>
            <w:pPr>
              <w:spacing w:line="400" w:lineRule="exact"/>
              <w:ind w:firstLine="413" w:firstLineChars="196"/>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7912" w:type="dxa"/>
            <w:vAlign w:val="center"/>
          </w:tcPr>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响应文件应按资格证明文件、报价商务技术文件分别编制，资格证明文件、报价商务技术文件按顺序合并生成电子文件。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7912"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竞标报价必须包含满足本次竞标全部采购需求所应提供的服务，以及伴随的货物和工程（如有）的价格；包含竞标服务、货物、工程的成本、运输（含保险）、安装（如有）、调试、检验、技术服务、培训、税费等所有费用。（采购需求另有约定的，从其约定。）</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sym w:font="Wingdings 2" w:char="0052"/>
            </w:r>
            <w:r>
              <w:rPr>
                <w:rFonts w:hint="eastAsia" w:ascii="宋体" w:hAnsi="宋体" w:eastAsia="宋体" w:cs="宋体"/>
                <w:b/>
                <w:color w:val="auto"/>
                <w:szCs w:val="21"/>
                <w:highlight w:val="none"/>
              </w:rPr>
              <w:t>磋商报价包含验收费用</w:t>
            </w:r>
          </w:p>
          <w:p>
            <w:pPr>
              <w:snapToGrid w:val="0"/>
              <w:spacing w:line="400" w:lineRule="exact"/>
              <w:jc w:val="left"/>
              <w:rPr>
                <w:rFonts w:hint="eastAsia" w:ascii="宋体" w:hAnsi="宋体" w:eastAsia="宋体" w:cs="宋体"/>
                <w:color w:val="auto"/>
                <w:highlight w:val="none"/>
              </w:rPr>
            </w:pPr>
            <w:r>
              <w:rPr>
                <w:rFonts w:hint="eastAsia" w:ascii="宋体" w:hAnsi="宋体" w:eastAsia="宋体" w:cs="宋体"/>
                <w:b/>
                <w:color w:val="auto"/>
                <w:szCs w:val="21"/>
                <w:highlight w:val="none"/>
              </w:rPr>
              <w:t>□磋商报价不包含验收费用</w:t>
            </w:r>
          </w:p>
          <w:p>
            <w:pPr>
              <w:pStyle w:val="25"/>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7912" w:type="dxa"/>
            <w:vAlign w:val="center"/>
          </w:tcPr>
          <w:p>
            <w:pPr>
              <w:pStyle w:val="8"/>
              <w:tabs>
                <w:tab w:val="left" w:pos="720"/>
                <w:tab w:val="left" w:pos="840"/>
              </w:tabs>
              <w:snapToGrid w:val="0"/>
              <w:spacing w:line="400" w:lineRule="exact"/>
              <w:ind w:left="283" w:hanging="283" w:hangingChars="135"/>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竞标有效期：自首次响应文件提交截止之日起</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7912" w:type="dxa"/>
            <w:vAlign w:val="center"/>
          </w:tcPr>
          <w:p>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本项目不收取磋商保证金。</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本项目收取磋商保证金，具体规定如下：</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磋商保证金的交纳方式：详见竞争性磋商公告。</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磋商保证金的金额：详见竞争性磋商公告。</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相关要求：</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1.磋商保证金采用银行转账交纳方式的，在首次响应文件提交截止时间前交至采购代理机构指定账户并且到账，供应商应将银行转账底单的复印件作为磋商保证金提交凭证，放置于报价商务技术文件中，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eastAsia="宋体" w:cs="宋体"/>
                <w:b/>
                <w:color w:val="auto"/>
                <w:szCs w:val="21"/>
                <w:highlight w:val="none"/>
              </w:rPr>
              <w:t>否则竞标无效</w:t>
            </w:r>
            <w:r>
              <w:rPr>
                <w:rFonts w:hint="eastAsia" w:ascii="宋体" w:hAnsi="宋体" w:eastAsia="宋体" w:cs="宋体"/>
                <w:color w:val="auto"/>
                <w:szCs w:val="21"/>
                <w:highlight w:val="none"/>
              </w:rPr>
              <w:t>。供应商必须于递交竞标文件时将支票、汇票、本票或者金融、担保机构出具的保函原件提交给采购人或者采购代理机构，由采购人或者采购代理机构向供应商出具回执，并妥善保管。</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3.磋商保证金指定帐户：详见竞争性磋商公告或者邀请函。</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4.供应商为联合体的，可以由联合体中的一方或者多方共同交纳磋商保证金，其交纳的保证金对联合体各方均具有约束力。</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1.磋商保证金在首次响应文件提交截止时间后提交的，或者不按规定交纳方式交纳的，或者未足额交纳的（包含保函额度不足的），视为无效磋商保证金。</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2.供应商采用现钞方式或者从个人账户（自然人竞标除外）转出的磋商保证金，视为无效磋商保证金。</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p>
        </w:tc>
        <w:tc>
          <w:tcPr>
            <w:tcW w:w="7912" w:type="dxa"/>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7912" w:type="dxa"/>
            <w:vAlign w:val="center"/>
          </w:tcPr>
          <w:p>
            <w:pPr>
              <w:snapToGrid w:val="0"/>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首次响应文件提交起止时间：详见竞争性磋商公告。</w:t>
            </w:r>
          </w:p>
          <w:p>
            <w:pPr>
              <w:snapToGrid w:val="0"/>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首次响应文件提交截止时间：详见竞争性磋商公告。</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首次响应文件提交地点：详见竞争性磋商公告。</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在首次响应文件提交截止时间后提交的响应文件为无效文件，采购代理机构应当拒收。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7912" w:type="dxa"/>
            <w:vAlign w:val="center"/>
          </w:tcPr>
          <w:p>
            <w:pPr>
              <w:snapToGrid w:val="0"/>
              <w:spacing w:line="4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磋商小组的人数：</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7912" w:type="dxa"/>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rPr>
              <w:t>项。</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400" w:lineRule="exact"/>
              <w:jc w:val="center"/>
              <w:rPr>
                <w:rFonts w:hint="eastAsia" w:ascii="宋体" w:hAnsi="宋体" w:eastAsia="宋体" w:cs="宋体"/>
                <w:color w:val="auto"/>
                <w:szCs w:val="21"/>
                <w:highlight w:val="none"/>
              </w:rPr>
            </w:pPr>
          </w:p>
        </w:tc>
        <w:tc>
          <w:tcPr>
            <w:tcW w:w="7912" w:type="dxa"/>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pPr>
              <w:pStyle w:val="11"/>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随机排序。</w:t>
            </w:r>
          </w:p>
          <w:p>
            <w:pPr>
              <w:pStyle w:val="11"/>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7912" w:type="dxa"/>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履约保证金金额：按成交金额的</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%（注：履约保证金不超过成交金额的5%）。</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履约保证金提交方式：银行转账、支票、汇票、本票或者金融、担保机构出具的保函等非现金方式（参照磋商保证金）。</w:t>
            </w:r>
          </w:p>
          <w:p>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履约保证金退付方式、时间及条件：</w:t>
            </w:r>
            <w:r>
              <w:rPr>
                <w:rFonts w:hint="eastAsia" w:ascii="宋体" w:hAnsi="宋体" w:eastAsia="宋体" w:cs="宋体"/>
                <w:color w:val="auto"/>
                <w:szCs w:val="21"/>
                <w:highlight w:val="none"/>
                <w:u w:val="single"/>
              </w:rPr>
              <w:t xml:space="preserve">     /                          。</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履约保证金指定账户：</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           </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           </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           </w:t>
            </w:r>
          </w:p>
          <w:p>
            <w:pPr>
              <w:pStyle w:val="11"/>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pStyle w:val="11"/>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 </w:t>
            </w:r>
            <w:bookmarkStart w:id="52" w:name="_Hlk54170335"/>
            <w:r>
              <w:rPr>
                <w:rFonts w:hint="eastAsia" w:ascii="宋体" w:hAnsi="宋体" w:eastAsia="宋体" w:cs="宋体"/>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52"/>
          </w:p>
          <w:p>
            <w:pPr>
              <w:pStyle w:val="11"/>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pStyle w:val="11"/>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3.采用金融、担保机构出具保函的，必须为无条件保函，否则视为未按规定提交履约保证金。</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4.供应商为联合体的，可由联合体任意一方或者联合体各方共同提交的履约保证金，视为有效履约保证金。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7912" w:type="dxa"/>
            <w:vAlign w:val="center"/>
          </w:tcPr>
          <w:p>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签订合同携带的证明材料： </w:t>
            </w:r>
          </w:p>
          <w:p>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委托代理人负责签订合同的，须携带授权委托书及委托代理人身份证原件等其他资格证件。</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7912" w:type="dxa"/>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pPr>
              <w:pStyle w:val="19"/>
              <w:snapToGrid w:val="0"/>
              <w:spacing w:line="400" w:lineRule="exact"/>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rPr>
              <w:t>质疑联系部门及联系方式：</w:t>
            </w:r>
            <w:r>
              <w:rPr>
                <w:rFonts w:hint="eastAsia" w:ascii="宋体" w:hAnsi="宋体" w:eastAsia="宋体" w:cs="宋体"/>
                <w:color w:val="auto"/>
                <w:kern w:val="2"/>
                <w:sz w:val="21"/>
                <w:highlight w:val="none"/>
                <w:u w:val="single"/>
                <w:lang w:eastAsia="zh-CN"/>
              </w:rPr>
              <w:t>广西旺鑫项目管理咨询有限公司</w:t>
            </w:r>
            <w:r>
              <w:rPr>
                <w:rFonts w:hint="eastAsia" w:ascii="宋体" w:hAnsi="宋体" w:eastAsia="宋体" w:cs="宋体"/>
                <w:color w:val="auto"/>
                <w:kern w:val="2"/>
                <w:sz w:val="21"/>
                <w:highlight w:val="none"/>
              </w:rPr>
              <w:t>，联系电话：</w:t>
            </w:r>
            <w:r>
              <w:rPr>
                <w:rFonts w:hint="eastAsia" w:ascii="宋体" w:hAnsi="宋体" w:eastAsia="宋体" w:cs="宋体"/>
                <w:color w:val="auto"/>
                <w:kern w:val="2"/>
                <w:sz w:val="21"/>
                <w:highlight w:val="none"/>
                <w:lang w:eastAsia="zh-CN"/>
              </w:rPr>
              <w:t>0774-5079392</w:t>
            </w:r>
            <w:r>
              <w:rPr>
                <w:rFonts w:hint="eastAsia" w:ascii="宋体" w:hAnsi="宋体" w:eastAsia="宋体" w:cs="宋体"/>
                <w:color w:val="auto"/>
                <w:kern w:val="2"/>
                <w:sz w:val="21"/>
                <w:highlight w:val="none"/>
              </w:rPr>
              <w:t>，通讯地址：</w:t>
            </w:r>
            <w:r>
              <w:rPr>
                <w:rFonts w:hint="eastAsia" w:ascii="宋体" w:hAnsi="宋体" w:eastAsia="宋体" w:cs="宋体"/>
                <w:color w:val="auto"/>
                <w:kern w:val="2"/>
                <w:sz w:val="21"/>
                <w:highlight w:val="none"/>
                <w:lang w:eastAsia="zh-CN"/>
              </w:rPr>
              <w:t>贺州市八步区城东新区安置E地块27号六楼</w:t>
            </w:r>
          </w:p>
          <w:p>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业务时间：上午8时00分到12时00分，下午3时00分到6时00分，业务时间以外、双休日和法定节假日不办理业务。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7912" w:type="dxa"/>
            <w:vAlign w:val="center"/>
          </w:tcPr>
          <w:p>
            <w:pPr>
              <w:pStyle w:val="19"/>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1.采购代理费支付方式：</w:t>
            </w:r>
          </w:p>
          <w:p>
            <w:pPr>
              <w:pStyle w:val="19"/>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sym w:font="Wingdings 2" w:char="0052"/>
            </w:r>
            <w:r>
              <w:rPr>
                <w:rFonts w:hint="eastAsia" w:ascii="宋体" w:hAnsi="宋体" w:eastAsia="宋体" w:cs="宋体"/>
                <w:color w:val="auto"/>
                <w:sz w:val="21"/>
                <w:highlight w:val="none"/>
              </w:rPr>
              <w:t>本项目代理服务费由</w:t>
            </w:r>
            <w:r>
              <w:rPr>
                <w:rFonts w:hint="eastAsia" w:ascii="宋体" w:hAnsi="宋体" w:eastAsia="宋体" w:cs="宋体"/>
                <w:color w:val="auto"/>
                <w:sz w:val="21"/>
                <w:highlight w:val="none"/>
                <w:u w:val="single"/>
              </w:rPr>
              <w:t>成交供应商</w:t>
            </w:r>
            <w:r>
              <w:rPr>
                <w:rFonts w:hint="eastAsia" w:ascii="宋体" w:hAnsi="宋体" w:eastAsia="宋体" w:cs="宋体"/>
                <w:color w:val="auto"/>
                <w:sz w:val="21"/>
                <w:highlight w:val="none"/>
              </w:rPr>
              <w:t>领取成交通知书前，一次性向采购代理机构支付。</w:t>
            </w:r>
          </w:p>
          <w:p>
            <w:pPr>
              <w:pStyle w:val="19"/>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□采购人支付。</w:t>
            </w:r>
          </w:p>
          <w:p>
            <w:pPr>
              <w:pStyle w:val="19"/>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2.采购代理费收取标准：</w:t>
            </w:r>
          </w:p>
          <w:p>
            <w:pPr>
              <w:pStyle w:val="19"/>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以（</w:t>
            </w:r>
            <w:r>
              <w:rPr>
                <w:rFonts w:hint="eastAsia" w:ascii="宋体" w:hAnsi="宋体" w:eastAsia="宋体" w:cs="宋体"/>
                <w:color w:val="auto"/>
                <w:sz w:val="21"/>
                <w:highlight w:val="none"/>
              </w:rPr>
              <w:sym w:font="Wingdings 2" w:char="0052"/>
            </w:r>
            <w:r>
              <w:rPr>
                <w:rFonts w:hint="eastAsia" w:ascii="宋体" w:hAnsi="宋体" w:eastAsia="宋体" w:cs="宋体"/>
                <w:color w:val="auto"/>
                <w:sz w:val="21"/>
                <w:highlight w:val="none"/>
              </w:rPr>
              <w:t>成交金额/□采购预算/□暂定成交金额/□其他）为计费额，按本须知正文第32.2条规定的收费计算标准（□货物类/</w:t>
            </w:r>
            <w:r>
              <w:rPr>
                <w:rFonts w:hint="eastAsia" w:ascii="宋体" w:hAnsi="宋体" w:eastAsia="宋体" w:cs="宋体"/>
                <w:color w:val="auto"/>
                <w:sz w:val="21"/>
                <w:highlight w:val="none"/>
              </w:rPr>
              <w:sym w:font="Wingdings 2" w:char="0052"/>
            </w:r>
            <w:r>
              <w:rPr>
                <w:rFonts w:hint="eastAsia" w:ascii="宋体" w:hAnsi="宋体" w:eastAsia="宋体" w:cs="宋体"/>
                <w:color w:val="auto"/>
                <w:sz w:val="21"/>
                <w:highlight w:val="none"/>
              </w:rPr>
              <w:t>服务类/□工程类）采用差额定率累进法计算出收费基准价格，采购代理收费以（</w:t>
            </w:r>
            <w:r>
              <w:rPr>
                <w:rFonts w:hint="eastAsia" w:ascii="宋体" w:hAnsi="宋体" w:eastAsia="宋体" w:cs="宋体"/>
                <w:color w:val="auto"/>
                <w:sz w:val="21"/>
                <w:highlight w:val="none"/>
              </w:rPr>
              <w:sym w:font="Wingdings 2" w:char="0052"/>
            </w:r>
            <w:r>
              <w:rPr>
                <w:rFonts w:hint="eastAsia" w:ascii="宋体" w:hAnsi="宋体" w:eastAsia="宋体" w:cs="宋体"/>
                <w:color w:val="auto"/>
                <w:sz w:val="21"/>
                <w:highlight w:val="none"/>
              </w:rPr>
              <w:t>收费基准价格）收取。</w:t>
            </w:r>
          </w:p>
          <w:p>
            <w:pPr>
              <w:pStyle w:val="19"/>
              <w:snapToGrid w:val="0"/>
              <w:spacing w:line="400" w:lineRule="exact"/>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□固定采购代理收费</w:t>
            </w:r>
            <w:r>
              <w:rPr>
                <w:rFonts w:hint="eastAsia" w:ascii="宋体" w:hAnsi="宋体" w:eastAsia="宋体" w:cs="宋体"/>
                <w:color w:val="auto"/>
                <w:sz w:val="21"/>
                <w:highlight w:val="none"/>
                <w:u w:val="single"/>
              </w:rPr>
              <w:t xml:space="preserve">              。</w:t>
            </w:r>
          </w:p>
          <w:p>
            <w:pPr>
              <w:pStyle w:val="19"/>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3.采购代理费收取银行账户</w:t>
            </w:r>
          </w:p>
          <w:p>
            <w:pPr>
              <w:pStyle w:val="19"/>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开户名：广西旺鑫项目管理咨询有限公司</w:t>
            </w:r>
          </w:p>
          <w:p>
            <w:pPr>
              <w:pStyle w:val="19"/>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开户银行：中国建设银行股份有限公司贺州城东支行</w:t>
            </w:r>
          </w:p>
          <w:p>
            <w:pPr>
              <w:pStyle w:val="19"/>
              <w:snapToGrid w:val="0"/>
              <w:spacing w:line="400" w:lineRule="exac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帐 号：45050164740200001326</w:t>
            </w:r>
            <w:r>
              <w:rPr>
                <w:rFonts w:hint="eastAsia" w:ascii="宋体" w:hAnsi="宋体" w:eastAsia="宋体" w:cs="宋体"/>
                <w:color w:val="auto"/>
                <w:sz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7912" w:type="dxa"/>
            <w:vAlign w:val="center"/>
          </w:tcPr>
          <w:p>
            <w:pPr>
              <w:pStyle w:val="19"/>
              <w:snapToGrid w:val="0"/>
              <w:spacing w:line="400" w:lineRule="exac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w:t>
            </w:r>
          </w:p>
        </w:tc>
        <w:tc>
          <w:tcPr>
            <w:tcW w:w="7912" w:type="dxa"/>
            <w:vAlign w:val="center"/>
          </w:tcPr>
          <w:p>
            <w:pPr>
              <w:pStyle w:val="19"/>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9"/>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9"/>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pPr>
              <w:pStyle w:val="19"/>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4.自然人竞标的，磋商文件规定盖公章处由自然人摁手指指印。</w:t>
            </w:r>
          </w:p>
          <w:p>
            <w:pPr>
              <w:pStyle w:val="19"/>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5.本磋商文件所称的“以上”“以下”“以内”“届满”，包括本数；所称的“不满”“超过”“以外”，不包括本数。</w:t>
            </w:r>
          </w:p>
        </w:tc>
      </w:tr>
    </w:tbl>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供应商须知正文</w:t>
      </w: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一、总则</w:t>
      </w:r>
    </w:p>
    <w:p>
      <w:pPr>
        <w:spacing w:line="400" w:lineRule="exact"/>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4.竞标费用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bookmarkStart w:id="53" w:name="_Hlk66782192"/>
      <w:r>
        <w:rPr>
          <w:rFonts w:hint="eastAsia" w:ascii="宋体" w:hAnsi="宋体" w:eastAsia="宋体" w:cs="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53"/>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pPr>
        <w:spacing w:line="360" w:lineRule="auto"/>
        <w:ind w:firstLine="482" w:firstLineChars="200"/>
        <w:rPr>
          <w:rFonts w:hint="eastAsia" w:ascii="宋体" w:hAnsi="宋体" w:eastAsia="宋体" w:cs="宋体"/>
          <w:b/>
          <w:bCs/>
          <w:color w:val="auto"/>
          <w:sz w:val="24"/>
          <w:highlight w:val="none"/>
        </w:rPr>
      </w:pPr>
      <w:bookmarkStart w:id="54" w:name="_Toc254970673"/>
      <w:bookmarkStart w:id="55" w:name="_Toc254970532"/>
      <w:r>
        <w:rPr>
          <w:rFonts w:hint="eastAsia" w:ascii="宋体" w:hAnsi="宋体" w:eastAsia="宋体" w:cs="宋体"/>
          <w:b/>
          <w:bCs/>
          <w:color w:val="auto"/>
          <w:sz w:val="24"/>
          <w:highlight w:val="none"/>
        </w:rPr>
        <w:t>7.特别说明</w:t>
      </w:r>
      <w:bookmarkEnd w:id="54"/>
      <w:bookmarkEnd w:id="55"/>
    </w:p>
    <w:p>
      <w:pPr>
        <w:spacing w:line="360" w:lineRule="auto"/>
        <w:ind w:firstLine="420" w:firstLineChars="200"/>
        <w:rPr>
          <w:rFonts w:hint="eastAsia" w:ascii="宋体" w:hAnsi="宋体" w:eastAsia="宋体" w:cs="宋体"/>
          <w:color w:val="auto"/>
          <w:szCs w:val="21"/>
          <w:highlight w:val="none"/>
        </w:rPr>
      </w:pPr>
      <w:bookmarkStart w:id="56" w:name="_8.1提供相同品牌产品且通过资格审查、符合性审查的不同投标人参加同一合"/>
      <w:bookmarkEnd w:id="56"/>
      <w:r>
        <w:rPr>
          <w:rFonts w:hint="eastAsia" w:ascii="宋体" w:hAnsi="宋体" w:eastAsia="宋体" w:cs="宋体"/>
          <w:color w:val="auto"/>
          <w:szCs w:val="21"/>
          <w:highlight w:val="none"/>
        </w:rPr>
        <w:t>7.1</w:t>
      </w:r>
      <w:bookmarkStart w:id="5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7"/>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pPr>
        <w:spacing w:line="360" w:lineRule="auto"/>
        <w:jc w:val="center"/>
        <w:rPr>
          <w:rFonts w:hint="eastAsia" w:ascii="宋体" w:hAnsi="宋体" w:eastAsia="宋体" w:cs="宋体"/>
          <w:b/>
          <w:bCs/>
          <w:color w:val="auto"/>
          <w:sz w:val="32"/>
          <w:szCs w:val="32"/>
          <w:highlight w:val="none"/>
        </w:rPr>
      </w:pPr>
      <w:bookmarkStart w:id="58" w:name="_Toc254970675"/>
      <w:bookmarkStart w:id="59" w:name="_Toc254970534"/>
      <w:r>
        <w:rPr>
          <w:rFonts w:hint="eastAsia" w:ascii="宋体" w:hAnsi="宋体" w:eastAsia="宋体" w:cs="宋体"/>
          <w:b/>
          <w:bCs/>
          <w:color w:val="auto"/>
          <w:sz w:val="32"/>
          <w:szCs w:val="32"/>
          <w:highlight w:val="none"/>
        </w:rPr>
        <w:t>二、磋商文件</w:t>
      </w:r>
      <w:bookmarkEnd w:id="58"/>
      <w:bookmarkEnd w:id="59"/>
    </w:p>
    <w:p>
      <w:pPr>
        <w:spacing w:line="360" w:lineRule="auto"/>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（2）供应商须知； </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（4）评审程序、评审方法和评审标准；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（5）响应文件格式；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（6）合同文本。</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pPr>
        <w:spacing w:line="360" w:lineRule="auto"/>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32"/>
          <w:szCs w:val="32"/>
          <w:highlight w:val="none"/>
        </w:rPr>
        <w:t>三、响应文件的编制</w:t>
      </w:r>
    </w:p>
    <w:p>
      <w:pPr>
        <w:spacing w:line="360" w:lineRule="auto"/>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12.1响应文件由资格证明文件、报价商务技术文件两部分组成。</w:t>
      </w:r>
    </w:p>
    <w:p>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12.1.2报价商务技术文件：详见须知前附表</w:t>
      </w:r>
    </w:p>
    <w:p>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15.2竞标报价的价格构成见“供应商须知前附表”。</w:t>
      </w:r>
    </w:p>
    <w:p>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15.3.2竞标报价（包含首次报价、最后报价）超过所竞标分标规定的采购预算金额或者最高限价的，其响应文件将作无效处理。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60" w:name="_Hlk42592874"/>
      <w:r>
        <w:rPr>
          <w:rFonts w:hint="eastAsia" w:ascii="宋体" w:hAnsi="宋体" w:eastAsia="宋体" w:cs="宋体"/>
          <w:color w:val="auto"/>
          <w:szCs w:val="21"/>
          <w:highlight w:val="none"/>
        </w:rPr>
        <w:t>竞标报价（包含首次报价、最后报价）超过分项采购预算金额或者最高限价的，其响应文件将作无效处理。</w:t>
      </w:r>
    </w:p>
    <w:bookmarkEnd w:id="60"/>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pPr>
        <w:spacing w:line="360" w:lineRule="auto"/>
        <w:ind w:firstLine="420" w:firstLineChars="200"/>
        <w:rPr>
          <w:rFonts w:hint="eastAsia" w:ascii="宋体" w:hAnsi="宋体" w:eastAsia="宋体" w:cs="宋体"/>
          <w:color w:val="auto"/>
          <w:szCs w:val="21"/>
          <w:highlight w:val="none"/>
        </w:rPr>
      </w:pPr>
      <w:bookmarkStart w:id="61" w:name="_Hlk66782243"/>
      <w:r>
        <w:rPr>
          <w:rFonts w:hint="eastAsia" w:ascii="宋体" w:hAnsi="宋体" w:eastAsia="宋体" w:cs="宋体"/>
          <w:color w:val="auto"/>
          <w:szCs w:val="21"/>
          <w:highlight w:val="none"/>
        </w:rPr>
        <w:t>未</w:t>
      </w:r>
      <w:r>
        <w:rPr>
          <w:rFonts w:hint="eastAsia" w:ascii="宋体" w:hAnsi="宋体" w:eastAsia="宋体" w:cs="宋体"/>
          <w:color w:val="auto"/>
          <w:spacing w:val="-6"/>
          <w:szCs w:val="21"/>
          <w:highlight w:val="none"/>
        </w:rPr>
        <w:t>成交供应商的竞标保证金自成交通知书发出之日起5个工作日内退还；</w:t>
      </w:r>
      <w:r>
        <w:rPr>
          <w:rFonts w:hint="eastAsia" w:ascii="宋体" w:hAnsi="宋体" w:eastAsia="宋体" w:cs="宋体"/>
          <w:color w:val="auto"/>
          <w:szCs w:val="21"/>
          <w:highlight w:val="none"/>
        </w:rPr>
        <w:t>成交供应商的磋商保证金自签订合同之日起5个工作日内退还。</w:t>
      </w:r>
      <w:bookmarkEnd w:id="61"/>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编制要求详见“供应商须知前附表”。供应商应按本采购文件规定的格式和顺序编制、装订响应文件并标注页码，响应文件内容不完整、编排混乱导致响应文件被误读、漏读或者查找不到相关内容的，由此引发的后果由供应商承担。</w:t>
      </w:r>
      <w:bookmarkStart w:id="62" w:name="_19.2投标文件应按报价文件、资格证明文件、商务文件、技术文件分别编制"/>
      <w:bookmarkEnd w:id="62"/>
    </w:p>
    <w:p>
      <w:pPr>
        <w:pStyle w:val="4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18.2响应文件按照采购文件第五章响应文件格式要求在规定位置进行签署、盖章。供应商的响应文件未按照采购文件要求签署、盖章的，</w:t>
      </w:r>
      <w:r>
        <w:rPr>
          <w:rFonts w:hint="eastAsia" w:ascii="宋体" w:hAnsi="宋体" w:eastAsia="宋体" w:cs="宋体"/>
          <w:b/>
          <w:color w:val="auto"/>
          <w:sz w:val="21"/>
          <w:szCs w:val="21"/>
          <w:highlight w:val="none"/>
        </w:rPr>
        <w:t>其响应文件按无效响应处理。</w:t>
      </w:r>
      <w:r>
        <w:rPr>
          <w:rFonts w:hint="eastAsia" w:ascii="宋体" w:hAnsi="宋体" w:eastAsia="宋体" w:cs="宋体"/>
          <w:color w:val="auto"/>
          <w:sz w:val="21"/>
          <w:szCs w:val="21"/>
          <w:highlight w:val="none"/>
        </w:rPr>
        <w:t>骑缝盖公章不视为在规定位置盖章。</w:t>
      </w:r>
    </w:p>
    <w:p>
      <w:pPr>
        <w:pStyle w:val="4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18.3为确保网上操作合法、有效和安全，供应商应当在投标截止时间前完成在“</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”平台的身份认证，确保在电子投标过程中能够对相关数据电文进行加密和使用电子签名。</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18.4响应文件成交注的供应商名称应与主体资格证明（如营业执照、事业单位法人证书、执业许可证、自然人身份证等）及公章一致，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18.5响应文件应避免涂改、行间插字或者删除，</w:t>
      </w:r>
      <w:r>
        <w:rPr>
          <w:rFonts w:hint="eastAsia" w:ascii="宋体" w:hAnsi="宋体" w:eastAsia="宋体" w:cs="宋体"/>
          <w:b/>
          <w:color w:val="auto"/>
          <w:szCs w:val="21"/>
          <w:highlight w:val="none"/>
        </w:rPr>
        <w:t>否则其投标无效。</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18.6 对采购文件的实质性要求和条件作出响应是指供应商必须对采购文件成交注为实质性要求和条件的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18.7本项目为贺州市电子化项目，异常情况见“供应商须知正文”中“25.3开标程序。</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19.备份响应文件</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详见在“供应商须知前附表”。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20.1</w:t>
      </w:r>
      <w:r>
        <w:rPr>
          <w:rFonts w:hint="eastAsia" w:ascii="宋体" w:hAnsi="宋体" w:eastAsia="宋体" w:cs="宋体"/>
          <w:bCs/>
          <w:color w:val="auto"/>
          <w:szCs w:val="21"/>
          <w:highlight w:val="none"/>
        </w:rPr>
        <w:t>供应商必须在“供应商须知前附表”规定的响应文件接收时间和投标地点提交电子版响应文件。电子响应文件应在制作完成后，在投标截止时间前通过有效数字证书（CA认证锁）进行盖章、加密，然后通过网络将加密的电子响应文件递交至“</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 xml:space="preserve">平台”。 </w:t>
      </w:r>
    </w:p>
    <w:p>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21.2未在规定时间内提交或者未按照采购文件要求密封或者标记的电子响应文件，“</w:t>
      </w:r>
      <w:r>
        <w:rPr>
          <w:rFonts w:hint="eastAsia" w:ascii="宋体" w:hAnsi="宋体" w:eastAsia="宋体" w:cs="宋体"/>
          <w:b/>
          <w:color w:val="auto"/>
          <w:szCs w:val="21"/>
          <w:highlight w:val="none"/>
          <w:lang w:eastAsia="zh-CN"/>
        </w:rPr>
        <w:t>广西政府采购云</w:t>
      </w:r>
      <w:r>
        <w:rPr>
          <w:rFonts w:hint="eastAsia" w:ascii="宋体" w:hAnsi="宋体" w:eastAsia="宋体" w:cs="宋体"/>
          <w:b/>
          <w:color w:val="auto"/>
          <w:szCs w:val="21"/>
          <w:highlight w:val="none"/>
        </w:rPr>
        <w:t>”平台将拒收。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21.3电子版响应文件提交方式见“竞争性磋商公告”中“四、提交响应文件截止时间、开标时间和地点”</w:t>
      </w:r>
      <w:r>
        <w:rPr>
          <w:rFonts w:hint="eastAsia" w:ascii="宋体" w:hAnsi="宋体" w:eastAsia="宋体" w:cs="宋体"/>
          <w:b/>
          <w:color w:val="auto"/>
          <w:szCs w:val="21"/>
          <w:highlight w:val="none"/>
        </w:rPr>
        <w:t>。</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ind w:firstLine="482" w:firstLineChars="200"/>
        <w:rPr>
          <w:rFonts w:hint="eastAsia" w:ascii="宋体" w:hAnsi="宋体" w:eastAsia="宋体" w:cs="宋体"/>
          <w:b/>
          <w:bCs/>
          <w:color w:val="auto"/>
          <w:sz w:val="24"/>
          <w:highlight w:val="none"/>
        </w:rPr>
      </w:pPr>
      <w:bookmarkStart w:id="63" w:name="_Hlk45702405"/>
      <w:r>
        <w:rPr>
          <w:rFonts w:hint="eastAsia" w:ascii="宋体" w:hAnsi="宋体" w:eastAsia="宋体" w:cs="宋体"/>
          <w:b/>
          <w:bCs/>
          <w:color w:val="auto"/>
          <w:sz w:val="24"/>
          <w:highlight w:val="none"/>
        </w:rPr>
        <w:t>22. 首次响应文件的退回</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22.1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”平台将拒收。（补充、修改或者撤回方式见公告附件“电子响应文件制作与投送教程”）</w:t>
      </w:r>
    </w:p>
    <w:p>
      <w:pPr>
        <w:pStyle w:val="43"/>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”平台收到响应文件，将妥善保存并即时向供应商发出确认回执通知。在投标截止时间前，除供应商补充、修改或者撤回响应文件外，任何单位和个人不得解密或提取响应文件。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22.3在投标截止时间止提交电子版响应文件的供应商不足3家时，电子版响应文件由代理机构在“</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”平台操作退回，除此之外采购人和采购代理机构对已提交的响应文件概不退回。</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供应商在首次响应文件提交截止时间后向采购人、采购代理机构书面申请撤回响应文件的，将根据本须知正文17.4的规定不予退还其磋商保证金。</w:t>
      </w:r>
    </w:p>
    <w:bookmarkEnd w:id="63"/>
    <w:p>
      <w:pPr>
        <w:spacing w:line="360" w:lineRule="auto"/>
        <w:rPr>
          <w:rFonts w:hint="eastAsia" w:ascii="宋体" w:hAnsi="宋体" w:eastAsia="宋体" w:cs="宋体"/>
          <w:color w:val="auto"/>
          <w:szCs w:val="21"/>
          <w:highlight w:val="none"/>
        </w:rPr>
      </w:pPr>
    </w:p>
    <w:p>
      <w:pPr>
        <w:spacing w:line="360" w:lineRule="auto"/>
        <w:ind w:left="420" w:firstLine="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四、评审及磋商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25.开标时间和地点</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25.1开标时间及地点详见“供应商须知前附表”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25.2如</w:t>
      </w:r>
      <w:r>
        <w:rPr>
          <w:rFonts w:hint="eastAsia" w:ascii="宋体" w:hAnsi="宋体" w:eastAsia="宋体" w:cs="宋体"/>
          <w:bCs/>
          <w:color w:val="auto"/>
          <w:highlight w:val="none"/>
        </w:rPr>
        <w:t>供应商成功解密响应文件，但未在“</w:t>
      </w:r>
      <w:r>
        <w:rPr>
          <w:rFonts w:hint="eastAsia" w:ascii="宋体" w:hAnsi="宋体" w:eastAsia="宋体" w:cs="宋体"/>
          <w:bCs/>
          <w:color w:val="auto"/>
          <w:highlight w:val="none"/>
          <w:lang w:eastAsia="zh-CN"/>
        </w:rPr>
        <w:t>广西政府采购云</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由此产生的后果由供应商自行负责。 供应商不足3家的，不得开标。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25.3开标程序</w:t>
      </w:r>
    </w:p>
    <w:p>
      <w:pPr>
        <w:autoSpaceDE w:val="0"/>
        <w:autoSpaceDN w:val="0"/>
        <w:adjustRightIn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25.3.1</w:t>
      </w:r>
      <w:r>
        <w:rPr>
          <w:rFonts w:hint="eastAsia" w:ascii="宋体" w:hAnsi="宋体" w:eastAsia="宋体" w:cs="宋体"/>
          <w:color w:val="auto"/>
          <w:kern w:val="0"/>
          <w:szCs w:val="21"/>
          <w:highlight w:val="none"/>
        </w:rPr>
        <w:t>开标形式：</w:t>
      </w:r>
    </w:p>
    <w:p>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”平台选取评审专家，如采购代理机构未按规定选取专家的，视为本次开评标无效，应当重新采购；</w:t>
      </w:r>
    </w:p>
    <w:p>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（2）采购代理机构将按照采购文件规定的时间通过“</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平台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25.3.2开标程序：</w:t>
      </w:r>
    </w:p>
    <w:p>
      <w:pPr>
        <w:pStyle w:val="19"/>
        <w:snapToGrid w:val="0"/>
        <w:spacing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（1）解密电子响应文件。“</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”平台按开标时间自动提取所有响应文件。采购代理机构依托“</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”平台向各供应商发出电子加密响应文件【开始解密】通知，由供应商按采购文件规定的时间内自行进行响应文件解密。供应商的法定代表人或其委托代理人</w:t>
      </w:r>
      <w:r>
        <w:rPr>
          <w:rFonts w:hint="eastAsia" w:ascii="宋体" w:hAnsi="宋体" w:eastAsia="宋体" w:cs="宋体"/>
          <w:b/>
          <w:color w:val="auto"/>
          <w:sz w:val="21"/>
          <w:szCs w:val="21"/>
          <w:highlight w:val="none"/>
        </w:rPr>
        <w:t>须携带加密时所用的CA锁准时登录到“</w:t>
      </w:r>
      <w:r>
        <w:rPr>
          <w:rFonts w:hint="eastAsia" w:ascii="宋体" w:hAnsi="宋体" w:eastAsia="宋体" w:cs="宋体"/>
          <w:b/>
          <w:color w:val="auto"/>
          <w:sz w:val="21"/>
          <w:szCs w:val="21"/>
          <w:highlight w:val="none"/>
          <w:lang w:eastAsia="zh-CN"/>
        </w:rPr>
        <w:t>广西政府采购云</w:t>
      </w:r>
      <w:r>
        <w:rPr>
          <w:rFonts w:hint="eastAsia" w:ascii="宋体" w:hAnsi="宋体" w:eastAsia="宋体" w:cs="宋体"/>
          <w:b/>
          <w:color w:val="auto"/>
          <w:sz w:val="21"/>
          <w:szCs w:val="21"/>
          <w:highlight w:val="none"/>
        </w:rPr>
        <w:t>”平台电子开标大厅签到并对电子响应文件解密</w:t>
      </w:r>
      <w:r>
        <w:rPr>
          <w:rFonts w:hint="eastAsia" w:ascii="宋体" w:hAnsi="宋体" w:eastAsia="宋体" w:cs="宋体"/>
          <w:color w:val="auto"/>
          <w:sz w:val="21"/>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ascii="宋体" w:hAnsi="宋体" w:eastAsia="宋体" w:cs="宋体"/>
          <w:b/>
          <w:color w:val="auto"/>
          <w:sz w:val="21"/>
          <w:szCs w:val="21"/>
          <w:highlight w:val="none"/>
        </w:rPr>
        <w:t>均视为无效投标。</w:t>
      </w:r>
    </w:p>
    <w:p>
      <w:pPr>
        <w:pStyle w:val="19"/>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异常情况处理：详见本章26.4评标方法及评标标准（3）</w:t>
      </w:r>
      <w:r>
        <w:rPr>
          <w:rFonts w:hint="eastAsia" w:ascii="宋体" w:hAnsi="宋体" w:eastAsia="宋体" w:cs="宋体"/>
          <w:color w:val="auto"/>
          <w:sz w:val="21"/>
          <w:szCs w:val="21"/>
          <w:highlight w:val="none"/>
        </w:rPr>
        <w:t>电子交易活动的中止。）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电子唱标。</w:t>
      </w:r>
      <w:r>
        <w:rPr>
          <w:rFonts w:hint="eastAsia" w:ascii="宋体" w:hAnsi="宋体" w:eastAsia="宋体" w:cs="宋体"/>
          <w:color w:val="auto"/>
          <w:sz w:val="21"/>
          <w:szCs w:val="21"/>
          <w:highlight w:val="none"/>
        </w:rPr>
        <w:t>响应文件解密结束，各投标供应商报价均在“</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”平台远程不见面开标大厅展示；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签署电子《政府采购活动现场确认声明书》。</w:t>
      </w:r>
      <w:r>
        <w:rPr>
          <w:rFonts w:hint="eastAsia" w:ascii="宋体" w:hAnsi="宋体" w:eastAsia="宋体" w:cs="宋体"/>
          <w:color w:val="auto"/>
          <w:szCs w:val="21"/>
          <w:highlight w:val="none"/>
        </w:rPr>
        <w:t>通过邮件形式在远程不见面开标大厅发送各供应商签署电子《政府采购活动现场确认声明书》。</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（6）开标结束。</w:t>
      </w:r>
    </w:p>
    <w:p>
      <w:pPr>
        <w:pStyle w:val="19"/>
        <w:snapToGrid w:val="0"/>
        <w:spacing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特别说明：</w:t>
      </w:r>
      <w:r>
        <w:rPr>
          <w:rFonts w:hint="eastAsia" w:ascii="宋体" w:hAnsi="宋体" w:eastAsia="宋体" w:cs="宋体"/>
          <w:color w:val="auto"/>
          <w:sz w:val="21"/>
          <w:szCs w:val="21"/>
          <w:highlight w:val="none"/>
        </w:rPr>
        <w:t>如遇“</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”平台电子化开标或评审程序调整的，按调整后执行。</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26.评审程序、评审方法和评审标准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26.1本项目的评审方法为综合评分法。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26.2磋商小组按照“第四章 评审程序、评审方法和评审标准”规定的方法、评审因素、标准和程序对响应文件进行评审。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26.3评标原则</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评标原则。磋商小组评标时必须公平、公正、客观，不带任何倾向性和启发性；不得向外界透露任何与评标有关的内容；任何单位和个人不得干扰、影响评标的正常进行；磋商小组及有关工作人员不得私下与供应商接触，不得收受利害关系人的财物或者其他好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评委表决。在评标过程中出现法律法规和采购文件均没有明确规定的情形时，由磋商小组现场协商解决，协商不一致的，由全体评委投票表决，以得票率二分之一以上专家的意见为准并由采购代理机构作记录。</w:t>
      </w:r>
      <w:bookmarkStart w:id="64" w:name="_28.3评标方法。本项目将按须知前附表规定的评标办法进行评标，具体评标"/>
      <w:bookmarkEnd w:id="64"/>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（4）评标过程的监控。本项目电子评标过程实行网上留痕、全程录音、录像监控，供应商在评标过程中所进行的试图影响评标结果的不公正活动，可能导致其投标按无效处理。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26.4评标方法及评标标准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（1）本项目的评标方法详见</w:t>
      </w:r>
      <w:r>
        <w:rPr>
          <w:rFonts w:hint="eastAsia" w:ascii="宋体" w:hAnsi="宋体" w:eastAsia="宋体" w:cs="宋体"/>
          <w:b/>
          <w:bCs/>
          <w:color w:val="auto"/>
          <w:highlight w:val="none"/>
        </w:rPr>
        <w:t>“供应商须知前附表”。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（2）磋商小组按照</w:t>
      </w:r>
      <w:r>
        <w:rPr>
          <w:rFonts w:hint="eastAsia" w:ascii="宋体" w:hAnsi="宋体" w:eastAsia="宋体" w:cs="宋体"/>
          <w:b/>
          <w:color w:val="auto"/>
          <w:highlight w:val="none"/>
        </w:rPr>
        <w:t>“第四章 评审程序、评审方法和评审标准”</w:t>
      </w:r>
      <w:r>
        <w:rPr>
          <w:rFonts w:hint="eastAsia" w:ascii="宋体" w:hAnsi="宋体" w:eastAsia="宋体" w:cs="宋体"/>
          <w:color w:val="auto"/>
          <w:highlight w:val="none"/>
        </w:rPr>
        <w:t>规定的方法、评审因素、标准和程序对响应文件进行评审。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电子交易活动的中止。采购过程中出现以下情形，导致电子交易平台无法正常运行，或者无法保证电子交易的公平、公正和安全时，采购机构可中止电子交易活动：</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5"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w:t>
      </w:r>
      <w:r>
        <w:rPr>
          <w:rFonts w:hint="eastAsia" w:ascii="宋体" w:hAnsi="宋体" w:cs="宋体"/>
          <w:color w:val="auto"/>
          <w:szCs w:val="21"/>
          <w:highlight w:val="none"/>
          <w:lang w:eastAsia="zh-CN"/>
        </w:rPr>
        <w:t>小微企业声明函</w:t>
      </w:r>
      <w:r>
        <w:rPr>
          <w:rFonts w:hint="eastAsia" w:ascii="宋体" w:hAnsi="宋体" w:eastAsia="宋体" w:cs="宋体"/>
          <w:color w:val="auto"/>
          <w:szCs w:val="21"/>
          <w:highlight w:val="none"/>
        </w:rPr>
        <w:t>》。</w:t>
      </w:r>
      <w:bookmarkEnd w:id="6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签订合同，采购人可以按照评审报告推荐的成交候选人名单排序，确定下一候选人为成交供应商，也可以重新开展政府采购活动。</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29.1成交供应商在收到成交通知书后，应当在签订合同时向采购人出示相关证明材料，具体内容详见 “供应商须知前附表”，经采购人核验合格后方可签订合同。</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签订合同时间：</w:t>
      </w:r>
      <w:r>
        <w:rPr>
          <w:rFonts w:hint="eastAsia" w:ascii="宋体" w:hAnsi="宋体" w:eastAsia="宋体" w:cs="宋体"/>
          <w:color w:val="auto"/>
          <w:sz w:val="21"/>
          <w:szCs w:val="21"/>
          <w:highlight w:val="none"/>
        </w:rPr>
        <w:t>自成交通知书发出之日起 10 日内（最迟不能超过 15 日）</w:t>
      </w:r>
      <w:r>
        <w:rPr>
          <w:rFonts w:hint="eastAsia" w:ascii="宋体" w:hAnsi="宋体" w:eastAsia="宋体" w:cs="宋体"/>
          <w:color w:val="auto"/>
          <w:szCs w:val="21"/>
          <w:highlight w:val="none"/>
        </w:rPr>
        <w:t>与采购人签订政府采购合同。</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32.1代理服务收费标准及缴费账户详见“供应商须知前附表”，供应商为联合体的，可以由联合体中的一方或者多方共同交纳代理服务费。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32.2代理服务费收费计算标准：</w:t>
      </w:r>
    </w:p>
    <w:tbl>
      <w:tblPr>
        <w:tblStyle w:val="26"/>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注：（1）按本表费率计算的收费为采购代理的收费基准价格；</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例如：某服务采购代理业务成交金额或者暂定价为150万元，计算采购代理收费额如下：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×0.8%＝ 0.4万元</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1.5 ＋ 0.4＝ 1.9 万元</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33.需要补充的其他内容</w:t>
      </w:r>
    </w:p>
    <w:p>
      <w:pPr>
        <w:pStyle w:val="19"/>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33.1本磋商文件解释规则详见“供应商须知前附表”。</w:t>
      </w:r>
    </w:p>
    <w:p>
      <w:pPr>
        <w:pStyle w:val="19"/>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33.2 其他事项详见“供应商须知前附表”。</w:t>
      </w:r>
    </w:p>
    <w:p>
      <w:pPr>
        <w:pStyle w:val="19"/>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pPr>
        <w:pStyle w:val="19"/>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pPr>
        <w:pStyle w:val="19"/>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br w:type="page"/>
      </w:r>
      <w:r>
        <w:rPr>
          <w:rFonts w:hint="eastAsia" w:ascii="宋体" w:hAnsi="宋体" w:eastAsia="宋体" w:cs="宋体"/>
          <w:bCs/>
          <w:color w:val="auto"/>
          <w:sz w:val="32"/>
          <w:szCs w:val="32"/>
          <w:highlight w:val="none"/>
        </w:rPr>
        <w:t>附件1：</w:t>
      </w:r>
    </w:p>
    <w:p>
      <w:pPr>
        <w:widowControl/>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广西壮族自治区政府采购项目合同验收书（格式）</w:t>
      </w:r>
    </w:p>
    <w:p>
      <w:pPr>
        <w:widowControl/>
        <w:shd w:val="clear" w:color="auto" w:fill="FFFFFF"/>
        <w:spacing w:line="480" w:lineRule="atLeast"/>
        <w:jc w:val="center"/>
        <w:rPr>
          <w:rFonts w:hint="eastAsia" w:ascii="宋体" w:hAnsi="宋体" w:eastAsia="宋体" w:cs="宋体"/>
          <w:color w:val="auto"/>
          <w:kern w:val="0"/>
          <w:sz w:val="32"/>
          <w:szCs w:val="32"/>
          <w:highlight w:val="none"/>
        </w:rPr>
      </w:pPr>
    </w:p>
    <w:p>
      <w:pPr>
        <w:widowControl/>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6"/>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 xml:space="preserve">自行验收 </w:t>
            </w: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pPr>
              <w:widowControl/>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p>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293"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p>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联系电话：年 月 日</w:t>
            </w:r>
          </w:p>
        </w:tc>
      </w:tr>
    </w:tbl>
    <w:p>
      <w:pPr>
        <w:pStyle w:val="19"/>
        <w:snapToGrid w:val="0"/>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政府采购项目履约保证金退付意见书</w:t>
      </w:r>
    </w:p>
    <w:p>
      <w:pPr>
        <w:jc w:val="center"/>
        <w:rPr>
          <w:rFonts w:hint="eastAsia" w:ascii="宋体" w:hAnsi="宋体" w:eastAsia="宋体" w:cs="宋体"/>
          <w:color w:val="auto"/>
          <w:sz w:val="36"/>
          <w:szCs w:val="36"/>
          <w:highlight w:val="none"/>
        </w:rPr>
      </w:pPr>
    </w:p>
    <w:tbl>
      <w:tblPr>
        <w:tblStyle w:val="26"/>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009"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hint="eastAsia" w:ascii="宋体" w:hAnsi="宋体" w:eastAsia="宋体" w:cs="宋体"/>
                <w:color w:val="auto"/>
                <w:sz w:val="24"/>
                <w:highlight w:val="none"/>
              </w:rPr>
            </w:pPr>
          </w:p>
        </w:tc>
        <w:tc>
          <w:tcPr>
            <w:tcW w:w="8009"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rFonts w:hint="eastAsia" w:ascii="宋体" w:hAnsi="宋体" w:eastAsia="宋体" w:cs="宋体"/>
                <w:color w:val="auto"/>
                <w:sz w:val="24"/>
                <w:highlight w:val="none"/>
              </w:rPr>
            </w:pPr>
          </w:p>
        </w:tc>
        <w:tc>
          <w:tcPr>
            <w:tcW w:w="8009" w:type="dxa"/>
          </w:tcPr>
          <w:p>
            <w:pPr>
              <w:rPr>
                <w:rFonts w:hint="eastAsia" w:ascii="宋体" w:hAnsi="宋体" w:eastAsia="宋体" w:cs="宋体"/>
                <w:color w:val="auto"/>
                <w:sz w:val="24"/>
                <w:highlight w:val="none"/>
              </w:rPr>
            </w:pPr>
          </w:p>
          <w:p>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该项目已于年月日验收并交付使用。根据合同规定，该项目的履约保证金期限于年月日已满，请将履约保证金</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（大写）¥（小写）退付到达以下帐户。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帐    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pP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供应商签章：</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位</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009"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联系人及电话：                                </w:t>
            </w:r>
          </w:p>
          <w:p>
            <w:pPr>
              <w:rPr>
                <w:rFonts w:hint="eastAsia" w:ascii="宋体" w:hAnsi="宋体" w:eastAsia="宋体" w:cs="宋体"/>
                <w:color w:val="auto"/>
                <w:sz w:val="24"/>
                <w:highlight w:val="none"/>
              </w:rPr>
            </w:pPr>
          </w:p>
          <w:p>
            <w:pPr>
              <w:ind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采购人签章：</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009" w:type="dxa"/>
          </w:tcPr>
          <w:p>
            <w:pPr>
              <w:rPr>
                <w:rFonts w:hint="eastAsia" w:ascii="宋体" w:hAnsi="宋体" w:eastAsia="宋体" w:cs="宋体"/>
                <w:color w:val="auto"/>
                <w:sz w:val="24"/>
                <w:highlight w:val="none"/>
              </w:rPr>
            </w:pPr>
          </w:p>
        </w:tc>
      </w:tr>
    </w:tbl>
    <w:p>
      <w:pPr>
        <w:pStyle w:val="13"/>
        <w:ind w:left="1" w:firstLine="2" w:firstLineChars="1"/>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注：供应商凭经采购人审批的退付意见书到履约保证金收取单位财务部门办理履约保证金退付事宜。</w:t>
      </w:r>
    </w:p>
    <w:p>
      <w:pPr>
        <w:pStyle w:val="19"/>
        <w:snapToGrid w:val="0"/>
        <w:spacing w:before="120" w:after="120"/>
        <w:rPr>
          <w:rFonts w:hint="eastAsia" w:ascii="宋体" w:hAnsi="宋体" w:eastAsia="宋体" w:cs="宋体"/>
          <w:color w:val="auto"/>
          <w:highlight w:val="none"/>
        </w:rPr>
      </w:pPr>
    </w:p>
    <w:p>
      <w:pPr>
        <w:pStyle w:val="19"/>
        <w:snapToGrid w:val="0"/>
        <w:spacing w:before="120" w:after="120"/>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left"/>
        <w:rPr>
          <w:rFonts w:hint="eastAsia" w:ascii="宋体" w:hAnsi="宋体" w:eastAsia="宋体" w:cs="宋体"/>
          <w:b/>
          <w:color w:val="auto"/>
          <w:sz w:val="32"/>
          <w:szCs w:val="32"/>
          <w:highlight w:val="none"/>
        </w:rPr>
      </w:pPr>
    </w:p>
    <w:p>
      <w:pPr>
        <w:pStyle w:val="4"/>
        <w:numPr>
          <w:ilvl w:val="0"/>
          <w:numId w:val="5"/>
        </w:numPr>
        <w:jc w:val="center"/>
        <w:rPr>
          <w:rFonts w:hint="eastAsia" w:ascii="宋体" w:hAnsi="宋体" w:eastAsia="宋体" w:cs="宋体"/>
          <w:color w:val="auto"/>
          <w:highlight w:val="none"/>
        </w:rPr>
      </w:pPr>
      <w:bookmarkStart w:id="66" w:name="_Toc44229895"/>
      <w:r>
        <w:rPr>
          <w:rFonts w:hint="eastAsia" w:ascii="宋体" w:hAnsi="宋体" w:eastAsia="宋体" w:cs="宋体"/>
          <w:color w:val="auto"/>
          <w:highlight w:val="none"/>
        </w:rPr>
        <w:t>采购需求</w:t>
      </w:r>
      <w:bookmarkEnd w:id="66"/>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rPr>
        <w:t>说明：</w:t>
      </w:r>
    </w:p>
    <w:p>
      <w:pPr>
        <w:numPr>
          <w:ilvl w:val="0"/>
          <w:numId w:val="6"/>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为落实政府采购政策需满足的要求：</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所称中小企业必须符合《政府采购促进中小企业发展管理办法》（财库〔2020〕46号）、《关于进一步加大政府采购支持中小企业力度的通知》（财库【2022】19号）、桂财采【2022】30号《广西壮族自治区财政厅关于进一步发挥政府采购政策功能促进企业发展的通知》的规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竞标人的投标货物必须使用政府强制采购的节能产品，竞标人必须在投标文件中提供所投标产品的节能产品认证证书复印件（加盖竞标人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“实质性要求”是指采购需求中带“▲”的条款或者不能负偏离的条款或者已经指明不满足按响应文件作无效处理的条款。</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3.服务项目中伴随货物的，采购需求中出现的品牌、型号或者生产供应商仅起参考作用，不属于指定品牌、型号或者生产供应商的情形。供应商可参照或者选用其他相当的品牌、型号或者生产供应商替代。</w:t>
      </w:r>
      <w:r>
        <w:rPr>
          <w:rFonts w:hint="eastAsia" w:ascii="宋体" w:hAnsi="宋体" w:eastAsia="宋体" w:cs="宋体"/>
          <w:color w:val="auto"/>
          <w:highlight w:val="none"/>
        </w:rPr>
        <w:t>评标时，若磋商小组认为投标产品某个技术参数或要求为某一品牌所特有，则该参数将不作为实质性响应条件。</w:t>
      </w:r>
    </w:p>
    <w:p>
      <w:pPr>
        <w:tabs>
          <w:tab w:val="left" w:pos="180"/>
          <w:tab w:val="left" w:pos="1620"/>
        </w:tabs>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4.供应商应根据自身实际情况如实响应竞争性磋商文件，不得仅将竞争性磋商文件内容简单复制粘贴作为竞标响应，还应当提供相关证明材料，否则将作无效响应处理（定制采购项目不适用本条款）。</w:t>
      </w:r>
      <w:r>
        <w:rPr>
          <w:rFonts w:hint="eastAsia" w:ascii="宋体" w:hAnsi="宋体" w:eastAsia="宋体" w:cs="宋体"/>
          <w:color w:val="auto"/>
          <w:highlight w:val="none"/>
        </w:rPr>
        <w:t>对于重要技术条款或技术参数应当在响应文件中提供技术支持资料。技术支持资料以竞标货物生产厂家公开发布的印刷资料或检测机构出具的检测报告或磋商文件中允许的其它形式为准。凡不符合上述要求的，将视为无效技术支持资料。</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供应商必须自行为其竞标产品侵犯他人的知识产权或者专利成果的行为承担相应法律责任。</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sz w:val="21"/>
          <w:highlight w:val="none"/>
          <w:lang w:val="en-US" w:eastAsia="zh-CN"/>
        </w:rPr>
        <w:t>采购标的对应的中小微企业划分标准所属行业名称：农、林、牧、渔业。</w:t>
      </w:r>
    </w:p>
    <w:p>
      <w:pPr>
        <w:spacing w:line="360" w:lineRule="auto"/>
        <w:ind w:firstLine="424" w:firstLineChars="202"/>
        <w:jc w:val="left"/>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b/>
          <w:bCs w:val="0"/>
          <w:color w:val="auto"/>
          <w:kern w:val="44"/>
          <w:sz w:val="32"/>
          <w:szCs w:val="32"/>
          <w:highlight w:val="none"/>
          <w:lang w:val="en-US" w:eastAsia="zh-CN" w:bidi="ar-SA"/>
        </w:rPr>
      </w:pPr>
      <w:r>
        <w:rPr>
          <w:rFonts w:hint="eastAsia" w:ascii="宋体" w:hAnsi="宋体" w:eastAsia="宋体" w:cs="宋体"/>
          <w:b/>
          <w:bCs w:val="0"/>
          <w:color w:val="auto"/>
          <w:kern w:val="44"/>
          <w:sz w:val="32"/>
          <w:szCs w:val="32"/>
          <w:highlight w:val="none"/>
          <w:lang w:val="en-US" w:eastAsia="zh-CN" w:bidi="ar-SA"/>
        </w:rPr>
        <w:t>采购需求</w:t>
      </w:r>
    </w:p>
    <w:p>
      <w:pPr>
        <w:rPr>
          <w:rFonts w:hint="eastAsia" w:ascii="宋体" w:hAnsi="宋体" w:eastAsia="宋体" w:cs="宋体"/>
          <w:color w:val="auto"/>
          <w:highlight w:val="none"/>
        </w:rPr>
      </w:pPr>
    </w:p>
    <w:p>
      <w:pPr>
        <w:pStyle w:val="13"/>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val="en-US" w:eastAsia="zh-CN"/>
        </w:rPr>
        <w:t>选用</w:t>
      </w:r>
      <w:r>
        <w:rPr>
          <w:rFonts w:hint="eastAsia" w:ascii="宋体" w:hAnsi="宋体" w:eastAsia="宋体" w:cs="宋体"/>
          <w:b/>
          <w:bCs/>
          <w:color w:val="auto"/>
          <w:sz w:val="24"/>
          <w:szCs w:val="24"/>
          <w:highlight w:val="none"/>
        </w:rPr>
        <w:t>苗木要求</w:t>
      </w:r>
      <w:r>
        <w:rPr>
          <w:rFonts w:hint="eastAsia" w:ascii="宋体" w:hAnsi="宋体" w:eastAsia="宋体" w:cs="宋体"/>
          <w:color w:val="auto"/>
          <w:sz w:val="24"/>
          <w:szCs w:val="24"/>
          <w:highlight w:val="none"/>
        </w:rPr>
        <w:t>：</w:t>
      </w:r>
    </w:p>
    <w:p>
      <w:pPr>
        <w:pStyle w:val="1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1.严格按苗木规格购苗，应选择枝干健壮、形体优美的苗木，苗木移植尽量减少截枝量，严禁出现没枝的单干苗木。</w:t>
      </w:r>
    </w:p>
    <w:p>
      <w:pPr>
        <w:pStyle w:val="1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2.苗木规格大小应统一。</w:t>
      </w:r>
    </w:p>
    <w:p>
      <w:pPr>
        <w:pStyle w:val="1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3.具体的苗木数量及规格</w:t>
      </w:r>
      <w:r>
        <w:rPr>
          <w:rFonts w:hint="eastAsia" w:ascii="宋体" w:hAnsi="宋体" w:eastAsia="宋体" w:cs="宋体"/>
          <w:color w:val="auto"/>
          <w:sz w:val="24"/>
          <w:szCs w:val="24"/>
          <w:highlight w:val="none"/>
          <w:lang w:eastAsia="zh-CN"/>
        </w:rPr>
        <w:t>详</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采购需求一览表</w:t>
      </w:r>
      <w:r>
        <w:rPr>
          <w:rFonts w:hint="eastAsia" w:ascii="宋体" w:hAnsi="宋体" w:eastAsia="宋体" w:cs="宋体"/>
          <w:color w:val="auto"/>
          <w:sz w:val="24"/>
          <w:szCs w:val="24"/>
          <w:highlight w:val="none"/>
        </w:rPr>
        <w:t>》。</w:t>
      </w:r>
    </w:p>
    <w:p>
      <w:pPr>
        <w:pStyle w:val="1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树高：苗木经过常规处理后自然或人工修剪的</w:t>
      </w:r>
      <w:r>
        <w:rPr>
          <w:rFonts w:hint="eastAsia" w:ascii="宋体" w:hAnsi="宋体" w:eastAsia="宋体" w:cs="宋体"/>
          <w:color w:val="auto"/>
          <w:sz w:val="24"/>
          <w:szCs w:val="24"/>
          <w:highlight w:val="none"/>
          <w:lang w:eastAsia="zh-CN"/>
        </w:rPr>
        <w:t>树高</w:t>
      </w:r>
      <w:r>
        <w:rPr>
          <w:rFonts w:hint="eastAsia" w:ascii="宋体" w:hAnsi="宋体" w:eastAsia="宋体" w:cs="宋体"/>
          <w:color w:val="auto"/>
          <w:sz w:val="24"/>
          <w:szCs w:val="24"/>
          <w:highlight w:val="none"/>
        </w:rPr>
        <w:t>，苗木选择时应满足表中所列</w:t>
      </w:r>
      <w:r>
        <w:rPr>
          <w:rFonts w:hint="eastAsia" w:ascii="宋体" w:hAnsi="宋体" w:eastAsia="宋体" w:cs="宋体"/>
          <w:color w:val="auto"/>
          <w:sz w:val="24"/>
          <w:szCs w:val="24"/>
          <w:highlight w:val="none"/>
          <w:lang w:eastAsia="zh-CN"/>
        </w:rPr>
        <w:t>树高</w:t>
      </w:r>
      <w:r>
        <w:rPr>
          <w:rFonts w:hint="eastAsia" w:ascii="宋体" w:hAnsi="宋体" w:eastAsia="宋体" w:cs="宋体"/>
          <w:color w:val="auto"/>
          <w:sz w:val="24"/>
          <w:szCs w:val="24"/>
          <w:highlight w:val="none"/>
        </w:rPr>
        <w:t>范围，力求列植后整齐划一。</w:t>
      </w:r>
    </w:p>
    <w:p>
      <w:pPr>
        <w:pStyle w:val="1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冠幅：指苗木经过常规处理后的枝冠正投影的正交直径平均值，在保证苗木移植成活和满足交通运输的前提下，应尽量保留苗木的原有冠幅，以利于绿化尽快见效。</w:t>
      </w:r>
    </w:p>
    <w:p>
      <w:pPr>
        <w:pStyle w:val="13"/>
        <w:keepNext w:val="0"/>
        <w:keepLines w:val="0"/>
        <w:pageBreakBefore w:val="0"/>
        <w:widowControl w:val="0"/>
        <w:kinsoku/>
        <w:wordWrap/>
        <w:overflowPunct/>
        <w:topLinePunct w:val="0"/>
        <w:autoSpaceDE/>
        <w:autoSpaceDN/>
        <w:bidi w:val="0"/>
        <w:adjustRightInd/>
        <w:snapToGrid/>
        <w:spacing w:line="560" w:lineRule="exact"/>
        <w:ind w:firstLine="482"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采购需求一览表</w:t>
      </w:r>
    </w:p>
    <w:tbl>
      <w:tblPr>
        <w:tblStyle w:val="26"/>
        <w:tblW w:w="96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3"/>
        <w:gridCol w:w="5600"/>
        <w:gridCol w:w="1775"/>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5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苗木规格</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栽植养护特选紫花风铃木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(1)胸径：25-30cm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(2)株高、冠径：高度9-10m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(3)冠幅：5-5.5m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栽植养护特选从生乌桕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(1)株高、冠径：高度9-10m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(2)冠幅：5-5.5m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1"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栽植养护乌桕B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(1)胸径：25-30cm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(2)株高、冠径：高度8-9m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(3)冠幅：4.5-5m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栽植养护特选从生朴树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(1)胸径：Φ35-40cm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(2)株高、冠径:高度8-9m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(3)冠幅：4.5-5m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栽植养护朴树A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(1)胸径：18-20cm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(2)株高、冠径：高度8-9m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(3)冠幅：4-4.5m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2"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栽植养护银杏A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(1)胸径：15-18cm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(2)株高、冠径:高度5-5.5m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(3)冠幅：3-3.5m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3"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栽植养护银杏B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(1)胸径：12-15cm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(2)高度：4.5-5m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(3)冠幅：2.5-3m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栽植养护木棉A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(1)胸径：20-25cm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(2)高度：4.5-5.5m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(3)冠幅：3.5-4m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4"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栽植养护木棉A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(1)胸径：15-20cm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(2)高度：4-4.5m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(3)冠幅：3-3.5m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栽植养护造型榕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(1)高度：2.5-3m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(2)冠幅：2.5-3m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栽植养护小叶榕A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(1)胸径:18-20cm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(2)高度：4-4.5m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(3)冠幅：3-3.5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栽植养护小叶榕B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(1)胸径：15-18cm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(2)高度：3.5-4m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(3)冠幅：2.5-3m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栽植养护八月桂A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(1)胸径：12-15cm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(2)高度：2.5-3m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(3)冠幅：2.5-2.8m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栽植养护八月桂B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(1)胸径：10-12cm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(2)高度：2.5-3m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(3)冠幅：2.5-2.5m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栽植养护小叶香樟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(1)胸径：20-25cm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(2)高度：4.5-5m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(3)冠幅：2.5-3m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2"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栽植养护苹婆A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(1)胸径：12-15cm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(2)高度：3.5-4m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(3)冠幅：2.5-3m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栽植养护本地秋枫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(1)胸径：12-15cm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(2)高度：3-3.5m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(3)冠幅：2-2.5m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栽植养护红花羊蹄甲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(1)胸径：10-12cm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(2)高度：4-4.5m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(3)冠幅：2.5-3m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栽植养护紫花风铃木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(1)胸径：10-12cm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(2)高度：4-4.5m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(3)冠幅：2.5-3m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1"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栽植养护黄花风铃木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(1)胸径：8-10cm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(2)高度：3.5-4m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(3)冠幅：2-2.5m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栽植养护鸡蛋花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(1)高度：2.5-3m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(2)冠幅：2-2.5m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(3)养护期：假植苗，养护期1年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栽植养护鸡爪槭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(1)胸径：6-8cm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(2)高度：1.5-2m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(3)冠幅：1.5-2m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(4)养护期：假植苗，养护期一年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3"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栽植养护黄金香柳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(1)胸径：4-6cm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(2)高度：1.5-2m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(3)冠幅：1.2-1.5m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(4)养护期：假植苗，养护期一年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栽植养护夹竹桃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(1)高度：1.2-1.5m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(2)冠幅：0.8-1m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(3)养护期：假植苗，养护期一年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栽植养护苏铁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(1)高度：&gt;0.8m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(2)养护期：假植苗，养护期一年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栽植养护非洲茉莉球A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(1)高度：1-1.2m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(2)冠幅：1-1.2m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(3)养护期：球形，养护期一年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56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栽植养护非洲茉莉球B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(1)高度：0.8-1m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(2)冠幅：0.8-1m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(3)养护期：球形，养护期一年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栽植养护海桐球A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(1)高度：1-1.2m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(2)冠幅：1-1.2m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(3)球形，养护期一年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栽植养护海桐球B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(1)高度：0.8-1m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(2)冠幅：0.8-1m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(3)养护期：球形，养护期一年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栽植养护黄金榕球A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(1)高度：1-1.2m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(2)冠幅：1-1.2m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(3)养护期：球形，养护期一年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栽植养护黄金榕球B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(1)高度：0.8-1m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(2)冠幅：0.8-1m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(3)养护期：球形，养护期一年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栽植养护红继木球A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(1)高度：1-1.2m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(2)冠幅：1-1.2m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(3)养护期：球形，养护期一年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栽植养护红继木球B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(1)高度：0.8-1m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(2)冠幅：0.8-1m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(3)养护期：球形，养护期一年</w:t>
            </w:r>
          </w:p>
        </w:tc>
        <w:tc>
          <w:tcPr>
            <w:tcW w:w="17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栽植养护狼尾草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(1)高度：0.2-0.3m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(2)种植密度：16/</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(3)养护期</w:t>
            </w:r>
            <w:r>
              <w:rPr>
                <w:rFonts w:hint="eastAsia" w:ascii="宋体" w:hAnsi="宋体" w:eastAsia="宋体" w:cs="宋体"/>
                <w:i w:val="0"/>
                <w:iCs w:val="0"/>
                <w:color w:val="auto"/>
                <w:kern w:val="0"/>
                <w:sz w:val="24"/>
                <w:szCs w:val="24"/>
                <w:highlight w:val="none"/>
                <w:u w:val="none"/>
                <w:lang w:val="en-US" w:eastAsia="zh-CN" w:bidi="ar"/>
              </w:rPr>
              <w:t>：</w:t>
            </w:r>
            <w:r>
              <w:rPr>
                <w:rStyle w:val="65"/>
                <w:rFonts w:hint="eastAsia" w:ascii="宋体" w:hAnsi="宋体" w:eastAsia="宋体" w:cs="宋体"/>
                <w:color w:val="auto"/>
                <w:sz w:val="24"/>
                <w:szCs w:val="24"/>
                <w:highlight w:val="none"/>
                <w:lang w:val="en-US" w:eastAsia="zh-CN" w:bidi="ar"/>
              </w:rPr>
              <w:t>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栽植养护大花芦莉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(1)高度：0.3-0.35m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(2)冠幅：0.2-0.25m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(3)种植密度：25/</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w:t>
            </w:r>
            <w:r>
              <w:rPr>
                <w:rFonts w:hint="eastAsia" w:ascii="宋体" w:hAnsi="宋体" w:eastAsia="宋体" w:cs="宋体"/>
                <w:i w:val="0"/>
                <w:iCs w:val="0"/>
                <w:color w:val="auto"/>
                <w:kern w:val="0"/>
                <w:sz w:val="24"/>
                <w:szCs w:val="24"/>
                <w:highlight w:val="none"/>
                <w:u w:val="none"/>
                <w:lang w:val="en-US" w:eastAsia="zh-CN" w:bidi="ar"/>
              </w:rPr>
              <w:t>：</w:t>
            </w:r>
            <w:r>
              <w:rPr>
                <w:rStyle w:val="65"/>
                <w:rFonts w:hint="eastAsia" w:ascii="宋体" w:hAnsi="宋体" w:eastAsia="宋体" w:cs="宋体"/>
                <w:color w:val="auto"/>
                <w:sz w:val="24"/>
                <w:szCs w:val="24"/>
                <w:highlight w:val="none"/>
                <w:lang w:val="en-US" w:eastAsia="zh-CN" w:bidi="ar"/>
              </w:rPr>
              <w:t>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栽植养护红叶石楠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(1)高度：0.25-0.3m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(2)冠幅：0.2-0.25m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(3)种植密度：36/</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栽植养护黄蝉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(1)高度：0.25-0.3m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(2)冠幅：0.2-0.25m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(3)种植密度：25/</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7"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栽植养护鹅掌柴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(1)高度：0.25-0.3m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(2)冠幅：0.2-0.25m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(3)种植密度：25/</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4"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栽植养护肾蕨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(1)高度：0.2-0.3m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(2)冠幅：0.2-0.25m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(3)种植密度：25/</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栽植养护夏鹃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(1)高度：0.2-0.3m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(2)冠幅：0.2-0.3m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(3)种植密度：36/</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栽植养护毛杜鹃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(1)高度：0.2-0.25m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(2)冠幅：0.2-0.25m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(3)种植密度：36/</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栽植养护比利时杜鹃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(1)高度：0.2-0.25m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(2)冠幅：0.2-0.25m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(3)种植密度：36/</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栽植养护九里香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(1)高度：0.2-0.25m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(2)冠幅：0.15-0.2m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(3)种植密度：36/</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栽植养护黄金榕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(1)高度：0.2-0.25m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(2)冠幅：0.15-0.2m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(3)种植密度：25/</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栽植养护鼠尾草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(1)高度：0.25-0.3m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(2)冠幅：0.15-0.2m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(3)种植密度：49/</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栽植养护金叶女贞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(1)高度：0.2-0.25m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(2)冠幅：0.15-0.2m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(3)种植密度：36/</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9"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栽植养护红继木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(1)高度：0.2-0.25m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(2)冠幅：0.15-0.2m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(3)种植密度：36/</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6"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栽植养护冷水花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(1)高度：0.2-0.25m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(2)冠幅：0.15-0.2m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(3)种植密度：36/</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栽植养护满天星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(1)高度：0.25-0.3m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(2)冠幅：0.2-0.25m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(3)种植密度：36/</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1"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栽植养护玉龙草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(1)高度：0.1-0.15m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(2)冠幅：0.1-0.15m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(3)种植密度：81/</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栽植养护麦冬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(1)高度：0.1-0.15m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(2)冠幅：0.1-0.15m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(3)种植密度：64/</w:t>
            </w:r>
            <w:r>
              <w:rPr>
                <w:rStyle w:val="64"/>
                <w:rFonts w:hint="eastAsia" w:ascii="宋体" w:hAnsi="宋体" w:eastAsia="宋体" w:cs="宋体"/>
                <w:color w:val="auto"/>
                <w:sz w:val="24"/>
                <w:szCs w:val="24"/>
                <w:highlight w:val="none"/>
                <w:lang w:val="en-US" w:eastAsia="zh-CN" w:bidi="ar"/>
              </w:rPr>
              <w:t>㎡</w:t>
            </w:r>
            <w:r>
              <w:rPr>
                <w:rStyle w:val="65"/>
                <w:rFonts w:hint="eastAsia" w:ascii="宋体" w:hAnsi="宋体" w:eastAsia="宋体" w:cs="宋体"/>
                <w:color w:val="auto"/>
                <w:sz w:val="24"/>
                <w:szCs w:val="24"/>
                <w:highlight w:val="none"/>
                <w:lang w:val="en-US" w:eastAsia="zh-CN" w:bidi="ar"/>
              </w:rPr>
              <w:br w:type="textWrapping"/>
            </w:r>
            <w:r>
              <w:rPr>
                <w:rStyle w:val="65"/>
                <w:rFonts w:hint="eastAsia" w:ascii="宋体" w:hAnsi="宋体" w:eastAsia="宋体" w:cs="宋体"/>
                <w:color w:val="auto"/>
                <w:sz w:val="24"/>
                <w:szCs w:val="24"/>
                <w:highlight w:val="none"/>
                <w:lang w:val="en-US" w:eastAsia="zh-CN" w:bidi="ar"/>
              </w:rPr>
              <w:t>(4)养护期1年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栽植养护马尼拉草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(1)30*30cm草皮满铺，养护期1年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有机肥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（1）厚度：0.1m</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m³</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r>
    </w:tbl>
    <w:p>
      <w:pPr>
        <w:keepNext w:val="0"/>
        <w:keepLines w:val="0"/>
        <w:pageBreakBefore w:val="0"/>
        <w:widowControl w:val="0"/>
        <w:kinsoku/>
        <w:wordWrap/>
        <w:overflowPunct/>
        <w:topLinePunct w:val="0"/>
        <w:autoSpaceDE/>
        <w:autoSpaceDN/>
        <w:bidi w:val="0"/>
        <w:adjustRightInd/>
        <w:snapToGrid/>
        <w:spacing w:line="440" w:lineRule="exact"/>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备注：</w:t>
      </w:r>
      <w:r>
        <w:rPr>
          <w:rFonts w:hint="eastAsia" w:ascii="宋体" w:hAnsi="宋体" w:eastAsia="宋体" w:cs="宋体"/>
          <w:color w:val="auto"/>
          <w:sz w:val="24"/>
          <w:szCs w:val="24"/>
          <w:highlight w:val="none"/>
          <w:lang w:val="en-US" w:eastAsia="zh-CN"/>
        </w:rPr>
        <w:t>采购清单苗木由</w:t>
      </w:r>
      <w:r>
        <w:rPr>
          <w:rFonts w:hint="eastAsia" w:ascii="宋体" w:hAnsi="宋体" w:eastAsia="宋体" w:cs="宋体"/>
          <w:color w:val="auto"/>
          <w:sz w:val="24"/>
          <w:szCs w:val="24"/>
          <w:highlight w:val="none"/>
        </w:rPr>
        <w:t>成交单位</w:t>
      </w:r>
      <w:r>
        <w:rPr>
          <w:rFonts w:hint="eastAsia" w:ascii="宋体" w:hAnsi="宋体" w:eastAsia="宋体" w:cs="宋体"/>
          <w:color w:val="auto"/>
          <w:sz w:val="24"/>
          <w:szCs w:val="24"/>
          <w:highlight w:val="none"/>
          <w:lang w:val="en-US" w:eastAsia="zh-CN"/>
        </w:rPr>
        <w:t>按照采购清单规格进行采购，服务期1年，服务标准按照</w:t>
      </w:r>
      <w:r>
        <w:rPr>
          <w:rFonts w:hint="eastAsia" w:ascii="宋体" w:hAnsi="宋体" w:cs="宋体"/>
          <w:color w:val="auto"/>
          <w:sz w:val="24"/>
          <w:szCs w:val="24"/>
          <w:highlight w:val="none"/>
          <w:lang w:val="en-US" w:eastAsia="zh-CN"/>
        </w:rPr>
        <w:t>采购单位</w:t>
      </w:r>
      <w:r>
        <w:rPr>
          <w:rFonts w:hint="eastAsia" w:ascii="宋体" w:hAnsi="宋体" w:eastAsia="宋体" w:cs="宋体"/>
          <w:color w:val="auto"/>
          <w:sz w:val="24"/>
          <w:szCs w:val="24"/>
          <w:highlight w:val="none"/>
          <w:lang w:val="en-US" w:eastAsia="zh-CN"/>
        </w:rPr>
        <w:t>养护标准执行，要求养护成活率100%。</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二、预算价：包含</w:t>
      </w:r>
      <w:r>
        <w:rPr>
          <w:rFonts w:hint="eastAsia" w:ascii="宋体" w:hAnsi="宋体" w:cs="宋体"/>
          <w:b w:val="0"/>
          <w:bCs w:val="0"/>
          <w:color w:val="auto"/>
          <w:sz w:val="24"/>
          <w:szCs w:val="24"/>
          <w:highlight w:val="none"/>
          <w:lang w:val="en-US" w:eastAsia="zh-CN"/>
        </w:rPr>
        <w:t>苗木费用、</w:t>
      </w:r>
      <w:r>
        <w:rPr>
          <w:rFonts w:hint="eastAsia" w:ascii="宋体" w:hAnsi="宋体" w:eastAsia="宋体" w:cs="宋体"/>
          <w:b w:val="0"/>
          <w:bCs w:val="0"/>
          <w:color w:val="auto"/>
          <w:sz w:val="24"/>
          <w:szCs w:val="24"/>
          <w:highlight w:val="none"/>
        </w:rPr>
        <w:t>种植场地整理、种植费（人工及机械）、种植材料费（三角桩支撑等）、垃圾的清运等产生的所有费用以及养护费（养护期</w:t>
      </w:r>
      <w:r>
        <w:rPr>
          <w:rFonts w:hint="eastAsia" w:ascii="宋体" w:hAnsi="宋体" w:eastAsia="宋体" w:cs="宋体"/>
          <w:b w:val="0"/>
          <w:bCs w:val="0"/>
          <w:color w:val="auto"/>
          <w:sz w:val="24"/>
          <w:szCs w:val="24"/>
          <w:highlight w:val="none"/>
          <w:lang w:val="en-US" w:eastAsia="zh-CN"/>
        </w:rPr>
        <w:t>1年</w:t>
      </w:r>
      <w:r>
        <w:rPr>
          <w:rFonts w:hint="eastAsia" w:ascii="宋体" w:hAnsi="宋体" w:eastAsia="宋体" w:cs="宋体"/>
          <w:b w:val="0"/>
          <w:bCs w:val="0"/>
          <w:color w:val="auto"/>
          <w:sz w:val="24"/>
          <w:szCs w:val="24"/>
          <w:highlight w:val="none"/>
        </w:rPr>
        <w:t>）、税费及其它相关费用的总和。</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三、种植时间、</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地点</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养护期限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1.种植时间：由采购人根据需要确定并提前</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天通知成交单位，成交单位自</w:t>
      </w:r>
      <w:r>
        <w:rPr>
          <w:rFonts w:hint="eastAsia" w:ascii="宋体" w:hAnsi="宋体" w:cs="宋体"/>
          <w:b w:val="0"/>
          <w:bCs w:val="0"/>
          <w:color w:val="auto"/>
          <w:sz w:val="24"/>
          <w:szCs w:val="24"/>
          <w:highlight w:val="none"/>
          <w:lang w:val="en-US" w:eastAsia="zh-CN"/>
        </w:rPr>
        <w:t>合同签订之日</w:t>
      </w:r>
      <w:r>
        <w:rPr>
          <w:rFonts w:hint="eastAsia" w:ascii="宋体" w:hAnsi="宋体" w:eastAsia="宋体" w:cs="宋体"/>
          <w:b w:val="0"/>
          <w:bCs w:val="0"/>
          <w:color w:val="auto"/>
          <w:sz w:val="24"/>
          <w:szCs w:val="24"/>
          <w:highlight w:val="none"/>
        </w:rPr>
        <w:t>起15天内供货并按要求完成种植。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地点：</w:t>
      </w:r>
      <w:r>
        <w:rPr>
          <w:rFonts w:hint="eastAsia" w:ascii="宋体" w:hAnsi="宋体" w:eastAsia="宋体" w:cs="宋体"/>
          <w:b w:val="0"/>
          <w:bCs w:val="0"/>
          <w:color w:val="auto"/>
          <w:sz w:val="24"/>
          <w:szCs w:val="24"/>
          <w:highlight w:val="none"/>
          <w:lang w:val="en-US" w:eastAsia="zh-CN"/>
        </w:rPr>
        <w:t>贺州市平桂区黄花山公园</w:t>
      </w:r>
      <w:r>
        <w:rPr>
          <w:rFonts w:hint="eastAsia" w:ascii="宋体" w:hAnsi="宋体" w:cs="宋体"/>
          <w:b w:val="0"/>
          <w:bCs w:val="0"/>
          <w:color w:val="auto"/>
          <w:sz w:val="24"/>
          <w:szCs w:val="24"/>
          <w:highlight w:val="none"/>
          <w:lang w:val="en-US" w:eastAsia="zh-CN"/>
        </w:rPr>
        <w:t>（一期）</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3.养护期限：自种植部分工作完成验收之日起1年。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四、产品检验、验收要求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1.所有苗木需采购方确认品种</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规格</w:t>
      </w:r>
      <w:r>
        <w:rPr>
          <w:rFonts w:hint="eastAsia" w:ascii="宋体" w:hAnsi="宋体" w:eastAsia="宋体" w:cs="宋体"/>
          <w:b w:val="0"/>
          <w:bCs w:val="0"/>
          <w:color w:val="auto"/>
          <w:sz w:val="24"/>
          <w:szCs w:val="24"/>
          <w:highlight w:val="none"/>
        </w:rPr>
        <w:t>后方可供货，假植苗需假植</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年以上</w:t>
      </w:r>
      <w:r>
        <w:rPr>
          <w:rFonts w:hint="eastAsia" w:ascii="宋体" w:hAnsi="宋体" w:cs="宋体"/>
          <w:b w:val="0"/>
          <w:bCs w:val="0"/>
          <w:color w:val="auto"/>
          <w:sz w:val="24"/>
          <w:szCs w:val="24"/>
          <w:highlight w:val="none"/>
          <w:lang w:val="en-US" w:eastAsia="zh-CN"/>
        </w:rPr>
        <w:t>且</w:t>
      </w:r>
      <w:r>
        <w:rPr>
          <w:rFonts w:hint="eastAsia" w:ascii="宋体" w:hAnsi="宋体" w:eastAsia="宋体" w:cs="宋体"/>
          <w:b w:val="0"/>
          <w:bCs w:val="0"/>
          <w:color w:val="auto"/>
          <w:sz w:val="24"/>
          <w:szCs w:val="24"/>
          <w:highlight w:val="none"/>
        </w:rPr>
        <w:t>不超过</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 xml:space="preserve">年。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2.所有苗木需达到《</w:t>
      </w:r>
      <w:r>
        <w:rPr>
          <w:rFonts w:hint="eastAsia" w:ascii="宋体" w:hAnsi="宋体" w:eastAsia="宋体" w:cs="宋体"/>
          <w:b w:val="0"/>
          <w:bCs w:val="0"/>
          <w:color w:val="auto"/>
          <w:sz w:val="24"/>
          <w:szCs w:val="24"/>
          <w:highlight w:val="none"/>
          <w:lang w:val="en-US" w:eastAsia="zh-CN"/>
        </w:rPr>
        <w:t>采购需求一览表</w:t>
      </w:r>
      <w:r>
        <w:rPr>
          <w:rFonts w:hint="eastAsia" w:ascii="宋体" w:hAnsi="宋体" w:eastAsia="宋体" w:cs="宋体"/>
          <w:b w:val="0"/>
          <w:bCs w:val="0"/>
          <w:color w:val="auto"/>
          <w:sz w:val="24"/>
          <w:szCs w:val="24"/>
          <w:highlight w:val="none"/>
        </w:rPr>
        <w:t>》规格要求，</w:t>
      </w:r>
      <w:r>
        <w:rPr>
          <w:rFonts w:hint="eastAsia" w:ascii="宋体" w:hAnsi="宋体" w:cs="宋体"/>
          <w:b w:val="0"/>
          <w:bCs w:val="0"/>
          <w:color w:val="auto"/>
          <w:sz w:val="24"/>
          <w:szCs w:val="24"/>
          <w:highlight w:val="none"/>
          <w:lang w:val="en-US" w:eastAsia="zh-CN"/>
        </w:rPr>
        <w:t>苗木运至种植现场后，需经过采购方</w:t>
      </w:r>
      <w:r>
        <w:rPr>
          <w:rFonts w:hint="eastAsia" w:ascii="宋体" w:hAnsi="宋体" w:eastAsia="宋体" w:cs="宋体"/>
          <w:b w:val="0"/>
          <w:bCs w:val="0"/>
          <w:color w:val="auto"/>
          <w:sz w:val="24"/>
          <w:szCs w:val="24"/>
          <w:highlight w:val="none"/>
        </w:rPr>
        <w:t>验收合格后方可种植，达不到要求的不予验收。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3.养护期满后，要求苗木成活率达到100%，且移交苗木规格不得低于</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采购需求一览表</w:t>
      </w:r>
      <w:r>
        <w:rPr>
          <w:rFonts w:hint="eastAsia" w:ascii="宋体" w:hAnsi="宋体" w:eastAsia="宋体" w:cs="宋体"/>
          <w:b w:val="0"/>
          <w:bCs w:val="0"/>
          <w:color w:val="auto"/>
          <w:sz w:val="24"/>
          <w:szCs w:val="24"/>
          <w:highlight w:val="none"/>
        </w:rPr>
        <w:t>》规格要求</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五、苗木种植要求：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1、苗木无病虫害，植株健壮，长势好，色泽正常，冠形完整（修剪整齐），树形优美，枝条分布均匀。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2.苗木到指定地点要保证土球、根系及枝干不受损。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3.在运输过程中要采取防晒、保湿等保护措施，以确保运输苗木较少水分流失。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4.苗木起挖，运输过程不超过</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5.种植前需按采购人要求整理种植场地，清理出来的泥土、垃圾等必须当天清理运走。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6.成交单位当天运到施工场地的苗木，经采购人验收合格后，必须当天种完。如成交单位未能按此要求施工，采购人不予验收。</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六、苗木养护要求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养护期限：自种植部分工作完成验收之日起1年。</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2.成活率要求：要求验收移交苗木</w:t>
      </w:r>
      <w:r>
        <w:rPr>
          <w:rFonts w:hint="eastAsia" w:ascii="宋体" w:hAnsi="宋体" w:eastAsia="宋体" w:cs="宋体"/>
          <w:b w:val="0"/>
          <w:bCs w:val="0"/>
          <w:color w:val="auto"/>
          <w:sz w:val="24"/>
          <w:szCs w:val="24"/>
          <w:highlight w:val="none"/>
        </w:rPr>
        <w:t>成活率达到100%。</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3.验收移交苗木生长态势标准：</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（1）乔木及单株灌木</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树木存活完好、生长旺盛，单株生长健壮、树形自然美观，主干主枝无杂生孽芽，无枯枝、病枝、残枝。树干粗壮，有明显的生长量，枝繁叶茂，无弱株、病株、歪斜株（最大倾斜度不超过5度，整形性歪斜除外），主、侧枝分布均匀，数量适宜，内膛通风透光。无死树、缺株。因养护不当造成原因死亡苗木要及时更换，缺损苗木要及时补植、更换，补植苗木应按同等品种、规格、标准于15日内更换补植完毕。</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（2）成片灌木</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灌木（绿篱）生长旺盛、存活完好，植株生长健壮，灌木主侧枝分布匀称、数量适宜、修剪合理，内堂不乱，通风透光。花灌木开花及时、正常，花后修剪及时；绿篱、色块枝叶正常，整齐一致，绿化带无缺株，绿地内无死苗。</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（3）地被、草坪</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地被及草坪生长茂盛、适时梳草、密度适宜无明显干枯草丛，枯草率小于3%，植物叶色绿润无明显色差，坪地均匀平整无坑洼现象，覆盖率高于9</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%无裸露地面，空秃面积小于</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cm</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cm</w:t>
      </w:r>
      <w:r>
        <w:rPr>
          <w:rFonts w:hint="eastAsia" w:ascii="宋体" w:hAnsi="宋体" w:eastAsia="宋体" w:cs="宋体"/>
          <w:b w:val="0"/>
          <w:bCs w:val="0"/>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4.浇水要求：</w:t>
      </w:r>
      <w:r>
        <w:rPr>
          <w:rFonts w:hint="eastAsia" w:ascii="宋体" w:hAnsi="宋体" w:eastAsia="宋体" w:cs="宋体"/>
          <w:b w:val="0"/>
          <w:bCs w:val="0"/>
          <w:color w:val="auto"/>
          <w:sz w:val="24"/>
          <w:szCs w:val="24"/>
          <w:highlight w:val="none"/>
        </w:rPr>
        <w:t>护期内的浇水工作均由成交单位</w:t>
      </w:r>
      <w:r>
        <w:rPr>
          <w:rFonts w:hint="eastAsia" w:ascii="宋体" w:hAnsi="宋体" w:eastAsia="宋体" w:cs="宋体"/>
          <w:b w:val="0"/>
          <w:bCs w:val="0"/>
          <w:color w:val="auto"/>
          <w:sz w:val="24"/>
          <w:szCs w:val="24"/>
          <w:highlight w:val="none"/>
          <w:lang w:val="en-US" w:eastAsia="zh-CN"/>
        </w:rPr>
        <w:t>根据苗木生长恢复情况科学安排开展</w:t>
      </w:r>
      <w:r>
        <w:rPr>
          <w:rFonts w:hint="eastAsia" w:ascii="宋体" w:hAnsi="宋体" w:eastAsia="宋体" w:cs="宋体"/>
          <w:b w:val="0"/>
          <w:bCs w:val="0"/>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5.病虫害防治要求：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乔木：要求生长季节叶色正，无卷叶、黄叶，无病虫害。根据不同季节、不同树种适时喷洒药物，病虫危害程度主干小于1%，叶部小于5%，无明显药害。枝叶完整，无枯黄、干焦、卷曲、缀拈、穿孔、流胶现象，地面无害虫粪屑，好叶率达95%。同时加强病虫检查，发现主要病虫害应根据虫情预报及时采取防治措施。对于危险性病虫害，一旦发现疫情应及时上报主管部门，并迅速采取扑灭措施及时清理带病虫的落叶、杂草等，消灭病源、虫源，防止病虫扩散、蔓延。</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灌木：要求做到以下几点：①叶色基本正常;②严重黄叶、焦叶、卷叶、带虫尿虫网灰尘的株数在10%以下;③被啃咬的叶片最严重的每株在5%以下；④有蛀干害虫的株数在5%以下;⑤介壳虫最严重处主枝主干上100平方厘米3头活虫以下，较细的枝条每尺长1段上在15头活虫以下，株数都在6%以下。</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地被、草坪：做到草坪叶色绿润，病虫害防治及时，病害症状小于1%，虫害现象小于5%。应加强病虫检查，发现主要病虫害应根据虫情预报及时采取防治措施。对于危险性病虫害，一旦发现疫情应及时上报主管部门，并迅速采取扑灭措施及时清理带病虫的落叶、杂草等，消灭病源、虫源，防止病虫扩散、蔓延。</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6.修剪要求：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乔木：根据不同树种适时进行抹芽、抽枝、修剪、整形；修剪合理，疏密得当，整齐美观。根据甲方要求，对具有造型条件的树种进行艺术造型修剪，造型率大于50%。及时合理清理枯枝、病枝、残枝；剪口平滑，留茬高度小于1cm;能及时很好地解决树木与高压电线、建筑物、交通信号灯、指示牌等之间的矛盾。修剪的树枝、树叶重点路段做到随产随清，其它路段做到日产日清。</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灌木：花坛、花带轮廓清晰，整齐美观，适时开花无残缺，修剪应遵循“先上后下，先内后外，去弱留强，去老留新”的原则进行。应使枝叶分布均匀，花灌木修剪，要有利于促进短枝和花芽形成；绿篱类修剪应促其分枝，保持全株枝叶丰满，造型绿篱按原有形态作整形修剪。地被、攀缘类：修剪应促进分枝，加速覆盖和攀缠功能，且养护公司需满足我局遇重大节日及活动等特殊事件的临时修剪要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（3）地被、草坪：修剪及时合理，坪面整齐，修剪高度5±1cm。</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7.除草要求：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default" w:ascii="宋体" w:hAnsi="宋体" w:eastAsia="宋体" w:cs="宋体"/>
          <w:b w:val="0"/>
          <w:bCs w:val="0"/>
          <w:color w:val="auto"/>
          <w:sz w:val="24"/>
          <w:szCs w:val="24"/>
          <w:highlight w:val="none"/>
          <w:lang w:val="en-US" w:eastAsia="zh-CN"/>
        </w:rPr>
        <w:t>除草频率：各类型绿植绿地，每15日除草1次，全年除草不少于25次，且需满足</w:t>
      </w:r>
      <w:r>
        <w:rPr>
          <w:rFonts w:hint="eastAsia" w:ascii="宋体" w:hAnsi="宋体" w:eastAsia="宋体" w:cs="宋体"/>
          <w:b w:val="0"/>
          <w:bCs w:val="0"/>
          <w:color w:val="auto"/>
          <w:sz w:val="24"/>
          <w:szCs w:val="24"/>
          <w:highlight w:val="none"/>
          <w:lang w:val="en-US" w:eastAsia="zh-CN"/>
        </w:rPr>
        <w:t>采购人</w:t>
      </w:r>
      <w:r>
        <w:rPr>
          <w:rFonts w:hint="default" w:ascii="宋体" w:hAnsi="宋体" w:eastAsia="宋体" w:cs="宋体"/>
          <w:b w:val="0"/>
          <w:bCs w:val="0"/>
          <w:color w:val="auto"/>
          <w:sz w:val="24"/>
          <w:szCs w:val="24"/>
          <w:highlight w:val="none"/>
          <w:lang w:val="en-US" w:eastAsia="zh-CN"/>
        </w:rPr>
        <w:t>遇重大节日及活动等特殊事件的临时除草要求。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default" w:ascii="宋体" w:hAnsi="宋体" w:eastAsia="宋体" w:cs="宋体"/>
          <w:b w:val="0"/>
          <w:bCs w:val="0"/>
          <w:color w:val="auto"/>
          <w:sz w:val="24"/>
          <w:szCs w:val="24"/>
          <w:highlight w:val="none"/>
          <w:lang w:val="en-US" w:eastAsia="zh-CN"/>
        </w:rPr>
        <w:t>工作标准：应除小、除早、除净，绿地内可视范围内无明显杂草；乔木、灌木周围大型野草，应结合松土进行铲除，特别注意具有严重危害的各类藤蔓(如菟丝子等)；与管理区域的草坪草形态不符的杂草，</w:t>
      </w:r>
      <w:r>
        <w:rPr>
          <w:rFonts w:hint="eastAsia" w:ascii="宋体" w:hAnsi="宋体" w:eastAsia="宋体" w:cs="宋体"/>
          <w:b w:val="0"/>
          <w:bCs w:val="0"/>
          <w:color w:val="auto"/>
          <w:sz w:val="24"/>
          <w:szCs w:val="24"/>
          <w:highlight w:val="none"/>
          <w:lang w:val="en-US" w:eastAsia="zh-CN"/>
        </w:rPr>
        <w:t>成交单位</w:t>
      </w:r>
      <w:r>
        <w:rPr>
          <w:rFonts w:hint="default" w:ascii="宋体" w:hAnsi="宋体" w:eastAsia="宋体" w:cs="宋体"/>
          <w:b w:val="0"/>
          <w:bCs w:val="0"/>
          <w:color w:val="auto"/>
          <w:sz w:val="24"/>
          <w:szCs w:val="24"/>
          <w:highlight w:val="none"/>
          <w:lang w:val="en-US" w:eastAsia="zh-CN"/>
        </w:rPr>
        <w:t>应及时进行清除；除下杂草要集中处理，并及时清运。</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8.保洁要求：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（1）清理频率</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 xml:space="preserve">养护管理范围内所有绿地均要求按照每日清扫1轮次的标准开展日常保洁。  </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（2）工作要求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1.土壤墒情良好，无杂草污物，树干无绑缚物及攀缘植物。</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2.要配合环卫工搞好绿地外周边的环境卫生，工作产生的垃圾做到随产随清。</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3.实施浇水、施肥、松土、清洗等工作时，要特别注意周边的环境卫生，及时清理周边地面的污泥和水。</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4.要求绿地内种植土高于路沿石边缘往下5cm的部分要及时清理。</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5.需满足我局遇重大节日及活动等特殊事件的临时保洁要求。</w:t>
      </w: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4"/>
        <w:jc w:val="center"/>
        <w:rPr>
          <w:rFonts w:hint="eastAsia" w:ascii="宋体" w:hAnsi="宋体" w:eastAsia="宋体" w:cs="宋体"/>
          <w:color w:val="auto"/>
          <w:highlight w:val="none"/>
        </w:rPr>
      </w:pPr>
      <w:r>
        <w:rPr>
          <w:rFonts w:hint="eastAsia" w:ascii="宋体" w:hAnsi="宋体" w:eastAsia="宋体" w:cs="宋体"/>
          <w:color w:val="auto"/>
          <w:highlight w:val="none"/>
        </w:rPr>
        <w:t>第四章  评审程序、评审方法和评审标准</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查询记录和证据留存方式：在查询网站中直接打印查询记录，材料作为评审资料保存。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pPr>
        <w:spacing w:line="360" w:lineRule="auto"/>
        <w:ind w:firstLine="420" w:firstLineChars="200"/>
        <w:rPr>
          <w:rFonts w:hint="eastAsia" w:ascii="宋体" w:hAnsi="宋体" w:eastAsia="宋体" w:cs="宋体"/>
          <w:color w:val="auto"/>
          <w:szCs w:val="21"/>
          <w:highlight w:val="none"/>
        </w:rPr>
      </w:pPr>
      <w:bookmarkStart w:id="67"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67"/>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2.5商务技术报价评审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3）提交的磋商保证金无效的或者未按照磋商文件的规定提交磋商保证金；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5）商务条款成交“▲”的条款发生负偏离的或者允许负偏离的条款数超过“供应商须知前附表”规定项数的或者标明实质性的要求发生负偏离；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6）未对竞标有效期作出响应或者响应文件承诺的竞标有效期不满足磋商文件要求；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7）响应文件的实质性内容未使用中文表述、使用计量单位不符合磋商文件要求；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8）响应文件中的文件资料因填写不齐全或者内容虚假或者出现其他情形而导致被磋商小组认定无效；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9）响应文件含有采购人不能接受的附加条件；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10）属于“供应商须知正文”第7.5条情形；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11）技术需求允许负偏离的条款数超过“供应商须知前附表”规定项数；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12）虚假竞标，或者出现其他情形而导致被磋商小组认定无效；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13）竞标技术方案不明确，磋商文件未允许但响应文件中存在一个或者一个以上备选（替代）竞标方案；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14）响应文件标注的项目名称或者项目编号与竞争性磋商文件标注的项目名称或者项目编号不一致的；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15）未响应磋商文件实质性要求；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16）法律、法规和磋商文件规定的其他无效情形。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 报价商务技术文件中规定的“竞标报价表”；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4）竞标报价（包含首次报价、最后报价）超过所竞标分标规定的采购预算金额或者最高限价的（如本项目公布了最高限价）；</w:t>
      </w:r>
      <w:bookmarkStart w:id="68" w:name="_Hlk42596405"/>
      <w:r>
        <w:rPr>
          <w:rFonts w:hint="eastAsia" w:ascii="宋体" w:hAnsi="宋体" w:eastAsia="宋体" w:cs="宋体"/>
          <w:color w:val="auto"/>
          <w:szCs w:val="21"/>
          <w:highlight w:val="none"/>
        </w:rPr>
        <w:t>竞标报价（包含首次报价、最后报价）</w:t>
      </w:r>
      <w:bookmarkEnd w:id="68"/>
      <w:bookmarkStart w:id="69" w:name="_Hlk42596276"/>
      <w:r>
        <w:rPr>
          <w:rFonts w:hint="eastAsia" w:ascii="宋体" w:hAnsi="宋体" w:eastAsia="宋体" w:cs="宋体"/>
          <w:color w:val="auto"/>
          <w:szCs w:val="21"/>
          <w:highlight w:val="none"/>
        </w:rPr>
        <w:t>超过磋商文件分项采购预算金额或者最高限价的</w:t>
      </w:r>
      <w:bookmarkEnd w:id="69"/>
      <w:r>
        <w:rPr>
          <w:rFonts w:hint="eastAsia" w:ascii="宋体" w:hAnsi="宋体" w:eastAsia="宋体" w:cs="宋体"/>
          <w:color w:val="auto"/>
          <w:szCs w:val="21"/>
          <w:highlight w:val="none"/>
        </w:rPr>
        <w:t>（如本项目公布了最高限价）；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3.磋商程序</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3.3对磋商文件作出的实质性变动是磋商文件的有效组成部分，由磋商小组及时以书面形式同时通知所有参加磋商的供应商。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zCs w:val="21"/>
          <w:highlight w:val="none"/>
        </w:rPr>
        <w:t>。供应商为自然人的，必须由本人签字并附身份证明。参加磋商的供应商未在规定时间内重新提交响应文件的，视同退出磋商。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3.6采购代理机构对磋商过程和重要磋商内容进行记录，磋商双方在记录上签字确认。</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3.7磋商过程中重新提交的响应文件，供应商可以在开启前补充、修改。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3.8对磋商过程提交的响应文件进行有效性、完整性和响应程度审查，通过审查的合格供应商不足3家的，采购人或者采购代理机构应当重新开展采购活动。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技术、服务要求的，磋商结束后，由磋商小组要求所有继续参加磋商的供应商在规定时间内密封提交最后报价，除本章第4.3条外，提交最后报价的供应商不得少于3家，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4.5供应商未在规定时间内提交最后报价的，视同退出磋商。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3"/>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二、评审标准</w:t>
      </w:r>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6.评审依据：磋商小组将以磋商响应文件为评审依据，对供应商的报价、技术、商务等方面内容按百分制打分。（计分方法按四舍五入取至百分位）</w:t>
      </w:r>
    </w:p>
    <w:tbl>
      <w:tblPr>
        <w:tblStyle w:val="26"/>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63"/>
        <w:gridCol w:w="617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6" w:type="dxa"/>
            <w:noWrap/>
            <w:vAlign w:val="center"/>
          </w:tcPr>
          <w:p>
            <w:pPr>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263" w:type="dxa"/>
            <w:noWrap/>
            <w:vAlign w:val="center"/>
          </w:tcPr>
          <w:p>
            <w:pPr>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c>
          <w:tcPr>
            <w:tcW w:w="6170" w:type="dxa"/>
            <w:noWrap/>
            <w:vAlign w:val="center"/>
          </w:tcPr>
          <w:p>
            <w:pPr>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评审因素具体内容</w:t>
            </w:r>
          </w:p>
        </w:tc>
        <w:tc>
          <w:tcPr>
            <w:tcW w:w="1095" w:type="dxa"/>
            <w:noWrap/>
            <w:vAlign w:val="center"/>
          </w:tcPr>
          <w:p>
            <w:pPr>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6" w:type="dxa"/>
            <w:noWrap/>
            <w:vAlign w:val="center"/>
          </w:tcPr>
          <w:p>
            <w:pPr>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263" w:type="dxa"/>
            <w:noWrap/>
            <w:vAlign w:val="center"/>
          </w:tcPr>
          <w:p>
            <w:pPr>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w:t>
            </w:r>
          </w:p>
        </w:tc>
        <w:tc>
          <w:tcPr>
            <w:tcW w:w="6170" w:type="dxa"/>
            <w:noWrap/>
          </w:tcPr>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pStyle w:val="19"/>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 w:val="21"/>
                <w:highlight w:val="none"/>
              </w:rPr>
            </w:pPr>
            <w:r>
              <w:rPr>
                <w:rFonts w:hint="eastAsia" w:ascii="宋体" w:hAnsi="宋体" w:eastAsia="宋体" w:cs="宋体"/>
                <w:bCs/>
                <w:color w:val="auto"/>
                <w:kern w:val="2"/>
                <w:sz w:val="21"/>
                <w:highlight w:val="none"/>
              </w:rPr>
              <w:t>2.政府采购政策性扣除计算方法</w:t>
            </w:r>
          </w:p>
          <w:p>
            <w:pPr>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政府采购促进中小企业发展管理办法》（财库〔2020〕46号）、《关于进一步加大政府采购支持中小企业力度的通知》（财库【2022】19号）、桂财采【2022】30号《广西壮族自治区财政厅关于进一步发挥政府采购政策功能促进企业发展的通知》的规定，供应商为小型和微型企业，并在其响应文件中提供《</w:t>
            </w:r>
            <w:r>
              <w:rPr>
                <w:rFonts w:hint="eastAsia" w:ascii="宋体" w:hAnsi="宋体" w:cs="宋体"/>
                <w:color w:val="auto"/>
                <w:szCs w:val="21"/>
                <w:highlight w:val="none"/>
                <w:lang w:eastAsia="zh-CN"/>
              </w:rPr>
              <w:t>小微企业声明函</w:t>
            </w:r>
            <w:r>
              <w:rPr>
                <w:rFonts w:hint="eastAsia" w:ascii="宋体" w:hAnsi="宋体" w:eastAsia="宋体" w:cs="宋体"/>
                <w:color w:val="auto"/>
                <w:szCs w:val="21"/>
                <w:highlight w:val="none"/>
              </w:rPr>
              <w:t>》，且其所竞标产品全部为小型和微型企业产品的，对其最后报价给予</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%的扣除。</w:t>
            </w:r>
          </w:p>
          <w:p>
            <w:pPr>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（4）政策性扣除计算方法。</w:t>
            </w:r>
          </w:p>
          <w:p>
            <w:pPr>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供应商被评定为监狱企业或者残疾人福利性单位或者小型和微型企业且其所竞标全部产品为小型和微型企业产品的，该供应商的最后报价给予</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%的扣除，扣除后的价格为评审价，即评审价=最后报价×（1-</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%）；大中型企业和其他自然人、法人或者其他组织与小型、微型企业组成联合体竞标，且联合体协议中约定小型、微型企业的协议合同金额占到联合体协议合同总金额30%以上的，联合体最后报价给予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%的扣除，扣除后的价格为评审价，即评审价=最后报价×（1-</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%）；除上述情况外，评审价=最后报价。</w:t>
            </w:r>
          </w:p>
          <w:p>
            <w:pPr>
              <w:pageBreakBefore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（5）除上述情况外，评审价＝最后报价。</w:t>
            </w:r>
          </w:p>
          <w:p>
            <w:pPr>
              <w:pStyle w:val="19"/>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（6）以进入比较与评价环节的最低的评审价为基准价，基准价得分为</w:t>
            </w:r>
            <w:r>
              <w:rPr>
                <w:rFonts w:hint="eastAsia" w:hAnsi="宋体" w:cs="宋体"/>
                <w:bCs/>
                <w:color w:val="auto"/>
                <w:kern w:val="2"/>
                <w:sz w:val="21"/>
                <w:highlight w:val="none"/>
                <w:u w:val="single"/>
                <w:lang w:val="en-US" w:eastAsia="zh-CN"/>
              </w:rPr>
              <w:t>20</w:t>
            </w:r>
            <w:r>
              <w:rPr>
                <w:rFonts w:hint="eastAsia" w:ascii="宋体" w:hAnsi="宋体" w:eastAsia="宋体" w:cs="宋体"/>
                <w:bCs/>
                <w:color w:val="auto"/>
                <w:kern w:val="2"/>
                <w:sz w:val="21"/>
                <w:highlight w:val="none"/>
                <w:u w:val="single"/>
              </w:rPr>
              <w:t>分</w:t>
            </w:r>
            <w:r>
              <w:rPr>
                <w:rFonts w:hint="eastAsia" w:ascii="宋体" w:hAnsi="宋体" w:eastAsia="宋体" w:cs="宋体"/>
                <w:bCs/>
                <w:color w:val="auto"/>
                <w:kern w:val="2"/>
                <w:sz w:val="21"/>
                <w:highlight w:val="none"/>
              </w:rPr>
              <w:t>。</w:t>
            </w:r>
          </w:p>
          <w:p>
            <w:pPr>
              <w:pStyle w:val="19"/>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bCs w:val="0"/>
                <w:color w:val="auto"/>
                <w:kern w:val="2"/>
                <w:sz w:val="21"/>
                <w:highlight w:val="none"/>
              </w:rPr>
            </w:pPr>
            <w:r>
              <w:rPr>
                <w:rFonts w:hint="eastAsia" w:ascii="宋体" w:hAnsi="宋体" w:eastAsia="宋体" w:cs="宋体"/>
                <w:b/>
                <w:bCs w:val="0"/>
                <w:color w:val="auto"/>
                <w:kern w:val="2"/>
                <w:sz w:val="21"/>
                <w:highlight w:val="none"/>
              </w:rPr>
              <w:t>（7）本项目为专门面向“小微企业”的项目或者采购包，不再执行价格评审优惠的扶持政策。</w:t>
            </w:r>
          </w:p>
          <w:p>
            <w:pPr>
              <w:pStyle w:val="19"/>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价格分计算公式：</w:t>
            </w:r>
          </w:p>
          <w:p>
            <w:pPr>
              <w:pStyle w:val="19"/>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报价得分=（基准价/最后报价）×</w:t>
            </w:r>
            <w:r>
              <w:rPr>
                <w:rFonts w:hint="eastAsia" w:hAnsi="宋体" w:cs="宋体"/>
                <w:bCs/>
                <w:color w:val="auto"/>
                <w:kern w:val="2"/>
                <w:sz w:val="21"/>
                <w:highlight w:val="none"/>
                <w:u w:val="single"/>
                <w:lang w:val="en-US" w:eastAsia="zh-CN"/>
              </w:rPr>
              <w:t>20</w:t>
            </w:r>
            <w:r>
              <w:rPr>
                <w:rFonts w:hint="eastAsia" w:ascii="宋体" w:hAnsi="宋体" w:eastAsia="宋体" w:cs="宋体"/>
                <w:bCs/>
                <w:color w:val="auto"/>
                <w:kern w:val="2"/>
                <w:sz w:val="21"/>
                <w:highlight w:val="none"/>
                <w:u w:val="single"/>
              </w:rPr>
              <w:t>分</w:t>
            </w:r>
          </w:p>
        </w:tc>
        <w:tc>
          <w:tcPr>
            <w:tcW w:w="1095" w:type="dxa"/>
            <w:noWrap/>
            <w:vAlign w:val="center"/>
          </w:tcPr>
          <w:p>
            <w:pPr>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6" w:type="dxa"/>
            <w:vMerge w:val="restart"/>
            <w:noWrap/>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rPr>
              <w:t>技术分（满分</w:t>
            </w:r>
            <w:r>
              <w:rPr>
                <w:rFonts w:hint="eastAsia" w:ascii="宋体" w:hAnsi="宋体" w:cs="宋体"/>
                <w:b/>
                <w:bCs/>
                <w:color w:val="auto"/>
                <w:szCs w:val="21"/>
                <w:highlight w:val="none"/>
                <w:lang w:val="en-US" w:eastAsia="zh-CN"/>
              </w:rPr>
              <w:t>76</w:t>
            </w:r>
            <w:r>
              <w:rPr>
                <w:rFonts w:hint="eastAsia" w:ascii="宋体" w:hAnsi="宋体" w:eastAsia="宋体" w:cs="宋体"/>
                <w:b/>
                <w:bCs/>
                <w:color w:val="auto"/>
                <w:szCs w:val="21"/>
                <w:highlight w:val="none"/>
              </w:rPr>
              <w:t>分）</w:t>
            </w:r>
          </w:p>
        </w:tc>
        <w:tc>
          <w:tcPr>
            <w:tcW w:w="1263" w:type="dxa"/>
            <w:noWrap/>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pacing w:val="8"/>
                <w:highlight w:val="none"/>
              </w:rPr>
              <w:t>服务实施方案</w:t>
            </w:r>
            <w:r>
              <w:rPr>
                <w:rFonts w:hint="eastAsia" w:ascii="宋体" w:hAnsi="宋体" w:eastAsia="宋体" w:cs="宋体"/>
                <w:color w:val="auto"/>
                <w:szCs w:val="21"/>
                <w:highlight w:val="none"/>
              </w:rPr>
              <w:t>（满分</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分）</w:t>
            </w:r>
          </w:p>
        </w:tc>
        <w:tc>
          <w:tcPr>
            <w:tcW w:w="7265" w:type="dxa"/>
            <w:gridSpan w:val="2"/>
            <w:noWrap/>
            <w:vAlign w:val="center"/>
          </w:tcPr>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供应商应根据有关规定针对本项目的特点，对委托任务的目的和工作范围的理解，提出本项目的服务实施方案。</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分）：方案表述不清晰或部分不具体，对本项目没有正确理解与认识、没有完全针对项目需求作出响应；</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分）：方案表述较清晰，对本项目有一定的理解与认识、但不够深刻，没有完全针对项目需求作出响应；</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分）：方案表述清晰、完整，对本项目有正确理解与认识、施工计划、措施合理，能针对项目需求作出响应；</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四档（</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分）：方案表述清晰、完整、严谨、合理、有效、成熟，对本项目有 正确深刻理解与认识、施工计划、措施安全，跟踪服务完善，能针对项目需求作出完全响应并有合理建议。</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vMerge w:val="continue"/>
            <w:noWrap/>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bCs/>
                <w:color w:val="auto"/>
                <w:szCs w:val="21"/>
                <w:highlight w:val="none"/>
              </w:rPr>
            </w:pPr>
          </w:p>
        </w:tc>
        <w:tc>
          <w:tcPr>
            <w:tcW w:w="1263" w:type="dxa"/>
            <w:noWrap/>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拟投入人</w:t>
            </w:r>
          </w:p>
          <w:p>
            <w:pPr>
              <w:keepNext w:val="0"/>
              <w:keepLines w:val="0"/>
              <w:pageBreakBefore w:val="0"/>
              <w:widowControl/>
              <w:kinsoku/>
              <w:wordWrap/>
              <w:overflowPunct/>
              <w:topLinePunct w:val="0"/>
              <w:autoSpaceDE/>
              <w:autoSpaceDN/>
              <w:bidi w:val="0"/>
              <w:adjustRightIn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员情况</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color w:val="auto"/>
                <w:spacing w:val="8"/>
                <w:highlight w:val="none"/>
              </w:rPr>
            </w:pPr>
          </w:p>
        </w:tc>
        <w:tc>
          <w:tcPr>
            <w:tcW w:w="7265" w:type="dxa"/>
            <w:gridSpan w:val="2"/>
            <w:noWrap/>
            <w:vAlign w:val="center"/>
          </w:tcPr>
          <w:p>
            <w:pPr>
              <w:pStyle w:val="6"/>
              <w:pageBreakBefore w:val="0"/>
              <w:numPr>
                <w:ilvl w:val="0"/>
                <w:numId w:val="0"/>
              </w:numPr>
              <w:kinsoku/>
              <w:wordWrap/>
              <w:overflowPunct/>
              <w:topLinePunct w:val="0"/>
              <w:autoSpaceDE/>
              <w:autoSpaceDN/>
              <w:bidi w:val="0"/>
              <w:adjustRightInd/>
              <w:spacing w:line="380" w:lineRule="exact"/>
              <w:ind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w:t>
            </w:r>
            <w:r>
              <w:rPr>
                <w:rFonts w:hint="eastAsia" w:ascii="宋体" w:hAnsi="宋体" w:cs="宋体"/>
                <w:color w:val="auto"/>
                <w:kern w:val="2"/>
                <w:sz w:val="21"/>
                <w:szCs w:val="21"/>
                <w:highlight w:val="none"/>
                <w:lang w:val="en-US" w:eastAsia="zh-CN" w:bidi="ar-SA"/>
              </w:rPr>
              <w:t>磋商小组</w:t>
            </w:r>
            <w:r>
              <w:rPr>
                <w:rFonts w:hint="eastAsia" w:ascii="宋体" w:hAnsi="宋体" w:eastAsia="宋体" w:cs="宋体"/>
                <w:color w:val="auto"/>
                <w:kern w:val="2"/>
                <w:sz w:val="21"/>
                <w:szCs w:val="21"/>
                <w:highlight w:val="none"/>
                <w:lang w:val="en-US" w:eastAsia="zh-CN" w:bidi="ar-SA"/>
              </w:rPr>
              <w:t>根据各</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所提供的拟投人员数量、专业程度、培训计划、考核方式及考核标准等方面进行比较评审。</w:t>
            </w:r>
          </w:p>
          <w:p>
            <w:pPr>
              <w:pStyle w:val="6"/>
              <w:pageBreakBefore w:val="0"/>
              <w:numPr>
                <w:ilvl w:val="0"/>
                <w:numId w:val="0"/>
              </w:numPr>
              <w:kinsoku/>
              <w:wordWrap/>
              <w:overflowPunct/>
              <w:topLinePunct w:val="0"/>
              <w:autoSpaceDE/>
              <w:autoSpaceDN/>
              <w:bidi w:val="0"/>
              <w:adjustRightInd/>
              <w:spacing w:line="380" w:lineRule="exact"/>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一档（4 分）：拟投入人员配置不够全面，不能满足本项目需求。</w:t>
            </w:r>
          </w:p>
          <w:p>
            <w:pPr>
              <w:pStyle w:val="6"/>
              <w:pageBreakBefore w:val="0"/>
              <w:numPr>
                <w:ilvl w:val="0"/>
                <w:numId w:val="0"/>
              </w:numPr>
              <w:kinsoku/>
              <w:wordWrap/>
              <w:overflowPunct/>
              <w:topLinePunct w:val="0"/>
              <w:autoSpaceDE/>
              <w:autoSpaceDN/>
              <w:bidi w:val="0"/>
              <w:adjustRightInd/>
              <w:spacing w:line="380" w:lineRule="exact"/>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二档（8 分）：拟投入人员人数配置合理，拟投入园林相关专业初级职称1名及以上，方案基本符合实际要求；</w:t>
            </w:r>
          </w:p>
          <w:p>
            <w:pPr>
              <w:pStyle w:val="6"/>
              <w:pageBreakBefore w:val="0"/>
              <w:numPr>
                <w:ilvl w:val="0"/>
                <w:numId w:val="0"/>
              </w:numPr>
              <w:kinsoku/>
              <w:wordWrap/>
              <w:overflowPunct/>
              <w:topLinePunct w:val="0"/>
              <w:autoSpaceDE/>
              <w:autoSpaceDN/>
              <w:bidi w:val="0"/>
              <w:adjustRightInd/>
              <w:spacing w:line="380" w:lineRule="exact"/>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三档（12 分）：拟投入人员制订有人员配置方案，人员配置方案较详细全面、可行，能较好的为本项目提供服务。内容应包括：各类人员数量、专业程度。各岗人员的配置合理。服务人员的培训满足项目实际需要。各类人员的培训有计划、有考核方式及考核标准。拟投入园林相关专业初级职称3名及以上；</w:t>
            </w:r>
          </w:p>
          <w:p>
            <w:pPr>
              <w:pStyle w:val="6"/>
              <w:pageBreakBefore w:val="0"/>
              <w:numPr>
                <w:ilvl w:val="0"/>
                <w:numId w:val="0"/>
              </w:numPr>
              <w:kinsoku/>
              <w:wordWrap/>
              <w:overflowPunct/>
              <w:topLinePunct w:val="0"/>
              <w:autoSpaceDE/>
              <w:autoSpaceDN/>
              <w:bidi w:val="0"/>
              <w:adjustRightInd/>
              <w:spacing w:line="380" w:lineRule="exact"/>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档（16分）：拟投入人员制订有人员配置方案，人员配置方案详细全面、可行性、针对性、可操作性非常强，能很好的为本项目提供优质的服务。方案内容应包括:各类人员数量、专业程度。各岗人员的配置合理。各类人员的培训有计划、有考核方式及考核标准。拟投入人员应包含园林相关专业工程师1名和园林或绿化相关专业初级职称人员5名；</w:t>
            </w:r>
          </w:p>
          <w:p>
            <w:pPr>
              <w:pStyle w:val="6"/>
              <w:pageBreakBefore w:val="0"/>
              <w:numPr>
                <w:ilvl w:val="0"/>
                <w:numId w:val="0"/>
              </w:numPr>
              <w:kinsoku/>
              <w:wordWrap/>
              <w:overflowPunct/>
              <w:topLinePunct w:val="0"/>
              <w:autoSpaceDE/>
              <w:autoSpaceDN/>
              <w:bidi w:val="0"/>
              <w:adjustRightInd/>
              <w:spacing w:line="38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备注：以上人员提供相关证书及相关证明材料，包括投标截止日之前1个月以内的代缴个税税单或参加社会保险的《投保单》或《社会保险参保人员证明》等材料原件扫描件，不提供不得分。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06" w:type="dxa"/>
            <w:vMerge w:val="continue"/>
            <w:noWrap/>
            <w:vAlign w:val="center"/>
          </w:tcPr>
          <w:p>
            <w:pPr>
              <w:pageBreakBefore w:val="0"/>
              <w:widowControl/>
              <w:kinsoku/>
              <w:wordWrap/>
              <w:overflowPunct/>
              <w:topLinePunct w:val="0"/>
              <w:autoSpaceDE/>
              <w:autoSpaceDN/>
              <w:bidi w:val="0"/>
              <w:adjustRightInd/>
              <w:spacing w:line="380" w:lineRule="exact"/>
              <w:jc w:val="left"/>
              <w:textAlignment w:val="auto"/>
              <w:rPr>
                <w:rFonts w:hint="eastAsia" w:ascii="宋体" w:hAnsi="宋体" w:eastAsia="宋体" w:cs="宋体"/>
                <w:bCs/>
                <w:color w:val="auto"/>
                <w:kern w:val="0"/>
                <w:szCs w:val="21"/>
                <w:highlight w:val="none"/>
              </w:rPr>
            </w:pPr>
          </w:p>
        </w:tc>
        <w:tc>
          <w:tcPr>
            <w:tcW w:w="1263" w:type="dxa"/>
            <w:noWrap/>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6"/>
                <w:highlight w:val="none"/>
              </w:rPr>
              <w:t>苗木种植及管护的具体措施</w:t>
            </w:r>
            <w:r>
              <w:rPr>
                <w:rFonts w:hint="eastAsia" w:ascii="宋体" w:hAnsi="宋体" w:eastAsia="宋体" w:cs="宋体"/>
                <w:color w:val="auto"/>
                <w:szCs w:val="21"/>
                <w:highlight w:val="none"/>
              </w:rPr>
              <w:t>（满分</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分）</w:t>
            </w:r>
          </w:p>
        </w:tc>
        <w:tc>
          <w:tcPr>
            <w:tcW w:w="7265" w:type="dxa"/>
            <w:gridSpan w:val="2"/>
            <w:noWrap/>
            <w:vAlign w:val="center"/>
          </w:tcPr>
          <w:p>
            <w:pPr>
              <w:pageBreakBefore w:val="0"/>
              <w:kinsoku/>
              <w:wordWrap/>
              <w:overflowPunct/>
              <w:topLinePunct w:val="0"/>
              <w:autoSpaceDE/>
              <w:autoSpaceDN/>
              <w:bidi w:val="0"/>
              <w:adjustRightInd/>
              <w:spacing w:line="380" w:lineRule="exact"/>
              <w:textAlignment w:val="auto"/>
              <w:rPr>
                <w:rFonts w:hint="eastAsia" w:eastAsia="宋体"/>
                <w:color w:val="auto"/>
                <w:highlight w:val="none"/>
                <w:lang w:eastAsia="zh-CN"/>
              </w:rPr>
            </w:pPr>
            <w:r>
              <w:rPr>
                <w:rFonts w:hint="eastAsia"/>
                <w:color w:val="auto"/>
                <w:highlight w:val="none"/>
                <w:lang w:val="en-US" w:eastAsia="zh-CN"/>
              </w:rPr>
              <w:t>供应商能</w:t>
            </w:r>
            <w:r>
              <w:rPr>
                <w:rFonts w:hint="eastAsia"/>
                <w:color w:val="auto"/>
                <w:highlight w:val="none"/>
              </w:rPr>
              <w:t>提供</w:t>
            </w:r>
            <w:r>
              <w:rPr>
                <w:rFonts w:hint="eastAsia" w:ascii="宋体" w:hAnsi="宋体" w:eastAsia="宋体" w:cs="宋体"/>
                <w:color w:val="auto"/>
                <w:spacing w:val="6"/>
                <w:highlight w:val="none"/>
              </w:rPr>
              <w:t>苗木种植</w:t>
            </w:r>
            <w:r>
              <w:rPr>
                <w:rFonts w:hint="eastAsia"/>
                <w:color w:val="auto"/>
                <w:highlight w:val="none"/>
              </w:rPr>
              <w:t>组织计划，每月有全面具体完整的</w:t>
            </w:r>
            <w:r>
              <w:rPr>
                <w:rFonts w:hint="eastAsia"/>
                <w:color w:val="auto"/>
                <w:highlight w:val="none"/>
                <w:lang w:val="en-US" w:eastAsia="zh-CN"/>
              </w:rPr>
              <w:t>管</w:t>
            </w:r>
            <w:r>
              <w:rPr>
                <w:rFonts w:hint="eastAsia"/>
                <w:color w:val="auto"/>
                <w:highlight w:val="none"/>
              </w:rPr>
              <w:t>护方案</w:t>
            </w:r>
            <w:r>
              <w:rPr>
                <w:rFonts w:hint="eastAsia"/>
                <w:color w:val="auto"/>
                <w:highlight w:val="none"/>
                <w:lang w:eastAsia="zh-CN"/>
              </w:rPr>
              <w:t>。</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的苗木种植及管护的具体措施内容较差，满足该项目的需要。</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的苗木种植及管护的具体措施内容</w:t>
            </w:r>
            <w:r>
              <w:rPr>
                <w:rFonts w:hint="eastAsia" w:ascii="宋体" w:hAnsi="宋体" w:eastAsia="宋体" w:cs="宋体"/>
                <w:bCs/>
                <w:color w:val="auto"/>
                <w:sz w:val="21"/>
                <w:szCs w:val="21"/>
                <w:highlight w:val="none"/>
              </w:rPr>
              <w:t>简单、基本可行</w:t>
            </w:r>
            <w:r>
              <w:rPr>
                <w:rFonts w:hint="eastAsia" w:ascii="宋体" w:hAnsi="宋体" w:eastAsia="宋体" w:cs="宋体"/>
                <w:color w:val="auto"/>
                <w:szCs w:val="21"/>
                <w:highlight w:val="none"/>
              </w:rPr>
              <w:t>，基本满足该项目需要。</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的苗木种植及管护的具体措施内容</w:t>
            </w:r>
            <w:r>
              <w:rPr>
                <w:rFonts w:hint="eastAsia" w:ascii="宋体" w:hAnsi="宋体" w:eastAsia="宋体" w:cs="宋体"/>
                <w:bCs/>
                <w:color w:val="auto"/>
                <w:sz w:val="21"/>
                <w:szCs w:val="21"/>
                <w:highlight w:val="none"/>
              </w:rPr>
              <w:t>具体，符合项目现状要求的并提供有效措施，内容思路较清晰</w:t>
            </w:r>
            <w:r>
              <w:rPr>
                <w:rFonts w:hint="eastAsia" w:ascii="宋体" w:hAnsi="宋体" w:eastAsia="宋体" w:cs="宋体"/>
                <w:color w:val="auto"/>
                <w:szCs w:val="21"/>
                <w:highlight w:val="none"/>
              </w:rPr>
              <w:t>，能够较好的满足该项目需要。</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四档（</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的苗木种植及管护的具体措施</w:t>
            </w:r>
            <w:r>
              <w:rPr>
                <w:rFonts w:hint="eastAsia" w:ascii="宋体" w:hAnsi="宋体" w:eastAsia="宋体" w:cs="宋体"/>
                <w:bCs/>
                <w:color w:val="auto"/>
                <w:sz w:val="21"/>
                <w:szCs w:val="21"/>
                <w:highlight w:val="none"/>
              </w:rPr>
              <w:t>详细具体、符合规范，符合现状要求并提供有效措施，内容思路清晰，对目实施具有保障性，具有系统性、科学性和先进性</w:t>
            </w:r>
            <w:r>
              <w:rPr>
                <w:rFonts w:hint="eastAsia" w:ascii="宋体" w:hAnsi="宋体" w:eastAsia="宋体" w:cs="宋体"/>
                <w:color w:val="auto"/>
                <w:szCs w:val="21"/>
                <w:highlight w:val="none"/>
              </w:rPr>
              <w:t>，能够非常好的满足该项目需要。</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06" w:type="dxa"/>
            <w:vMerge w:val="continue"/>
            <w:noWrap/>
            <w:vAlign w:val="center"/>
          </w:tcPr>
          <w:p>
            <w:pPr>
              <w:pageBreakBefore w:val="0"/>
              <w:widowControl/>
              <w:kinsoku/>
              <w:wordWrap/>
              <w:overflowPunct/>
              <w:topLinePunct w:val="0"/>
              <w:autoSpaceDE/>
              <w:autoSpaceDN/>
              <w:bidi w:val="0"/>
              <w:adjustRightInd/>
              <w:spacing w:line="380" w:lineRule="exact"/>
              <w:jc w:val="left"/>
              <w:textAlignment w:val="auto"/>
              <w:rPr>
                <w:rFonts w:hint="eastAsia" w:ascii="宋体" w:hAnsi="宋体" w:eastAsia="宋体" w:cs="宋体"/>
                <w:bCs/>
                <w:color w:val="auto"/>
                <w:kern w:val="0"/>
                <w:szCs w:val="21"/>
                <w:highlight w:val="none"/>
              </w:rPr>
            </w:pPr>
          </w:p>
        </w:tc>
        <w:tc>
          <w:tcPr>
            <w:tcW w:w="1263" w:type="dxa"/>
            <w:noWrap/>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4"/>
                <w:highlight w:val="none"/>
              </w:rPr>
              <w:t>苗木防虫</w:t>
            </w:r>
            <w:r>
              <w:rPr>
                <w:rFonts w:hint="eastAsia" w:ascii="宋体" w:hAnsi="宋体" w:cs="宋体"/>
                <w:color w:val="auto"/>
                <w:spacing w:val="4"/>
                <w:highlight w:val="none"/>
                <w:lang w:eastAsia="zh-CN"/>
              </w:rPr>
              <w:t>养护</w:t>
            </w:r>
            <w:r>
              <w:rPr>
                <w:rFonts w:hint="eastAsia" w:ascii="宋体" w:hAnsi="宋体" w:eastAsia="宋体" w:cs="宋体"/>
                <w:color w:val="auto"/>
                <w:spacing w:val="4"/>
                <w:highlight w:val="none"/>
              </w:rPr>
              <w:t>措施</w:t>
            </w:r>
            <w:r>
              <w:rPr>
                <w:rFonts w:hint="eastAsia" w:ascii="宋体" w:hAnsi="宋体" w:eastAsia="宋体" w:cs="宋体"/>
                <w:color w:val="auto"/>
                <w:szCs w:val="21"/>
                <w:highlight w:val="none"/>
              </w:rPr>
              <w:t>（满分</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分）</w:t>
            </w:r>
          </w:p>
        </w:tc>
        <w:tc>
          <w:tcPr>
            <w:tcW w:w="7265" w:type="dxa"/>
            <w:gridSpan w:val="2"/>
            <w:noWrap/>
            <w:vAlign w:val="center"/>
          </w:tcPr>
          <w:p>
            <w:pPr>
              <w:pageBreakBefore w:val="0"/>
              <w:kinsoku/>
              <w:wordWrap/>
              <w:overflowPunct/>
              <w:topLinePunct w:val="0"/>
              <w:autoSpaceDE/>
              <w:autoSpaceDN/>
              <w:bidi w:val="0"/>
              <w:adjustRightInd/>
              <w:spacing w:line="38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的苗木防虫</w:t>
            </w:r>
            <w:r>
              <w:rPr>
                <w:rFonts w:hint="eastAsia" w:ascii="宋体" w:hAnsi="宋体" w:cs="宋体"/>
                <w:color w:val="auto"/>
                <w:szCs w:val="21"/>
                <w:highlight w:val="none"/>
                <w:lang w:eastAsia="zh-CN"/>
              </w:rPr>
              <w:t>养护</w:t>
            </w:r>
            <w:r>
              <w:rPr>
                <w:rFonts w:hint="eastAsia" w:ascii="宋体" w:hAnsi="宋体" w:eastAsia="宋体" w:cs="宋体"/>
                <w:color w:val="auto"/>
                <w:szCs w:val="21"/>
                <w:highlight w:val="none"/>
              </w:rPr>
              <w:t>措施内容较差，满足该项目的需要。</w:t>
            </w:r>
          </w:p>
          <w:p>
            <w:pPr>
              <w:pageBreakBefore w:val="0"/>
              <w:kinsoku/>
              <w:wordWrap/>
              <w:overflowPunct/>
              <w:topLinePunct w:val="0"/>
              <w:autoSpaceDE/>
              <w:autoSpaceDN/>
              <w:bidi w:val="0"/>
              <w:adjustRightInd/>
              <w:spacing w:line="38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的苗木防虫</w:t>
            </w:r>
            <w:r>
              <w:rPr>
                <w:rFonts w:hint="eastAsia" w:ascii="宋体" w:hAnsi="宋体" w:cs="宋体"/>
                <w:color w:val="auto"/>
                <w:szCs w:val="21"/>
                <w:highlight w:val="none"/>
                <w:lang w:eastAsia="zh-CN"/>
              </w:rPr>
              <w:t>养护</w:t>
            </w:r>
            <w:r>
              <w:rPr>
                <w:rFonts w:hint="eastAsia" w:ascii="宋体" w:hAnsi="宋体" w:eastAsia="宋体" w:cs="宋体"/>
                <w:color w:val="auto"/>
                <w:szCs w:val="21"/>
                <w:highlight w:val="none"/>
              </w:rPr>
              <w:t>措施内容内容</w:t>
            </w:r>
            <w:r>
              <w:rPr>
                <w:rFonts w:hint="eastAsia" w:ascii="宋体" w:hAnsi="宋体" w:eastAsia="宋体" w:cs="宋体"/>
                <w:bCs/>
                <w:color w:val="auto"/>
                <w:sz w:val="21"/>
                <w:szCs w:val="21"/>
                <w:highlight w:val="none"/>
              </w:rPr>
              <w:t>简单、基本可行</w:t>
            </w:r>
            <w:r>
              <w:rPr>
                <w:rFonts w:hint="eastAsia" w:ascii="宋体" w:hAnsi="宋体" w:eastAsia="宋体" w:cs="宋体"/>
                <w:color w:val="auto"/>
                <w:szCs w:val="21"/>
                <w:highlight w:val="none"/>
              </w:rPr>
              <w:t>，基本满足该项目需要。</w:t>
            </w:r>
          </w:p>
          <w:p>
            <w:pPr>
              <w:pageBreakBefore w:val="0"/>
              <w:kinsoku/>
              <w:wordWrap/>
              <w:overflowPunct/>
              <w:topLinePunct w:val="0"/>
              <w:autoSpaceDE/>
              <w:autoSpaceDN/>
              <w:bidi w:val="0"/>
              <w:adjustRightInd/>
              <w:spacing w:line="38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的苗木防虫</w:t>
            </w:r>
            <w:r>
              <w:rPr>
                <w:rFonts w:hint="eastAsia" w:ascii="宋体" w:hAnsi="宋体" w:cs="宋体"/>
                <w:color w:val="auto"/>
                <w:szCs w:val="21"/>
                <w:highlight w:val="none"/>
                <w:lang w:eastAsia="zh-CN"/>
              </w:rPr>
              <w:t>养护</w:t>
            </w:r>
            <w:r>
              <w:rPr>
                <w:rFonts w:hint="eastAsia" w:ascii="宋体" w:hAnsi="宋体" w:eastAsia="宋体" w:cs="宋体"/>
                <w:color w:val="auto"/>
                <w:szCs w:val="21"/>
                <w:highlight w:val="none"/>
              </w:rPr>
              <w:t>措施内容</w:t>
            </w:r>
            <w:r>
              <w:rPr>
                <w:rFonts w:hint="eastAsia" w:ascii="宋体" w:hAnsi="宋体" w:eastAsia="宋体" w:cs="宋体"/>
                <w:bCs/>
                <w:color w:val="auto"/>
                <w:sz w:val="21"/>
                <w:szCs w:val="21"/>
                <w:highlight w:val="none"/>
              </w:rPr>
              <w:t>具体，符合项目现状要求的并提供有效措施，内容思路较清晰</w:t>
            </w:r>
            <w:r>
              <w:rPr>
                <w:rFonts w:hint="eastAsia" w:ascii="宋体" w:hAnsi="宋体" w:eastAsia="宋体" w:cs="宋体"/>
                <w:color w:val="auto"/>
                <w:szCs w:val="21"/>
                <w:highlight w:val="none"/>
              </w:rPr>
              <w:t xml:space="preserve">，能够较好的满足该项目需要。 </w:t>
            </w:r>
          </w:p>
          <w:p>
            <w:pPr>
              <w:pageBreakBefore w:val="0"/>
              <w:kinsoku/>
              <w:wordWrap/>
              <w:overflowPunct/>
              <w:topLinePunct w:val="0"/>
              <w:autoSpaceDE/>
              <w:autoSpaceDN/>
              <w:bidi w:val="0"/>
              <w:adjustRightInd/>
              <w:spacing w:line="38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四档（</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的苗木防虫</w:t>
            </w:r>
            <w:r>
              <w:rPr>
                <w:rFonts w:hint="eastAsia" w:ascii="宋体" w:hAnsi="宋体" w:cs="宋体"/>
                <w:color w:val="auto"/>
                <w:szCs w:val="21"/>
                <w:highlight w:val="none"/>
                <w:lang w:eastAsia="zh-CN"/>
              </w:rPr>
              <w:t>养护</w:t>
            </w:r>
            <w:r>
              <w:rPr>
                <w:rFonts w:hint="eastAsia" w:ascii="宋体" w:hAnsi="宋体" w:eastAsia="宋体" w:cs="宋体"/>
                <w:color w:val="auto"/>
                <w:szCs w:val="21"/>
                <w:highlight w:val="none"/>
              </w:rPr>
              <w:t>措施内容</w:t>
            </w:r>
            <w:r>
              <w:rPr>
                <w:rFonts w:hint="eastAsia"/>
                <w:color w:val="auto"/>
                <w:highlight w:val="none"/>
              </w:rPr>
              <w:t>有针对不同树种、不同病虫害、白蚁的防治方法，方案全面，可行及操作性强的</w:t>
            </w:r>
            <w:r>
              <w:rPr>
                <w:rFonts w:hint="eastAsia"/>
                <w:color w:val="auto"/>
                <w:highlight w:val="none"/>
                <w:lang w:eastAsia="zh-CN"/>
              </w:rPr>
              <w:t>，</w:t>
            </w:r>
            <w:r>
              <w:rPr>
                <w:rFonts w:hint="eastAsia" w:ascii="宋体" w:hAnsi="宋体" w:eastAsia="宋体" w:cs="宋体"/>
                <w:color w:val="auto"/>
                <w:szCs w:val="21"/>
                <w:highlight w:val="none"/>
              </w:rPr>
              <w:t>能够非常好的满足该项目需要。</w:t>
            </w:r>
          </w:p>
          <w:p>
            <w:pPr>
              <w:pageBreakBefore w:val="0"/>
              <w:kinsoku/>
              <w:wordWrap/>
              <w:overflowPunct/>
              <w:topLinePunct w:val="0"/>
              <w:autoSpaceDE/>
              <w:autoSpaceDN/>
              <w:bidi w:val="0"/>
              <w:adjustRightInd/>
              <w:spacing w:line="38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vMerge w:val="continue"/>
            <w:noWrap/>
            <w:vAlign w:val="center"/>
          </w:tcPr>
          <w:p>
            <w:pPr>
              <w:pageBreakBefore w:val="0"/>
              <w:widowControl/>
              <w:kinsoku/>
              <w:wordWrap/>
              <w:overflowPunct/>
              <w:topLinePunct w:val="0"/>
              <w:autoSpaceDE/>
              <w:autoSpaceDN/>
              <w:bidi w:val="0"/>
              <w:adjustRightInd/>
              <w:spacing w:line="380" w:lineRule="exact"/>
              <w:jc w:val="left"/>
              <w:textAlignment w:val="auto"/>
              <w:rPr>
                <w:rFonts w:hint="eastAsia" w:ascii="宋体" w:hAnsi="宋体" w:eastAsia="宋体" w:cs="宋体"/>
                <w:bCs/>
                <w:color w:val="auto"/>
                <w:kern w:val="0"/>
                <w:szCs w:val="21"/>
                <w:highlight w:val="none"/>
              </w:rPr>
            </w:pPr>
          </w:p>
        </w:tc>
        <w:tc>
          <w:tcPr>
            <w:tcW w:w="1263" w:type="dxa"/>
            <w:noWrap/>
            <w:vAlign w:val="center"/>
          </w:tcPr>
          <w:p>
            <w:pPr>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服务承诺方案（满分</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p>
        </w:tc>
        <w:tc>
          <w:tcPr>
            <w:tcW w:w="7265" w:type="dxa"/>
            <w:gridSpan w:val="2"/>
            <w:noWrap/>
            <w:vAlign w:val="center"/>
          </w:tcPr>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分）：承诺免费提供后续服务，后续服务基本满足项目需求，服务承</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诺方案表述基本清晰。</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分）：承诺免费提供后续服务，后续服务和其它优化措施可行，承诺 应采购人需求响应时间在</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小时内到达现场；服务承诺方案表述清晰、完整，服务内容、服务质量保证等内容较为一般。</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分）：承诺免费提供后续服务，后续服务和其它优化措施可行，承诺 应采购人需求响应时间在</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小时内到达现场；服务承诺方案表述清晰、完整，服务内容、服务质量保证等内容良好。</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color w:val="auto"/>
                <w:szCs w:val="21"/>
                <w:highlight w:val="none"/>
              </w:rPr>
              <w:t>四档（</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承诺免费提供后续服务，后续服务和其它优化措施可行，配备常驻的后续服务技术人员，能做到接到应采购人需求后到达现场的响应时间在1小时内，并针对承诺的响应到达时间提供详细、可行的保障方案和相关证明材料，保障方案不可行或相关证明材料缺失则承诺响应时间无效</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6" w:type="dxa"/>
            <w:noWrap/>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商务分（满分</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rPr>
              <w:t>分）</w:t>
            </w:r>
          </w:p>
        </w:tc>
        <w:tc>
          <w:tcPr>
            <w:tcW w:w="1263" w:type="dxa"/>
            <w:noWrap/>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zh-CN"/>
              </w:rPr>
              <w:t>业绩分（</w:t>
            </w:r>
            <w:r>
              <w:rPr>
                <w:rFonts w:hint="eastAsia" w:ascii="宋体" w:hAnsi="宋体" w:cs="宋体"/>
                <w:color w:val="auto"/>
                <w:kern w:val="0"/>
                <w:sz w:val="21"/>
                <w:szCs w:val="21"/>
                <w:highlight w:val="none"/>
                <w:lang w:val="en-US" w:eastAsia="zh-CN" w:bidi="zh-CN"/>
              </w:rPr>
              <w:t>4</w:t>
            </w:r>
            <w:r>
              <w:rPr>
                <w:rFonts w:hint="eastAsia" w:ascii="宋体" w:hAnsi="宋体" w:eastAsia="宋体" w:cs="宋体"/>
                <w:color w:val="auto"/>
                <w:kern w:val="0"/>
                <w:sz w:val="21"/>
                <w:szCs w:val="21"/>
                <w:highlight w:val="none"/>
                <w:lang w:val="en-US" w:eastAsia="zh-CN" w:bidi="zh-CN"/>
              </w:rPr>
              <w:t>）分</w:t>
            </w:r>
          </w:p>
        </w:tc>
        <w:tc>
          <w:tcPr>
            <w:tcW w:w="7265" w:type="dxa"/>
            <w:gridSpan w:val="2"/>
            <w:noWrap/>
            <w:vAlign w:val="center"/>
          </w:tcPr>
          <w:p>
            <w:pPr>
              <w:pStyle w:val="57"/>
              <w:keepNext w:val="0"/>
              <w:keepLines w:val="0"/>
              <w:pageBreakBefore w:val="0"/>
              <w:widowControl w:val="0"/>
              <w:kinsoku/>
              <w:wordWrap/>
              <w:overflowPunct/>
              <w:topLinePunct w:val="0"/>
              <w:autoSpaceDE/>
              <w:autoSpaceDN/>
              <w:bidi w:val="0"/>
              <w:adjustRightInd/>
              <w:snapToGrid/>
              <w:spacing w:before="3"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20</w:t>
            </w:r>
            <w:r>
              <w:rPr>
                <w:rFonts w:hint="eastAsia" w:ascii="宋体" w:hAnsi="宋体" w:cs="宋体"/>
                <w:color w:val="auto"/>
                <w:kern w:val="2"/>
                <w:sz w:val="21"/>
                <w:szCs w:val="21"/>
                <w:highlight w:val="none"/>
                <w:lang w:val="en-US" w:eastAsia="zh-CN" w:bidi="ar-SA"/>
              </w:rPr>
              <w:t>21</w:t>
            </w:r>
            <w:r>
              <w:rPr>
                <w:rFonts w:hint="eastAsia" w:ascii="宋体" w:hAnsi="宋体" w:eastAsia="宋体" w:cs="宋体"/>
                <w:color w:val="auto"/>
                <w:kern w:val="2"/>
                <w:sz w:val="21"/>
                <w:szCs w:val="21"/>
                <w:highlight w:val="none"/>
                <w:lang w:val="en-US" w:eastAsia="zh-CN" w:bidi="ar-SA"/>
              </w:rPr>
              <w:t>年1月1日以来至竞争性磋商文件递交截止日期止，</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有类似项目业绩，每个业绩得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分，满分</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zh-CN" w:eastAsia="zh-CN" w:bidi="ar-SA"/>
              </w:rPr>
              <w:t>[以合同或者中标（成交）通知书复印件为准，并加盖投标人公章]。[</w:t>
            </w:r>
            <w:r>
              <w:rPr>
                <w:rFonts w:hint="eastAsia" w:ascii="宋体" w:hAnsi="宋体" w:eastAsia="宋体" w:cs="宋体"/>
                <w:color w:val="auto"/>
                <w:kern w:val="2"/>
                <w:sz w:val="21"/>
                <w:szCs w:val="21"/>
                <w:highlight w:val="none"/>
                <w:lang w:val="en-US" w:eastAsia="zh-CN" w:bidi="ar-SA"/>
              </w:rPr>
              <w:t>合同</w:t>
            </w:r>
            <w:r>
              <w:rPr>
                <w:rFonts w:hint="eastAsia" w:ascii="宋体" w:hAnsi="宋体" w:eastAsia="宋体" w:cs="宋体"/>
                <w:color w:val="auto"/>
                <w:kern w:val="2"/>
                <w:sz w:val="21"/>
                <w:szCs w:val="21"/>
                <w:highlight w:val="none"/>
                <w:lang w:val="zh-CN" w:eastAsia="zh-CN" w:bidi="ar-SA"/>
              </w:rPr>
              <w:t>含首尾页（签订合同双方的落款盖章）、金额页、内容页、期限页）并加盖投标人公章；②业绩时间以合同签订时间为准]</w:t>
            </w:r>
          </w:p>
        </w:tc>
      </w:tr>
    </w:tbl>
    <w:p>
      <w:pPr>
        <w:pageBreakBefore w:val="0"/>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r>
        <w:rPr>
          <w:rFonts w:hint="eastAsia" w:ascii="宋体" w:hAnsi="宋体" w:eastAsia="宋体" w:cs="宋体"/>
          <w:color w:val="auto"/>
          <w:highlight w:val="none"/>
        </w:rPr>
        <w:br w:type="page"/>
      </w:r>
      <w:bookmarkStart w:id="70" w:name="_Toc44229897"/>
    </w:p>
    <w:p>
      <w:pPr>
        <w:spacing w:line="400" w:lineRule="exact"/>
        <w:ind w:firstLine="1044" w:firstLineChars="200"/>
        <w:jc w:val="center"/>
        <w:rPr>
          <w:rFonts w:hint="eastAsia" w:ascii="宋体" w:hAnsi="宋体" w:eastAsia="宋体" w:cs="宋体"/>
          <w:b/>
          <w:bCs/>
          <w:color w:val="auto"/>
          <w:sz w:val="52"/>
          <w:szCs w:val="72"/>
          <w:highlight w:val="none"/>
        </w:rPr>
      </w:pPr>
    </w:p>
    <w:p>
      <w:pPr>
        <w:ind w:firstLine="1044" w:firstLineChars="200"/>
        <w:jc w:val="center"/>
        <w:rPr>
          <w:rFonts w:hint="eastAsia" w:ascii="宋体" w:hAnsi="宋体" w:eastAsia="宋体" w:cs="宋体"/>
          <w:color w:val="auto"/>
          <w:highlight w:val="none"/>
        </w:rPr>
      </w:pPr>
      <w:r>
        <w:rPr>
          <w:rFonts w:hint="eastAsia" w:ascii="宋体" w:hAnsi="宋体" w:eastAsia="宋体" w:cs="宋体"/>
          <w:b/>
          <w:bCs/>
          <w:color w:val="auto"/>
          <w:sz w:val="52"/>
          <w:szCs w:val="72"/>
          <w:highlight w:val="none"/>
        </w:rPr>
        <w:t>第五章 响应文件格式</w:t>
      </w:r>
      <w:bookmarkEnd w:id="70"/>
    </w:p>
    <w:p>
      <w:pPr>
        <w:spacing w:line="240" w:lineRule="atLeast"/>
        <w:rPr>
          <w:rFonts w:hint="eastAsia" w:ascii="宋体" w:hAnsi="宋体" w:eastAsia="宋体" w:cs="宋体"/>
          <w:b/>
          <w:color w:val="auto"/>
          <w:sz w:val="32"/>
          <w:szCs w:val="32"/>
          <w:highlight w:val="none"/>
        </w:rPr>
      </w:pPr>
    </w:p>
    <w:p>
      <w:pPr>
        <w:snapToGrid w:val="0"/>
        <w:spacing w:before="50" w:after="50"/>
        <w:outlineLvl w:val="1"/>
        <w:rPr>
          <w:rFonts w:hint="eastAsia" w:ascii="宋体" w:hAnsi="宋体" w:eastAsia="宋体" w:cs="宋体"/>
          <w:b/>
          <w:bCs/>
          <w:color w:val="auto"/>
          <w:sz w:val="24"/>
          <w:highlight w:val="none"/>
        </w:rPr>
      </w:pPr>
    </w:p>
    <w:p>
      <w:pPr>
        <w:snapToGrid w:val="0"/>
        <w:spacing w:before="50" w:after="50"/>
        <w:outlineLvl w:val="1"/>
        <w:rPr>
          <w:rFonts w:hint="eastAsia" w:ascii="宋体" w:hAnsi="宋体" w:eastAsia="宋体" w:cs="宋体"/>
          <w:b/>
          <w:bCs/>
          <w:color w:val="auto"/>
          <w:sz w:val="32"/>
          <w:szCs w:val="32"/>
          <w:highlight w:val="none"/>
        </w:rPr>
      </w:pPr>
      <w:bookmarkStart w:id="71" w:name="_Toc44229898"/>
      <w:r>
        <w:rPr>
          <w:rFonts w:hint="eastAsia" w:ascii="宋体" w:hAnsi="宋体" w:eastAsia="宋体" w:cs="宋体"/>
          <w:b/>
          <w:color w:val="auto"/>
          <w:sz w:val="32"/>
          <w:szCs w:val="32"/>
          <w:highlight w:val="none"/>
        </w:rPr>
        <w:t>（</w:t>
      </w:r>
      <w:bookmarkStart w:id="72" w:name="_Toc35611437"/>
      <w:bookmarkStart w:id="73" w:name="_Toc35611515"/>
      <w:r>
        <w:rPr>
          <w:rFonts w:hint="eastAsia" w:ascii="宋体" w:hAnsi="宋体" w:eastAsia="宋体" w:cs="宋体"/>
          <w:b/>
          <w:bCs/>
          <w:color w:val="auto"/>
          <w:sz w:val="32"/>
          <w:szCs w:val="32"/>
          <w:highlight w:val="none"/>
        </w:rPr>
        <w:t>响应文件外层包装封面格式</w:t>
      </w:r>
      <w:bookmarkEnd w:id="72"/>
      <w:bookmarkEnd w:id="73"/>
      <w:r>
        <w:rPr>
          <w:rFonts w:hint="eastAsia" w:ascii="宋体" w:hAnsi="宋体" w:eastAsia="宋体" w:cs="宋体"/>
          <w:b/>
          <w:color w:val="auto"/>
          <w:sz w:val="32"/>
          <w:szCs w:val="32"/>
          <w:highlight w:val="none"/>
        </w:rPr>
        <w:t xml:space="preserve"> ）</w:t>
      </w:r>
      <w:bookmarkEnd w:id="71"/>
    </w:p>
    <w:p>
      <w:pPr>
        <w:snapToGrid w:val="0"/>
        <w:spacing w:beforeLines="50" w:after="50"/>
        <w:rPr>
          <w:rFonts w:hint="eastAsia" w:ascii="宋体" w:hAnsi="宋体" w:eastAsia="宋体" w:cs="宋体"/>
          <w:color w:val="auto"/>
          <w:sz w:val="24"/>
          <w:szCs w:val="20"/>
          <w:highlight w:val="none"/>
        </w:rPr>
      </w:pPr>
    </w:p>
    <w:p>
      <w:pPr>
        <w:snapToGrid w:val="0"/>
        <w:spacing w:beforeLines="50" w:after="50"/>
        <w:jc w:val="center"/>
        <w:rPr>
          <w:rFonts w:hint="eastAsia" w:ascii="宋体" w:hAnsi="宋体" w:eastAsia="宋体" w:cs="宋体"/>
          <w:bCs/>
          <w:color w:val="auto"/>
          <w:sz w:val="24"/>
          <w:szCs w:val="20"/>
          <w:highlight w:val="none"/>
        </w:rPr>
      </w:pPr>
    </w:p>
    <w:p>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pPr>
        <w:snapToGrid w:val="0"/>
        <w:spacing w:beforeLines="50" w:after="50"/>
        <w:rPr>
          <w:rFonts w:hint="eastAsia" w:ascii="宋体" w:hAnsi="宋体" w:eastAsia="宋体" w:cs="宋体"/>
          <w:bCs/>
          <w:color w:val="auto"/>
          <w:sz w:val="24"/>
          <w:szCs w:val="20"/>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（电子响应文件）</w:t>
      </w:r>
    </w:p>
    <w:p>
      <w:pPr>
        <w:snapToGrid w:val="0"/>
        <w:spacing w:beforeLines="50" w:after="50"/>
        <w:rPr>
          <w:rFonts w:hint="eastAsia" w:ascii="宋体" w:hAnsi="宋体" w:eastAsia="宋体" w:cs="宋体"/>
          <w:bCs/>
          <w:color w:val="auto"/>
          <w:sz w:val="24"/>
          <w:szCs w:val="20"/>
          <w:highlight w:val="none"/>
        </w:rPr>
      </w:pPr>
    </w:p>
    <w:p>
      <w:pPr>
        <w:snapToGrid w:val="0"/>
        <w:spacing w:beforeLines="50" w:after="50"/>
        <w:rPr>
          <w:rFonts w:hint="eastAsia" w:ascii="宋体" w:hAnsi="宋体" w:eastAsia="宋体" w:cs="宋体"/>
          <w:bCs/>
          <w:color w:val="auto"/>
          <w:sz w:val="32"/>
          <w:szCs w:val="32"/>
          <w:highlight w:val="none"/>
        </w:rPr>
      </w:pPr>
    </w:p>
    <w:p>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Lines="50" w:after="50"/>
        <w:ind w:firstLine="480" w:firstLineChars="150"/>
        <w:rPr>
          <w:rFonts w:hint="eastAsia" w:ascii="宋体" w:hAnsi="宋体" w:eastAsia="宋体" w:cs="宋体"/>
          <w:bCs/>
          <w:color w:val="auto"/>
          <w:sz w:val="32"/>
          <w:szCs w:val="32"/>
          <w:highlight w:val="none"/>
        </w:rPr>
      </w:pPr>
    </w:p>
    <w:p>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Lines="50" w:after="50"/>
        <w:ind w:firstLine="480" w:firstLineChars="150"/>
        <w:rPr>
          <w:rFonts w:hint="eastAsia" w:ascii="宋体" w:hAnsi="宋体" w:eastAsia="宋体" w:cs="宋体"/>
          <w:bCs/>
          <w:color w:val="auto"/>
          <w:sz w:val="32"/>
          <w:szCs w:val="32"/>
          <w:highlight w:val="none"/>
        </w:rPr>
      </w:pPr>
    </w:p>
    <w:p>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Lines="50" w:after="50"/>
        <w:rPr>
          <w:rFonts w:hint="eastAsia" w:ascii="宋体" w:hAnsi="宋体" w:eastAsia="宋体" w:cs="宋体"/>
          <w:bCs/>
          <w:color w:val="auto"/>
          <w:sz w:val="32"/>
          <w:szCs w:val="32"/>
          <w:highlight w:val="none"/>
        </w:rPr>
      </w:pPr>
    </w:p>
    <w:p>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snapToGrid w:val="0"/>
        <w:spacing w:beforeLines="50" w:after="50"/>
        <w:rPr>
          <w:rFonts w:hint="eastAsia" w:ascii="宋体" w:hAnsi="宋体" w:eastAsia="宋体" w:cs="宋体"/>
          <w:bCs/>
          <w:color w:val="auto"/>
          <w:sz w:val="32"/>
          <w:szCs w:val="32"/>
          <w:highlight w:val="none"/>
        </w:rPr>
      </w:pPr>
    </w:p>
    <w:p>
      <w:pPr>
        <w:snapToGrid w:val="0"/>
        <w:spacing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pPr>
        <w:snapToGrid w:val="0"/>
        <w:spacing w:beforeLines="50" w:after="50"/>
        <w:ind w:firstLine="5440" w:firstLineChars="1700"/>
        <w:jc w:val="center"/>
        <w:rPr>
          <w:rFonts w:hint="eastAsia" w:ascii="宋体" w:hAnsi="宋体" w:eastAsia="宋体" w:cs="宋体"/>
          <w:bCs/>
          <w:color w:val="auto"/>
          <w:sz w:val="32"/>
          <w:szCs w:val="32"/>
          <w:highlight w:val="none"/>
        </w:rPr>
      </w:pPr>
    </w:p>
    <w:p>
      <w:pPr>
        <w:snapToGrid w:val="0"/>
        <w:spacing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pPr>
        <w:spacing w:line="240" w:lineRule="atLeast"/>
        <w:rPr>
          <w:rFonts w:hint="eastAsia" w:ascii="宋体" w:hAnsi="宋体" w:eastAsia="宋体" w:cs="宋体"/>
          <w:bCs/>
          <w:color w:val="auto"/>
          <w:sz w:val="32"/>
          <w:szCs w:val="32"/>
          <w:highlight w:val="none"/>
        </w:rPr>
      </w:pPr>
      <w:r>
        <w:rPr>
          <w:rFonts w:hint="eastAsia" w:ascii="宋体" w:hAnsi="宋体" w:eastAsia="宋体" w:cs="宋体"/>
          <w:bCs/>
          <w:color w:val="auto"/>
          <w:sz w:val="24"/>
          <w:highlight w:val="none"/>
        </w:rPr>
        <w:br w:type="page"/>
      </w:r>
      <w:r>
        <w:rPr>
          <w:rFonts w:hint="eastAsia" w:ascii="宋体" w:hAnsi="宋体" w:eastAsia="宋体" w:cs="宋体"/>
          <w:b/>
          <w:bCs/>
          <w:color w:val="auto"/>
          <w:sz w:val="32"/>
          <w:szCs w:val="32"/>
          <w:highlight w:val="none"/>
        </w:rPr>
        <w:t>（响应文件封面格式）</w:t>
      </w:r>
    </w:p>
    <w:p>
      <w:pPr>
        <w:spacing w:line="240" w:lineRule="atLeast"/>
        <w:jc w:val="center"/>
        <w:rPr>
          <w:rFonts w:hint="eastAsia" w:ascii="宋体" w:hAnsi="宋体" w:eastAsia="宋体" w:cs="宋体"/>
          <w:bCs/>
          <w:color w:val="auto"/>
          <w:sz w:val="24"/>
          <w:highlight w:val="none"/>
        </w:rPr>
      </w:pPr>
    </w:p>
    <w:p>
      <w:pPr>
        <w:spacing w:line="240" w:lineRule="atLeast"/>
        <w:jc w:val="center"/>
        <w:rPr>
          <w:rFonts w:hint="eastAsia" w:ascii="宋体" w:hAnsi="宋体" w:eastAsia="宋体" w:cs="宋体"/>
          <w:bCs/>
          <w:color w:val="auto"/>
          <w:sz w:val="24"/>
          <w:highlight w:val="none"/>
        </w:rPr>
      </w:pPr>
    </w:p>
    <w:p>
      <w:pPr>
        <w:spacing w:line="240" w:lineRule="atLeast"/>
        <w:jc w:val="center"/>
        <w:rPr>
          <w:rFonts w:hint="eastAsia" w:ascii="宋体" w:hAnsi="宋体" w:eastAsia="宋体" w:cs="宋体"/>
          <w:bCs/>
          <w:color w:val="auto"/>
          <w:sz w:val="24"/>
          <w:highlight w:val="none"/>
        </w:rPr>
      </w:pPr>
    </w:p>
    <w:p>
      <w:pPr>
        <w:spacing w:line="240" w:lineRule="atLeast"/>
        <w:jc w:val="center"/>
        <w:rPr>
          <w:rFonts w:hint="eastAsia" w:ascii="宋体" w:hAnsi="宋体" w:eastAsia="宋体" w:cs="宋体"/>
          <w:bCs/>
          <w:color w:val="auto"/>
          <w:sz w:val="44"/>
          <w:szCs w:val="44"/>
          <w:highlight w:val="none"/>
        </w:rPr>
      </w:pPr>
    </w:p>
    <w:p>
      <w:pPr>
        <w:spacing w:line="240" w:lineRule="atLeast"/>
        <w:jc w:val="center"/>
        <w:rPr>
          <w:rFonts w:hint="eastAsia" w:ascii="宋体" w:hAnsi="宋体" w:eastAsia="宋体" w:cs="宋体"/>
          <w:bCs/>
          <w:color w:val="auto"/>
          <w:sz w:val="44"/>
          <w:szCs w:val="44"/>
          <w:highlight w:val="none"/>
        </w:rPr>
      </w:pPr>
    </w:p>
    <w:p>
      <w:pPr>
        <w:spacing w:line="240" w:lineRule="atLeas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响  应  文  件</w:t>
      </w:r>
      <w:r>
        <w:rPr>
          <w:rFonts w:hint="eastAsia" w:ascii="宋体" w:hAnsi="宋体" w:eastAsia="宋体" w:cs="宋体"/>
          <w:color w:val="auto"/>
          <w:szCs w:val="21"/>
          <w:highlight w:val="none"/>
        </w:rPr>
        <w:t>(封面)</w:t>
      </w: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left"/>
        <w:rPr>
          <w:rFonts w:hint="eastAsia" w:ascii="宋体" w:hAnsi="宋体" w:eastAsia="宋体" w:cs="宋体"/>
          <w:color w:val="auto"/>
          <w:sz w:val="32"/>
          <w:szCs w:val="32"/>
          <w:highlight w:val="none"/>
        </w:rPr>
      </w:pPr>
    </w:p>
    <w:p>
      <w:pPr>
        <w:tabs>
          <w:tab w:val="left" w:pos="3240"/>
        </w:tabs>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p>
    <w:p>
      <w:pPr>
        <w:spacing w:line="360" w:lineRule="auto"/>
        <w:ind w:firstLine="640" w:firstLineChars="200"/>
        <w:jc w:val="left"/>
        <w:rPr>
          <w:rFonts w:hint="eastAsia" w:ascii="宋体" w:hAnsi="宋体" w:eastAsia="宋体" w:cs="宋体"/>
          <w:color w:val="auto"/>
          <w:sz w:val="32"/>
          <w:szCs w:val="32"/>
          <w:highlight w:val="none"/>
        </w:rPr>
      </w:pPr>
    </w:p>
    <w:p>
      <w:pPr>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p>
      <w:pPr>
        <w:tabs>
          <w:tab w:val="left" w:pos="3240"/>
        </w:tabs>
        <w:spacing w:line="360" w:lineRule="auto"/>
        <w:ind w:firstLine="640" w:firstLineChars="200"/>
        <w:jc w:val="left"/>
        <w:rPr>
          <w:rFonts w:hint="eastAsia" w:ascii="宋体" w:hAnsi="宋体" w:eastAsia="宋体" w:cs="宋体"/>
          <w:color w:val="auto"/>
          <w:sz w:val="32"/>
          <w:szCs w:val="32"/>
          <w:highlight w:val="none"/>
          <w:u w:val="single"/>
        </w:rPr>
      </w:pPr>
    </w:p>
    <w:p>
      <w:pPr>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所竞分标</w:t>
      </w:r>
      <w:r>
        <w:rPr>
          <w:rFonts w:hint="eastAsia" w:ascii="宋体" w:hAnsi="宋体" w:eastAsia="宋体" w:cs="宋体"/>
          <w:bCs/>
          <w:color w:val="auto"/>
          <w:sz w:val="32"/>
          <w:szCs w:val="32"/>
          <w:highlight w:val="none"/>
        </w:rPr>
        <w:t>（如有则填写，无分标时填写“无”或者留空）</w:t>
      </w:r>
      <w:r>
        <w:rPr>
          <w:rFonts w:hint="eastAsia" w:ascii="宋体" w:hAnsi="宋体" w:eastAsia="宋体" w:cs="宋体"/>
          <w:color w:val="auto"/>
          <w:sz w:val="32"/>
          <w:szCs w:val="32"/>
          <w:highlight w:val="none"/>
        </w:rPr>
        <w:t>：</w:t>
      </w:r>
    </w:p>
    <w:p>
      <w:pPr>
        <w:spacing w:line="360" w:lineRule="auto"/>
        <w:ind w:firstLine="640" w:firstLineChars="200"/>
        <w:jc w:val="left"/>
        <w:rPr>
          <w:rFonts w:hint="eastAsia" w:ascii="宋体" w:hAnsi="宋体" w:eastAsia="宋体" w:cs="宋体"/>
          <w:color w:val="auto"/>
          <w:sz w:val="32"/>
          <w:szCs w:val="32"/>
          <w:highlight w:val="none"/>
          <w:u w:val="single"/>
        </w:rPr>
      </w:pPr>
    </w:p>
    <w:p>
      <w:pPr>
        <w:spacing w:line="360" w:lineRule="auto"/>
        <w:ind w:firstLine="640" w:firstLineChars="200"/>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供应商名称：</w:t>
      </w:r>
    </w:p>
    <w:p>
      <w:pPr>
        <w:snapToGrid w:val="0"/>
        <w:spacing w:beforeLines="50" w:after="50"/>
        <w:rPr>
          <w:rFonts w:hint="eastAsia" w:ascii="宋体" w:hAnsi="宋体" w:eastAsia="宋体" w:cs="宋体"/>
          <w:color w:val="auto"/>
          <w:sz w:val="32"/>
          <w:szCs w:val="32"/>
          <w:highlight w:val="none"/>
        </w:rPr>
      </w:pPr>
    </w:p>
    <w:p>
      <w:pPr>
        <w:snapToGrid w:val="0"/>
        <w:spacing w:beforeLines="50" w:after="50"/>
        <w:rPr>
          <w:rFonts w:hint="eastAsia" w:ascii="宋体" w:hAnsi="宋体" w:eastAsia="宋体" w:cs="宋体"/>
          <w:color w:val="auto"/>
          <w:sz w:val="32"/>
          <w:szCs w:val="32"/>
          <w:highlight w:val="none"/>
        </w:rPr>
      </w:pPr>
    </w:p>
    <w:p>
      <w:pPr>
        <w:snapToGrid w:val="0"/>
        <w:spacing w:beforeLines="50" w:after="50"/>
        <w:rPr>
          <w:rFonts w:hint="eastAsia" w:ascii="宋体" w:hAnsi="宋体" w:eastAsia="宋体" w:cs="宋体"/>
          <w:color w:val="auto"/>
          <w:sz w:val="32"/>
          <w:szCs w:val="32"/>
          <w:highlight w:val="none"/>
        </w:rPr>
      </w:pPr>
    </w:p>
    <w:p>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Lines="50" w:after="50"/>
        <w:jc w:val="center"/>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br w:type="page"/>
      </w:r>
    </w:p>
    <w:p>
      <w:pPr>
        <w:snapToGrid w:val="0"/>
        <w:spacing w:beforeLines="50" w:after="50" w:line="360" w:lineRule="auto"/>
        <w:outlineLvl w:val="1"/>
        <w:rPr>
          <w:rFonts w:hint="eastAsia" w:ascii="宋体" w:hAnsi="宋体" w:eastAsia="宋体" w:cs="宋体"/>
          <w:b/>
          <w:bCs/>
          <w:color w:val="auto"/>
          <w:sz w:val="32"/>
          <w:szCs w:val="32"/>
          <w:highlight w:val="none"/>
        </w:rPr>
      </w:pPr>
      <w:bookmarkStart w:id="74" w:name="_Toc35611438"/>
      <w:bookmarkStart w:id="75" w:name="_Toc31728084"/>
      <w:bookmarkStart w:id="76" w:name="_Toc31723070"/>
      <w:bookmarkStart w:id="77" w:name="_Toc44229899"/>
      <w:bookmarkStart w:id="78" w:name="_Toc35611516"/>
      <w:r>
        <w:rPr>
          <w:rFonts w:hint="eastAsia" w:ascii="宋体" w:hAnsi="宋体" w:eastAsia="宋体" w:cs="宋体"/>
          <w:b/>
          <w:bCs/>
          <w:color w:val="auto"/>
          <w:sz w:val="32"/>
          <w:szCs w:val="32"/>
          <w:highlight w:val="none"/>
        </w:rPr>
        <w:t>一、资格证明文件格式</w:t>
      </w:r>
      <w:bookmarkEnd w:id="74"/>
      <w:bookmarkEnd w:id="75"/>
      <w:bookmarkEnd w:id="76"/>
      <w:bookmarkEnd w:id="77"/>
      <w:bookmarkEnd w:id="78"/>
    </w:p>
    <w:p>
      <w:pPr>
        <w:snapToGrid w:val="0"/>
        <w:spacing w:beforeLines="50" w:after="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1.资格证明文件封面格式：</w:t>
      </w:r>
    </w:p>
    <w:p>
      <w:pPr>
        <w:snapToGrid w:val="0"/>
        <w:spacing w:beforeLines="50" w:after="5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电子响应文件</w:t>
      </w:r>
    </w:p>
    <w:p>
      <w:pPr>
        <w:snapToGrid w:val="0"/>
        <w:spacing w:beforeLines="50" w:after="50"/>
        <w:rPr>
          <w:rFonts w:hint="eastAsia" w:ascii="宋体" w:hAnsi="宋体" w:eastAsia="宋体" w:cs="宋体"/>
          <w:color w:val="auto"/>
          <w:sz w:val="24"/>
          <w:szCs w:val="20"/>
          <w:highlight w:val="none"/>
        </w:rPr>
      </w:pPr>
    </w:p>
    <w:p>
      <w:pPr>
        <w:snapToGrid w:val="0"/>
        <w:spacing w:beforeLines="50" w:after="50"/>
        <w:rPr>
          <w:rFonts w:hint="eastAsia" w:ascii="宋体" w:hAnsi="宋体" w:eastAsia="宋体" w:cs="宋体"/>
          <w:color w:val="auto"/>
          <w:sz w:val="24"/>
          <w:szCs w:val="20"/>
          <w:highlight w:val="none"/>
        </w:rPr>
      </w:pPr>
    </w:p>
    <w:p>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pPr>
        <w:snapToGrid w:val="0"/>
        <w:spacing w:beforeLines="50" w:after="50"/>
        <w:rPr>
          <w:rFonts w:hint="eastAsia" w:ascii="宋体" w:hAnsi="宋体" w:eastAsia="宋体" w:cs="宋体"/>
          <w:bCs/>
          <w:color w:val="auto"/>
          <w:sz w:val="24"/>
          <w:szCs w:val="20"/>
          <w:highlight w:val="none"/>
        </w:rPr>
      </w:pPr>
    </w:p>
    <w:p>
      <w:pPr>
        <w:snapToGrid w:val="0"/>
        <w:spacing w:beforeLines="50" w:after="50"/>
        <w:rPr>
          <w:rFonts w:hint="eastAsia" w:ascii="宋体" w:hAnsi="宋体" w:eastAsia="宋体" w:cs="宋体"/>
          <w:bCs/>
          <w:color w:val="auto"/>
          <w:sz w:val="24"/>
          <w:szCs w:val="20"/>
          <w:highlight w:val="none"/>
        </w:rPr>
      </w:pPr>
    </w:p>
    <w:p>
      <w:pPr>
        <w:snapToGrid w:val="0"/>
        <w:spacing w:beforeLines="50" w:after="50"/>
        <w:rPr>
          <w:rFonts w:hint="eastAsia" w:ascii="宋体" w:hAnsi="宋体" w:eastAsia="宋体" w:cs="宋体"/>
          <w:bCs/>
          <w:color w:val="auto"/>
          <w:sz w:val="24"/>
          <w:szCs w:val="20"/>
          <w:highlight w:val="none"/>
        </w:rPr>
      </w:pPr>
    </w:p>
    <w:p>
      <w:pPr>
        <w:snapToGrid w:val="0"/>
        <w:spacing w:beforeLines="50" w:after="50"/>
        <w:rPr>
          <w:rFonts w:hint="eastAsia" w:ascii="宋体" w:hAnsi="宋体" w:eastAsia="宋体" w:cs="宋体"/>
          <w:bCs/>
          <w:color w:val="auto"/>
          <w:sz w:val="24"/>
          <w:szCs w:val="20"/>
          <w:highlight w:val="none"/>
        </w:rPr>
      </w:pPr>
    </w:p>
    <w:p>
      <w:pPr>
        <w:snapToGrid w:val="0"/>
        <w:spacing w:beforeLines="50" w:after="50"/>
        <w:rPr>
          <w:rFonts w:hint="eastAsia" w:ascii="宋体" w:hAnsi="宋体" w:eastAsia="宋体" w:cs="宋体"/>
          <w:bCs/>
          <w:color w:val="auto"/>
          <w:sz w:val="24"/>
          <w:szCs w:val="20"/>
          <w:highlight w:val="none"/>
        </w:rPr>
      </w:pPr>
    </w:p>
    <w:p>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Lines="50" w:after="50"/>
        <w:ind w:firstLine="720" w:firstLineChars="225"/>
        <w:rPr>
          <w:rFonts w:hint="eastAsia" w:ascii="宋体" w:hAnsi="宋体" w:eastAsia="宋体" w:cs="宋体"/>
          <w:bCs/>
          <w:color w:val="auto"/>
          <w:sz w:val="32"/>
          <w:szCs w:val="32"/>
          <w:highlight w:val="none"/>
        </w:rPr>
      </w:pPr>
    </w:p>
    <w:p>
      <w:pPr>
        <w:snapToGrid w:val="0"/>
        <w:spacing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Lines="50" w:after="50"/>
        <w:ind w:firstLine="720" w:firstLineChars="225"/>
        <w:rPr>
          <w:rFonts w:hint="eastAsia" w:ascii="宋体" w:hAnsi="宋体" w:eastAsia="宋体" w:cs="宋体"/>
          <w:bCs/>
          <w:color w:val="auto"/>
          <w:sz w:val="32"/>
          <w:szCs w:val="32"/>
          <w:highlight w:val="none"/>
        </w:rPr>
      </w:pPr>
    </w:p>
    <w:p>
      <w:pPr>
        <w:snapToGrid w:val="0"/>
        <w:spacing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Lines="50" w:after="50"/>
        <w:ind w:firstLine="720" w:firstLineChars="225"/>
        <w:rPr>
          <w:rFonts w:hint="eastAsia" w:ascii="宋体" w:hAnsi="宋体" w:eastAsia="宋体" w:cs="宋体"/>
          <w:bCs/>
          <w:color w:val="auto"/>
          <w:sz w:val="32"/>
          <w:szCs w:val="32"/>
          <w:highlight w:val="none"/>
        </w:rPr>
      </w:pPr>
    </w:p>
    <w:p>
      <w:pPr>
        <w:pStyle w:val="2"/>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2"/>
        <w:snapToGrid w:val="0"/>
        <w:spacing w:before="50" w:after="50"/>
        <w:ind w:firstLine="720" w:firstLineChars="225"/>
        <w:rPr>
          <w:rFonts w:hint="eastAsia" w:ascii="宋体" w:hAnsi="宋体" w:eastAsia="宋体" w:cs="宋体"/>
          <w:bCs/>
          <w:color w:val="auto"/>
          <w:sz w:val="32"/>
          <w:szCs w:val="32"/>
          <w:highlight w:val="none"/>
        </w:rPr>
      </w:pPr>
    </w:p>
    <w:p>
      <w:pPr>
        <w:pStyle w:val="2"/>
        <w:snapToGrid w:val="0"/>
        <w:spacing w:before="50" w:after="50"/>
        <w:ind w:firstLine="720" w:firstLineChars="225"/>
        <w:rPr>
          <w:rFonts w:hint="eastAsia" w:ascii="宋体" w:hAnsi="宋体" w:eastAsia="宋体" w:cs="宋体"/>
          <w:bCs/>
          <w:color w:val="auto"/>
          <w:sz w:val="32"/>
          <w:szCs w:val="32"/>
          <w:highlight w:val="none"/>
        </w:rPr>
      </w:pPr>
    </w:p>
    <w:p>
      <w:pPr>
        <w:pStyle w:val="2"/>
        <w:snapToGrid w:val="0"/>
        <w:spacing w:before="50" w:after="50"/>
        <w:ind w:firstLine="720" w:firstLineChars="225"/>
        <w:rPr>
          <w:rFonts w:hint="eastAsia" w:ascii="宋体" w:hAnsi="宋体" w:eastAsia="宋体" w:cs="宋体"/>
          <w:bCs/>
          <w:color w:val="auto"/>
          <w:sz w:val="32"/>
          <w:szCs w:val="32"/>
          <w:highlight w:val="none"/>
        </w:rPr>
      </w:pPr>
    </w:p>
    <w:p>
      <w:pPr>
        <w:pStyle w:val="2"/>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Lines="50" w:after="50" w:line="360" w:lineRule="auto"/>
        <w:ind w:left="142"/>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2.资格证明文件目录</w:t>
      </w:r>
    </w:p>
    <w:p>
      <w:pPr>
        <w:snapToGrid w:val="0"/>
        <w:spacing w:beforeLines="50" w:after="50" w:line="360" w:lineRule="auto"/>
        <w:ind w:firstLine="64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pPr>
        <w:snapToGrid w:val="0"/>
        <w:spacing w:beforeLines="50" w:after="50"/>
        <w:rPr>
          <w:rFonts w:hint="eastAsia" w:ascii="宋体" w:hAnsi="宋体" w:eastAsia="宋体" w:cs="宋体"/>
          <w:color w:val="auto"/>
          <w:sz w:val="24"/>
          <w:szCs w:val="20"/>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br w:type="page"/>
      </w:r>
    </w:p>
    <w:p>
      <w:pPr>
        <w:spacing w:line="320" w:lineRule="exact"/>
        <w:jc w:val="center"/>
        <w:rPr>
          <w:rFonts w:hint="eastAsia" w:ascii="宋体" w:hAnsi="宋体" w:eastAsia="宋体" w:cs="宋体"/>
          <w:b/>
          <w:color w:val="auto"/>
          <w:sz w:val="32"/>
          <w:szCs w:val="32"/>
          <w:highlight w:val="none"/>
        </w:rPr>
      </w:pPr>
    </w:p>
    <w:p>
      <w:pPr>
        <w:pStyle w:val="13"/>
        <w:spacing w:before="150" w:line="219" w:lineRule="auto"/>
        <w:jc w:val="center"/>
        <w:rPr>
          <w:rFonts w:hint="eastAsia" w:ascii="宋体" w:hAnsi="宋体" w:eastAsia="宋体" w:cs="宋体"/>
          <w:color w:val="auto"/>
          <w:sz w:val="21"/>
          <w:highlight w:val="none"/>
        </w:rPr>
      </w:pPr>
      <w:r>
        <w:rPr>
          <w:rFonts w:hint="eastAsia" w:ascii="宋体" w:hAnsi="宋体" w:eastAsia="宋体" w:cs="宋体"/>
          <w:b/>
          <w:bCs/>
          <w:color w:val="auto"/>
          <w:spacing w:val="-3"/>
          <w:sz w:val="32"/>
          <w:szCs w:val="32"/>
          <w:highlight w:val="none"/>
        </w:rPr>
        <w:t>政府采购供应商信用承诺函(格式)</w:t>
      </w:r>
    </w:p>
    <w:p>
      <w:pPr>
        <w:spacing w:line="245"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致(采购人或采购代理机构):</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供应商地址：</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我单位具有符合采购文件资格要求独立承担民事责任的能力。</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我单位具有符合采购文件资格要求的财务状况报告。</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我单位具有符合采购文件资格要求的依法缴纳税收和社会保障记录的良好记录。</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我单位具有符合采购文件资格要求履行合同所必需的设备和专业技术能力。</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参加政府采购活动前三年内，在经营活动中没有重大违法记录。</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若我单位承诺不实，自愿承担提供虚假材料谋取中标、成交的法律责任。</w:t>
      </w:r>
    </w:p>
    <w:p>
      <w:pPr>
        <w:spacing w:line="360" w:lineRule="auto"/>
        <w:contextualSpacing/>
        <w:jc w:val="left"/>
        <w:rPr>
          <w:rFonts w:hint="eastAsia" w:ascii="宋体" w:hAnsi="宋体" w:eastAsia="宋体" w:cs="宋体"/>
          <w:color w:val="auto"/>
          <w:sz w:val="24"/>
          <w:highlight w:val="none"/>
        </w:rPr>
      </w:pPr>
    </w:p>
    <w:p>
      <w:pPr>
        <w:spacing w:line="360" w:lineRule="auto"/>
        <w:contextualSpacing/>
        <w:jc w:val="left"/>
        <w:rPr>
          <w:rFonts w:hint="eastAsia" w:ascii="宋体" w:hAnsi="宋体" w:eastAsia="宋体" w:cs="宋体"/>
          <w:color w:val="auto"/>
          <w:sz w:val="24"/>
          <w:highlight w:val="none"/>
        </w:rPr>
      </w:pPr>
    </w:p>
    <w:p>
      <w:pPr>
        <w:spacing w:line="360" w:lineRule="auto"/>
        <w:ind w:right="480"/>
        <w:contextualSpacing/>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法定代表人或者委托代理人签字：</w:t>
      </w:r>
      <w:r>
        <w:rPr>
          <w:rFonts w:hint="eastAsia" w:ascii="宋体" w:hAnsi="宋体" w:eastAsia="宋体" w:cs="宋体"/>
          <w:color w:val="auto"/>
          <w:sz w:val="24"/>
          <w:highlight w:val="none"/>
          <w:u w:val="single"/>
        </w:rPr>
        <w:t xml:space="preserve">                    </w:t>
      </w:r>
    </w:p>
    <w:p>
      <w:pPr>
        <w:spacing w:line="360" w:lineRule="auto"/>
        <w:ind w:right="480" w:firstLine="3000" w:firstLineChars="125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供应商（盖公章 ）： </w:t>
      </w:r>
      <w:r>
        <w:rPr>
          <w:rFonts w:hint="eastAsia" w:ascii="宋体" w:hAnsi="宋体" w:eastAsia="宋体" w:cs="宋体"/>
          <w:color w:val="auto"/>
          <w:sz w:val="24"/>
          <w:highlight w:val="none"/>
          <w:u w:val="single"/>
        </w:rPr>
        <w:t xml:space="preserve">                              </w:t>
      </w:r>
    </w:p>
    <w:p>
      <w:pPr>
        <w:spacing w:line="360" w:lineRule="auto"/>
        <w:ind w:right="480" w:firstLine="5280" w:firstLineChars="2200"/>
        <w:contextualSpacing/>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年    月    日</w:t>
      </w:r>
    </w:p>
    <w:p>
      <w:pPr>
        <w:spacing w:line="360" w:lineRule="auto"/>
        <w:contextualSpacing/>
        <w:jc w:val="left"/>
        <w:rPr>
          <w:rFonts w:hint="eastAsia" w:ascii="宋体" w:hAnsi="宋体" w:eastAsia="宋体" w:cs="宋体"/>
          <w:color w:val="auto"/>
          <w:sz w:val="24"/>
          <w:highlight w:val="none"/>
        </w:rPr>
      </w:pPr>
    </w:p>
    <w:p>
      <w:pPr>
        <w:spacing w:line="360" w:lineRule="auto"/>
        <w:ind w:firstLine="480" w:firstLineChars="200"/>
        <w:contextualSpacing/>
        <w:jc w:val="left"/>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pacing w:line="400" w:lineRule="exact"/>
        <w:ind w:firstLine="480" w:firstLineChars="200"/>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注：1.供应商须在投标(响应)文件中按此模板提供承诺函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未提供视为未实质性响应招标(采购)文件要求，按无效投标(响应)处理。</w:t>
      </w:r>
    </w:p>
    <w:p>
      <w:pPr>
        <w:snapToGrid w:val="0"/>
        <w:spacing w:beforeLines="50" w:after="50"/>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供应商的法定代表人(其他组织的为负责人)或者授权代表的签名或盖章应真实、有效，如由授权代表签名或盖章的，应提供“法定代表人授权书”。</w:t>
      </w: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供应商直接控股、管理关系信息表</w:t>
      </w:r>
    </w:p>
    <w:p>
      <w:pPr>
        <w:snapToGrid w:val="0"/>
        <w:spacing w:beforeLines="50" w:after="50"/>
        <w:jc w:val="center"/>
        <w:rPr>
          <w:rFonts w:hint="eastAsia" w:ascii="宋体" w:hAnsi="宋体" w:eastAsia="宋体" w:cs="宋体"/>
          <w:b/>
          <w:color w:val="auto"/>
          <w:sz w:val="24"/>
          <w:highlight w:val="none"/>
        </w:rPr>
      </w:pPr>
    </w:p>
    <w:p>
      <w:pPr>
        <w:snapToGrid w:val="0"/>
        <w:spacing w:beforeLines="50" w:after="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供应商直接控股股东信息表</w:t>
      </w:r>
    </w:p>
    <w:p>
      <w:pPr>
        <w:snapToGrid w:val="0"/>
        <w:spacing w:before="50" w:afterLines="50"/>
        <w:jc w:val="center"/>
        <w:rPr>
          <w:rFonts w:hint="eastAsia" w:ascii="宋体" w:hAnsi="宋体" w:eastAsia="宋体" w:cs="宋体"/>
          <w:b/>
          <w:color w:val="auto"/>
          <w:sz w:val="24"/>
          <w:highlight w:val="none"/>
        </w:rPr>
      </w:pPr>
    </w:p>
    <w:tbl>
      <w:tblPr>
        <w:tblStyle w:val="26"/>
        <w:tblW w:w="9954" w:type="dxa"/>
        <w:jc w:val="center"/>
        <w:shd w:val="clear" w:color="auto" w:fill="FBFBFB"/>
        <w:tblLayout w:type="fixed"/>
        <w:tblCellMar>
          <w:top w:w="0" w:type="dxa"/>
          <w:left w:w="0" w:type="dxa"/>
          <w:bottom w:w="0" w:type="dxa"/>
          <w:right w:w="0" w:type="dxa"/>
        </w:tblCellMar>
      </w:tblPr>
      <w:tblGrid>
        <w:gridCol w:w="1008"/>
        <w:gridCol w:w="2334"/>
        <w:gridCol w:w="1455"/>
        <w:gridCol w:w="4287"/>
        <w:gridCol w:w="870"/>
      </w:tblGrid>
      <w:tr>
        <w:tblPrEx>
          <w:shd w:val="clear" w:color="auto" w:fill="FBFBFB"/>
          <w:tblCellMar>
            <w:top w:w="0" w:type="dxa"/>
            <w:left w:w="0" w:type="dxa"/>
            <w:bottom w:w="0" w:type="dxa"/>
            <w:right w:w="0" w:type="dxa"/>
          </w:tblCellMar>
        </w:tblPrEx>
        <w:trPr>
          <w:tblHeader/>
          <w:jc w:val="center"/>
        </w:trPr>
        <w:tc>
          <w:tcPr>
            <w:tcW w:w="100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33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10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3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10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3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10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33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10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33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bl>
    <w:p>
      <w:pPr>
        <w:spacing w:line="360" w:lineRule="auto"/>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pPr>
        <w:spacing w:line="360" w:lineRule="auto"/>
        <w:ind w:firstLine="420" w:firstLineChars="200"/>
        <w:contextualSpacing/>
        <w:jc w:val="left"/>
        <w:rPr>
          <w:rFonts w:hint="eastAsia" w:ascii="宋体" w:hAnsi="宋体" w:eastAsia="宋体" w:cs="宋体"/>
          <w:color w:val="auto"/>
          <w:szCs w:val="21"/>
          <w:highlight w:val="none"/>
        </w:rPr>
      </w:pPr>
    </w:p>
    <w:p>
      <w:pPr>
        <w:spacing w:line="360" w:lineRule="auto"/>
        <w:ind w:firstLine="560" w:firstLineChars="200"/>
        <w:contextualSpacing/>
        <w:jc w:val="left"/>
        <w:rPr>
          <w:rFonts w:hint="eastAsia" w:ascii="宋体" w:hAnsi="宋体" w:eastAsia="宋体" w:cs="宋体"/>
          <w:color w:val="auto"/>
          <w:sz w:val="28"/>
          <w:szCs w:val="28"/>
          <w:highlight w:val="none"/>
        </w:rPr>
      </w:pPr>
    </w:p>
    <w:p>
      <w:pPr>
        <w:spacing w:line="360" w:lineRule="auto"/>
        <w:ind w:right="480"/>
        <w:contextualSpacing/>
        <w:jc w:val="center"/>
        <w:rPr>
          <w:rFonts w:hint="eastAsia" w:ascii="宋体" w:hAnsi="宋体" w:eastAsia="宋体" w:cs="宋体"/>
          <w:color w:val="auto"/>
          <w:sz w:val="24"/>
          <w:highlight w:val="none"/>
          <w:u w:val="single"/>
        </w:rPr>
      </w:pPr>
    </w:p>
    <w:p>
      <w:pPr>
        <w:spacing w:line="360" w:lineRule="auto"/>
        <w:ind w:right="480" w:firstLine="4440" w:firstLineChars="185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供应商（电子签章 ）： </w:t>
      </w:r>
    </w:p>
    <w:p>
      <w:pPr>
        <w:spacing w:line="360" w:lineRule="auto"/>
        <w:ind w:right="480" w:firstLine="5280" w:firstLineChars="2200"/>
        <w:contextualSpacing/>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年    月    日</w:t>
      </w:r>
    </w:p>
    <w:p>
      <w:pPr>
        <w:spacing w:line="320" w:lineRule="exact"/>
        <w:jc w:val="center"/>
        <w:rPr>
          <w:rFonts w:hint="eastAsia" w:ascii="宋体" w:hAnsi="宋体" w:eastAsia="宋体" w:cs="宋体"/>
          <w:b/>
          <w:color w:val="auto"/>
          <w:sz w:val="32"/>
          <w:szCs w:val="32"/>
          <w:highlight w:val="none"/>
        </w:rPr>
      </w:pPr>
    </w:p>
    <w:p>
      <w:pPr>
        <w:spacing w:line="320" w:lineRule="exact"/>
        <w:jc w:val="center"/>
        <w:rPr>
          <w:rFonts w:hint="eastAsia" w:ascii="宋体" w:hAnsi="宋体" w:eastAsia="宋体" w:cs="宋体"/>
          <w:b/>
          <w:color w:val="auto"/>
          <w:sz w:val="32"/>
          <w:szCs w:val="32"/>
          <w:highlight w:val="none"/>
        </w:rPr>
      </w:pPr>
    </w:p>
    <w:p>
      <w:pPr>
        <w:spacing w:line="320" w:lineRule="exact"/>
        <w:jc w:val="center"/>
        <w:rPr>
          <w:rFonts w:hint="eastAsia" w:ascii="宋体" w:hAnsi="宋体" w:eastAsia="宋体" w:cs="宋体"/>
          <w:b/>
          <w:color w:val="auto"/>
          <w:sz w:val="32"/>
          <w:szCs w:val="32"/>
          <w:highlight w:val="none"/>
        </w:rPr>
      </w:pPr>
    </w:p>
    <w:p>
      <w:pPr>
        <w:spacing w:line="320" w:lineRule="exact"/>
        <w:jc w:val="center"/>
        <w:rPr>
          <w:rFonts w:hint="eastAsia" w:ascii="宋体" w:hAnsi="宋体" w:eastAsia="宋体" w:cs="宋体"/>
          <w:b/>
          <w:color w:val="auto"/>
          <w:sz w:val="32"/>
          <w:szCs w:val="32"/>
          <w:highlight w:val="none"/>
        </w:rPr>
      </w:pPr>
    </w:p>
    <w:p>
      <w:pPr>
        <w:spacing w:line="320" w:lineRule="exact"/>
        <w:jc w:val="center"/>
        <w:rPr>
          <w:rFonts w:hint="eastAsia" w:ascii="宋体" w:hAnsi="宋体" w:eastAsia="宋体" w:cs="宋体"/>
          <w:b/>
          <w:color w:val="auto"/>
          <w:sz w:val="32"/>
          <w:szCs w:val="32"/>
          <w:highlight w:val="none"/>
        </w:rPr>
      </w:pPr>
    </w:p>
    <w:p>
      <w:pPr>
        <w:pStyle w:val="23"/>
        <w:rPr>
          <w:rFonts w:hint="eastAsia" w:ascii="宋体" w:hAnsi="宋体" w:eastAsia="宋体" w:cs="宋体"/>
          <w:color w:val="auto"/>
          <w:highlight w:val="none"/>
        </w:rPr>
      </w:pPr>
    </w:p>
    <w:p>
      <w:pPr>
        <w:spacing w:line="320" w:lineRule="exact"/>
        <w:jc w:val="center"/>
        <w:rPr>
          <w:rFonts w:hint="eastAsia" w:ascii="宋体" w:hAnsi="宋体" w:eastAsia="宋体" w:cs="宋体"/>
          <w:b/>
          <w:color w:val="auto"/>
          <w:sz w:val="32"/>
          <w:szCs w:val="32"/>
          <w:highlight w:val="none"/>
        </w:rPr>
      </w:pPr>
    </w:p>
    <w:p>
      <w:pPr>
        <w:snapToGrid w:val="0"/>
        <w:jc w:val="center"/>
        <w:rPr>
          <w:rFonts w:hint="eastAsia" w:ascii="宋体" w:hAnsi="宋体" w:eastAsia="宋体" w:cs="宋体"/>
          <w:b/>
          <w:color w:val="auto"/>
          <w:sz w:val="28"/>
          <w:szCs w:val="28"/>
          <w:highlight w:val="none"/>
        </w:rPr>
      </w:pPr>
    </w:p>
    <w:p>
      <w:pPr>
        <w:snapToGrid w:val="0"/>
        <w:jc w:val="center"/>
        <w:rPr>
          <w:rFonts w:hint="eastAsia" w:ascii="宋体" w:hAnsi="宋体" w:eastAsia="宋体" w:cs="宋体"/>
          <w:b/>
          <w:color w:val="auto"/>
          <w:sz w:val="28"/>
          <w:szCs w:val="28"/>
          <w:highlight w:val="none"/>
        </w:rPr>
      </w:pPr>
    </w:p>
    <w:p>
      <w:pPr>
        <w:snapToGrid w:val="0"/>
        <w:jc w:val="center"/>
        <w:rPr>
          <w:rFonts w:hint="eastAsia" w:ascii="宋体" w:hAnsi="宋体" w:eastAsia="宋体" w:cs="宋体"/>
          <w:b/>
          <w:color w:val="auto"/>
          <w:sz w:val="28"/>
          <w:szCs w:val="28"/>
          <w:highlight w:val="none"/>
        </w:rPr>
      </w:pPr>
    </w:p>
    <w:p>
      <w:pPr>
        <w:snapToGrid w:val="0"/>
        <w:spacing w:beforeLines="50" w:after="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供应商直接管理关系信息表</w:t>
      </w:r>
    </w:p>
    <w:p>
      <w:pPr>
        <w:snapToGrid w:val="0"/>
        <w:spacing w:line="360" w:lineRule="auto"/>
        <w:jc w:val="center"/>
        <w:rPr>
          <w:rFonts w:hint="eastAsia" w:ascii="宋体" w:hAnsi="宋体" w:eastAsia="宋体" w:cs="宋体"/>
          <w:b/>
          <w:color w:val="auto"/>
          <w:sz w:val="24"/>
          <w:highlight w:val="none"/>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bl>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pPr>
        <w:spacing w:line="360" w:lineRule="auto"/>
        <w:contextualSpacing/>
        <w:jc w:val="left"/>
        <w:rPr>
          <w:rFonts w:hint="eastAsia" w:ascii="宋体" w:hAnsi="宋体" w:eastAsia="宋体" w:cs="宋体"/>
          <w:color w:val="auto"/>
          <w:sz w:val="24"/>
          <w:highlight w:val="none"/>
        </w:rPr>
      </w:pPr>
    </w:p>
    <w:p>
      <w:pPr>
        <w:spacing w:line="360" w:lineRule="auto"/>
        <w:contextualSpacing/>
        <w:jc w:val="left"/>
        <w:rPr>
          <w:rFonts w:hint="eastAsia" w:ascii="宋体" w:hAnsi="宋体" w:eastAsia="宋体" w:cs="宋体"/>
          <w:color w:val="auto"/>
          <w:sz w:val="24"/>
          <w:highlight w:val="none"/>
        </w:rPr>
      </w:pPr>
    </w:p>
    <w:p>
      <w:pPr>
        <w:spacing w:line="360" w:lineRule="auto"/>
        <w:contextualSpacing/>
        <w:jc w:val="left"/>
        <w:rPr>
          <w:rFonts w:hint="eastAsia" w:ascii="宋体" w:hAnsi="宋体" w:eastAsia="宋体" w:cs="宋体"/>
          <w:color w:val="auto"/>
          <w:sz w:val="24"/>
          <w:highlight w:val="none"/>
        </w:rPr>
      </w:pPr>
    </w:p>
    <w:p>
      <w:pPr>
        <w:spacing w:line="360" w:lineRule="auto"/>
        <w:contextualSpacing/>
        <w:jc w:val="left"/>
        <w:rPr>
          <w:rFonts w:hint="eastAsia" w:ascii="宋体" w:hAnsi="宋体" w:eastAsia="宋体" w:cs="宋体"/>
          <w:color w:val="auto"/>
          <w:sz w:val="24"/>
          <w:highlight w:val="none"/>
        </w:rPr>
      </w:pPr>
    </w:p>
    <w:p>
      <w:pPr>
        <w:spacing w:line="360" w:lineRule="auto"/>
        <w:contextualSpacing/>
        <w:jc w:val="left"/>
        <w:rPr>
          <w:rFonts w:hint="eastAsia" w:ascii="宋体" w:hAnsi="宋体" w:eastAsia="宋体" w:cs="宋体"/>
          <w:color w:val="auto"/>
          <w:sz w:val="24"/>
          <w:highlight w:val="none"/>
        </w:rPr>
      </w:pPr>
    </w:p>
    <w:p>
      <w:pPr>
        <w:spacing w:line="360" w:lineRule="auto"/>
        <w:contextualSpacing/>
        <w:jc w:val="left"/>
        <w:rPr>
          <w:rFonts w:hint="eastAsia" w:ascii="宋体" w:hAnsi="宋体" w:eastAsia="宋体" w:cs="宋体"/>
          <w:color w:val="auto"/>
          <w:sz w:val="24"/>
          <w:highlight w:val="none"/>
        </w:rPr>
      </w:pPr>
    </w:p>
    <w:p>
      <w:pPr>
        <w:spacing w:line="360" w:lineRule="auto"/>
        <w:ind w:right="480" w:firstLine="4680" w:firstLineChars="195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供应商（电子签章 ）： </w:t>
      </w:r>
    </w:p>
    <w:p>
      <w:pPr>
        <w:spacing w:line="360" w:lineRule="auto"/>
        <w:ind w:right="480" w:firstLine="5280" w:firstLineChars="2200"/>
        <w:contextualSpacing/>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年    月    日</w:t>
      </w:r>
    </w:p>
    <w:p>
      <w:pPr>
        <w:spacing w:line="360" w:lineRule="auto"/>
        <w:ind w:right="480" w:firstLine="280" w:firstLineChars="100"/>
        <w:contextualSpacing/>
        <w:jc w:val="center"/>
        <w:rPr>
          <w:rFonts w:hint="eastAsia" w:ascii="宋体" w:hAnsi="宋体" w:eastAsia="宋体" w:cs="宋体"/>
          <w:color w:val="auto"/>
          <w:sz w:val="28"/>
          <w:szCs w:val="28"/>
          <w:highlight w:val="none"/>
        </w:rPr>
      </w:pPr>
    </w:p>
    <w:p>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br w:type="page"/>
      </w:r>
    </w:p>
    <w:p>
      <w:pPr>
        <w:spacing w:line="320" w:lineRule="exact"/>
        <w:jc w:val="center"/>
        <w:rPr>
          <w:rFonts w:hint="eastAsia" w:ascii="宋体" w:hAnsi="宋体" w:eastAsia="宋体" w:cs="宋体"/>
          <w:b/>
          <w:color w:val="auto"/>
          <w:sz w:val="32"/>
          <w:szCs w:val="32"/>
          <w:highlight w:val="none"/>
        </w:rPr>
      </w:pPr>
    </w:p>
    <w:p>
      <w:pPr>
        <w:spacing w:line="320" w:lineRule="exact"/>
        <w:jc w:val="center"/>
        <w:rPr>
          <w:rFonts w:hint="eastAsia" w:ascii="宋体" w:hAnsi="宋体" w:eastAsia="宋体" w:cs="宋体"/>
          <w:b/>
          <w:color w:val="auto"/>
          <w:sz w:val="32"/>
          <w:szCs w:val="32"/>
          <w:highlight w:val="none"/>
        </w:rPr>
      </w:pPr>
    </w:p>
    <w:p>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竞标声明</w:t>
      </w:r>
    </w:p>
    <w:p>
      <w:pPr>
        <w:spacing w:line="320" w:lineRule="exact"/>
        <w:jc w:val="center"/>
        <w:rPr>
          <w:rFonts w:hint="eastAsia" w:ascii="宋体" w:hAnsi="宋体" w:eastAsia="宋体" w:cs="宋体"/>
          <w:color w:val="auto"/>
          <w:sz w:val="24"/>
          <w:szCs w:val="20"/>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p>
    <w:p>
      <w:pPr>
        <w:pStyle w:val="19"/>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7.与本磋商有关的一切正式往来信函请寄：邮政编号：</w:t>
      </w:r>
    </w:p>
    <w:p>
      <w:pPr>
        <w:pStyle w:val="19"/>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 电子函件：</w:t>
      </w:r>
    </w:p>
    <w:p>
      <w:pPr>
        <w:pStyle w:val="18"/>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帐号：</w:t>
      </w:r>
    </w:p>
    <w:p>
      <w:pPr>
        <w:pStyle w:val="18"/>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pPr>
        <w:pStyle w:val="18"/>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pStyle w:val="18"/>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pPr>
        <w:pStyle w:val="18"/>
        <w:tabs>
          <w:tab w:val="left" w:pos="939"/>
        </w:tabs>
        <w:spacing w:line="360" w:lineRule="auto"/>
        <w:ind w:left="0" w:leftChars="0" w:firstLine="480" w:firstLineChars="200"/>
        <w:rPr>
          <w:rFonts w:hint="eastAsia" w:ascii="宋体" w:hAnsi="宋体" w:eastAsia="宋体" w:cs="宋体"/>
          <w:color w:val="auto"/>
          <w:sz w:val="24"/>
          <w:highlight w:val="none"/>
        </w:rPr>
      </w:pPr>
    </w:p>
    <w:p>
      <w:pPr>
        <w:spacing w:line="360" w:lineRule="auto"/>
        <w:ind w:firstLine="4320" w:firstLineChars="18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供应商(电子签章)：</w:t>
      </w:r>
    </w:p>
    <w:p>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年    月    日</w:t>
      </w:r>
    </w:p>
    <w:p>
      <w:pPr>
        <w:pStyle w:val="2"/>
        <w:overflowPunct w:val="0"/>
        <w:spacing w:line="520" w:lineRule="exact"/>
        <w:ind w:firstLine="0"/>
        <w:rPr>
          <w:rFonts w:hint="eastAsia" w:ascii="宋体" w:hAnsi="宋体" w:eastAsia="宋体" w:cs="宋体"/>
          <w:b/>
          <w:bCs/>
          <w:color w:val="auto"/>
          <w:sz w:val="32"/>
          <w:szCs w:val="32"/>
          <w:highlight w:val="none"/>
        </w:rPr>
      </w:pPr>
    </w:p>
    <w:p>
      <w:pPr>
        <w:snapToGrid w:val="0"/>
        <w:spacing w:beforeLines="50" w:after="50" w:line="360" w:lineRule="auto"/>
        <w:ind w:right="480" w:firstLine="321" w:firstLineChars="100"/>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报价商务技术文件格式</w:t>
      </w:r>
    </w:p>
    <w:p>
      <w:pPr>
        <w:snapToGrid w:val="0"/>
        <w:spacing w:beforeLines="50" w:after="50"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1.报价商务技术文件封面格式</w:t>
      </w:r>
    </w:p>
    <w:p>
      <w:pPr>
        <w:snapToGrid w:val="0"/>
        <w:spacing w:beforeLines="50" w:after="5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电子响应文件</w:t>
      </w:r>
    </w:p>
    <w:p>
      <w:pPr>
        <w:snapToGrid w:val="0"/>
        <w:spacing w:beforeLines="50" w:after="50"/>
        <w:rPr>
          <w:rFonts w:hint="eastAsia" w:ascii="宋体" w:hAnsi="宋体" w:eastAsia="宋体" w:cs="宋体"/>
          <w:color w:val="auto"/>
          <w:sz w:val="24"/>
          <w:szCs w:val="20"/>
          <w:highlight w:val="none"/>
        </w:rPr>
      </w:pPr>
    </w:p>
    <w:p>
      <w:pPr>
        <w:snapToGrid w:val="0"/>
        <w:spacing w:beforeLines="50" w:after="50"/>
        <w:rPr>
          <w:rFonts w:hint="eastAsia" w:ascii="宋体" w:hAnsi="宋体" w:eastAsia="宋体" w:cs="宋体"/>
          <w:color w:val="auto"/>
          <w:sz w:val="24"/>
          <w:szCs w:val="20"/>
          <w:highlight w:val="none"/>
        </w:rPr>
      </w:pPr>
    </w:p>
    <w:p>
      <w:pPr>
        <w:snapToGrid w:val="0"/>
        <w:spacing w:beforeLines="50" w:after="50"/>
        <w:rPr>
          <w:rFonts w:hint="eastAsia" w:ascii="宋体" w:hAnsi="宋体" w:eastAsia="宋体" w:cs="宋体"/>
          <w:color w:val="auto"/>
          <w:sz w:val="24"/>
          <w:szCs w:val="20"/>
          <w:highlight w:val="none"/>
        </w:rPr>
      </w:pPr>
    </w:p>
    <w:p>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商  务  技  术  文  件</w:t>
      </w:r>
    </w:p>
    <w:p>
      <w:pPr>
        <w:snapToGrid w:val="0"/>
        <w:spacing w:beforeLines="50" w:after="50"/>
        <w:rPr>
          <w:rFonts w:hint="eastAsia" w:ascii="宋体" w:hAnsi="宋体" w:eastAsia="宋体" w:cs="宋体"/>
          <w:bCs/>
          <w:color w:val="auto"/>
          <w:sz w:val="24"/>
          <w:szCs w:val="20"/>
          <w:highlight w:val="none"/>
        </w:rPr>
      </w:pPr>
    </w:p>
    <w:p>
      <w:pPr>
        <w:snapToGrid w:val="0"/>
        <w:spacing w:beforeLines="50" w:after="50"/>
        <w:rPr>
          <w:rFonts w:hint="eastAsia" w:ascii="宋体" w:hAnsi="宋体" w:eastAsia="宋体" w:cs="宋体"/>
          <w:bCs/>
          <w:color w:val="auto"/>
          <w:sz w:val="24"/>
          <w:szCs w:val="20"/>
          <w:highlight w:val="none"/>
        </w:rPr>
      </w:pPr>
    </w:p>
    <w:p>
      <w:pPr>
        <w:snapToGrid w:val="0"/>
        <w:spacing w:beforeLines="50" w:after="50"/>
        <w:rPr>
          <w:rFonts w:hint="eastAsia" w:ascii="宋体" w:hAnsi="宋体" w:eastAsia="宋体" w:cs="宋体"/>
          <w:bCs/>
          <w:color w:val="auto"/>
          <w:sz w:val="24"/>
          <w:szCs w:val="20"/>
          <w:highlight w:val="none"/>
        </w:rPr>
      </w:pPr>
    </w:p>
    <w:p>
      <w:pPr>
        <w:snapToGrid w:val="0"/>
        <w:spacing w:beforeLines="50" w:after="50"/>
        <w:rPr>
          <w:rFonts w:hint="eastAsia" w:ascii="宋体" w:hAnsi="宋体" w:eastAsia="宋体" w:cs="宋体"/>
          <w:bCs/>
          <w:color w:val="auto"/>
          <w:sz w:val="24"/>
          <w:szCs w:val="20"/>
          <w:highlight w:val="none"/>
        </w:rPr>
      </w:pPr>
    </w:p>
    <w:p>
      <w:pPr>
        <w:snapToGrid w:val="0"/>
        <w:spacing w:beforeLines="50" w:after="50"/>
        <w:rPr>
          <w:rFonts w:hint="eastAsia" w:ascii="宋体" w:hAnsi="宋体" w:eastAsia="宋体" w:cs="宋体"/>
          <w:bCs/>
          <w:color w:val="auto"/>
          <w:sz w:val="24"/>
          <w:szCs w:val="20"/>
          <w:highlight w:val="none"/>
        </w:rPr>
      </w:pPr>
    </w:p>
    <w:p>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Lines="50" w:after="50"/>
        <w:ind w:firstLine="720" w:firstLineChars="225"/>
        <w:rPr>
          <w:rFonts w:hint="eastAsia" w:ascii="宋体" w:hAnsi="宋体" w:eastAsia="宋体" w:cs="宋体"/>
          <w:bCs/>
          <w:color w:val="auto"/>
          <w:sz w:val="32"/>
          <w:szCs w:val="32"/>
          <w:highlight w:val="none"/>
        </w:rPr>
      </w:pPr>
    </w:p>
    <w:p>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Lines="50" w:after="50"/>
        <w:ind w:firstLine="720" w:firstLineChars="225"/>
        <w:rPr>
          <w:rFonts w:hint="eastAsia" w:ascii="宋体" w:hAnsi="宋体" w:eastAsia="宋体" w:cs="宋体"/>
          <w:bCs/>
          <w:color w:val="auto"/>
          <w:sz w:val="32"/>
          <w:szCs w:val="32"/>
          <w:highlight w:val="none"/>
        </w:rPr>
      </w:pPr>
    </w:p>
    <w:p>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Lines="50" w:after="50"/>
        <w:ind w:firstLine="720" w:firstLineChars="225"/>
        <w:rPr>
          <w:rFonts w:hint="eastAsia" w:ascii="宋体" w:hAnsi="宋体" w:eastAsia="宋体" w:cs="宋体"/>
          <w:bCs/>
          <w:color w:val="auto"/>
          <w:sz w:val="32"/>
          <w:szCs w:val="32"/>
          <w:highlight w:val="none"/>
        </w:rPr>
      </w:pPr>
    </w:p>
    <w:p>
      <w:pPr>
        <w:pStyle w:val="2"/>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2"/>
        <w:snapToGrid w:val="0"/>
        <w:spacing w:before="50" w:after="50"/>
        <w:ind w:firstLine="720" w:firstLineChars="225"/>
        <w:rPr>
          <w:rFonts w:hint="eastAsia" w:ascii="宋体" w:hAnsi="宋体" w:eastAsia="宋体" w:cs="宋体"/>
          <w:bCs/>
          <w:color w:val="auto"/>
          <w:sz w:val="32"/>
          <w:szCs w:val="32"/>
          <w:highlight w:val="none"/>
        </w:rPr>
      </w:pPr>
    </w:p>
    <w:p>
      <w:pPr>
        <w:pStyle w:val="2"/>
        <w:snapToGrid w:val="0"/>
        <w:spacing w:before="50" w:after="50"/>
        <w:ind w:firstLine="720" w:firstLineChars="225"/>
        <w:rPr>
          <w:rFonts w:hint="eastAsia" w:ascii="宋体" w:hAnsi="宋体" w:eastAsia="宋体" w:cs="宋体"/>
          <w:bCs/>
          <w:color w:val="auto"/>
          <w:sz w:val="32"/>
          <w:szCs w:val="32"/>
          <w:highlight w:val="none"/>
        </w:rPr>
      </w:pPr>
    </w:p>
    <w:p>
      <w:pPr>
        <w:pStyle w:val="2"/>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Lines="50" w:after="50" w:line="360" w:lineRule="auto"/>
        <w:ind w:left="142"/>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2.报价商务技术文件目录</w:t>
      </w:r>
    </w:p>
    <w:p>
      <w:pPr>
        <w:snapToGrid w:val="0"/>
        <w:spacing w:beforeLines="50" w:after="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pPr>
        <w:spacing w:line="400" w:lineRule="exact"/>
        <w:rPr>
          <w:rFonts w:hint="eastAsia" w:ascii="宋体" w:hAnsi="宋体" w:eastAsia="宋体" w:cs="宋体"/>
          <w:color w:val="auto"/>
          <w:sz w:val="32"/>
          <w:szCs w:val="32"/>
          <w:highlight w:val="none"/>
        </w:rPr>
      </w:pPr>
    </w:p>
    <w:p>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无串通竞标行为的承诺函</w:t>
      </w:r>
    </w:p>
    <w:p>
      <w:pPr>
        <w:spacing w:line="360" w:lineRule="auto"/>
        <w:ind w:firstLine="640" w:firstLineChars="200"/>
        <w:contextualSpacing/>
        <w:rPr>
          <w:rFonts w:hint="eastAsia" w:ascii="宋体" w:hAnsi="宋体" w:eastAsia="宋体" w:cs="宋体"/>
          <w:color w:val="auto"/>
          <w:sz w:val="32"/>
          <w:szCs w:val="32"/>
          <w:highlight w:val="none"/>
        </w:rPr>
      </w:pP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eastAsia="宋体" w:cs="宋体"/>
          <w:color w:val="auto"/>
          <w:sz w:val="24"/>
          <w:highlight w:val="none"/>
        </w:rPr>
      </w:pP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pPr>
        <w:spacing w:line="360" w:lineRule="auto"/>
        <w:contextualSpacing/>
        <w:rPr>
          <w:rFonts w:hint="eastAsia" w:ascii="宋体" w:hAnsi="宋体" w:eastAsia="宋体" w:cs="宋体"/>
          <w:color w:val="auto"/>
          <w:sz w:val="24"/>
          <w:highlight w:val="none"/>
        </w:rPr>
      </w:pPr>
    </w:p>
    <w:p>
      <w:pPr>
        <w:spacing w:line="360" w:lineRule="auto"/>
        <w:ind w:firstLine="3600" w:firstLineChars="15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供应商(电子签章)：</w:t>
      </w:r>
    </w:p>
    <w:p>
      <w:pPr>
        <w:spacing w:line="360" w:lineRule="auto"/>
        <w:ind w:firstLine="480" w:firstLineChars="200"/>
        <w:contextualSpacing/>
        <w:jc w:val="cente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 xml:space="preserve">                               年   月   日</w:t>
      </w:r>
    </w:p>
    <w:p>
      <w:pPr>
        <w:spacing w:line="52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rPr>
        <w:t>竞  标  报  价  表</w:t>
      </w:r>
    </w:p>
    <w:p>
      <w:pPr>
        <w:spacing w:line="440" w:lineRule="exact"/>
        <w:jc w:val="center"/>
        <w:rPr>
          <w:rFonts w:hint="eastAsia" w:ascii="宋体" w:hAnsi="宋体" w:eastAsia="宋体" w:cs="宋体"/>
          <w:bCs/>
          <w:color w:val="auto"/>
          <w:sz w:val="32"/>
          <w:szCs w:val="32"/>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项目名称：项目编号：</w:t>
      </w: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分标（如有）：</w:t>
      </w: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单位：元</w:t>
      </w:r>
    </w:p>
    <w:tbl>
      <w:tblPr>
        <w:tblStyle w:val="26"/>
        <w:tblW w:w="941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925"/>
        <w:gridCol w:w="1204"/>
        <w:gridCol w:w="1188"/>
        <w:gridCol w:w="222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120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222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jc w:val="right"/>
        </w:trPr>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eastAsia="宋体" w:cs="宋体"/>
                <w:color w:val="auto"/>
                <w:sz w:val="24"/>
                <w:highlight w:val="none"/>
              </w:rPr>
            </w:pPr>
          </w:p>
        </w:tc>
        <w:tc>
          <w:tcPr>
            <w:tcW w:w="2220"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eastAsia="宋体" w:cs="宋体"/>
                <w:color w:val="auto"/>
                <w:sz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jc w:val="right"/>
        </w:trPr>
        <w:tc>
          <w:tcPr>
            <w:tcW w:w="941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合计金额大写：</w:t>
            </w:r>
            <w:r>
              <w:rPr>
                <w:rFonts w:hint="eastAsia" w:ascii="宋体" w:hAnsi="宋体" w:eastAsia="宋体" w:cs="宋体"/>
                <w:color w:val="auto"/>
                <w:sz w:val="24"/>
                <w:highlight w:val="none"/>
                <w:u w:val="single"/>
              </w:rPr>
              <w:t>人民币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p>
        </w:tc>
      </w:tr>
    </w:tbl>
    <w:p>
      <w:pPr>
        <w:spacing w:line="360" w:lineRule="auto"/>
        <w:contextualSpacing/>
        <w:jc w:val="left"/>
        <w:rPr>
          <w:rFonts w:hint="eastAsia" w:ascii="宋体" w:hAnsi="宋体" w:eastAsia="宋体" w:cs="宋体"/>
          <w:color w:val="auto"/>
          <w:sz w:val="24"/>
          <w:highlight w:val="none"/>
        </w:rPr>
      </w:pPr>
    </w:p>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1.供应商的报价表必须加盖供应商公章并由法定代表人或者委托代理人签字，</w:t>
      </w:r>
      <w:r>
        <w:rPr>
          <w:rFonts w:hint="eastAsia" w:ascii="宋体" w:hAnsi="宋体" w:eastAsia="宋体" w:cs="宋体"/>
          <w:b/>
          <w:color w:val="auto"/>
          <w:sz w:val="24"/>
          <w:highlight w:val="none"/>
        </w:rPr>
        <w:t>否则其响应文件按无效响应处理</w:t>
      </w:r>
      <w:r>
        <w:rPr>
          <w:rFonts w:hint="eastAsia" w:ascii="宋体" w:hAnsi="宋体" w:eastAsia="宋体" w:cs="宋体"/>
          <w:color w:val="auto"/>
          <w:sz w:val="24"/>
          <w:highlight w:val="none"/>
        </w:rPr>
        <w:t>。</w:t>
      </w:r>
    </w:p>
    <w:p>
      <w:pPr>
        <w:spacing w:line="360" w:lineRule="auto"/>
        <w:ind w:firstLine="480" w:firstLineChars="200"/>
        <w:contextualSpacing/>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报价一经涂改，应在涂改处加盖供应商公章或者由法定代表人或者委托代理人签字或者盖章</w:t>
      </w:r>
      <w:r>
        <w:rPr>
          <w:rFonts w:hint="eastAsia" w:ascii="宋体" w:hAnsi="宋体" w:eastAsia="宋体" w:cs="宋体"/>
          <w:b/>
          <w:color w:val="auto"/>
          <w:sz w:val="24"/>
          <w:highlight w:val="none"/>
        </w:rPr>
        <w:t>，否则其响应文件按无效响应处理。</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3.如为联合体竞标，“供应商名称”处必须列明联合体各方名称，标注联合体牵头人名称，</w:t>
      </w:r>
      <w:r>
        <w:rPr>
          <w:rFonts w:hint="eastAsia" w:ascii="宋体" w:hAnsi="宋体" w:eastAsia="宋体" w:cs="宋体"/>
          <w:b/>
          <w:color w:val="auto"/>
          <w:sz w:val="24"/>
          <w:highlight w:val="none"/>
        </w:rPr>
        <w:t>否则其响应文件按无效响应处理。（采购人可根据项目情况自行修改是否需要联合体各方签字盖章）。</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4.如为联合体竞标，盖章处须加盖联合体各方公章，</w:t>
      </w:r>
      <w:bookmarkStart w:id="79" w:name="_Hlk65851776"/>
      <w:r>
        <w:rPr>
          <w:rFonts w:hint="eastAsia" w:ascii="宋体" w:hAnsi="宋体" w:eastAsia="宋体" w:cs="宋体"/>
          <w:b/>
          <w:color w:val="auto"/>
          <w:sz w:val="24"/>
          <w:highlight w:val="none"/>
        </w:rPr>
        <w:t>否则其响应文件按无效响应处理。</w:t>
      </w:r>
      <w:bookmarkEnd w:id="79"/>
      <w:r>
        <w:rPr>
          <w:rFonts w:hint="eastAsia" w:ascii="宋体" w:hAnsi="宋体" w:eastAsia="宋体" w:cs="宋体"/>
          <w:b/>
          <w:color w:val="auto"/>
          <w:sz w:val="24"/>
          <w:highlight w:val="none"/>
        </w:rPr>
        <w:t>（采购人可根据项目情况自行修改是否需要联合体各方签字盖章）。</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6"/>
          <w:sz w:val="24"/>
          <w:highlight w:val="none"/>
        </w:rPr>
        <w:t>如有多分标，分别列明各分标的报价表，</w:t>
      </w:r>
      <w:r>
        <w:rPr>
          <w:rFonts w:hint="eastAsia" w:ascii="宋体" w:hAnsi="宋体" w:eastAsia="宋体" w:cs="宋体"/>
          <w:b/>
          <w:color w:val="auto"/>
          <w:spacing w:val="-6"/>
          <w:sz w:val="24"/>
          <w:highlight w:val="none"/>
        </w:rPr>
        <w:t>否则其响应文件按无效响应处理。</w:t>
      </w:r>
    </w:p>
    <w:p>
      <w:pPr>
        <w:spacing w:line="360" w:lineRule="auto"/>
        <w:ind w:right="-817" w:rightChars="-389"/>
        <w:contextualSpacing/>
        <w:rPr>
          <w:rFonts w:hint="eastAsia" w:ascii="宋体" w:hAnsi="宋体" w:eastAsia="宋体" w:cs="宋体"/>
          <w:color w:val="auto"/>
          <w:sz w:val="24"/>
          <w:highlight w:val="none"/>
        </w:rPr>
      </w:pPr>
    </w:p>
    <w:p>
      <w:pPr>
        <w:spacing w:line="360" w:lineRule="auto"/>
        <w:ind w:right="-817" w:rightChars="-389" w:firstLine="960" w:firstLineChars="4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法定代表人/负责人或委托代理人（签字或盖章）：</w:t>
      </w:r>
    </w:p>
    <w:p>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pPr>
        <w:spacing w:line="360" w:lineRule="auto"/>
        <w:ind w:right="-817" w:rightChars="-389" w:firstLine="4080" w:firstLineChars="17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p>
      <w:pPr>
        <w:spacing w:beforeLines="100" w:afterLines="50" w:line="520" w:lineRule="exact"/>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Cs/>
          <w:color w:val="auto"/>
          <w:sz w:val="44"/>
          <w:szCs w:val="44"/>
          <w:highlight w:val="none"/>
        </w:rPr>
        <w:t>法定代表人证明书</w:t>
      </w:r>
    </w:p>
    <w:p>
      <w:pPr>
        <w:spacing w:line="360" w:lineRule="auto"/>
        <w:ind w:left="540"/>
        <w:contextualSpacing/>
        <w:rPr>
          <w:rFonts w:hint="eastAsia" w:ascii="宋体" w:hAnsi="宋体" w:eastAsia="宋体" w:cs="宋体"/>
          <w:color w:val="auto"/>
          <w:sz w:val="32"/>
          <w:szCs w:val="32"/>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名：性     别：</w:t>
      </w:r>
    </w:p>
    <w:p>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龄：职     务：</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供应商(电子签章)：</w:t>
      </w:r>
    </w:p>
    <w:p>
      <w:pPr>
        <w:spacing w:line="360" w:lineRule="auto"/>
        <w:ind w:firstLine="8400" w:firstLineChars="35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pPr>
        <w:spacing w:line="360" w:lineRule="auto"/>
        <w:contextualSpacing/>
        <w:jc w:val="center"/>
        <w:rPr>
          <w:rFonts w:hint="eastAsia" w:ascii="宋体" w:hAnsi="宋体" w:eastAsia="宋体" w:cs="宋体"/>
          <w:b/>
          <w:color w:val="auto"/>
          <w:sz w:val="24"/>
          <w:highlight w:val="none"/>
        </w:rPr>
      </w:pPr>
    </w:p>
    <w:p>
      <w:pPr>
        <w:spacing w:line="360" w:lineRule="auto"/>
        <w:contextualSpacing/>
        <w:jc w:val="left"/>
        <w:rPr>
          <w:rFonts w:hint="eastAsia" w:ascii="宋体" w:hAnsi="宋体" w:eastAsia="宋体" w:cs="宋体"/>
          <w:color w:val="auto"/>
          <w:sz w:val="24"/>
          <w:highlight w:val="none"/>
        </w:rPr>
      </w:pPr>
    </w:p>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pPr>
        <w:spacing w:line="360" w:lineRule="auto"/>
        <w:ind w:firstLine="480"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adjustRightInd w:val="0"/>
        <w:snapToGrid w:val="0"/>
        <w:spacing w:line="300" w:lineRule="auto"/>
        <w:jc w:val="left"/>
        <w:rPr>
          <w:rFonts w:hint="eastAsia" w:ascii="宋体" w:hAnsi="宋体" w:eastAsia="宋体" w:cs="宋体"/>
          <w:b/>
          <w:color w:val="auto"/>
          <w:szCs w:val="21"/>
          <w:highlight w:val="none"/>
        </w:rPr>
      </w:pPr>
    </w:p>
    <w:p>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pPr>
        <w:spacing w:line="520" w:lineRule="exact"/>
        <w:jc w:val="center"/>
        <w:rPr>
          <w:rFonts w:hint="eastAsia" w:ascii="宋体" w:hAnsi="宋体" w:eastAsia="宋体" w:cs="宋体"/>
          <w:color w:val="auto"/>
          <w:sz w:val="44"/>
          <w:szCs w:val="44"/>
          <w:highlight w:val="none"/>
        </w:rPr>
      </w:pPr>
      <w:bookmarkStart w:id="80" w:name="_Hlk65853643"/>
      <w:r>
        <w:rPr>
          <w:rFonts w:hint="eastAsia" w:ascii="宋体" w:hAnsi="宋体" w:eastAsia="宋体" w:cs="宋体"/>
          <w:color w:val="auto"/>
          <w:sz w:val="44"/>
          <w:szCs w:val="44"/>
          <w:highlight w:val="none"/>
        </w:rPr>
        <w:t>授权委托书（非联合体竞标格式）</w:t>
      </w:r>
    </w:p>
    <w:p>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pPr>
        <w:spacing w:line="520" w:lineRule="exact"/>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委托代理人（签字或签章）：         法定代表人（签字或签章）：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供应商（电子签章）：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Start w:id="81" w:name="_Hlk65853109"/>
      <w:bookmarkStart w:id="82" w:name="_Hlk65853542"/>
      <w:r>
        <w:rPr>
          <w:rFonts w:hint="eastAsia" w:ascii="宋体" w:hAnsi="宋体" w:eastAsia="宋体" w:cs="宋体"/>
          <w:color w:val="auto"/>
          <w:sz w:val="24"/>
          <w:highlight w:val="none"/>
        </w:rPr>
        <w:t>法人、其他组织竞标时“我方”是指“我单位”，自然人竞标时“我方”是指“本人”。</w:t>
      </w:r>
      <w:bookmarkEnd w:id="81"/>
    </w:p>
    <w:bookmarkEnd w:id="82"/>
    <w:p>
      <w:pPr>
        <w:spacing w:line="360" w:lineRule="auto"/>
        <w:ind w:firstLine="420" w:firstLineChars="200"/>
        <w:jc w:val="left"/>
        <w:rPr>
          <w:rFonts w:hint="eastAsia" w:ascii="宋体" w:hAnsi="宋体" w:eastAsia="宋体" w:cs="宋体"/>
          <w:color w:val="auto"/>
          <w:szCs w:val="21"/>
          <w:highlight w:val="none"/>
        </w:rPr>
      </w:pPr>
    </w:p>
    <w:p>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授权委托书（联合体竞标格式）</w:t>
      </w:r>
    </w:p>
    <w:p>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pPr>
        <w:spacing w:line="500" w:lineRule="exact"/>
        <w:jc w:val="center"/>
        <w:rPr>
          <w:rFonts w:hint="eastAsia" w:ascii="宋体" w:hAnsi="宋体" w:eastAsia="宋体" w:cs="宋体"/>
          <w:color w:val="auto"/>
          <w:sz w:val="44"/>
          <w:szCs w:val="44"/>
          <w:highlight w:val="none"/>
        </w:rPr>
      </w:pPr>
    </w:p>
    <w:p>
      <w:pPr>
        <w:spacing w:line="500" w:lineRule="exact"/>
        <w:jc w:val="center"/>
        <w:rPr>
          <w:rFonts w:hint="eastAsia" w:ascii="宋体" w:hAnsi="宋体" w:eastAsia="宋体" w:cs="宋体"/>
          <w:color w:val="auto"/>
          <w:sz w:val="32"/>
          <w:szCs w:val="32"/>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牵头人法定代表人（签字或签章）：</w:t>
      </w:r>
    </w:p>
    <w:p>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line="360" w:lineRule="auto"/>
        <w:rPr>
          <w:rFonts w:hint="eastAsia" w:ascii="宋体" w:hAnsi="宋体" w:eastAsia="宋体" w:cs="宋体"/>
          <w:color w:val="auto"/>
          <w:sz w:val="24"/>
          <w:highlight w:val="none"/>
        </w:rPr>
      </w:pPr>
    </w:p>
    <w:p>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被授权人（签字或签章）：</w:t>
      </w:r>
    </w:p>
    <w:p>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4.法人、其他组织竞标时“我方”是指“我单位”，自然人竞标时“我方”是指“本人”。</w:t>
      </w:r>
    </w:p>
    <w:bookmarkEnd w:id="80"/>
    <w:p>
      <w:pPr>
        <w:spacing w:line="360" w:lineRule="auto"/>
        <w:ind w:firstLine="420" w:firstLineChars="200"/>
        <w:jc w:val="left"/>
        <w:rPr>
          <w:rFonts w:hint="eastAsia" w:ascii="宋体" w:hAnsi="宋体" w:eastAsia="宋体" w:cs="宋体"/>
          <w:color w:val="auto"/>
          <w:szCs w:val="21"/>
          <w:highlight w:val="none"/>
        </w:rPr>
      </w:pPr>
    </w:p>
    <w:p>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color w:val="auto"/>
          <w:sz w:val="32"/>
          <w:szCs w:val="32"/>
          <w:highlight w:val="none"/>
        </w:rPr>
        <w:br w:type="page"/>
      </w:r>
      <w:r>
        <w:rPr>
          <w:rFonts w:hint="eastAsia" w:ascii="宋体" w:hAnsi="宋体" w:eastAsia="宋体" w:cs="宋体"/>
          <w:bCs/>
          <w:color w:val="auto"/>
          <w:sz w:val="44"/>
          <w:szCs w:val="44"/>
          <w:highlight w:val="none"/>
        </w:rPr>
        <w:t>商务条款偏离表格式</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pPr>
        <w:spacing w:line="360" w:lineRule="auto"/>
        <w:contextualSpacing/>
        <w:jc w:val="left"/>
        <w:rPr>
          <w:rFonts w:hint="eastAsia" w:ascii="宋体" w:hAnsi="宋体" w:eastAsia="宋体" w:cs="宋体"/>
          <w:color w:val="auto"/>
          <w:sz w:val="24"/>
          <w:highlight w:val="none"/>
        </w:rPr>
      </w:pPr>
    </w:p>
    <w:p>
      <w:pPr>
        <w:pStyle w:val="19"/>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p>
    <w:p>
      <w:pPr>
        <w:spacing w:line="360" w:lineRule="auto"/>
        <w:contextualSpacing/>
        <w:jc w:val="left"/>
        <w:rPr>
          <w:rFonts w:hint="eastAsia" w:ascii="宋体" w:hAnsi="宋体" w:eastAsia="宋体" w:cs="宋体"/>
          <w:color w:val="auto"/>
          <w:sz w:val="24"/>
          <w:highlight w:val="none"/>
          <w:u w:val="single"/>
        </w:rPr>
      </w:pPr>
    </w:p>
    <w:tbl>
      <w:tblPr>
        <w:tblStyle w:val="26"/>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p>
        </w:tc>
      </w:tr>
    </w:tbl>
    <w:p>
      <w:pPr>
        <w:pStyle w:val="12"/>
        <w:spacing w:after="0"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pPr>
        <w:pStyle w:val="12"/>
        <w:spacing w:after="0"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说明：应对照磋商文件“第三章 采购需求”中的商务条款逐条作出明确响应，并作出偏离说明。</w:t>
      </w:r>
    </w:p>
    <w:p>
      <w:pPr>
        <w:spacing w:line="360" w:lineRule="auto"/>
        <w:contextualSpacing/>
        <w:jc w:val="left"/>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hint="eastAsia" w:ascii="宋体" w:hAnsi="宋体" w:eastAsia="宋体" w:cs="宋体"/>
          <w:color w:val="auto"/>
          <w:sz w:val="24"/>
          <w:highlight w:val="none"/>
        </w:rPr>
      </w:pPr>
    </w:p>
    <w:p>
      <w:pPr>
        <w:spacing w:line="360" w:lineRule="auto"/>
        <w:ind w:right="-817" w:rightChars="-389" w:firstLine="960" w:firstLineChars="400"/>
        <w:contextualSpacing/>
        <w:rPr>
          <w:rFonts w:hint="eastAsia" w:ascii="宋体" w:hAnsi="宋体" w:eastAsia="宋体" w:cs="宋体"/>
          <w:color w:val="auto"/>
          <w:sz w:val="24"/>
          <w:highlight w:val="none"/>
        </w:rPr>
      </w:pPr>
    </w:p>
    <w:p>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pPr>
        <w:spacing w:line="360" w:lineRule="auto"/>
        <w:ind w:right="-817" w:rightChars="-389" w:firstLine="4080" w:firstLineChars="1700"/>
        <w:contextualSpacing/>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日期：   年   月   日</w:t>
      </w:r>
    </w:p>
    <w:p>
      <w:pPr>
        <w:adjustRightInd w:val="0"/>
        <w:snapToGrid w:val="0"/>
        <w:spacing w:line="520" w:lineRule="exact"/>
        <w:ind w:firstLine="7040" w:firstLineChars="1600"/>
        <w:jc w:val="center"/>
        <w:rPr>
          <w:rFonts w:hint="eastAsia" w:ascii="宋体" w:hAnsi="宋体" w:eastAsia="宋体" w:cs="宋体"/>
          <w:bCs/>
          <w:color w:val="auto"/>
          <w:sz w:val="44"/>
          <w:szCs w:val="44"/>
          <w:highlight w:val="none"/>
        </w:rPr>
      </w:pPr>
    </w:p>
    <w:p>
      <w:pPr>
        <w:adjustRightInd w:val="0"/>
        <w:snapToGrid w:val="0"/>
        <w:spacing w:line="520" w:lineRule="exact"/>
        <w:ind w:firstLine="7040" w:firstLineChars="1600"/>
        <w:jc w:val="center"/>
        <w:rPr>
          <w:rFonts w:hint="eastAsia" w:ascii="宋体" w:hAnsi="宋体" w:eastAsia="宋体" w:cs="宋体"/>
          <w:bCs/>
          <w:color w:val="auto"/>
          <w:sz w:val="44"/>
          <w:szCs w:val="44"/>
          <w:highlight w:val="none"/>
        </w:rPr>
      </w:pPr>
    </w:p>
    <w:p>
      <w:pPr>
        <w:adjustRightInd w:val="0"/>
        <w:snapToGrid w:val="0"/>
        <w:spacing w:line="520" w:lineRule="exact"/>
        <w:ind w:firstLine="7040" w:firstLineChars="1600"/>
        <w:jc w:val="center"/>
        <w:rPr>
          <w:rFonts w:hint="eastAsia" w:ascii="宋体" w:hAnsi="宋体" w:eastAsia="宋体" w:cs="宋体"/>
          <w:bCs/>
          <w:color w:val="auto"/>
          <w:sz w:val="44"/>
          <w:szCs w:val="44"/>
          <w:highlight w:val="none"/>
        </w:rPr>
      </w:pPr>
    </w:p>
    <w:p>
      <w:pPr>
        <w:adjustRightInd w:val="0"/>
        <w:snapToGrid w:val="0"/>
        <w:spacing w:line="520" w:lineRule="exact"/>
        <w:ind w:firstLine="7040" w:firstLineChars="1600"/>
        <w:jc w:val="center"/>
        <w:rPr>
          <w:rFonts w:hint="eastAsia" w:ascii="宋体" w:hAnsi="宋体" w:eastAsia="宋体" w:cs="宋体"/>
          <w:bCs/>
          <w:color w:val="auto"/>
          <w:sz w:val="44"/>
          <w:szCs w:val="44"/>
          <w:highlight w:val="none"/>
        </w:rPr>
      </w:pPr>
    </w:p>
    <w:p>
      <w:pPr>
        <w:adjustRightInd w:val="0"/>
        <w:snapToGrid w:val="0"/>
        <w:spacing w:line="520" w:lineRule="exact"/>
        <w:rPr>
          <w:rFonts w:hint="eastAsia" w:ascii="宋体" w:hAnsi="宋体" w:eastAsia="宋体" w:cs="宋体"/>
          <w:color w:val="auto"/>
          <w:szCs w:val="21"/>
          <w:highlight w:val="none"/>
          <w:u w:val="single"/>
        </w:rPr>
      </w:pPr>
    </w:p>
    <w:p>
      <w:pPr>
        <w:adjustRightInd w:val="0"/>
        <w:snapToGrid w:val="0"/>
        <w:spacing w:line="30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rPr>
        <w:t>服务需求偏离表</w:t>
      </w:r>
    </w:p>
    <w:p>
      <w:pPr>
        <w:spacing w:line="520" w:lineRule="exact"/>
        <w:rPr>
          <w:rFonts w:hint="eastAsia" w:ascii="宋体" w:hAnsi="宋体" w:eastAsia="宋体" w:cs="宋体"/>
          <w:color w:val="auto"/>
          <w:sz w:val="32"/>
          <w:szCs w:val="32"/>
          <w:highlight w:val="none"/>
        </w:rPr>
      </w:pP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p>
    <w:tbl>
      <w:tblPr>
        <w:tblStyle w:val="26"/>
        <w:tblW w:w="8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83" w:name="_Toc254970729"/>
            <w:bookmarkStart w:id="84" w:name="_Toc297193185"/>
            <w:bookmarkStart w:id="85" w:name="_Toc373333689"/>
            <w:bookmarkStart w:id="86" w:name="_Toc301781611"/>
            <w:bookmarkStart w:id="87" w:name="_Toc295404981"/>
            <w:bookmarkStart w:id="88" w:name="_Toc254970588"/>
            <w:bookmarkStart w:id="89" w:name="_Toc173066401"/>
            <w:bookmarkStart w:id="90" w:name="_Toc383699906"/>
            <w:bookmarkStart w:id="91" w:name="_Toc173211900"/>
            <w:r>
              <w:rPr>
                <w:rFonts w:hint="eastAsia" w:ascii="宋体" w:hAnsi="宋体" w:eastAsia="宋体" w:cs="宋体"/>
                <w:color w:val="auto"/>
                <w:kern w:val="2"/>
                <w:sz w:val="24"/>
                <w:szCs w:val="24"/>
                <w:highlight w:val="none"/>
              </w:rPr>
              <w:t>序号</w:t>
            </w:r>
            <w:bookmarkEnd w:id="83"/>
            <w:bookmarkEnd w:id="84"/>
            <w:bookmarkEnd w:id="85"/>
            <w:bookmarkEnd w:id="86"/>
            <w:bookmarkEnd w:id="87"/>
            <w:bookmarkEnd w:id="88"/>
            <w:bookmarkEnd w:id="89"/>
            <w:bookmarkEnd w:id="90"/>
            <w:bookmarkEnd w:id="91"/>
          </w:p>
        </w:tc>
        <w:tc>
          <w:tcPr>
            <w:tcW w:w="900" w:type="dxa"/>
            <w:tcBorders>
              <w:righ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2989" w:type="dxa"/>
            <w:tcBorders>
              <w:lef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磋商文件服务需求</w:t>
            </w:r>
          </w:p>
        </w:tc>
        <w:tc>
          <w:tcPr>
            <w:tcW w:w="269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92" w:name="_Toc254970590"/>
            <w:bookmarkStart w:id="93" w:name="_Toc373333691"/>
            <w:bookmarkStart w:id="94" w:name="_Toc173211902"/>
            <w:bookmarkStart w:id="95" w:name="_Toc301781613"/>
            <w:bookmarkStart w:id="96" w:name="_Toc383699908"/>
            <w:bookmarkStart w:id="97" w:name="_Toc297193187"/>
            <w:bookmarkStart w:id="98" w:name="_Toc295404983"/>
            <w:bookmarkStart w:id="99" w:name="_Toc254970731"/>
            <w:bookmarkStart w:id="100" w:name="_Toc173066403"/>
            <w:r>
              <w:rPr>
                <w:rFonts w:hint="eastAsia" w:ascii="宋体" w:hAnsi="宋体" w:eastAsia="宋体" w:cs="宋体"/>
                <w:color w:val="auto"/>
                <w:kern w:val="2"/>
                <w:sz w:val="24"/>
                <w:szCs w:val="24"/>
                <w:highlight w:val="none"/>
              </w:rPr>
              <w:t>竞标响应</w:t>
            </w:r>
            <w:bookmarkEnd w:id="92"/>
            <w:bookmarkEnd w:id="93"/>
            <w:bookmarkEnd w:id="94"/>
            <w:bookmarkEnd w:id="95"/>
            <w:bookmarkEnd w:id="96"/>
            <w:bookmarkEnd w:id="97"/>
            <w:bookmarkEnd w:id="98"/>
            <w:bookmarkEnd w:id="99"/>
            <w:bookmarkEnd w:id="100"/>
          </w:p>
        </w:tc>
        <w:tc>
          <w:tcPr>
            <w:tcW w:w="1467"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01" w:name="_Toc297193188"/>
            <w:bookmarkStart w:id="102" w:name="_Toc173066404"/>
            <w:bookmarkStart w:id="103" w:name="_Toc301781614"/>
            <w:bookmarkStart w:id="104" w:name="_Toc383699909"/>
            <w:bookmarkStart w:id="105" w:name="_Toc254970591"/>
            <w:bookmarkStart w:id="106" w:name="_Toc295404984"/>
            <w:bookmarkStart w:id="107" w:name="_Toc373333692"/>
            <w:bookmarkStart w:id="108" w:name="_Toc173211903"/>
            <w:bookmarkStart w:id="109" w:name="_Toc254970732"/>
            <w:r>
              <w:rPr>
                <w:rFonts w:hint="eastAsia" w:ascii="宋体" w:hAnsi="宋体" w:eastAsia="宋体" w:cs="宋体"/>
                <w:color w:val="auto"/>
                <w:kern w:val="2"/>
                <w:sz w:val="24"/>
                <w:szCs w:val="24"/>
                <w:highlight w:val="none"/>
              </w:rPr>
              <w:t>偏离</w:t>
            </w:r>
            <w:bookmarkEnd w:id="101"/>
            <w:bookmarkEnd w:id="102"/>
            <w:bookmarkEnd w:id="103"/>
            <w:bookmarkEnd w:id="104"/>
            <w:bookmarkEnd w:id="105"/>
            <w:bookmarkEnd w:id="106"/>
            <w:bookmarkEnd w:id="107"/>
            <w:bookmarkEnd w:id="108"/>
            <w:bookmarkEnd w:id="109"/>
            <w:bookmarkStart w:id="110" w:name="_Toc295404985"/>
            <w:bookmarkStart w:id="111" w:name="_Toc254970592"/>
            <w:bookmarkStart w:id="112" w:name="_Toc301781615"/>
            <w:bookmarkStart w:id="113" w:name="_Toc297193189"/>
            <w:bookmarkStart w:id="114" w:name="_Toc383699910"/>
            <w:bookmarkStart w:id="115" w:name="_Toc373333693"/>
            <w:bookmarkStart w:id="116" w:name="_Toc254970733"/>
            <w:bookmarkStart w:id="117" w:name="_Toc173211904"/>
            <w:bookmarkStart w:id="118" w:name="_Toc173066405"/>
            <w:r>
              <w:rPr>
                <w:rFonts w:hint="eastAsia" w:ascii="宋体" w:hAnsi="宋体" w:eastAsia="宋体" w:cs="宋体"/>
                <w:color w:val="auto"/>
                <w:kern w:val="2"/>
                <w:sz w:val="24"/>
                <w:szCs w:val="24"/>
                <w:highlight w:val="none"/>
              </w:rPr>
              <w:t>说明</w:t>
            </w:r>
            <w:bookmarkEnd w:id="110"/>
            <w:bookmarkEnd w:id="111"/>
            <w:bookmarkEnd w:id="112"/>
            <w:bookmarkEnd w:id="113"/>
            <w:bookmarkEnd w:id="114"/>
            <w:bookmarkEnd w:id="115"/>
            <w:bookmarkEnd w:id="116"/>
            <w:bookmarkEnd w:id="117"/>
            <w:bookmarkEnd w:id="118"/>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19" w:name="_Toc383699911"/>
            <w:bookmarkStart w:id="120" w:name="_Toc254970593"/>
            <w:bookmarkStart w:id="121" w:name="_Toc301781616"/>
            <w:bookmarkStart w:id="122" w:name="_Toc254970734"/>
            <w:bookmarkStart w:id="123" w:name="_Toc297193190"/>
            <w:bookmarkStart w:id="124" w:name="_Toc373333694"/>
            <w:bookmarkStart w:id="125" w:name="_Toc173211905"/>
            <w:bookmarkStart w:id="126" w:name="_Toc295404986"/>
            <w:bookmarkStart w:id="127" w:name="_Toc173066406"/>
            <w:r>
              <w:rPr>
                <w:rFonts w:hint="eastAsia" w:ascii="宋体" w:hAnsi="宋体" w:eastAsia="宋体" w:cs="宋体"/>
                <w:color w:val="auto"/>
                <w:kern w:val="2"/>
                <w:sz w:val="24"/>
                <w:szCs w:val="24"/>
                <w:highlight w:val="none"/>
              </w:rPr>
              <w:t>1</w:t>
            </w:r>
            <w:bookmarkEnd w:id="119"/>
            <w:bookmarkEnd w:id="120"/>
            <w:bookmarkEnd w:id="121"/>
            <w:bookmarkEnd w:id="122"/>
            <w:bookmarkEnd w:id="123"/>
            <w:bookmarkEnd w:id="124"/>
            <w:bookmarkEnd w:id="125"/>
            <w:bookmarkEnd w:id="126"/>
            <w:bookmarkEnd w:id="127"/>
          </w:p>
        </w:tc>
        <w:tc>
          <w:tcPr>
            <w:tcW w:w="900" w:type="dxa"/>
            <w:tcBorders>
              <w:righ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28" w:name="_Toc295404987"/>
            <w:bookmarkStart w:id="129" w:name="_Toc173066407"/>
            <w:bookmarkStart w:id="130" w:name="_Toc373333695"/>
            <w:bookmarkStart w:id="131" w:name="_Toc254970735"/>
            <w:bookmarkStart w:id="132" w:name="_Toc383699912"/>
            <w:bookmarkStart w:id="133" w:name="_Toc173211906"/>
            <w:bookmarkStart w:id="134" w:name="_Toc254970594"/>
            <w:bookmarkStart w:id="135" w:name="_Toc301781617"/>
            <w:bookmarkStart w:id="136" w:name="_Toc297193191"/>
            <w:r>
              <w:rPr>
                <w:rFonts w:hint="eastAsia" w:ascii="宋体" w:hAnsi="宋体" w:eastAsia="宋体" w:cs="宋体"/>
                <w:color w:val="auto"/>
                <w:kern w:val="2"/>
                <w:sz w:val="24"/>
                <w:szCs w:val="24"/>
                <w:highlight w:val="none"/>
              </w:rPr>
              <w:t>2</w:t>
            </w:r>
            <w:bookmarkEnd w:id="128"/>
            <w:bookmarkEnd w:id="129"/>
            <w:bookmarkEnd w:id="130"/>
            <w:bookmarkEnd w:id="131"/>
            <w:bookmarkEnd w:id="132"/>
            <w:bookmarkEnd w:id="133"/>
            <w:bookmarkEnd w:id="134"/>
            <w:bookmarkEnd w:id="135"/>
            <w:bookmarkEnd w:id="136"/>
          </w:p>
        </w:tc>
        <w:tc>
          <w:tcPr>
            <w:tcW w:w="900" w:type="dxa"/>
            <w:tcBorders>
              <w:righ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37" w:name="_Toc254970736"/>
            <w:bookmarkStart w:id="138" w:name="_Toc173066408"/>
            <w:bookmarkStart w:id="139" w:name="_Toc301781618"/>
            <w:bookmarkStart w:id="140" w:name="_Toc295404988"/>
            <w:bookmarkStart w:id="141" w:name="_Toc254970595"/>
            <w:bookmarkStart w:id="142" w:name="_Toc173211907"/>
            <w:bookmarkStart w:id="143" w:name="_Toc383699913"/>
            <w:bookmarkStart w:id="144" w:name="_Toc297193192"/>
            <w:bookmarkStart w:id="145" w:name="_Toc373333696"/>
            <w:r>
              <w:rPr>
                <w:rFonts w:hint="eastAsia" w:ascii="宋体" w:hAnsi="宋体" w:eastAsia="宋体" w:cs="宋体"/>
                <w:color w:val="auto"/>
                <w:kern w:val="2"/>
                <w:sz w:val="24"/>
                <w:szCs w:val="24"/>
                <w:highlight w:val="none"/>
              </w:rPr>
              <w:t>3</w:t>
            </w:r>
            <w:bookmarkEnd w:id="137"/>
            <w:bookmarkEnd w:id="138"/>
            <w:bookmarkEnd w:id="139"/>
            <w:bookmarkEnd w:id="140"/>
            <w:bookmarkEnd w:id="141"/>
            <w:bookmarkEnd w:id="142"/>
            <w:bookmarkEnd w:id="143"/>
            <w:bookmarkEnd w:id="144"/>
            <w:bookmarkEnd w:id="145"/>
          </w:p>
        </w:tc>
        <w:tc>
          <w:tcPr>
            <w:tcW w:w="900" w:type="dxa"/>
            <w:tcBorders>
              <w:righ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46" w:name="_Toc301781619"/>
            <w:bookmarkStart w:id="147" w:name="_Toc254970737"/>
            <w:bookmarkStart w:id="148" w:name="_Toc295404989"/>
            <w:bookmarkStart w:id="149" w:name="_Toc254970596"/>
            <w:bookmarkStart w:id="150" w:name="_Toc373333697"/>
            <w:bookmarkStart w:id="151" w:name="_Toc383699914"/>
            <w:bookmarkStart w:id="152" w:name="_Toc297193193"/>
            <w:bookmarkStart w:id="153" w:name="_Toc173066409"/>
            <w:bookmarkStart w:id="154" w:name="_Toc173211908"/>
            <w:r>
              <w:rPr>
                <w:rFonts w:hint="eastAsia" w:ascii="宋体" w:hAnsi="宋体" w:eastAsia="宋体" w:cs="宋体"/>
                <w:color w:val="auto"/>
                <w:kern w:val="2"/>
                <w:sz w:val="24"/>
                <w:szCs w:val="24"/>
                <w:highlight w:val="none"/>
              </w:rPr>
              <w:t>4</w:t>
            </w:r>
            <w:bookmarkEnd w:id="146"/>
            <w:bookmarkEnd w:id="147"/>
            <w:bookmarkEnd w:id="148"/>
            <w:bookmarkEnd w:id="149"/>
            <w:bookmarkEnd w:id="150"/>
            <w:bookmarkEnd w:id="151"/>
            <w:bookmarkEnd w:id="152"/>
            <w:bookmarkEnd w:id="153"/>
            <w:bookmarkEnd w:id="154"/>
          </w:p>
        </w:tc>
        <w:tc>
          <w:tcPr>
            <w:tcW w:w="900" w:type="dxa"/>
            <w:tcBorders>
              <w:righ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55" w:name="_Toc373333698"/>
            <w:bookmarkStart w:id="156" w:name="_Toc295404990"/>
            <w:bookmarkStart w:id="157" w:name="_Toc301781620"/>
            <w:bookmarkStart w:id="158" w:name="_Toc383699915"/>
            <w:bookmarkStart w:id="159" w:name="_Toc173211909"/>
            <w:bookmarkStart w:id="160" w:name="_Toc254970738"/>
            <w:bookmarkStart w:id="161" w:name="_Toc297193194"/>
            <w:bookmarkStart w:id="162" w:name="_Toc173066410"/>
            <w:bookmarkStart w:id="163" w:name="_Toc254970597"/>
            <w:r>
              <w:rPr>
                <w:rFonts w:hint="eastAsia" w:ascii="宋体" w:hAnsi="宋体" w:eastAsia="宋体" w:cs="宋体"/>
                <w:color w:val="auto"/>
                <w:kern w:val="2"/>
                <w:sz w:val="24"/>
                <w:szCs w:val="24"/>
                <w:highlight w:val="none"/>
              </w:rPr>
              <w:t>5</w:t>
            </w:r>
            <w:bookmarkEnd w:id="155"/>
            <w:bookmarkEnd w:id="156"/>
            <w:bookmarkEnd w:id="157"/>
            <w:bookmarkEnd w:id="158"/>
            <w:bookmarkEnd w:id="159"/>
            <w:bookmarkEnd w:id="160"/>
            <w:bookmarkEnd w:id="161"/>
            <w:bookmarkEnd w:id="162"/>
            <w:bookmarkEnd w:id="163"/>
          </w:p>
        </w:tc>
        <w:tc>
          <w:tcPr>
            <w:tcW w:w="900" w:type="dxa"/>
            <w:tcBorders>
              <w:righ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64" w:name="_Toc295404991"/>
            <w:bookmarkStart w:id="165" w:name="_Toc173066415"/>
            <w:bookmarkStart w:id="166" w:name="_Toc254970602"/>
            <w:bookmarkStart w:id="167" w:name="_Toc301781621"/>
            <w:bookmarkStart w:id="168" w:name="_Toc383699916"/>
            <w:bookmarkStart w:id="169" w:name="_Toc373333699"/>
            <w:bookmarkStart w:id="170" w:name="_Toc297193195"/>
            <w:bookmarkStart w:id="171" w:name="_Toc254970743"/>
            <w:bookmarkStart w:id="172" w:name="_Toc173211914"/>
            <w:r>
              <w:rPr>
                <w:rFonts w:hint="eastAsia" w:ascii="宋体" w:hAnsi="宋体" w:eastAsia="宋体" w:cs="宋体"/>
                <w:color w:val="auto"/>
                <w:kern w:val="2"/>
                <w:sz w:val="24"/>
                <w:szCs w:val="24"/>
                <w:highlight w:val="none"/>
              </w:rPr>
              <w:t>…</w:t>
            </w:r>
            <w:bookmarkEnd w:id="164"/>
            <w:bookmarkEnd w:id="165"/>
            <w:bookmarkEnd w:id="166"/>
            <w:bookmarkEnd w:id="167"/>
            <w:bookmarkEnd w:id="168"/>
            <w:bookmarkEnd w:id="169"/>
            <w:bookmarkEnd w:id="170"/>
            <w:bookmarkEnd w:id="171"/>
            <w:bookmarkEnd w:id="172"/>
          </w:p>
        </w:tc>
        <w:tc>
          <w:tcPr>
            <w:tcW w:w="900" w:type="dxa"/>
            <w:tcBorders>
              <w:righ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tcBorders>
              <w:right w:val="single" w:color="auto" w:sz="4" w:space="0"/>
            </w:tcBorders>
            <w:vAlign w:val="center"/>
          </w:tcPr>
          <w:p>
            <w:pPr>
              <w:pStyle w:val="15"/>
              <w:spacing w:line="360" w:lineRule="auto"/>
              <w:ind w:firstLine="0" w:firstLineChars="0"/>
              <w:contextualSpacing/>
              <w:jc w:val="center"/>
              <w:rPr>
                <w:rFonts w:hint="eastAsia" w:ascii="宋体" w:hAnsi="宋体" w:eastAsia="宋体" w:cs="宋体"/>
                <w:color w:val="auto"/>
                <w:kern w:val="2"/>
                <w:sz w:val="24"/>
                <w:szCs w:val="24"/>
                <w:highlight w:val="none"/>
              </w:rPr>
            </w:pPr>
          </w:p>
        </w:tc>
      </w:tr>
    </w:tbl>
    <w:p>
      <w:pPr>
        <w:adjustRightInd w:val="0"/>
        <w:spacing w:line="360" w:lineRule="auto"/>
        <w:contextualSpacing/>
        <w:rPr>
          <w:rFonts w:hint="eastAsia" w:ascii="宋体" w:hAnsi="宋体" w:eastAsia="宋体" w:cs="宋体"/>
          <w:color w:val="auto"/>
          <w:sz w:val="24"/>
          <w:highlight w:val="none"/>
        </w:rPr>
      </w:pPr>
    </w:p>
    <w:p>
      <w:pPr>
        <w:pStyle w:val="15"/>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5"/>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采购需求”中的服务需求逐条作出明确响应，并作出偏离说明。</w:t>
      </w:r>
    </w:p>
    <w:p>
      <w:pPr>
        <w:pStyle w:val="15"/>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pPr>
        <w:pStyle w:val="19"/>
        <w:spacing w:line="360" w:lineRule="auto"/>
        <w:contextualSpacing/>
        <w:rPr>
          <w:rFonts w:hint="eastAsia" w:ascii="宋体" w:hAnsi="宋体" w:eastAsia="宋体" w:cs="宋体"/>
          <w:color w:val="auto"/>
          <w:sz w:val="24"/>
          <w:szCs w:val="24"/>
          <w:highlight w:val="none"/>
        </w:rPr>
      </w:pPr>
    </w:p>
    <w:p>
      <w:pPr>
        <w:spacing w:line="360" w:lineRule="auto"/>
        <w:ind w:right="-817" w:rightChars="-389"/>
        <w:contextualSpacing/>
        <w:rPr>
          <w:rFonts w:hint="eastAsia" w:ascii="宋体" w:hAnsi="宋体" w:eastAsia="宋体" w:cs="宋体"/>
          <w:color w:val="auto"/>
          <w:sz w:val="24"/>
          <w:highlight w:val="none"/>
        </w:rPr>
      </w:pPr>
    </w:p>
    <w:p>
      <w:pPr>
        <w:spacing w:line="360" w:lineRule="auto"/>
        <w:ind w:right="-817" w:rightChars="-389" w:firstLine="960" w:firstLineChars="400"/>
        <w:contextualSpacing/>
        <w:rPr>
          <w:rFonts w:hint="eastAsia" w:ascii="宋体" w:hAnsi="宋体" w:eastAsia="宋体" w:cs="宋体"/>
          <w:color w:val="auto"/>
          <w:sz w:val="24"/>
          <w:highlight w:val="none"/>
        </w:rPr>
      </w:pPr>
    </w:p>
    <w:p>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pPr>
        <w:spacing w:line="360" w:lineRule="auto"/>
        <w:ind w:right="-817" w:rightChars="-389" w:firstLine="4080" w:firstLineChars="17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napToGrid w:val="0"/>
        <w:spacing w:before="50" w:after="50" w:line="360" w:lineRule="auto"/>
        <w:ind w:right="-817" w:rightChars="-389" w:firstLine="4080" w:firstLineChars="17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br w:type="page"/>
      </w:r>
    </w:p>
    <w:p>
      <w:pPr>
        <w:spacing w:line="300" w:lineRule="auto"/>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其他文书、文件格式</w:t>
      </w:r>
    </w:p>
    <w:p>
      <w:pPr>
        <w:pStyle w:val="3"/>
        <w:spacing w:before="146" w:line="500" w:lineRule="exact"/>
        <w:ind w:right="142"/>
        <w:jc w:val="center"/>
        <w:rPr>
          <w:rFonts w:hint="eastAsia" w:ascii="宋体" w:hAnsi="宋体" w:eastAsia="宋体" w:cs="宋体"/>
          <w:b w:val="0"/>
          <w:bCs w:val="0"/>
          <w:color w:val="auto"/>
          <w:highlight w:val="none"/>
        </w:rPr>
      </w:pPr>
      <w:r>
        <w:rPr>
          <w:rFonts w:hint="eastAsia" w:ascii="宋体" w:hAnsi="宋体" w:cs="宋体"/>
          <w:color w:val="auto"/>
          <w:highlight w:val="none"/>
          <w:lang w:eastAsia="zh-CN"/>
        </w:rPr>
        <w:t>小微企业声明函</w:t>
      </w:r>
      <w:r>
        <w:rPr>
          <w:rFonts w:hint="eastAsia" w:ascii="宋体" w:hAnsi="宋体" w:eastAsia="宋体" w:cs="宋体"/>
          <w:color w:val="auto"/>
          <w:highlight w:val="none"/>
        </w:rPr>
        <w:t>（服务）</w:t>
      </w:r>
    </w:p>
    <w:p>
      <w:pPr>
        <w:spacing w:before="2" w:line="500" w:lineRule="exact"/>
        <w:ind w:firstLine="708" w:firstLineChars="294"/>
        <w:rPr>
          <w:rFonts w:hint="eastAsia" w:ascii="宋体" w:hAnsi="宋体" w:eastAsia="宋体" w:cs="宋体"/>
          <w:b/>
          <w:bCs/>
          <w:color w:val="auto"/>
          <w:sz w:val="24"/>
          <w:highlight w:val="none"/>
        </w:rPr>
      </w:pPr>
    </w:p>
    <w:p>
      <w:pPr>
        <w:pStyle w:val="13"/>
        <w:spacing w:line="50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lang w:eastAsia="zh-CN"/>
        </w:rPr>
        <w:t>贺州市平桂区黄花山公园景观建设工程[一期(服务部分)]</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，从业人员人，营业收入为万元，资产总额为万元，属于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pPr>
        <w:pStyle w:val="13"/>
        <w:spacing w:before="34" w:line="50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pStyle w:val="13"/>
        <w:spacing w:before="25" w:line="50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pStyle w:val="13"/>
        <w:spacing w:before="56" w:line="500" w:lineRule="exact"/>
        <w:ind w:right="1808" w:firstLine="705" w:firstLineChars="294"/>
        <w:rPr>
          <w:rFonts w:hint="eastAsia" w:ascii="宋体" w:hAnsi="宋体" w:eastAsia="宋体" w:cs="宋体"/>
          <w:color w:val="auto"/>
          <w:sz w:val="24"/>
          <w:highlight w:val="none"/>
        </w:rPr>
      </w:pPr>
    </w:p>
    <w:p>
      <w:pPr>
        <w:pStyle w:val="13"/>
        <w:spacing w:before="56" w:line="500" w:lineRule="exact"/>
        <w:ind w:right="650" w:firstLine="5625" w:firstLineChars="2344"/>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企业名称（电子签章）： </w:t>
      </w:r>
    </w:p>
    <w:p>
      <w:pPr>
        <w:pStyle w:val="13"/>
        <w:spacing w:before="56" w:line="500" w:lineRule="exact"/>
        <w:ind w:right="1808" w:firstLine="5625" w:firstLineChars="2344"/>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5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w:t>
      </w:r>
      <w:r>
        <w:rPr>
          <w:rFonts w:hint="eastAsia" w:ascii="宋体" w:hAnsi="宋体" w:cs="宋体"/>
          <w:color w:val="auto"/>
          <w:sz w:val="24"/>
          <w:highlight w:val="none"/>
          <w:lang w:eastAsia="zh-CN"/>
        </w:rPr>
        <w:t>小微企业声明函</w:t>
      </w:r>
      <w:r>
        <w:rPr>
          <w:rFonts w:hint="eastAsia" w:ascii="宋体" w:hAnsi="宋体" w:eastAsia="宋体" w:cs="宋体"/>
          <w:color w:val="auto"/>
          <w:sz w:val="24"/>
          <w:highlight w:val="none"/>
        </w:rPr>
        <w:t>》。从业人员、营业收入、资产总额填报上一年度数据，无上一年度数据的新成立企业可不填报。</w:t>
      </w:r>
    </w:p>
    <w:p>
      <w:pPr>
        <w:pStyle w:val="19"/>
        <w:spacing w:line="36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32"/>
          <w:szCs w:val="32"/>
          <w:highlight w:val="none"/>
        </w:rPr>
        <w:t>附：</w:t>
      </w:r>
    </w:p>
    <w:p>
      <w:pPr>
        <w:spacing w:line="36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中小微企业划型标准</w:t>
      </w:r>
    </w:p>
    <w:p>
      <w:pPr>
        <w:spacing w:line="360" w:lineRule="exact"/>
        <w:ind w:left="1871"/>
        <w:rPr>
          <w:rFonts w:hint="eastAsia" w:ascii="宋体" w:hAnsi="宋体" w:eastAsia="宋体" w:cs="宋体"/>
          <w:color w:val="auto"/>
          <w:szCs w:val="21"/>
          <w:highlight w:val="none"/>
        </w:rPr>
      </w:pPr>
    </w:p>
    <w:tbl>
      <w:tblPr>
        <w:tblStyle w:val="26"/>
        <w:tblW w:w="8853" w:type="dxa"/>
        <w:tblInd w:w="250" w:type="dxa"/>
        <w:tblLayout w:type="fixed"/>
        <w:tblCellMar>
          <w:top w:w="0" w:type="dxa"/>
          <w:left w:w="108" w:type="dxa"/>
          <w:bottom w:w="0" w:type="dxa"/>
          <w:right w:w="108" w:type="dxa"/>
        </w:tblCellMar>
      </w:tblPr>
      <w:tblGrid>
        <w:gridCol w:w="1701"/>
        <w:gridCol w:w="1384"/>
        <w:gridCol w:w="1043"/>
        <w:gridCol w:w="1628"/>
        <w:gridCol w:w="1532"/>
        <w:gridCol w:w="156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指标名称</w:t>
            </w:r>
          </w:p>
        </w:tc>
        <w:tc>
          <w:tcPr>
            <w:tcW w:w="104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计量单位</w:t>
            </w:r>
          </w:p>
        </w:tc>
        <w:tc>
          <w:tcPr>
            <w:tcW w:w="162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中型</w:t>
            </w:r>
          </w:p>
        </w:tc>
        <w:tc>
          <w:tcPr>
            <w:tcW w:w="1532"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小型</w:t>
            </w:r>
          </w:p>
        </w:tc>
        <w:tc>
          <w:tcPr>
            <w:tcW w:w="15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lang w:val="en-US" w:eastAsia="zh-CN"/>
              </w:rPr>
            </w:pPr>
            <w:r>
              <w:rPr>
                <w:rFonts w:hint="eastAsia" w:ascii="宋体" w:hAnsi="宋体" w:eastAsia="宋体" w:cs="宋体"/>
                <w:b/>
                <w:bCs/>
                <w:color w:val="auto"/>
                <w:kern w:val="0"/>
                <w:sz w:val="19"/>
                <w:szCs w:val="19"/>
                <w:highlight w:val="none"/>
              </w:rPr>
              <w:t>农、林、牧、渔</w:t>
            </w:r>
            <w:r>
              <w:rPr>
                <w:rFonts w:hint="eastAsia" w:ascii="宋体" w:hAnsi="宋体" w:eastAsia="宋体" w:cs="宋体"/>
                <w:b/>
                <w:bCs/>
                <w:color w:val="auto"/>
                <w:kern w:val="0"/>
                <w:sz w:val="19"/>
                <w:szCs w:val="19"/>
                <w:highlight w:val="none"/>
                <w:lang w:val="en-US" w:eastAsia="zh-CN"/>
              </w:rPr>
              <w:t>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500≤Y＜20000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50≤Y＜500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工业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20≤X＜300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2000≤Y＜40000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300≤Y＜2000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建筑业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6000≤Y＜80000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300≤Y＜6000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资产总额（Z）</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5000≤Z＜80000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300≤Z＜5000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批发业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20≤X＜200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5≤X＜20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5000≤Y＜40000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1000≤Y＜5000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零售业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50≤X＜300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10≤X＜50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500≤Y＜20000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100≤Y＜500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交通运输业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20≤X＜300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3000≤Y＜30000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200≤Y＜3000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仓储业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100≤X＜200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20≤X＜100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1000≤Y＜30000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100≤Y＜1000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邮政业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20≤X＜300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2000≤Y＜30000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100≤Y＜2000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住宿业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2000≤Y＜10000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100≤Y＜2000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餐饮业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2000≤Y＜10000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100≤Y＜2000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信息传输业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100≤X＜2000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1000≤Y＜100000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100≤Y＜1000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1000≤Y＜10000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50≤Y＜1000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1000≤Y＜200000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100≤X＜1000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资产总额（Z）</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5000≤Z＜10000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2000≤Y＜5000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物业管理</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1000≤Y＜5000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500≤Y＜1000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资产总额（Z）</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8000≤Z＜120000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100≤Z＜8000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3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5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bl>
    <w:p>
      <w:pPr>
        <w:spacing w:line="360" w:lineRule="auto"/>
        <w:ind w:firstLine="475" w:firstLineChars="250"/>
        <w:rPr>
          <w:rFonts w:hint="eastAsia" w:ascii="宋体" w:hAnsi="宋体" w:eastAsia="宋体" w:cs="宋体"/>
          <w:color w:val="auto"/>
          <w:sz w:val="19"/>
          <w:szCs w:val="19"/>
          <w:highlight w:val="none"/>
        </w:rPr>
      </w:pPr>
    </w:p>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520" w:lineRule="exact"/>
        <w:jc w:val="center"/>
        <w:rPr>
          <w:rFonts w:hint="eastAsia" w:ascii="宋体" w:hAnsi="宋体" w:eastAsia="宋体" w:cs="宋体"/>
          <w:color w:val="auto"/>
          <w:sz w:val="44"/>
          <w:szCs w:val="44"/>
          <w:highlight w:val="none"/>
        </w:rPr>
      </w:pPr>
    </w:p>
    <w:p>
      <w:pPr>
        <w:spacing w:line="520" w:lineRule="exact"/>
        <w:jc w:val="center"/>
        <w:rPr>
          <w:rFonts w:hint="eastAsia" w:ascii="宋体" w:hAnsi="宋体" w:eastAsia="宋体" w:cs="宋体"/>
          <w:color w:val="auto"/>
          <w:sz w:val="44"/>
          <w:szCs w:val="44"/>
          <w:highlight w:val="none"/>
        </w:rPr>
      </w:pPr>
    </w:p>
    <w:p>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pPr>
        <w:spacing w:line="360" w:lineRule="auto"/>
        <w:contextualSpacing/>
        <w:rPr>
          <w:rFonts w:hint="eastAsia" w:ascii="宋体" w:hAnsi="宋体" w:eastAsia="宋体" w:cs="宋体"/>
          <w:color w:val="auto"/>
          <w:sz w:val="32"/>
          <w:szCs w:val="32"/>
          <w:highlight w:val="none"/>
        </w:rPr>
      </w:pP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单位名称(电子签章)：</w:t>
      </w:r>
    </w:p>
    <w:p>
      <w:pPr>
        <w:spacing w:line="360" w:lineRule="auto"/>
        <w:ind w:firstLine="3600" w:firstLineChars="15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质疑函（格式）</w:t>
      </w:r>
    </w:p>
    <w:p>
      <w:pPr>
        <w:pStyle w:val="19"/>
        <w:snapToGrid w:val="0"/>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pPr>
        <w:pStyle w:val="19"/>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9"/>
        <w:snapToGrid w:val="0"/>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pPr>
        <w:pStyle w:val="19"/>
        <w:spacing w:line="360" w:lineRule="auto"/>
        <w:ind w:left="25" w:leftChars="12"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pPr>
        <w:pStyle w:val="19"/>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pPr>
        <w:pStyle w:val="19"/>
        <w:spacing w:line="360" w:lineRule="auto"/>
        <w:ind w:left="25" w:leftChars="12" w:firstLine="472" w:firstLineChars="196"/>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9"/>
        <w:spacing w:line="360" w:lineRule="auto"/>
        <w:ind w:left="25" w:leftChars="12" w:firstLine="472" w:firstLineChars="197"/>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9"/>
        <w:spacing w:line="360" w:lineRule="auto"/>
        <w:contextualSpacing/>
        <w:rPr>
          <w:rFonts w:hint="eastAsia" w:ascii="宋体" w:hAnsi="宋体" w:eastAsia="宋体" w:cs="宋体"/>
          <w:b/>
          <w:color w:val="auto"/>
          <w:sz w:val="24"/>
          <w:szCs w:val="24"/>
          <w:highlight w:val="none"/>
        </w:rPr>
      </w:pPr>
    </w:p>
    <w:p>
      <w:pPr>
        <w:pStyle w:val="19"/>
        <w:spacing w:line="360" w:lineRule="auto"/>
        <w:contextualSpacing/>
        <w:rPr>
          <w:rFonts w:hint="eastAsia" w:ascii="宋体" w:hAnsi="宋体" w:eastAsia="宋体" w:cs="宋体"/>
          <w:b/>
          <w:color w:val="auto"/>
          <w:sz w:val="24"/>
          <w:szCs w:val="24"/>
          <w:highlight w:val="none"/>
        </w:rPr>
      </w:pPr>
    </w:p>
    <w:p>
      <w:pPr>
        <w:pStyle w:val="19"/>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19"/>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pPr>
        <w:pStyle w:val="19"/>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9"/>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pPr>
        <w:pStyle w:val="19"/>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pPr>
        <w:pStyle w:val="19"/>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pPr>
        <w:pStyle w:val="19"/>
        <w:snapToGrid w:val="0"/>
        <w:rPr>
          <w:rFonts w:hint="eastAsia" w:ascii="宋体" w:hAnsi="宋体" w:eastAsia="宋体" w:cs="宋体"/>
          <w:b/>
          <w:color w:val="auto"/>
          <w:sz w:val="24"/>
          <w:szCs w:val="24"/>
          <w:highlight w:val="none"/>
        </w:rPr>
      </w:pPr>
    </w:p>
    <w:p>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pPr>
        <w:pStyle w:val="19"/>
        <w:snapToGrid w:val="0"/>
        <w:spacing w:line="360" w:lineRule="auto"/>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pPr>
        <w:pStyle w:val="19"/>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pPr>
        <w:pStyle w:val="19"/>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pPr>
        <w:pStyle w:val="19"/>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9"/>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pPr>
        <w:pStyle w:val="19"/>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9"/>
        <w:snapToGrid w:val="0"/>
        <w:spacing w:line="360" w:lineRule="auto"/>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pPr>
        <w:pStyle w:val="19"/>
        <w:spacing w:line="360" w:lineRule="auto"/>
        <w:ind w:left="25" w:leftChars="12" w:firstLine="952" w:firstLineChars="3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pPr>
        <w:pStyle w:val="19"/>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9"/>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9"/>
        <w:spacing w:line="360" w:lineRule="auto"/>
        <w:ind w:firstLine="241"/>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pPr>
        <w:pStyle w:val="19"/>
        <w:spacing w:line="360" w:lineRule="auto"/>
        <w:ind w:left="25" w:leftChars="12" w:firstLine="472" w:firstLineChars="19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pPr>
        <w:pStyle w:val="19"/>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pPr>
        <w:pStyle w:val="19"/>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pPr>
        <w:pStyle w:val="19"/>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pPr>
        <w:pStyle w:val="19"/>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9"/>
        <w:spacing w:line="360" w:lineRule="auto"/>
        <w:ind w:left="25" w:leftChars="12" w:firstLine="472" w:firstLineChars="19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pPr>
        <w:pStyle w:val="19"/>
        <w:spacing w:line="360" w:lineRule="auto"/>
        <w:ind w:left="25" w:leftChars="12" w:firstLine="352" w:firstLineChars="147"/>
        <w:rPr>
          <w:rFonts w:hint="eastAsia" w:ascii="宋体" w:hAnsi="宋体" w:eastAsia="宋体" w:cs="宋体"/>
          <w:color w:val="auto"/>
          <w:sz w:val="24"/>
          <w:szCs w:val="24"/>
          <w:highlight w:val="none"/>
        </w:rPr>
      </w:pP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9"/>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9"/>
        <w:spacing w:line="360" w:lineRule="auto"/>
        <w:ind w:left="25" w:leftChars="12" w:firstLine="472" w:firstLineChars="197"/>
        <w:rPr>
          <w:rFonts w:hint="eastAsia" w:ascii="宋体" w:hAnsi="宋体" w:eastAsia="宋体" w:cs="宋体"/>
          <w:color w:val="auto"/>
          <w:sz w:val="24"/>
          <w:szCs w:val="24"/>
          <w:highlight w:val="none"/>
        </w:rPr>
      </w:pPr>
    </w:p>
    <w:p>
      <w:pPr>
        <w:pStyle w:val="19"/>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19"/>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pPr>
        <w:pStyle w:val="19"/>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9"/>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pPr>
        <w:pStyle w:val="19"/>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pPr>
        <w:pStyle w:val="19"/>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pPr>
        <w:pStyle w:val="19"/>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pPr>
        <w:snapToGrid w:val="0"/>
        <w:spacing w:line="360" w:lineRule="exact"/>
        <w:jc w:val="left"/>
        <w:rPr>
          <w:rFonts w:hint="eastAsia" w:ascii="仿宋" w:hAnsi="仿宋" w:eastAsia="仿宋" w:cs="仿宋"/>
          <w:b/>
          <w:bCs/>
          <w:color w:val="auto"/>
          <w:highlight w:val="none"/>
        </w:rPr>
      </w:pPr>
      <w:bookmarkStart w:id="173" w:name="_Toc44229900"/>
    </w:p>
    <w:p>
      <w:pPr>
        <w:snapToGrid w:val="0"/>
        <w:spacing w:line="360" w:lineRule="exact"/>
        <w:jc w:val="left"/>
        <w:rPr>
          <w:rFonts w:hint="eastAsia" w:ascii="仿宋" w:hAnsi="仿宋" w:eastAsia="仿宋" w:cs="仿宋"/>
          <w:b/>
          <w:bCs/>
          <w:color w:val="auto"/>
          <w:highlight w:val="none"/>
        </w:rPr>
      </w:pPr>
    </w:p>
    <w:p>
      <w:pPr>
        <w:snapToGrid w:val="0"/>
        <w:spacing w:line="360" w:lineRule="exact"/>
        <w:jc w:val="left"/>
        <w:rPr>
          <w:rFonts w:hint="eastAsia" w:ascii="仿宋" w:hAnsi="仿宋" w:eastAsia="仿宋" w:cs="仿宋"/>
          <w:b/>
          <w:bCs/>
          <w:color w:val="auto"/>
          <w:highlight w:val="none"/>
        </w:rPr>
      </w:pPr>
    </w:p>
    <w:p>
      <w:pPr>
        <w:snapToGrid w:val="0"/>
        <w:spacing w:line="360" w:lineRule="exact"/>
        <w:jc w:val="left"/>
        <w:rPr>
          <w:rFonts w:hint="eastAsia" w:ascii="仿宋" w:hAnsi="仿宋" w:eastAsia="仿宋" w:cs="仿宋"/>
          <w:b/>
          <w:bCs/>
          <w:color w:val="auto"/>
          <w:highlight w:val="none"/>
        </w:rPr>
      </w:pPr>
    </w:p>
    <w:p>
      <w:pPr>
        <w:snapToGrid w:val="0"/>
        <w:spacing w:line="360" w:lineRule="exact"/>
        <w:jc w:val="left"/>
        <w:rPr>
          <w:rFonts w:hint="eastAsia" w:ascii="仿宋" w:hAnsi="仿宋" w:eastAsia="仿宋" w:cs="仿宋"/>
          <w:b/>
          <w:bCs/>
          <w:color w:val="auto"/>
          <w:highlight w:val="none"/>
        </w:rPr>
      </w:pPr>
    </w:p>
    <w:p>
      <w:pPr>
        <w:snapToGrid w:val="0"/>
        <w:spacing w:line="360" w:lineRule="exact"/>
        <w:jc w:val="left"/>
        <w:rPr>
          <w:rFonts w:hint="eastAsia" w:ascii="仿宋" w:hAnsi="仿宋" w:eastAsia="仿宋" w:cs="仿宋"/>
          <w:b/>
          <w:bCs/>
          <w:color w:val="auto"/>
          <w:highlight w:val="none"/>
        </w:rPr>
      </w:pPr>
    </w:p>
    <w:p>
      <w:pPr>
        <w:snapToGrid w:val="0"/>
        <w:spacing w:line="36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“政采贷”政策告知函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各供应商:</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欢迎贵公司参与贺州市平桂区政府采购活动!</w:t>
      </w: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jc w:val="both"/>
        <w:textAlignment w:val="auto"/>
        <w:outlineLvl w:val="9"/>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jc w:val="both"/>
        <w:textAlignment w:val="auto"/>
        <w:outlineLvl w:val="9"/>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一、“政采贷”操作流程</w:t>
      </w:r>
    </w:p>
    <w:p>
      <w:pPr>
        <w:keepNext w:val="0"/>
        <w:keepLines w:val="0"/>
        <w:pageBreakBefore w:val="0"/>
        <w:widowControl/>
        <w:kinsoku/>
        <w:wordWrap/>
        <w:overflowPunct/>
        <w:topLinePunct w:val="0"/>
        <w:autoSpaceDE/>
        <w:autoSpaceDN/>
        <w:bidi w:val="0"/>
        <w:adjustRightInd w:val="0"/>
        <w:snapToGrid w:val="0"/>
        <w:spacing w:after="0" w:line="400" w:lineRule="exact"/>
        <w:ind w:right="0" w:rightChars="0" w:firstLine="480" w:firstLineChars="200"/>
        <w:jc w:val="both"/>
        <w:textAlignment w:val="auto"/>
        <w:outlineLvl w:val="9"/>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进入“广西政府采购网”（</w:t>
      </w:r>
      <w:r>
        <w:rPr>
          <w:rFonts w:hint="eastAsia" w:ascii="仿宋" w:hAnsi="仿宋" w:eastAsia="仿宋" w:cs="仿宋"/>
          <w:bCs/>
          <w:kern w:val="0"/>
          <w:sz w:val="24"/>
          <w:szCs w:val="24"/>
          <w:lang w:val="en-US" w:eastAsia="zh-CN" w:bidi="ar-SA"/>
        </w:rPr>
        <w:fldChar w:fldCharType="begin"/>
      </w:r>
      <w:r>
        <w:rPr>
          <w:rFonts w:hint="eastAsia" w:ascii="仿宋" w:hAnsi="仿宋" w:eastAsia="仿宋" w:cs="仿宋"/>
          <w:bCs/>
          <w:kern w:val="0"/>
          <w:sz w:val="24"/>
          <w:szCs w:val="24"/>
          <w:lang w:val="en-US" w:eastAsia="zh-CN" w:bidi="ar-SA"/>
        </w:rPr>
        <w:instrText xml:space="preserve"> HYPERLINK "http://zfcg.gxzf.gov.cn/" </w:instrText>
      </w:r>
      <w:r>
        <w:rPr>
          <w:rFonts w:hint="eastAsia" w:ascii="仿宋" w:hAnsi="仿宋" w:eastAsia="仿宋" w:cs="仿宋"/>
          <w:bCs/>
          <w:kern w:val="0"/>
          <w:sz w:val="24"/>
          <w:szCs w:val="24"/>
          <w:lang w:val="en-US" w:eastAsia="zh-CN" w:bidi="ar-SA"/>
        </w:rPr>
        <w:fldChar w:fldCharType="separate"/>
      </w:r>
      <w:r>
        <w:rPr>
          <w:rFonts w:hint="eastAsia" w:ascii="仿宋" w:hAnsi="仿宋" w:eastAsia="仿宋" w:cs="仿宋"/>
          <w:bCs/>
          <w:kern w:val="0"/>
          <w:sz w:val="24"/>
          <w:szCs w:val="24"/>
          <w:lang w:val="en-US" w:eastAsia="zh-CN" w:bidi="ar-SA"/>
        </w:rPr>
        <w:t>http://zfcg.gxzf.gov.cn/</w:t>
      </w:r>
      <w:r>
        <w:rPr>
          <w:rFonts w:hint="eastAsia" w:ascii="仿宋" w:hAnsi="仿宋" w:eastAsia="仿宋" w:cs="仿宋"/>
          <w:bCs/>
          <w:kern w:val="0"/>
          <w:sz w:val="24"/>
          <w:szCs w:val="24"/>
          <w:lang w:val="en-US" w:eastAsia="zh-CN" w:bidi="ar-SA"/>
        </w:rPr>
        <w:fldChar w:fldCharType="end"/>
      </w:r>
      <w:r>
        <w:rPr>
          <w:rFonts w:hint="eastAsia" w:ascii="仿宋" w:hAnsi="仿宋" w:eastAsia="仿宋" w:cs="仿宋"/>
          <w:bCs/>
          <w:kern w:val="0"/>
          <w:sz w:val="24"/>
          <w:szCs w:val="24"/>
          <w:lang w:val="en-US" w:eastAsia="zh-CN" w:bidi="ar-SA"/>
        </w:rPr>
        <w:t>）“办事指南”专栏找到“金融融资”板块，进入“广西政府采购金融服务平台”登录，选择试点银行机构进行合同融资预申请。</w:t>
      </w: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jc w:val="both"/>
        <w:textAlignment w:val="auto"/>
        <w:outlineLvl w:val="9"/>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二、承接银行联系方式</w:t>
      </w:r>
    </w:p>
    <w:p>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00" w:lineRule="exact"/>
        <w:jc w:val="left"/>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1.中国建设银行贺州分行</w:t>
      </w:r>
      <w:r>
        <w:rPr>
          <w:rFonts w:hint="eastAsia" w:ascii="仿宋" w:hAnsi="仿宋" w:eastAsia="仿宋" w:cs="仿宋"/>
          <w:bCs/>
          <w:kern w:val="0"/>
          <w:sz w:val="21"/>
          <w:szCs w:val="21"/>
          <w:lang w:val="en-US" w:eastAsia="zh-CN" w:bidi="ar-SA"/>
        </w:rPr>
        <w:tab/>
      </w:r>
    </w:p>
    <w:tbl>
      <w:tblPr>
        <w:tblStyle w:val="27"/>
        <w:tblpPr w:leftFromText="180" w:rightFromText="180" w:vertAnchor="text" w:horzAnchor="page" w:tblpX="1551" w:tblpY="142"/>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892"/>
        <w:gridCol w:w="1397"/>
        <w:gridCol w:w="1581"/>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54" w:type="dxa"/>
            <w:gridSpan w:val="5"/>
            <w:noWrap w:val="0"/>
            <w:vAlign w:val="bottom"/>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中国建设银行贺州分行   总协调人：杨宏毅    职务：公司业务部副总经理  手机号码：18077397188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2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金融机构</w:t>
            </w:r>
          </w:p>
        </w:tc>
        <w:tc>
          <w:tcPr>
            <w:tcW w:w="892"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2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联系人</w:t>
            </w:r>
          </w:p>
        </w:tc>
        <w:tc>
          <w:tcPr>
            <w:tcW w:w="1397"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2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职务</w:t>
            </w:r>
          </w:p>
        </w:tc>
        <w:tc>
          <w:tcPr>
            <w:tcW w:w="1581"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2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手机号码</w:t>
            </w:r>
          </w:p>
        </w:tc>
        <w:tc>
          <w:tcPr>
            <w:tcW w:w="3225"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2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359" w:type="dxa"/>
            <w:noWrap w:val="0"/>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0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中国建设银行贺州平桂支行</w:t>
            </w:r>
          </w:p>
        </w:tc>
        <w:tc>
          <w:tcPr>
            <w:tcW w:w="892" w:type="dxa"/>
            <w:noWrap w:val="0"/>
            <w:vAlign w:val="center"/>
          </w:tcPr>
          <w:p>
            <w:pPr>
              <w:keepNext w:val="0"/>
              <w:keepLines w:val="0"/>
              <w:pageBreakBefore w:val="0"/>
              <w:widowControl/>
              <w:suppressLineNumbers w:val="0"/>
              <w:kinsoku/>
              <w:wordWrap/>
              <w:overflowPunct/>
              <w:topLinePunct w:val="0"/>
              <w:autoSpaceDE/>
              <w:autoSpaceDN/>
              <w:bidi w:val="0"/>
              <w:spacing w:line="400" w:lineRule="exact"/>
              <w:ind w:firstLine="210" w:firstLineChars="100"/>
              <w:jc w:val="both"/>
              <w:textAlignment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邱 伟</w:t>
            </w:r>
          </w:p>
        </w:tc>
        <w:tc>
          <w:tcPr>
            <w:tcW w:w="1397" w:type="dxa"/>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客户</w:t>
            </w:r>
          </w:p>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经理</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spacing w:line="400" w:lineRule="exact"/>
              <w:ind w:firstLine="210" w:firstLineChars="100"/>
              <w:jc w:val="center"/>
              <w:textAlignment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18007840720</w:t>
            </w:r>
          </w:p>
        </w:tc>
        <w:tc>
          <w:tcPr>
            <w:tcW w:w="3225" w:type="dxa"/>
            <w:noWrap w:val="0"/>
            <w:vAlign w:val="bottom"/>
          </w:tcPr>
          <w:p>
            <w:pPr>
              <w:keepNext w:val="0"/>
              <w:keepLines w:val="0"/>
              <w:pageBreakBefore w:val="0"/>
              <w:widowControl/>
              <w:suppressLineNumbers w:val="0"/>
              <w:kinsoku/>
              <w:wordWrap/>
              <w:overflowPunct/>
              <w:topLinePunct w:val="0"/>
              <w:autoSpaceDE/>
              <w:autoSpaceDN/>
              <w:bidi w:val="0"/>
              <w:spacing w:line="400" w:lineRule="exact"/>
              <w:jc w:val="both"/>
              <w:textAlignment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贺州市平桂区平桂大道15号富旺小区1号楼105号商铺</w:t>
            </w:r>
          </w:p>
        </w:tc>
      </w:tr>
    </w:tbl>
    <w:p>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2.广西北部湾银行</w:t>
      </w:r>
    </w:p>
    <w:tbl>
      <w:tblPr>
        <w:tblStyle w:val="27"/>
        <w:tblW w:w="948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900"/>
        <w:gridCol w:w="1545"/>
        <w:gridCol w:w="1382"/>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80" w:type="dxa"/>
            <w:gridSpan w:val="5"/>
            <w:noWrap w:val="0"/>
            <w:vAlign w:val="bottom"/>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广西北部湾银行贺州分行    总协调人：杨政     职务：普惠金融部总经理  手机号码：18978413000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365"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金融机构</w:t>
            </w:r>
          </w:p>
        </w:tc>
        <w:tc>
          <w:tcPr>
            <w:tcW w:w="900"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联系人</w:t>
            </w:r>
          </w:p>
        </w:tc>
        <w:tc>
          <w:tcPr>
            <w:tcW w:w="1545"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职务</w:t>
            </w:r>
          </w:p>
        </w:tc>
        <w:tc>
          <w:tcPr>
            <w:tcW w:w="1382"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手机号码</w:t>
            </w:r>
          </w:p>
        </w:tc>
        <w:tc>
          <w:tcPr>
            <w:tcW w:w="3288"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5" w:type="dxa"/>
            <w:noWrap w:val="0"/>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20" w:lineRule="atLeast"/>
              <w:ind w:left="0" w:leftChars="0" w:firstLine="0" w:firstLineChars="0"/>
              <w:jc w:val="left"/>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广西北部湾银行贺州市平桂支行</w:t>
            </w:r>
          </w:p>
        </w:tc>
        <w:tc>
          <w:tcPr>
            <w:tcW w:w="900" w:type="dxa"/>
            <w:noWrap w:val="0"/>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20" w:lineRule="atLeast"/>
              <w:jc w:val="left"/>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刘 乐</w:t>
            </w:r>
          </w:p>
        </w:tc>
        <w:tc>
          <w:tcPr>
            <w:tcW w:w="1545" w:type="dxa"/>
            <w:noWrap w:val="0"/>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20" w:lineRule="atLeast"/>
              <w:jc w:val="left"/>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公司客户经理</w:t>
            </w:r>
          </w:p>
        </w:tc>
        <w:tc>
          <w:tcPr>
            <w:tcW w:w="1382" w:type="dxa"/>
            <w:noWrap w:val="0"/>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20" w:lineRule="atLeast"/>
              <w:jc w:val="left"/>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13036871008</w:t>
            </w:r>
          </w:p>
        </w:tc>
        <w:tc>
          <w:tcPr>
            <w:tcW w:w="3288" w:type="dxa"/>
            <w:noWrap w:val="0"/>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20" w:lineRule="atLeast"/>
              <w:ind w:left="0" w:leftChars="0" w:firstLine="0" w:firstLineChars="0"/>
              <w:jc w:val="both"/>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贺州市平桂区平桂大道4号3号楼103号商铺</w:t>
            </w:r>
          </w:p>
        </w:tc>
      </w:tr>
    </w:tbl>
    <w:p>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3.广西贺州桂东农村合作银行</w:t>
      </w:r>
    </w:p>
    <w:tbl>
      <w:tblPr>
        <w:tblStyle w:val="27"/>
        <w:tblW w:w="94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930"/>
        <w:gridCol w:w="1500"/>
        <w:gridCol w:w="1442"/>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gridSpan w:val="5"/>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广西贺州桂东农村合作银行  总协调人：卢士强    职务：授信审批部总经理  手机号码：18077409115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20"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before="157" w:beforeLines="50" w:after="0" w:line="240" w:lineRule="auto"/>
              <w:ind w:left="0" w:leftChars="0" w:firstLine="0" w:firstLineChars="0"/>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金融机构</w:t>
            </w:r>
          </w:p>
        </w:tc>
        <w:tc>
          <w:tcPr>
            <w:tcW w:w="930"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before="157" w:beforeLines="50" w:after="0" w:line="240" w:lineRule="auto"/>
              <w:ind w:left="0" w:leftChars="0" w:firstLine="0" w:firstLineChars="0"/>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联系人</w:t>
            </w:r>
          </w:p>
        </w:tc>
        <w:tc>
          <w:tcPr>
            <w:tcW w:w="1500"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before="157" w:beforeLines="50" w:after="0" w:line="240" w:lineRule="auto"/>
              <w:ind w:left="0" w:leftChars="0" w:firstLine="0" w:firstLineChars="0"/>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职务</w:t>
            </w:r>
          </w:p>
        </w:tc>
        <w:tc>
          <w:tcPr>
            <w:tcW w:w="1442"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before="157" w:beforeLines="50" w:after="0" w:line="240" w:lineRule="auto"/>
              <w:ind w:left="0" w:leftChars="0" w:firstLine="0" w:firstLineChars="0"/>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手机号码</w:t>
            </w:r>
          </w:p>
        </w:tc>
        <w:tc>
          <w:tcPr>
            <w:tcW w:w="3273" w:type="dxa"/>
            <w:noWrap w:val="0"/>
            <w:vAlign w:val="top"/>
          </w:tcPr>
          <w:p>
            <w:pPr>
              <w:keepNext w:val="0"/>
              <w:keepLines w:val="0"/>
              <w:pageBreakBefore w:val="0"/>
              <w:widowControl/>
              <w:tabs>
                <w:tab w:val="left" w:pos="2172"/>
              </w:tabs>
              <w:kinsoku/>
              <w:wordWrap/>
              <w:overflowPunct/>
              <w:topLinePunct w:val="0"/>
              <w:autoSpaceDE/>
              <w:autoSpaceDN/>
              <w:bidi w:val="0"/>
              <w:adjustRightInd w:val="0"/>
              <w:snapToGrid w:val="0"/>
              <w:spacing w:before="157" w:beforeLines="50" w:after="0" w:line="240" w:lineRule="auto"/>
              <w:ind w:left="0" w:leftChars="0" w:firstLine="0" w:firstLineChars="0"/>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20" w:type="dxa"/>
            <w:noWrap w:val="0"/>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240" w:lineRule="auto"/>
              <w:ind w:left="0" w:leftChars="0" w:firstLine="0" w:firstLineChars="0"/>
              <w:jc w:val="left"/>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广西贺州桂东农村合作银行平桂支行</w:t>
            </w:r>
          </w:p>
        </w:tc>
        <w:tc>
          <w:tcPr>
            <w:tcW w:w="930" w:type="dxa"/>
            <w:noWrap w:val="0"/>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古 睿</w:t>
            </w:r>
          </w:p>
        </w:tc>
        <w:tc>
          <w:tcPr>
            <w:tcW w:w="1500" w:type="dxa"/>
            <w:noWrap w:val="0"/>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信贷副</w:t>
            </w:r>
          </w:p>
          <w:p>
            <w:pPr>
              <w:keepNext w:val="0"/>
              <w:keepLines w:val="0"/>
              <w:pageBreakBefore w:val="0"/>
              <w:widowControl/>
              <w:tabs>
                <w:tab w:val="left" w:pos="2172"/>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行长</w:t>
            </w:r>
          </w:p>
        </w:tc>
        <w:tc>
          <w:tcPr>
            <w:tcW w:w="1442" w:type="dxa"/>
            <w:noWrap w:val="0"/>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18007840375</w:t>
            </w:r>
          </w:p>
        </w:tc>
        <w:tc>
          <w:tcPr>
            <w:tcW w:w="3273" w:type="dxa"/>
            <w:noWrap w:val="0"/>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贺州市平桂区平桂大道财政局一楼</w:t>
            </w:r>
          </w:p>
        </w:tc>
      </w:tr>
    </w:tbl>
    <w:p>
      <w:pPr>
        <w:pStyle w:val="4"/>
        <w:spacing w:line="520" w:lineRule="exact"/>
        <w:jc w:val="center"/>
        <w:rPr>
          <w:rFonts w:hint="eastAsia" w:ascii="宋体" w:hAnsi="宋体" w:eastAsia="宋体" w:cs="宋体"/>
          <w:color w:val="auto"/>
          <w:highlight w:val="none"/>
        </w:rPr>
      </w:pPr>
    </w:p>
    <w:p>
      <w:pPr>
        <w:pStyle w:val="4"/>
        <w:spacing w:line="520" w:lineRule="exact"/>
        <w:jc w:val="center"/>
        <w:rPr>
          <w:rFonts w:hint="eastAsia" w:ascii="宋体" w:hAnsi="宋体" w:eastAsia="宋体" w:cs="宋体"/>
          <w:color w:val="auto"/>
          <w:highlight w:val="none"/>
        </w:rPr>
      </w:pPr>
    </w:p>
    <w:p>
      <w:pPr>
        <w:pStyle w:val="4"/>
        <w:spacing w:line="5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第六章 合同文本</w:t>
      </w:r>
      <w:bookmarkEnd w:id="173"/>
    </w:p>
    <w:p>
      <w:pPr>
        <w:spacing w:line="520" w:lineRule="exact"/>
        <w:rPr>
          <w:rFonts w:hint="eastAsia" w:ascii="宋体" w:hAnsi="宋体" w:eastAsia="宋体" w:cs="宋体"/>
          <w:b/>
          <w:color w:val="auto"/>
          <w:sz w:val="32"/>
          <w:szCs w:val="32"/>
          <w:highlight w:val="none"/>
        </w:rPr>
      </w:pPr>
    </w:p>
    <w:p>
      <w:pPr>
        <w:pStyle w:val="19"/>
        <w:spacing w:line="480" w:lineRule="auto"/>
        <w:rPr>
          <w:rFonts w:hint="eastAsia" w:ascii="方正小标宋简体" w:hAnsi="宋体" w:eastAsia="方正小标宋简体" w:cs="宋体"/>
          <w:b/>
          <w:color w:val="auto"/>
          <w:sz w:val="28"/>
          <w:szCs w:val="28"/>
          <w:highlight w:val="none"/>
        </w:rPr>
      </w:pPr>
      <w:bookmarkStart w:id="174" w:name="_Toc7265"/>
      <w:bookmarkStart w:id="175" w:name="_Toc453165660"/>
    </w:p>
    <w:p>
      <w:pPr>
        <w:pStyle w:val="19"/>
        <w:spacing w:line="480" w:lineRule="auto"/>
        <w:rPr>
          <w:rFonts w:hint="eastAsia" w:ascii="方正小标宋简体" w:hAnsi="宋体" w:eastAsia="方正小标宋简体" w:cs="宋体"/>
          <w:b/>
          <w:color w:val="auto"/>
          <w:sz w:val="28"/>
          <w:szCs w:val="28"/>
          <w:highlight w:val="none"/>
        </w:rPr>
      </w:pPr>
    </w:p>
    <w:p>
      <w:pPr>
        <w:pStyle w:val="19"/>
        <w:spacing w:line="480" w:lineRule="auto"/>
        <w:rPr>
          <w:rFonts w:hint="eastAsia" w:ascii="方正小标宋简体" w:hAnsi="宋体" w:eastAsia="方正小标宋简体" w:cs="宋体"/>
          <w:b/>
          <w:color w:val="auto"/>
          <w:sz w:val="28"/>
          <w:szCs w:val="28"/>
          <w:highlight w:val="none"/>
        </w:rPr>
      </w:pPr>
    </w:p>
    <w:p>
      <w:pPr>
        <w:pStyle w:val="19"/>
        <w:spacing w:line="480" w:lineRule="auto"/>
        <w:jc w:val="center"/>
        <w:rPr>
          <w:rFonts w:hint="eastAsia" w:ascii="方正小标宋简体" w:hAnsi="楷体" w:eastAsia="方正小标宋简体" w:cs="楷体"/>
          <w:b w:val="0"/>
          <w:bCs/>
          <w:color w:val="auto"/>
          <w:sz w:val="84"/>
          <w:szCs w:val="84"/>
          <w:highlight w:val="none"/>
        </w:rPr>
      </w:pPr>
      <w:r>
        <w:rPr>
          <w:rFonts w:hint="eastAsia" w:ascii="方正小标宋简体" w:hAnsi="楷体" w:eastAsia="方正小标宋简体" w:cs="楷体"/>
          <w:b w:val="0"/>
          <w:bCs/>
          <w:color w:val="auto"/>
          <w:sz w:val="84"/>
          <w:szCs w:val="84"/>
          <w:highlight w:val="none"/>
          <w:lang w:eastAsia="zh-CN"/>
        </w:rPr>
        <w:t>服务</w:t>
      </w:r>
      <w:r>
        <w:rPr>
          <w:rFonts w:hint="eastAsia" w:ascii="方正小标宋简体" w:hAnsi="楷体" w:eastAsia="方正小标宋简体" w:cs="楷体"/>
          <w:b w:val="0"/>
          <w:bCs/>
          <w:color w:val="auto"/>
          <w:sz w:val="84"/>
          <w:szCs w:val="84"/>
          <w:highlight w:val="none"/>
        </w:rPr>
        <w:t>合同书</w:t>
      </w:r>
    </w:p>
    <w:p>
      <w:pPr>
        <w:pStyle w:val="19"/>
        <w:spacing w:line="480" w:lineRule="auto"/>
        <w:jc w:val="center"/>
        <w:rPr>
          <w:rFonts w:hint="eastAsia" w:ascii="方正小标宋简体" w:hAnsi="楷体" w:eastAsia="方正小标宋简体" w:cs="楷体"/>
          <w:b/>
          <w:color w:val="auto"/>
          <w:sz w:val="32"/>
          <w:highlight w:val="none"/>
        </w:rPr>
      </w:pPr>
    </w:p>
    <w:p>
      <w:pPr>
        <w:pStyle w:val="19"/>
        <w:spacing w:line="400" w:lineRule="exact"/>
        <w:jc w:val="center"/>
        <w:rPr>
          <w:rFonts w:hint="eastAsia" w:ascii="方正小标宋简体" w:hAnsi="楷体" w:eastAsia="方正小标宋简体" w:cs="楷体"/>
          <w:b/>
          <w:color w:val="auto"/>
          <w:sz w:val="32"/>
          <w:highlight w:val="none"/>
        </w:rPr>
      </w:pPr>
    </w:p>
    <w:p>
      <w:pPr>
        <w:pStyle w:val="19"/>
        <w:spacing w:line="400" w:lineRule="exact"/>
        <w:jc w:val="center"/>
        <w:rPr>
          <w:rFonts w:hint="eastAsia" w:ascii="方正小标宋简体" w:hAnsi="楷体" w:eastAsia="方正小标宋简体" w:cs="楷体"/>
          <w:b/>
          <w:color w:val="auto"/>
          <w:sz w:val="32"/>
          <w:highlight w:val="none"/>
        </w:rPr>
      </w:pPr>
    </w:p>
    <w:p>
      <w:pPr>
        <w:pStyle w:val="19"/>
        <w:spacing w:line="400" w:lineRule="exact"/>
        <w:jc w:val="center"/>
        <w:rPr>
          <w:rFonts w:hint="eastAsia" w:ascii="方正小标宋简体" w:hAnsi="楷体" w:eastAsia="方正小标宋简体" w:cs="楷体"/>
          <w:b/>
          <w:color w:val="auto"/>
          <w:sz w:val="32"/>
          <w:highlight w:val="none"/>
        </w:rPr>
      </w:pPr>
    </w:p>
    <w:p>
      <w:pPr>
        <w:pStyle w:val="19"/>
        <w:spacing w:line="400" w:lineRule="exact"/>
        <w:jc w:val="center"/>
        <w:rPr>
          <w:rFonts w:hint="eastAsia" w:ascii="方正小标宋简体" w:hAnsi="楷体" w:eastAsia="方正小标宋简体" w:cs="楷体"/>
          <w:b w:val="0"/>
          <w:bCs/>
          <w:color w:val="auto"/>
          <w:sz w:val="32"/>
          <w:highlight w:val="none"/>
        </w:rPr>
      </w:pPr>
    </w:p>
    <w:p>
      <w:pPr>
        <w:pStyle w:val="19"/>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bCs w:val="0"/>
          <w:color w:val="auto"/>
          <w:kern w:val="0"/>
          <w:sz w:val="36"/>
          <w:szCs w:val="36"/>
          <w:highlight w:val="none"/>
          <w:u w:val="none"/>
          <w:lang w:eastAsia="zh-CN"/>
        </w:rPr>
      </w:pPr>
      <w:r>
        <w:rPr>
          <w:rFonts w:hint="eastAsia" w:ascii="仿宋_GB2312" w:hAnsi="仿宋_GB2312" w:eastAsia="仿宋_GB2312" w:cs="仿宋_GB2312"/>
          <w:b/>
          <w:bCs w:val="0"/>
          <w:color w:val="auto"/>
          <w:sz w:val="36"/>
          <w:szCs w:val="36"/>
          <w:highlight w:val="none"/>
          <w:u w:val="none"/>
          <w:lang w:eastAsia="zh-CN"/>
        </w:rPr>
        <w:t>项目</w:t>
      </w:r>
      <w:r>
        <w:rPr>
          <w:rFonts w:hint="eastAsia" w:ascii="仿宋_GB2312" w:hAnsi="仿宋_GB2312" w:eastAsia="仿宋_GB2312" w:cs="仿宋_GB2312"/>
          <w:b/>
          <w:bCs w:val="0"/>
          <w:color w:val="auto"/>
          <w:sz w:val="36"/>
          <w:szCs w:val="36"/>
          <w:highlight w:val="none"/>
          <w:u w:val="none"/>
        </w:rPr>
        <w:t>名称</w:t>
      </w:r>
      <w:r>
        <w:rPr>
          <w:rFonts w:hint="eastAsia" w:ascii="仿宋_GB2312" w:hAnsi="仿宋_GB2312" w:eastAsia="仿宋_GB2312" w:cs="仿宋_GB2312"/>
          <w:b/>
          <w:bCs w:val="0"/>
          <w:color w:val="auto"/>
          <w:sz w:val="36"/>
          <w:szCs w:val="36"/>
          <w:highlight w:val="none"/>
          <w:u w:val="none"/>
          <w:lang w:val="en-US" w:eastAsia="zh-CN"/>
        </w:rPr>
        <w:t>：</w:t>
      </w:r>
      <w:r>
        <w:rPr>
          <w:rFonts w:hint="eastAsia" w:ascii="仿宋_GB2312" w:hAnsi="仿宋_GB2312" w:eastAsia="仿宋_GB2312" w:cs="仿宋_GB2312"/>
          <w:b/>
          <w:bCs w:val="0"/>
          <w:color w:val="auto"/>
          <w:kern w:val="0"/>
          <w:sz w:val="36"/>
          <w:szCs w:val="36"/>
          <w:highlight w:val="none"/>
          <w:u w:val="none"/>
          <w:lang w:eastAsia="zh-CN"/>
        </w:rPr>
        <w:t>贺州市平桂区黄花山公园景观建设工程</w:t>
      </w:r>
      <w:r>
        <w:rPr>
          <w:rFonts w:hint="eastAsia" w:ascii="仿宋_GB2312" w:hAnsi="仿宋_GB2312" w:eastAsia="仿宋_GB2312" w:cs="仿宋_GB2312"/>
          <w:b/>
          <w:bCs w:val="0"/>
          <w:color w:val="auto"/>
          <w:kern w:val="0"/>
          <w:sz w:val="36"/>
          <w:szCs w:val="36"/>
          <w:highlight w:val="none"/>
          <w:u w:val="none"/>
          <w:lang w:val="en-US" w:eastAsia="zh-CN"/>
        </w:rPr>
        <w:t xml:space="preserve">         </w:t>
      </w:r>
      <w:r>
        <w:rPr>
          <w:rFonts w:hint="eastAsia" w:ascii="仿宋_GB2312" w:hAnsi="仿宋_GB2312" w:eastAsia="仿宋_GB2312" w:cs="仿宋_GB2312"/>
          <w:b/>
          <w:bCs w:val="0"/>
          <w:color w:val="auto"/>
          <w:kern w:val="0"/>
          <w:sz w:val="36"/>
          <w:szCs w:val="36"/>
          <w:highlight w:val="none"/>
          <w:u w:val="none"/>
          <w:lang w:eastAsia="zh-CN"/>
        </w:rPr>
        <w:t>[一期(服务部分)]</w:t>
      </w:r>
    </w:p>
    <w:p>
      <w:pPr>
        <w:pStyle w:val="19"/>
        <w:keepNext w:val="0"/>
        <w:keepLines w:val="0"/>
        <w:pageBreakBefore w:val="0"/>
        <w:widowControl w:val="0"/>
        <w:kinsoku/>
        <w:wordWrap/>
        <w:overflowPunct/>
        <w:topLinePunct w:val="0"/>
        <w:autoSpaceDE/>
        <w:autoSpaceDN/>
        <w:bidi w:val="0"/>
        <w:adjustRightInd/>
        <w:snapToGrid/>
        <w:spacing w:line="570" w:lineRule="exact"/>
        <w:ind w:left="0" w:hanging="1789" w:hangingChars="495"/>
        <w:jc w:val="center"/>
        <w:textAlignment w:val="auto"/>
        <w:rPr>
          <w:rFonts w:hint="eastAsia" w:ascii="仿宋_GB2312" w:hAnsi="仿宋_GB2312" w:eastAsia="仿宋_GB2312" w:cs="仿宋_GB2312"/>
          <w:b/>
          <w:bCs w:val="0"/>
          <w:color w:val="auto"/>
          <w:kern w:val="0"/>
          <w:sz w:val="36"/>
          <w:szCs w:val="36"/>
          <w:highlight w:val="none"/>
          <w:u w:val="none"/>
          <w:lang w:eastAsia="zh-CN"/>
        </w:rPr>
      </w:pPr>
    </w:p>
    <w:p>
      <w:pPr>
        <w:pStyle w:val="19"/>
        <w:keepNext w:val="0"/>
        <w:keepLines w:val="0"/>
        <w:pageBreakBefore w:val="0"/>
        <w:widowControl w:val="0"/>
        <w:kinsoku/>
        <w:wordWrap/>
        <w:overflowPunct/>
        <w:topLinePunct w:val="0"/>
        <w:autoSpaceDE/>
        <w:autoSpaceDN/>
        <w:bidi w:val="0"/>
        <w:adjustRightInd/>
        <w:snapToGrid/>
        <w:spacing w:line="570" w:lineRule="exact"/>
        <w:ind w:left="0" w:hanging="1789" w:hangingChars="495"/>
        <w:jc w:val="center"/>
        <w:textAlignment w:val="auto"/>
        <w:rPr>
          <w:rFonts w:hint="default" w:ascii="仿宋_GB2312" w:hAnsi="仿宋_GB2312" w:eastAsia="仿宋_GB2312" w:cs="仿宋_GB2312"/>
          <w:b w:val="0"/>
          <w:bCs/>
          <w:color w:val="auto"/>
          <w:kern w:val="0"/>
          <w:sz w:val="36"/>
          <w:szCs w:val="36"/>
          <w:highlight w:val="none"/>
          <w:u w:val="none"/>
          <w:lang w:val="en-US" w:eastAsia="zh-CN"/>
        </w:rPr>
      </w:pPr>
      <w:r>
        <w:rPr>
          <w:rFonts w:hint="eastAsia" w:ascii="仿宋_GB2312" w:hAnsi="仿宋_GB2312" w:eastAsia="仿宋_GB2312" w:cs="仿宋_GB2312"/>
          <w:b/>
          <w:bCs w:val="0"/>
          <w:color w:val="auto"/>
          <w:kern w:val="0"/>
          <w:sz w:val="36"/>
          <w:szCs w:val="36"/>
          <w:highlight w:val="none"/>
          <w:u w:val="none"/>
          <w:lang w:eastAsia="zh-CN"/>
        </w:rPr>
        <w:t>项目编号</w:t>
      </w:r>
      <w:r>
        <w:rPr>
          <w:rFonts w:hint="eastAsia" w:ascii="仿宋_GB2312" w:hAnsi="仿宋_GB2312" w:eastAsia="仿宋_GB2312" w:cs="仿宋_GB2312"/>
          <w:b w:val="0"/>
          <w:bCs/>
          <w:color w:val="auto"/>
          <w:kern w:val="0"/>
          <w:sz w:val="36"/>
          <w:szCs w:val="36"/>
          <w:highlight w:val="none"/>
          <w:u w:val="none"/>
          <w:lang w:eastAsia="zh-CN"/>
        </w:rPr>
        <w:t>：</w:t>
      </w:r>
    </w:p>
    <w:p>
      <w:pPr>
        <w:pStyle w:val="19"/>
        <w:spacing w:line="400" w:lineRule="exact"/>
        <w:ind w:left="1485" w:hanging="1782" w:hangingChars="495"/>
        <w:jc w:val="left"/>
        <w:rPr>
          <w:rFonts w:hint="eastAsia" w:ascii="仿宋_GB2312" w:hAnsi="仿宋_GB2312" w:eastAsia="仿宋_GB2312" w:cs="仿宋_GB2312"/>
          <w:b w:val="0"/>
          <w:bCs/>
          <w:color w:val="auto"/>
          <w:sz w:val="36"/>
          <w:szCs w:val="36"/>
          <w:highlight w:val="none"/>
          <w:u w:val="single"/>
        </w:rPr>
      </w:pPr>
    </w:p>
    <w:p>
      <w:pPr>
        <w:pStyle w:val="19"/>
        <w:spacing w:line="400" w:lineRule="exact"/>
        <w:jc w:val="left"/>
        <w:rPr>
          <w:rFonts w:hint="eastAsia" w:ascii="仿宋_GB2312" w:hAnsi="仿宋_GB2312" w:eastAsia="仿宋_GB2312" w:cs="仿宋_GB2312"/>
          <w:bCs/>
          <w:color w:val="auto"/>
          <w:sz w:val="30"/>
          <w:szCs w:val="30"/>
          <w:highlight w:val="none"/>
          <w:u w:val="single"/>
        </w:rPr>
      </w:pPr>
    </w:p>
    <w:p>
      <w:pPr>
        <w:pStyle w:val="19"/>
        <w:spacing w:line="400" w:lineRule="exact"/>
        <w:jc w:val="left"/>
        <w:rPr>
          <w:rFonts w:hint="eastAsia" w:ascii="仿宋_GB2312" w:hAnsi="仿宋_GB2312" w:eastAsia="仿宋_GB2312" w:cs="仿宋_GB2312"/>
          <w:b w:val="0"/>
          <w:bCs/>
          <w:color w:val="auto"/>
          <w:sz w:val="30"/>
          <w:szCs w:val="30"/>
          <w:highlight w:val="none"/>
          <w:u w:val="single"/>
        </w:rPr>
      </w:pPr>
    </w:p>
    <w:p>
      <w:pPr>
        <w:pStyle w:val="19"/>
        <w:spacing w:line="400" w:lineRule="exact"/>
        <w:jc w:val="left"/>
        <w:rPr>
          <w:rFonts w:hint="eastAsia" w:ascii="仿宋_GB2312" w:hAnsi="仿宋_GB2312" w:eastAsia="仿宋_GB2312" w:cs="仿宋_GB2312"/>
          <w:b w:val="0"/>
          <w:bCs/>
          <w:color w:val="auto"/>
          <w:sz w:val="30"/>
          <w:szCs w:val="30"/>
          <w:highlight w:val="none"/>
          <w:u w:val="single"/>
        </w:rPr>
      </w:pPr>
    </w:p>
    <w:p>
      <w:pPr>
        <w:pStyle w:val="19"/>
        <w:spacing w:line="400" w:lineRule="exact"/>
        <w:jc w:val="left"/>
        <w:rPr>
          <w:rFonts w:hint="eastAsia" w:ascii="仿宋_GB2312" w:hAnsi="仿宋_GB2312" w:eastAsia="仿宋_GB2312" w:cs="仿宋_GB2312"/>
          <w:b w:val="0"/>
          <w:bCs/>
          <w:color w:val="auto"/>
          <w:sz w:val="30"/>
          <w:szCs w:val="30"/>
          <w:highlight w:val="none"/>
          <w:u w:val="single"/>
        </w:rPr>
      </w:pPr>
    </w:p>
    <w:p>
      <w:pPr>
        <w:pStyle w:val="19"/>
        <w:spacing w:line="400" w:lineRule="exact"/>
        <w:jc w:val="both"/>
        <w:rPr>
          <w:rFonts w:hint="eastAsia" w:ascii="仿宋_GB2312" w:hAnsi="仿宋_GB2312" w:eastAsia="仿宋_GB2312" w:cs="仿宋_GB2312"/>
          <w:b/>
          <w:bCs w:val="0"/>
          <w:color w:val="auto"/>
          <w:sz w:val="30"/>
          <w:szCs w:val="30"/>
          <w:highlight w:val="none"/>
        </w:rPr>
      </w:pPr>
    </w:p>
    <w:p>
      <w:pPr>
        <w:pStyle w:val="19"/>
        <w:spacing w:line="400" w:lineRule="exact"/>
        <w:jc w:val="center"/>
        <w:rPr>
          <w:rFonts w:hint="eastAsia" w:ascii="仿宋_GB2312" w:hAnsi="仿宋_GB2312" w:eastAsia="仿宋_GB2312" w:cs="仿宋_GB2312"/>
          <w:b/>
          <w:bCs w:val="0"/>
          <w:color w:val="auto"/>
          <w:sz w:val="32"/>
          <w:szCs w:val="32"/>
          <w:highlight w:val="none"/>
          <w:u w:val="single"/>
        </w:rPr>
      </w:pPr>
      <w:r>
        <w:rPr>
          <w:rFonts w:hint="eastAsia" w:ascii="仿宋_GB2312" w:hAnsi="仿宋_GB2312" w:eastAsia="仿宋_GB2312" w:cs="仿宋_GB2312"/>
          <w:b/>
          <w:bCs w:val="0"/>
          <w:color w:val="auto"/>
          <w:sz w:val="32"/>
          <w:szCs w:val="32"/>
          <w:highlight w:val="none"/>
        </w:rPr>
        <w:t>签订合同地点:</w:t>
      </w:r>
      <w:r>
        <w:rPr>
          <w:rFonts w:hint="eastAsia" w:ascii="仿宋_GB2312" w:hAnsi="仿宋_GB2312" w:eastAsia="仿宋_GB2312" w:cs="仿宋_GB2312"/>
          <w:b/>
          <w:bCs w:val="0"/>
          <w:color w:val="auto"/>
          <w:sz w:val="32"/>
          <w:szCs w:val="32"/>
          <w:highlight w:val="none"/>
          <w:u w:val="single"/>
        </w:rPr>
        <w:t>贺州市平桂区</w:t>
      </w:r>
      <w:r>
        <w:rPr>
          <w:rFonts w:hint="eastAsia" w:ascii="仿宋_GB2312" w:hAnsi="仿宋_GB2312" w:eastAsia="仿宋_GB2312" w:cs="仿宋_GB2312"/>
          <w:b/>
          <w:bCs w:val="0"/>
          <w:color w:val="auto"/>
          <w:sz w:val="32"/>
          <w:szCs w:val="32"/>
          <w:highlight w:val="none"/>
          <w:u w:val="single"/>
          <w:lang w:eastAsia="zh-CN"/>
        </w:rPr>
        <w:t>平桂大道一号</w:t>
      </w:r>
    </w:p>
    <w:p>
      <w:pPr>
        <w:pStyle w:val="19"/>
        <w:keepNext w:val="0"/>
        <w:keepLines w:val="0"/>
        <w:pageBreakBefore w:val="0"/>
        <w:widowControl w:val="0"/>
        <w:kinsoku/>
        <w:wordWrap/>
        <w:overflowPunct/>
        <w:topLinePunct w:val="0"/>
        <w:bidi w:val="0"/>
        <w:snapToGrid/>
        <w:spacing w:line="660" w:lineRule="exact"/>
        <w:jc w:val="center"/>
        <w:textAlignment w:val="auto"/>
        <w:outlineLvl w:val="1"/>
        <w:rPr>
          <w:rFonts w:hint="eastAsia" w:ascii="方正小标宋简体" w:hAnsi="楷体" w:eastAsia="方正小标宋简体" w:cs="楷体"/>
          <w:b/>
          <w:color w:val="auto"/>
          <w:sz w:val="44"/>
          <w:szCs w:val="44"/>
          <w:highlight w:val="none"/>
        </w:rPr>
      </w:pPr>
    </w:p>
    <w:p>
      <w:pPr>
        <w:pStyle w:val="19"/>
        <w:keepNext w:val="0"/>
        <w:keepLines w:val="0"/>
        <w:pageBreakBefore w:val="0"/>
        <w:widowControl w:val="0"/>
        <w:kinsoku/>
        <w:wordWrap/>
        <w:overflowPunct/>
        <w:topLinePunct w:val="0"/>
        <w:bidi w:val="0"/>
        <w:snapToGrid/>
        <w:spacing w:line="660" w:lineRule="exact"/>
        <w:jc w:val="center"/>
        <w:textAlignment w:val="auto"/>
        <w:outlineLvl w:val="1"/>
        <w:rPr>
          <w:rFonts w:hint="eastAsia" w:ascii="方正小标宋简体" w:hAnsi="楷体" w:eastAsia="方正小标宋简体" w:cs="楷体"/>
          <w:b/>
          <w:color w:val="auto"/>
          <w:sz w:val="44"/>
          <w:szCs w:val="44"/>
          <w:highlight w:val="none"/>
        </w:rPr>
      </w:pPr>
    </w:p>
    <w:p>
      <w:pPr>
        <w:pStyle w:val="19"/>
        <w:keepNext w:val="0"/>
        <w:keepLines w:val="0"/>
        <w:pageBreakBefore w:val="0"/>
        <w:widowControl w:val="0"/>
        <w:kinsoku/>
        <w:wordWrap/>
        <w:overflowPunct/>
        <w:topLinePunct w:val="0"/>
        <w:bidi w:val="0"/>
        <w:snapToGrid/>
        <w:spacing w:line="660" w:lineRule="exact"/>
        <w:jc w:val="center"/>
        <w:textAlignment w:val="auto"/>
        <w:outlineLvl w:val="1"/>
        <w:rPr>
          <w:rFonts w:hint="eastAsia" w:ascii="方正小标宋简体" w:hAnsi="楷体" w:eastAsia="方正小标宋简体" w:cs="楷体"/>
          <w:b/>
          <w:color w:val="auto"/>
          <w:sz w:val="44"/>
          <w:szCs w:val="44"/>
          <w:highlight w:val="none"/>
        </w:rPr>
      </w:pPr>
    </w:p>
    <w:p>
      <w:pPr>
        <w:pStyle w:val="19"/>
        <w:keepNext w:val="0"/>
        <w:keepLines w:val="0"/>
        <w:pageBreakBefore w:val="0"/>
        <w:widowControl w:val="0"/>
        <w:kinsoku/>
        <w:wordWrap/>
        <w:overflowPunct/>
        <w:topLinePunct w:val="0"/>
        <w:bidi w:val="0"/>
        <w:snapToGrid/>
        <w:spacing w:line="660" w:lineRule="exact"/>
        <w:jc w:val="center"/>
        <w:textAlignment w:val="auto"/>
        <w:outlineLvl w:val="1"/>
        <w:rPr>
          <w:rFonts w:hint="eastAsia" w:ascii="方正小标宋简体" w:hAnsi="楷体" w:eastAsia="方正小标宋简体" w:cs="楷体"/>
          <w:b/>
          <w:color w:val="auto"/>
          <w:sz w:val="44"/>
          <w:szCs w:val="44"/>
          <w:highlight w:val="none"/>
        </w:rPr>
      </w:pPr>
    </w:p>
    <w:p>
      <w:pPr>
        <w:pStyle w:val="19"/>
        <w:keepNext w:val="0"/>
        <w:keepLines w:val="0"/>
        <w:pageBreakBefore w:val="0"/>
        <w:widowControl w:val="0"/>
        <w:kinsoku/>
        <w:wordWrap/>
        <w:overflowPunct/>
        <w:topLinePunct w:val="0"/>
        <w:bidi w:val="0"/>
        <w:snapToGrid/>
        <w:spacing w:line="660" w:lineRule="exact"/>
        <w:jc w:val="center"/>
        <w:textAlignment w:val="auto"/>
        <w:outlineLvl w:val="1"/>
        <w:rPr>
          <w:rFonts w:hint="eastAsia" w:ascii="方正小标宋简体" w:hAnsi="楷体" w:eastAsia="方正小标宋简体" w:cs="楷体"/>
          <w:b/>
          <w:color w:val="auto"/>
          <w:sz w:val="44"/>
          <w:szCs w:val="44"/>
          <w:highlight w:val="none"/>
        </w:rPr>
      </w:pPr>
    </w:p>
    <w:p>
      <w:pPr>
        <w:pStyle w:val="19"/>
        <w:keepNext w:val="0"/>
        <w:keepLines w:val="0"/>
        <w:pageBreakBefore w:val="0"/>
        <w:widowControl w:val="0"/>
        <w:kinsoku/>
        <w:wordWrap/>
        <w:overflowPunct/>
        <w:topLinePunct w:val="0"/>
        <w:bidi w:val="0"/>
        <w:snapToGrid/>
        <w:spacing w:line="660" w:lineRule="exact"/>
        <w:jc w:val="center"/>
        <w:textAlignment w:val="auto"/>
        <w:outlineLvl w:val="1"/>
        <w:rPr>
          <w:rFonts w:hint="eastAsia" w:ascii="方正小标宋简体" w:hAnsi="楷体" w:eastAsia="方正小标宋简体" w:cs="楷体"/>
          <w:b/>
          <w:color w:val="auto"/>
          <w:sz w:val="44"/>
          <w:szCs w:val="44"/>
          <w:highlight w:val="none"/>
        </w:rPr>
      </w:pPr>
      <w:r>
        <w:rPr>
          <w:rFonts w:hint="eastAsia" w:ascii="方正小标宋简体" w:hAnsi="楷体" w:eastAsia="方正小标宋简体" w:cs="楷体"/>
          <w:b/>
          <w:color w:val="auto"/>
          <w:sz w:val="44"/>
          <w:szCs w:val="44"/>
          <w:highlight w:val="none"/>
        </w:rPr>
        <w:t>合同书</w:t>
      </w:r>
      <w:bookmarkEnd w:id="174"/>
      <w:bookmarkEnd w:id="175"/>
    </w:p>
    <w:p>
      <w:pPr>
        <w:pStyle w:val="19"/>
        <w:keepNext w:val="0"/>
        <w:keepLines w:val="0"/>
        <w:pageBreakBefore w:val="0"/>
        <w:widowControl w:val="0"/>
        <w:kinsoku/>
        <w:wordWrap/>
        <w:overflowPunct/>
        <w:topLinePunct w:val="0"/>
        <w:bidi w:val="0"/>
        <w:snapToGrid/>
        <w:spacing w:line="660" w:lineRule="exact"/>
        <w:ind w:firstLine="640" w:firstLineChars="200"/>
        <w:textAlignment w:val="auto"/>
        <w:rPr>
          <w:rFonts w:hint="eastAsia" w:ascii="仿宋_GB2312" w:hAnsi="楷体" w:eastAsia="仿宋_GB2312" w:cs="楷体"/>
          <w:color w:val="auto"/>
          <w:sz w:val="32"/>
          <w:szCs w:val="32"/>
          <w:highlight w:val="none"/>
        </w:rPr>
      </w:pPr>
    </w:p>
    <w:p>
      <w:pPr>
        <w:pStyle w:val="19"/>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甲方</w:t>
      </w:r>
      <w:r>
        <w:rPr>
          <w:rFonts w:hint="eastAsia" w:ascii="仿宋_GB2312" w:hAnsi="楷体" w:eastAsia="仿宋_GB2312" w:cs="楷体"/>
          <w:color w:val="auto"/>
          <w:sz w:val="32"/>
          <w:szCs w:val="32"/>
          <w:highlight w:val="none"/>
          <w:u w:val="none"/>
        </w:rPr>
        <w:t>（</w:t>
      </w:r>
      <w:r>
        <w:rPr>
          <w:rFonts w:hint="eastAsia" w:ascii="仿宋_GB2312" w:hAnsi="楷体" w:eastAsia="仿宋_GB2312" w:cs="楷体"/>
          <w:color w:val="auto"/>
          <w:sz w:val="32"/>
          <w:szCs w:val="32"/>
          <w:highlight w:val="none"/>
          <w:lang w:eastAsia="zh-CN"/>
        </w:rPr>
        <w:t>发包人</w:t>
      </w:r>
      <w:r>
        <w:rPr>
          <w:rFonts w:hint="eastAsia" w:ascii="仿宋_GB2312" w:hAnsi="楷体" w:eastAsia="仿宋_GB2312" w:cs="楷体"/>
          <w:color w:val="auto"/>
          <w:sz w:val="32"/>
          <w:szCs w:val="32"/>
          <w:highlight w:val="none"/>
        </w:rPr>
        <w:t>）</w:t>
      </w:r>
      <w:r>
        <w:rPr>
          <w:rFonts w:hint="eastAsia" w:ascii="仿宋_GB2312" w:hAnsi="楷体" w:eastAsia="仿宋_GB2312" w:cs="楷体"/>
          <w:color w:val="auto"/>
          <w:sz w:val="32"/>
          <w:szCs w:val="32"/>
          <w:highlight w:val="none"/>
          <w:lang w:eastAsia="zh-CN"/>
        </w:rPr>
        <w:t>：</w:t>
      </w:r>
      <w:r>
        <w:rPr>
          <w:rFonts w:hint="eastAsia" w:ascii="仿宋_GB2312" w:hAnsi="楷体" w:eastAsia="仿宋_GB2312" w:cs="楷体"/>
          <w:color w:val="auto"/>
          <w:sz w:val="32"/>
          <w:szCs w:val="32"/>
          <w:highlight w:val="none"/>
          <w:u w:val="single"/>
        </w:rPr>
        <w:t>贺州市</w:t>
      </w:r>
      <w:r>
        <w:rPr>
          <w:rFonts w:hint="eastAsia" w:ascii="仿宋_GB2312" w:hAnsi="楷体" w:eastAsia="仿宋_GB2312" w:cs="楷体"/>
          <w:color w:val="auto"/>
          <w:sz w:val="32"/>
          <w:szCs w:val="32"/>
          <w:highlight w:val="none"/>
          <w:u w:val="single"/>
          <w:lang w:eastAsia="zh-CN"/>
        </w:rPr>
        <w:t>平桂区城市管理综合执法局</w:t>
      </w:r>
      <w:r>
        <w:rPr>
          <w:rFonts w:hint="eastAsia" w:ascii="仿宋_GB2312" w:hAnsi="楷体" w:eastAsia="仿宋_GB2312" w:cs="楷体"/>
          <w:color w:val="auto"/>
          <w:sz w:val="32"/>
          <w:szCs w:val="32"/>
          <w:highlight w:val="none"/>
        </w:rPr>
        <w:t xml:space="preserve">                 </w:t>
      </w:r>
    </w:p>
    <w:p>
      <w:pPr>
        <w:pStyle w:val="19"/>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乙方（</w:t>
      </w:r>
      <w:r>
        <w:rPr>
          <w:rFonts w:hint="eastAsia" w:ascii="仿宋_GB2312" w:hAnsi="楷体" w:eastAsia="仿宋_GB2312" w:cs="楷体"/>
          <w:color w:val="auto"/>
          <w:sz w:val="32"/>
          <w:szCs w:val="32"/>
          <w:highlight w:val="none"/>
          <w:lang w:eastAsia="zh-CN"/>
        </w:rPr>
        <w:t>承包人</w:t>
      </w:r>
      <w:r>
        <w:rPr>
          <w:rFonts w:hint="eastAsia" w:ascii="仿宋_GB2312" w:hAnsi="楷体" w:eastAsia="仿宋_GB2312" w:cs="楷体"/>
          <w:color w:val="auto"/>
          <w:sz w:val="32"/>
          <w:szCs w:val="32"/>
          <w:highlight w:val="none"/>
        </w:rPr>
        <w:t>）</w:t>
      </w:r>
      <w:r>
        <w:rPr>
          <w:rFonts w:hint="eastAsia" w:ascii="仿宋_GB2312" w:hAnsi="楷体" w:eastAsia="仿宋_GB2312" w:cs="楷体"/>
          <w:color w:val="auto"/>
          <w:sz w:val="32"/>
          <w:szCs w:val="32"/>
          <w:highlight w:val="none"/>
          <w:lang w:eastAsia="zh-CN"/>
        </w:rPr>
        <w:t>：</w:t>
      </w:r>
      <w:r>
        <w:rPr>
          <w:rFonts w:hint="eastAsia" w:ascii="仿宋_GB2312" w:hAnsi="楷体" w:eastAsia="仿宋_GB2312" w:cs="楷体"/>
          <w:color w:val="auto"/>
          <w:sz w:val="32"/>
          <w:szCs w:val="32"/>
          <w:highlight w:val="none"/>
        </w:rPr>
        <w:t>　　　　　</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仿宋_GB2312" w:hAnsi="宋体" w:eastAsia="仿宋_GB2312"/>
          <w:color w:val="auto"/>
          <w:sz w:val="32"/>
          <w:szCs w:val="32"/>
          <w:highlight w:val="none"/>
        </w:rPr>
      </w:pP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宋体" w:eastAsia="仿宋_GB2312"/>
          <w:color w:val="auto"/>
          <w:sz w:val="32"/>
          <w:szCs w:val="32"/>
          <w:highlight w:val="none"/>
        </w:rPr>
        <w:t>根据</w:t>
      </w:r>
      <w:r>
        <w:rPr>
          <w:rFonts w:hint="eastAsia" w:ascii="仿宋_GB2312" w:hAnsi="楷体" w:eastAsia="仿宋_GB2312" w:cs="楷体"/>
          <w:color w:val="auto"/>
          <w:sz w:val="32"/>
          <w:szCs w:val="32"/>
          <w:highlight w:val="none"/>
        </w:rPr>
        <w:t>《中华人民共和国</w:t>
      </w:r>
      <w:r>
        <w:rPr>
          <w:rFonts w:hint="eastAsia" w:ascii="仿宋_GB2312" w:hAnsi="楷体" w:eastAsia="仿宋_GB2312" w:cs="楷体"/>
          <w:color w:val="auto"/>
          <w:sz w:val="32"/>
          <w:szCs w:val="32"/>
          <w:highlight w:val="none"/>
          <w:lang w:eastAsia="zh-CN"/>
        </w:rPr>
        <w:t>民法典</w:t>
      </w:r>
      <w:r>
        <w:rPr>
          <w:rFonts w:hint="eastAsia" w:ascii="仿宋_GB2312" w:hAnsi="楷体" w:eastAsia="仿宋_GB2312" w:cs="楷体"/>
          <w:color w:val="auto"/>
          <w:sz w:val="32"/>
          <w:szCs w:val="32"/>
          <w:highlight w:val="none"/>
        </w:rPr>
        <w:t>》</w:t>
      </w:r>
      <w:r>
        <w:rPr>
          <w:rFonts w:hint="eastAsia" w:ascii="仿宋_GB2312" w:hAnsi="宋体" w:eastAsia="仿宋_GB2312"/>
          <w:color w:val="auto"/>
          <w:sz w:val="32"/>
          <w:szCs w:val="32"/>
          <w:highlight w:val="none"/>
        </w:rPr>
        <w:t>及有关</w:t>
      </w:r>
      <w:r>
        <w:rPr>
          <w:rFonts w:hint="eastAsia" w:ascii="仿宋_GB2312" w:hAnsi="仿宋_GB2312" w:eastAsia="仿宋_GB2312" w:cs="仿宋_GB2312"/>
          <w:color w:val="auto"/>
          <w:sz w:val="32"/>
          <w:szCs w:val="32"/>
          <w:highlight w:val="none"/>
        </w:rPr>
        <w:t>法律规定，遵循平等、自愿、公平和诚实信用的原则，双方就</w:t>
      </w:r>
      <w:r>
        <w:rPr>
          <w:rFonts w:hint="eastAsia" w:ascii="仿宋_GB2312" w:hAnsi="仿宋_GB2312" w:eastAsia="仿宋_GB2312" w:cs="仿宋_GB2312"/>
          <w:color w:val="auto"/>
          <w:sz w:val="32"/>
          <w:szCs w:val="32"/>
          <w:highlight w:val="none"/>
          <w:u w:val="single"/>
        </w:rPr>
        <w:t>贺州市平桂区黄花山公园景观建设工程[一期(服务部分)]</w:t>
      </w:r>
      <w:r>
        <w:rPr>
          <w:rFonts w:hint="eastAsia" w:ascii="仿宋_GB2312" w:hAnsi="仿宋_GB2312" w:eastAsia="仿宋_GB2312" w:cs="仿宋_GB2312"/>
          <w:color w:val="auto"/>
          <w:sz w:val="32"/>
          <w:szCs w:val="32"/>
          <w:highlight w:val="none"/>
          <w:u w:val="none"/>
          <w:lang w:eastAsia="zh-CN"/>
        </w:rPr>
        <w:t>有</w:t>
      </w:r>
      <w:r>
        <w:rPr>
          <w:rFonts w:hint="eastAsia" w:ascii="仿宋_GB2312" w:hAnsi="仿宋_GB2312" w:eastAsia="仿宋_GB2312" w:cs="仿宋_GB2312"/>
          <w:color w:val="auto"/>
          <w:sz w:val="32"/>
          <w:szCs w:val="32"/>
          <w:highlight w:val="none"/>
        </w:rPr>
        <w:t>关事项协商一致，共同达成如下协议：</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w:t>
      </w:r>
      <w:r>
        <w:rPr>
          <w:rFonts w:hint="eastAsia" w:ascii="黑体" w:hAnsi="黑体" w:eastAsia="黑体" w:cs="黑体"/>
          <w:b w:val="0"/>
          <w:bCs w:val="0"/>
          <w:color w:val="auto"/>
          <w:sz w:val="32"/>
          <w:szCs w:val="32"/>
          <w:highlight w:val="none"/>
          <w:lang w:eastAsia="zh-CN"/>
        </w:rPr>
        <w:t>项目</w:t>
      </w:r>
      <w:r>
        <w:rPr>
          <w:rFonts w:hint="eastAsia" w:ascii="黑体" w:hAnsi="黑体" w:eastAsia="黑体" w:cs="黑体"/>
          <w:b w:val="0"/>
          <w:bCs w:val="0"/>
          <w:color w:val="auto"/>
          <w:sz w:val="32"/>
          <w:szCs w:val="32"/>
          <w:highlight w:val="none"/>
        </w:rPr>
        <w:t>概况</w:t>
      </w:r>
    </w:p>
    <w:p>
      <w:pPr>
        <w:keepNext w:val="0"/>
        <w:keepLines w:val="0"/>
        <w:pageBreakBefore w:val="0"/>
        <w:widowControl w:val="0"/>
        <w:kinsoku/>
        <w:wordWrap/>
        <w:overflowPunct/>
        <w:topLinePunct w:val="0"/>
        <w:bidi w:val="0"/>
        <w:snapToGrid/>
        <w:spacing w:line="590" w:lineRule="exact"/>
        <w:ind w:firstLine="627" w:firstLineChars="196"/>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 xml:space="preserve">1. </w:t>
      </w:r>
      <w:r>
        <w:rPr>
          <w:rFonts w:hint="eastAsia" w:ascii="仿宋_GB2312" w:hAnsi="仿宋_GB2312" w:eastAsia="仿宋_GB2312" w:cs="仿宋_GB2312"/>
          <w:bCs/>
          <w:color w:val="auto"/>
          <w:sz w:val="32"/>
          <w:szCs w:val="32"/>
          <w:highlight w:val="none"/>
          <w:u w:val="none"/>
          <w:lang w:eastAsia="zh-CN"/>
        </w:rPr>
        <w:t>项目</w:t>
      </w:r>
      <w:r>
        <w:rPr>
          <w:rFonts w:hint="eastAsia" w:ascii="仿宋_GB2312" w:hAnsi="仿宋_GB2312" w:eastAsia="仿宋_GB2312" w:cs="仿宋_GB2312"/>
          <w:bCs/>
          <w:color w:val="auto"/>
          <w:sz w:val="32"/>
          <w:szCs w:val="32"/>
          <w:highlight w:val="none"/>
          <w:u w:val="none"/>
        </w:rPr>
        <w:t>名称</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贺州市平桂区黄花山公园景观建设工程[一期(服务部分)]</w:t>
      </w:r>
      <w:r>
        <w:rPr>
          <w:rFonts w:hint="eastAsia" w:ascii="仿宋_GB2312" w:hAnsi="仿宋_GB2312" w:eastAsia="仿宋_GB2312" w:cs="仿宋_GB2312"/>
          <w:b w:val="0"/>
          <w:bCs w:val="0"/>
          <w:color w:val="auto"/>
          <w:w w:val="97"/>
          <w:sz w:val="32"/>
          <w:szCs w:val="32"/>
          <w:highlight w:val="none"/>
          <w:u w:val="none"/>
          <w:lang w:val="en-US" w:eastAsia="zh-CN"/>
        </w:rPr>
        <w:t>。</w:t>
      </w:r>
    </w:p>
    <w:p>
      <w:pPr>
        <w:keepNext w:val="0"/>
        <w:keepLines w:val="0"/>
        <w:pageBreakBefore w:val="0"/>
        <w:widowControl w:val="0"/>
        <w:kinsoku/>
        <w:wordWrap/>
        <w:overflowPunct/>
        <w:topLinePunct w:val="0"/>
        <w:bidi w:val="0"/>
        <w:snapToGrid/>
        <w:spacing w:line="590" w:lineRule="exact"/>
        <w:ind w:firstLine="627" w:firstLineChars="196"/>
        <w:textAlignment w:val="auto"/>
        <w:rPr>
          <w:rFonts w:hint="eastAsia" w:ascii="仿宋_GB2312" w:hAnsi="宋体" w:eastAsia="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 xml:space="preserve">2. </w:t>
      </w:r>
      <w:r>
        <w:rPr>
          <w:rFonts w:hint="eastAsia" w:ascii="仿宋_GB2312" w:hAnsi="仿宋_GB2312" w:eastAsia="仿宋_GB2312" w:cs="仿宋_GB2312"/>
          <w:bCs/>
          <w:color w:val="auto"/>
          <w:sz w:val="32"/>
          <w:szCs w:val="32"/>
          <w:highlight w:val="none"/>
          <w:u w:val="none"/>
          <w:lang w:eastAsia="zh-CN"/>
        </w:rPr>
        <w:t>服务</w:t>
      </w:r>
      <w:r>
        <w:rPr>
          <w:rFonts w:hint="eastAsia" w:ascii="仿宋_GB2312" w:hAnsi="仿宋_GB2312" w:eastAsia="仿宋_GB2312" w:cs="仿宋_GB2312"/>
          <w:bCs/>
          <w:color w:val="auto"/>
          <w:sz w:val="32"/>
          <w:szCs w:val="32"/>
          <w:highlight w:val="none"/>
          <w:u w:val="none"/>
        </w:rPr>
        <w:t>地点</w:t>
      </w:r>
      <w:r>
        <w:rPr>
          <w:rFonts w:hint="eastAsia" w:ascii="仿宋_GB2312" w:hAnsi="仿宋_GB2312" w:eastAsia="仿宋_GB2312" w:cs="仿宋_GB2312"/>
          <w:bCs/>
          <w:color w:val="auto"/>
          <w:sz w:val="32"/>
          <w:szCs w:val="32"/>
          <w:highlight w:val="none"/>
          <w:u w:val="none"/>
          <w:lang w:eastAsia="zh-CN"/>
        </w:rPr>
        <w:t>和面积</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eastAsia="zh-CN"/>
        </w:rPr>
        <w:t>贺州市平桂区黄花山公园</w:t>
      </w:r>
      <w:r>
        <w:rPr>
          <w:rFonts w:hint="eastAsia" w:ascii="仿宋_GB2312" w:hAnsi="仿宋_GB2312" w:eastAsia="仿宋_GB2312" w:cs="仿宋_GB2312"/>
          <w:color w:val="auto"/>
          <w:sz w:val="32"/>
          <w:szCs w:val="32"/>
          <w:highlight w:val="none"/>
          <w:u w:val="none"/>
          <w:lang w:val="en-US" w:eastAsia="zh-CN"/>
        </w:rPr>
        <w:t>，总服务绿化面积约1.5万平方米</w:t>
      </w:r>
      <w:r>
        <w:rPr>
          <w:rFonts w:hint="eastAsia" w:ascii="仿宋_GB2312" w:hAnsi="宋体" w:eastAsia="仿宋_GB2312"/>
          <w:color w:val="auto"/>
          <w:sz w:val="32"/>
          <w:szCs w:val="32"/>
          <w:highlight w:val="none"/>
          <w:u w:val="none"/>
        </w:rPr>
        <w:t>。</w:t>
      </w:r>
    </w:p>
    <w:p>
      <w:pPr>
        <w:keepNext w:val="0"/>
        <w:keepLines w:val="0"/>
        <w:pageBreakBefore w:val="0"/>
        <w:widowControl w:val="0"/>
        <w:kinsoku/>
        <w:wordWrap/>
        <w:overflowPunct/>
        <w:topLinePunct w:val="0"/>
        <w:bidi w:val="0"/>
        <w:snapToGrid/>
        <w:spacing w:line="590" w:lineRule="exact"/>
        <w:ind w:firstLine="627" w:firstLineChars="196"/>
        <w:textAlignment w:val="auto"/>
        <w:rPr>
          <w:rFonts w:hint="default" w:ascii="仿宋_GB2312" w:hAnsi="宋体" w:eastAsia="仿宋_GB2312"/>
          <w:bCs/>
          <w:color w:val="auto"/>
          <w:sz w:val="32"/>
          <w:szCs w:val="32"/>
          <w:highlight w:val="none"/>
          <w:u w:val="none"/>
          <w:lang w:val="en-US"/>
        </w:rPr>
      </w:pPr>
      <w:r>
        <w:rPr>
          <w:rFonts w:hint="eastAsia" w:ascii="仿宋_GB2312" w:hAnsi="宋体" w:eastAsia="仿宋_GB2312"/>
          <w:bCs/>
          <w:color w:val="auto"/>
          <w:sz w:val="32"/>
          <w:szCs w:val="32"/>
          <w:highlight w:val="none"/>
          <w:u w:val="none"/>
        </w:rPr>
        <w:t xml:space="preserve">3. </w:t>
      </w:r>
      <w:r>
        <w:rPr>
          <w:rFonts w:hint="eastAsia" w:ascii="仿宋_GB2312" w:hAnsi="宋体" w:eastAsia="仿宋_GB2312"/>
          <w:bCs/>
          <w:color w:val="auto"/>
          <w:sz w:val="32"/>
          <w:szCs w:val="32"/>
          <w:highlight w:val="none"/>
          <w:u w:val="none"/>
          <w:lang w:eastAsia="zh-CN"/>
        </w:rPr>
        <w:t>项目编</w:t>
      </w:r>
      <w:r>
        <w:rPr>
          <w:rFonts w:hint="eastAsia" w:ascii="仿宋_GB2312" w:hAnsi="宋体" w:eastAsia="仿宋_GB2312"/>
          <w:bCs/>
          <w:color w:val="auto"/>
          <w:sz w:val="32"/>
          <w:szCs w:val="32"/>
          <w:highlight w:val="none"/>
          <w:u w:val="none"/>
        </w:rPr>
        <w:t>号：</w:t>
      </w:r>
    </w:p>
    <w:p>
      <w:pPr>
        <w:keepNext w:val="0"/>
        <w:keepLines w:val="0"/>
        <w:pageBreakBefore w:val="0"/>
        <w:widowControl w:val="0"/>
        <w:kinsoku/>
        <w:wordWrap/>
        <w:overflowPunct/>
        <w:topLinePunct w:val="0"/>
        <w:bidi w:val="0"/>
        <w:snapToGrid/>
        <w:spacing w:line="590" w:lineRule="exact"/>
        <w:ind w:firstLine="627" w:firstLineChars="196"/>
        <w:textAlignment w:val="auto"/>
        <w:rPr>
          <w:rFonts w:hint="eastAsia" w:ascii="仿宋_GB2312" w:hAnsi="宋体" w:eastAsia="仿宋_GB2312"/>
          <w:bCs/>
          <w:color w:val="auto"/>
          <w:sz w:val="32"/>
          <w:szCs w:val="32"/>
          <w:highlight w:val="none"/>
          <w:u w:val="none"/>
        </w:rPr>
      </w:pPr>
      <w:r>
        <w:rPr>
          <w:rFonts w:hint="eastAsia" w:ascii="仿宋_GB2312" w:hAnsi="宋体" w:eastAsia="仿宋_GB2312"/>
          <w:bCs/>
          <w:color w:val="auto"/>
          <w:sz w:val="32"/>
          <w:szCs w:val="32"/>
          <w:highlight w:val="none"/>
          <w:u w:val="none"/>
          <w:lang w:val="en-US" w:eastAsia="zh-CN"/>
        </w:rPr>
        <w:t>4</w:t>
      </w:r>
      <w:r>
        <w:rPr>
          <w:rFonts w:hint="eastAsia" w:ascii="仿宋_GB2312" w:hAnsi="宋体" w:eastAsia="仿宋_GB2312"/>
          <w:bCs/>
          <w:color w:val="auto"/>
          <w:sz w:val="32"/>
          <w:szCs w:val="32"/>
          <w:highlight w:val="none"/>
          <w:u w:val="none"/>
        </w:rPr>
        <w:t xml:space="preserve">. </w:t>
      </w:r>
      <w:r>
        <w:rPr>
          <w:rFonts w:hint="eastAsia" w:ascii="仿宋_GB2312" w:hAnsi="宋体" w:eastAsia="仿宋_GB2312"/>
          <w:bCs/>
          <w:color w:val="auto"/>
          <w:sz w:val="32"/>
          <w:szCs w:val="32"/>
          <w:highlight w:val="none"/>
          <w:u w:val="none"/>
          <w:lang w:eastAsia="zh-CN"/>
        </w:rPr>
        <w:t>服务</w:t>
      </w:r>
      <w:r>
        <w:rPr>
          <w:rFonts w:hint="eastAsia" w:ascii="仿宋_GB2312" w:hAnsi="宋体" w:eastAsia="仿宋_GB2312"/>
          <w:bCs/>
          <w:color w:val="auto"/>
          <w:sz w:val="32"/>
          <w:szCs w:val="32"/>
          <w:highlight w:val="none"/>
          <w:u w:val="none"/>
        </w:rPr>
        <w:t>内容：</w:t>
      </w:r>
      <w:r>
        <w:rPr>
          <w:rFonts w:hint="eastAsia" w:ascii="仿宋_GB2312" w:hAnsi="仿宋_GB2312" w:eastAsia="仿宋_GB2312" w:cs="仿宋_GB2312"/>
          <w:b w:val="0"/>
          <w:bCs w:val="0"/>
          <w:color w:val="auto"/>
          <w:sz w:val="32"/>
          <w:szCs w:val="32"/>
          <w:highlight w:val="none"/>
          <w:u w:val="single"/>
          <w:lang w:eastAsia="zh-CN"/>
        </w:rPr>
        <w:t>绿化</w:t>
      </w:r>
      <w:r>
        <w:rPr>
          <w:rFonts w:hint="eastAsia" w:ascii="仿宋_GB2312" w:hAnsi="仿宋_GB2312" w:eastAsia="仿宋_GB2312" w:cs="仿宋_GB2312"/>
          <w:b w:val="0"/>
          <w:bCs w:val="0"/>
          <w:color w:val="auto"/>
          <w:sz w:val="32"/>
          <w:szCs w:val="32"/>
          <w:highlight w:val="none"/>
          <w:u w:val="single"/>
          <w:lang w:val="en-US" w:eastAsia="zh-CN"/>
        </w:rPr>
        <w:t>种植、浇水</w:t>
      </w:r>
      <w:r>
        <w:rPr>
          <w:rFonts w:hint="eastAsia" w:ascii="仿宋_GB2312" w:hAnsi="仿宋_GB2312" w:eastAsia="仿宋_GB2312" w:cs="仿宋_GB2312"/>
          <w:b w:val="0"/>
          <w:bCs w:val="0"/>
          <w:color w:val="auto"/>
          <w:sz w:val="32"/>
          <w:szCs w:val="32"/>
          <w:highlight w:val="none"/>
          <w:u w:val="single"/>
          <w:lang w:eastAsia="zh-CN"/>
        </w:rPr>
        <w:t>、除草、施肥、修剪、打药及卫生保洁等工作</w:t>
      </w:r>
      <w:r>
        <w:rPr>
          <w:rFonts w:hint="eastAsia" w:ascii="仿宋_GB2312" w:hAnsi="宋体" w:eastAsia="仿宋_GB2312"/>
          <w:bCs/>
          <w:color w:val="auto"/>
          <w:sz w:val="32"/>
          <w:szCs w:val="32"/>
          <w:highlight w:val="none"/>
          <w:u w:val="none"/>
        </w:rPr>
        <w:t>。</w:t>
      </w:r>
    </w:p>
    <w:p>
      <w:pPr>
        <w:keepNext w:val="0"/>
        <w:keepLines w:val="0"/>
        <w:pageBreakBefore w:val="0"/>
        <w:widowControl w:val="0"/>
        <w:kinsoku/>
        <w:wordWrap/>
        <w:overflowPunct/>
        <w:topLinePunct w:val="0"/>
        <w:bidi w:val="0"/>
        <w:snapToGrid/>
        <w:spacing w:line="590" w:lineRule="exact"/>
        <w:ind w:firstLine="617" w:firstLineChars="193"/>
        <w:textAlignment w:val="auto"/>
        <w:rPr>
          <w:rFonts w:hint="eastAsia" w:ascii="黑体" w:hAnsi="黑体" w:eastAsia="黑体" w:cs="黑体"/>
          <w:b w:val="0"/>
          <w:bCs w:val="0"/>
          <w:color w:val="auto"/>
          <w:sz w:val="32"/>
          <w:szCs w:val="32"/>
          <w:highlight w:val="none"/>
        </w:rPr>
      </w:pPr>
      <w:bookmarkStart w:id="176" w:name="_Toc351203482"/>
      <w:r>
        <w:rPr>
          <w:rFonts w:hint="eastAsia" w:ascii="黑体" w:hAnsi="黑体" w:eastAsia="黑体" w:cs="黑体"/>
          <w:b w:val="0"/>
          <w:bCs w:val="0"/>
          <w:color w:val="auto"/>
          <w:sz w:val="32"/>
          <w:szCs w:val="32"/>
          <w:highlight w:val="none"/>
        </w:rPr>
        <w:t>二、合同工期</w:t>
      </w:r>
      <w:bookmarkEnd w:id="176"/>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服务开始</w:t>
      </w:r>
      <w:r>
        <w:rPr>
          <w:rFonts w:hint="eastAsia" w:ascii="仿宋_GB2312" w:hAnsi="宋体" w:eastAsia="仿宋_GB2312"/>
          <w:color w:val="auto"/>
          <w:sz w:val="32"/>
          <w:szCs w:val="32"/>
          <w:highlight w:val="none"/>
        </w:rPr>
        <w:t>日期：</w:t>
      </w:r>
      <w:r>
        <w:rPr>
          <w:rFonts w:hint="eastAsia" w:ascii="仿宋_GB2312" w:hAnsi="宋体" w:eastAsia="仿宋_GB2312"/>
          <w:color w:val="auto"/>
          <w:sz w:val="32"/>
          <w:szCs w:val="32"/>
          <w:highlight w:val="none"/>
          <w:u w:val="single"/>
          <w:lang w:val="en-US" w:eastAsia="zh-CN"/>
        </w:rPr>
        <w:t>2024</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服务结束</w:t>
      </w:r>
      <w:r>
        <w:rPr>
          <w:rFonts w:hint="eastAsia" w:ascii="仿宋_GB2312" w:hAnsi="宋体" w:eastAsia="仿宋_GB2312"/>
          <w:color w:val="auto"/>
          <w:sz w:val="32"/>
          <w:szCs w:val="32"/>
          <w:highlight w:val="none"/>
        </w:rPr>
        <w:t>日期：</w:t>
      </w:r>
      <w:r>
        <w:rPr>
          <w:rFonts w:hint="eastAsia" w:ascii="仿宋_GB2312" w:hAnsi="宋体" w:eastAsia="仿宋_GB2312"/>
          <w:color w:val="auto"/>
          <w:sz w:val="32"/>
          <w:szCs w:val="32"/>
          <w:highlight w:val="none"/>
          <w:u w:val="single"/>
          <w:lang w:val="en-US" w:eastAsia="zh-CN"/>
        </w:rPr>
        <w:t>2025</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pPr>
        <w:keepNext w:val="0"/>
        <w:keepLines w:val="0"/>
        <w:pageBreakBefore w:val="0"/>
        <w:widowControl w:val="0"/>
        <w:kinsoku/>
        <w:wordWrap/>
        <w:overflowPunct/>
        <w:topLinePunct w:val="0"/>
        <w:bidi w:val="0"/>
        <w:snapToGrid/>
        <w:spacing w:line="590" w:lineRule="exact"/>
        <w:ind w:firstLine="459"/>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服务</w:t>
      </w:r>
      <w:r>
        <w:rPr>
          <w:rFonts w:hint="eastAsia" w:ascii="仿宋_GB2312" w:hAnsi="宋体" w:eastAsia="仿宋_GB2312"/>
          <w:color w:val="auto"/>
          <w:sz w:val="32"/>
          <w:szCs w:val="32"/>
          <w:highlight w:val="none"/>
        </w:rPr>
        <w:t>总日历天数：</w:t>
      </w:r>
      <w:r>
        <w:rPr>
          <w:rFonts w:hint="eastAsia" w:ascii="仿宋_GB2312" w:hAnsi="宋体" w:eastAsia="仿宋_GB2312"/>
          <w:color w:val="auto"/>
          <w:sz w:val="32"/>
          <w:szCs w:val="32"/>
          <w:highlight w:val="none"/>
          <w:u w:val="single"/>
          <w:lang w:val="en-US" w:eastAsia="zh-CN"/>
        </w:rPr>
        <w:t>365</w:t>
      </w:r>
      <w:r>
        <w:rPr>
          <w:rFonts w:hint="eastAsia" w:ascii="仿宋_GB2312" w:hAnsi="宋体" w:eastAsia="仿宋_GB2312"/>
          <w:color w:val="auto"/>
          <w:sz w:val="32"/>
          <w:szCs w:val="32"/>
          <w:highlight w:val="none"/>
        </w:rPr>
        <w:t>天。</w:t>
      </w:r>
      <w:r>
        <w:rPr>
          <w:rFonts w:hint="eastAsia" w:ascii="仿宋_GB2312" w:hAnsi="宋体" w:eastAsia="仿宋_GB2312"/>
          <w:color w:val="auto"/>
          <w:sz w:val="32"/>
          <w:szCs w:val="32"/>
          <w:highlight w:val="none"/>
          <w:lang w:eastAsia="zh-CN"/>
        </w:rPr>
        <w:t>服务</w:t>
      </w:r>
      <w:r>
        <w:rPr>
          <w:rFonts w:hint="eastAsia" w:ascii="仿宋_GB2312" w:hAnsi="宋体" w:eastAsia="仿宋_GB2312"/>
          <w:color w:val="auto"/>
          <w:sz w:val="32"/>
          <w:szCs w:val="32"/>
          <w:highlight w:val="none"/>
        </w:rPr>
        <w:t>总日历天数与根据前述计划日期计算的工期天数不一致的，以工期总日历天数为准。</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黑体" w:hAnsi="黑体" w:eastAsia="黑体" w:cs="黑体"/>
          <w:b w:val="0"/>
          <w:bCs w:val="0"/>
          <w:color w:val="auto"/>
          <w:sz w:val="32"/>
          <w:szCs w:val="32"/>
          <w:highlight w:val="none"/>
        </w:rPr>
      </w:pPr>
      <w:bookmarkStart w:id="177" w:name="_Toc351203483"/>
      <w:r>
        <w:rPr>
          <w:rFonts w:hint="eastAsia" w:ascii="黑体" w:hAnsi="黑体" w:eastAsia="黑体" w:cs="黑体"/>
          <w:b w:val="0"/>
          <w:bCs w:val="0"/>
          <w:color w:val="auto"/>
          <w:sz w:val="32"/>
          <w:szCs w:val="32"/>
          <w:highlight w:val="none"/>
        </w:rPr>
        <w:t>三、</w:t>
      </w:r>
      <w:r>
        <w:rPr>
          <w:rFonts w:hint="eastAsia" w:ascii="黑体" w:hAnsi="黑体" w:eastAsia="黑体" w:cs="黑体"/>
          <w:b w:val="0"/>
          <w:bCs w:val="0"/>
          <w:color w:val="auto"/>
          <w:sz w:val="32"/>
          <w:szCs w:val="32"/>
          <w:highlight w:val="none"/>
          <w:lang w:eastAsia="zh-CN"/>
        </w:rPr>
        <w:t>服务质量</w:t>
      </w:r>
      <w:r>
        <w:rPr>
          <w:rFonts w:hint="eastAsia" w:ascii="黑体" w:hAnsi="黑体" w:eastAsia="黑体" w:cs="黑体"/>
          <w:b w:val="0"/>
          <w:bCs w:val="0"/>
          <w:color w:val="auto"/>
          <w:sz w:val="32"/>
          <w:szCs w:val="32"/>
          <w:highlight w:val="none"/>
        </w:rPr>
        <w:t>标准</w:t>
      </w:r>
      <w:bookmarkEnd w:id="177"/>
    </w:p>
    <w:p>
      <w:pPr>
        <w:keepNext w:val="0"/>
        <w:keepLines w:val="0"/>
        <w:pageBreakBefore w:val="0"/>
        <w:widowControl w:val="0"/>
        <w:kinsoku/>
        <w:wordWrap/>
        <w:overflowPunct/>
        <w:topLinePunct w:val="0"/>
        <w:bidi w:val="0"/>
        <w:snapToGrid/>
        <w:spacing w:line="590" w:lineRule="exact"/>
        <w:ind w:firstLine="459"/>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服务质量应达到《</w:t>
      </w:r>
      <w:r>
        <w:rPr>
          <w:rFonts w:hint="eastAsia" w:ascii="仿宋_GB2312" w:hAnsi="宋体" w:eastAsia="仿宋_GB2312"/>
          <w:color w:val="auto"/>
          <w:sz w:val="32"/>
          <w:szCs w:val="32"/>
          <w:highlight w:val="none"/>
          <w:lang w:val="en-US" w:eastAsia="zh-CN"/>
        </w:rPr>
        <w:t>采购需求</w:t>
      </w:r>
      <w:r>
        <w:rPr>
          <w:rFonts w:hint="eastAsia" w:ascii="仿宋_GB2312" w:hAnsi="宋体" w:eastAsia="仿宋_GB2312"/>
          <w:color w:val="auto"/>
          <w:sz w:val="32"/>
          <w:szCs w:val="32"/>
          <w:highlight w:val="none"/>
          <w:lang w:eastAsia="zh-CN"/>
        </w:rPr>
        <w:t>》合格</w:t>
      </w:r>
      <w:r>
        <w:rPr>
          <w:rFonts w:hint="eastAsia" w:ascii="仿宋_GB2312" w:hAnsi="宋体" w:eastAsia="仿宋_GB2312"/>
          <w:color w:val="auto"/>
          <w:sz w:val="32"/>
          <w:szCs w:val="32"/>
          <w:highlight w:val="none"/>
          <w:lang w:val="en-US" w:eastAsia="zh-CN"/>
        </w:rPr>
        <w:t>要求</w:t>
      </w:r>
      <w:r>
        <w:rPr>
          <w:rFonts w:hint="eastAsia" w:ascii="仿宋_GB2312" w:hAnsi="宋体" w:eastAsia="仿宋_GB2312"/>
          <w:color w:val="auto"/>
          <w:sz w:val="32"/>
          <w:szCs w:val="32"/>
          <w:highlight w:val="none"/>
        </w:rPr>
        <w:t>。</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黑体" w:hAnsi="黑体" w:eastAsia="黑体" w:cs="黑体"/>
          <w:b w:val="0"/>
          <w:bCs w:val="0"/>
          <w:color w:val="auto"/>
          <w:sz w:val="32"/>
          <w:szCs w:val="32"/>
          <w:highlight w:val="none"/>
        </w:rPr>
      </w:pPr>
      <w:bookmarkStart w:id="178" w:name="_Toc351203484"/>
      <w:r>
        <w:rPr>
          <w:rFonts w:hint="eastAsia" w:ascii="黑体" w:hAnsi="黑体" w:eastAsia="黑体" w:cs="黑体"/>
          <w:b w:val="0"/>
          <w:bCs w:val="0"/>
          <w:color w:val="auto"/>
          <w:sz w:val="32"/>
          <w:szCs w:val="32"/>
          <w:highlight w:val="none"/>
        </w:rPr>
        <w:t>四、签约合同价</w:t>
      </w:r>
      <w:bookmarkEnd w:id="178"/>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rPr>
        <w:t>签约合同价为：</w:t>
      </w:r>
      <w:r>
        <w:rPr>
          <w:rFonts w:hint="eastAsia" w:ascii="仿宋_GB2312" w:hAnsi="宋体" w:eastAsia="仿宋_GB2312"/>
          <w:bCs/>
          <w:color w:val="auto"/>
          <w:sz w:val="32"/>
          <w:szCs w:val="32"/>
          <w:highlight w:val="none"/>
          <w:u w:val="single"/>
        </w:rPr>
        <w:t>人民币（大写）（￥元）</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五、付款方式</w:t>
      </w:r>
    </w:p>
    <w:p>
      <w:pPr>
        <w:keepNext w:val="0"/>
        <w:keepLines w:val="0"/>
        <w:pageBreakBefore w:val="0"/>
        <w:widowControl w:val="0"/>
        <w:kinsoku/>
        <w:wordWrap/>
        <w:overflowPunct/>
        <w:topLinePunct w:val="0"/>
        <w:autoSpaceDE/>
        <w:autoSpaceDN/>
        <w:bidi w:val="0"/>
        <w:snapToGrid/>
        <w:spacing w:line="590" w:lineRule="exact"/>
        <w:ind w:firstLine="640" w:firstLineChars="200"/>
        <w:jc w:val="both"/>
        <w:textAlignment w:val="auto"/>
        <w:rPr>
          <w:rFonts w:hint="eastAsia" w:ascii="仿宋_GB2312" w:hAnsi="宋体" w:eastAsia="仿宋_GB2312"/>
          <w:bCs/>
          <w:color w:val="auto"/>
          <w:sz w:val="32"/>
          <w:szCs w:val="32"/>
          <w:highlight w:val="none"/>
        </w:rPr>
      </w:pPr>
      <w:r>
        <w:rPr>
          <w:rFonts w:hint="eastAsia" w:ascii="仿宋_GB2312" w:hAnsi="宋体" w:eastAsia="仿宋_GB2312"/>
          <w:color w:val="auto"/>
          <w:sz w:val="32"/>
          <w:szCs w:val="32"/>
          <w:highlight w:val="none"/>
          <w:lang w:val="en-US" w:eastAsia="zh-CN"/>
        </w:rPr>
        <w:t>本项目无预付款，苗木完成种植工作并经过验收合格后</w:t>
      </w:r>
      <w:r>
        <w:rPr>
          <w:rFonts w:hint="eastAsia" w:ascii="仿宋_GB2312" w:hAnsi="宋体" w:eastAsia="仿宋_GB2312"/>
          <w:color w:val="auto"/>
          <w:sz w:val="32"/>
          <w:szCs w:val="32"/>
          <w:highlight w:val="none"/>
          <w:lang w:eastAsia="zh-CN"/>
        </w:rPr>
        <w:t>承包人可申请</w:t>
      </w:r>
      <w:r>
        <w:rPr>
          <w:rFonts w:hint="eastAsia" w:ascii="仿宋_GB2312" w:hAnsi="宋体" w:eastAsia="仿宋_GB2312"/>
          <w:b w:val="0"/>
          <w:bCs/>
          <w:color w:val="auto"/>
          <w:sz w:val="32"/>
          <w:szCs w:val="32"/>
          <w:highlight w:val="none"/>
          <w:lang w:val="en-US" w:eastAsia="zh-CN"/>
        </w:rPr>
        <w:t>项目总合同价</w:t>
      </w:r>
      <w:r>
        <w:rPr>
          <w:rFonts w:hint="eastAsia" w:ascii="仿宋_GB2312" w:hAnsi="宋体" w:eastAsia="仿宋_GB2312"/>
          <w:color w:val="auto"/>
          <w:sz w:val="32"/>
          <w:szCs w:val="32"/>
          <w:highlight w:val="none"/>
          <w:lang w:val="en-US" w:eastAsia="zh-CN"/>
        </w:rPr>
        <w:t>35%的服务款，养护期满6个月经验收合格后</w:t>
      </w:r>
      <w:r>
        <w:rPr>
          <w:rFonts w:hint="eastAsia" w:ascii="仿宋_GB2312" w:hAnsi="宋体" w:eastAsia="仿宋_GB2312"/>
          <w:color w:val="auto"/>
          <w:sz w:val="32"/>
          <w:szCs w:val="32"/>
          <w:highlight w:val="none"/>
          <w:lang w:eastAsia="zh-CN"/>
        </w:rPr>
        <w:t>可申请</w:t>
      </w:r>
      <w:r>
        <w:rPr>
          <w:rFonts w:hint="eastAsia" w:ascii="仿宋_GB2312" w:hAnsi="宋体" w:eastAsia="仿宋_GB2312"/>
          <w:color w:val="auto"/>
          <w:sz w:val="32"/>
          <w:szCs w:val="32"/>
          <w:highlight w:val="none"/>
          <w:lang w:val="en-US" w:eastAsia="zh-CN"/>
        </w:rPr>
        <w:t>至</w:t>
      </w:r>
      <w:r>
        <w:rPr>
          <w:rFonts w:hint="eastAsia" w:ascii="仿宋_GB2312" w:hAnsi="宋体" w:eastAsia="仿宋_GB2312"/>
          <w:b w:val="0"/>
          <w:bCs/>
          <w:color w:val="auto"/>
          <w:sz w:val="32"/>
          <w:szCs w:val="32"/>
          <w:highlight w:val="none"/>
          <w:lang w:val="en-US" w:eastAsia="zh-CN"/>
        </w:rPr>
        <w:t>项目总合同价</w:t>
      </w:r>
      <w:r>
        <w:rPr>
          <w:rFonts w:hint="eastAsia" w:ascii="仿宋_GB2312" w:hAnsi="宋体" w:eastAsia="仿宋_GB2312"/>
          <w:color w:val="auto"/>
          <w:sz w:val="32"/>
          <w:szCs w:val="32"/>
          <w:highlight w:val="none"/>
          <w:lang w:val="en-US" w:eastAsia="zh-CN"/>
        </w:rPr>
        <w:t>70%的服务款，</w:t>
      </w:r>
      <w:r>
        <w:rPr>
          <w:rFonts w:hint="eastAsia" w:ascii="仿宋_GB2312" w:hAnsi="宋体" w:eastAsia="仿宋_GB2312"/>
          <w:bCs/>
          <w:color w:val="auto"/>
          <w:sz w:val="32"/>
          <w:szCs w:val="32"/>
          <w:highlight w:val="none"/>
          <w:lang w:val="en-US" w:eastAsia="zh-CN"/>
        </w:rPr>
        <w:t>项目养护到验收合格完成移交后可申请全部服务款</w:t>
      </w:r>
      <w:r>
        <w:rPr>
          <w:rFonts w:hint="eastAsia" w:ascii="仿宋_GB2312" w:hAnsi="宋体" w:eastAsia="仿宋_GB2312"/>
          <w:bCs/>
          <w:color w:val="auto"/>
          <w:sz w:val="32"/>
          <w:szCs w:val="32"/>
          <w:highlight w:val="none"/>
        </w:rPr>
        <w:t>。</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、甲供方式说明</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bCs/>
          <w:color w:val="auto"/>
          <w:sz w:val="32"/>
          <w:szCs w:val="32"/>
          <w:highlight w:val="none"/>
        </w:rPr>
        <w:t>该</w:t>
      </w:r>
      <w:r>
        <w:rPr>
          <w:rFonts w:hint="eastAsia" w:ascii="仿宋_GB2312" w:hAnsi="宋体" w:eastAsia="仿宋_GB2312"/>
          <w:bCs/>
          <w:color w:val="auto"/>
          <w:sz w:val="32"/>
          <w:szCs w:val="32"/>
          <w:highlight w:val="none"/>
          <w:lang w:eastAsia="zh-CN"/>
        </w:rPr>
        <w:t>项目</w:t>
      </w:r>
      <w:r>
        <w:rPr>
          <w:rFonts w:hint="eastAsia" w:ascii="仿宋_GB2312" w:hAnsi="宋体" w:eastAsia="仿宋_GB2312"/>
          <w:bCs/>
          <w:color w:val="auto"/>
          <w:sz w:val="32"/>
          <w:szCs w:val="32"/>
          <w:highlight w:val="none"/>
        </w:rPr>
        <w:t>实施“甲供”合作方式进行</w:t>
      </w:r>
      <w:bookmarkStart w:id="179" w:name="_Toc351203486"/>
      <w:r>
        <w:rPr>
          <w:rFonts w:hint="eastAsia" w:ascii="仿宋_GB2312" w:hAnsi="宋体" w:eastAsia="仿宋_GB2312"/>
          <w:bCs/>
          <w:color w:val="auto"/>
          <w:sz w:val="32"/>
          <w:szCs w:val="32"/>
          <w:highlight w:val="none"/>
          <w:lang w:eastAsia="zh-CN"/>
        </w:rPr>
        <w:t>，由发包人提供水电</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七</w:t>
      </w:r>
      <w:r>
        <w:rPr>
          <w:rFonts w:hint="eastAsia" w:ascii="黑体" w:hAnsi="黑体" w:eastAsia="黑体" w:cs="黑体"/>
          <w:b w:val="0"/>
          <w:bCs w:val="0"/>
          <w:color w:val="auto"/>
          <w:sz w:val="32"/>
          <w:szCs w:val="32"/>
          <w:highlight w:val="none"/>
        </w:rPr>
        <w:t>、合同文件构成</w:t>
      </w:r>
      <w:bookmarkEnd w:id="179"/>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lang w:eastAsia="zh-CN"/>
        </w:rPr>
        <w:t>）合同基本条款</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）中标通知书；</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）其他合同文件。</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在合同订立及履行过程中形成的与合同有关的文件均构成合同文件组成部分。</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rPr>
          <w:rFonts w:hint="eastAsia" w:ascii="黑体" w:hAnsi="黑体" w:eastAsia="黑体" w:cs="黑体"/>
          <w:b w:val="0"/>
          <w:bCs w:val="0"/>
          <w:color w:val="auto"/>
          <w:sz w:val="32"/>
          <w:szCs w:val="32"/>
          <w:highlight w:val="none"/>
        </w:rPr>
      </w:pPr>
      <w:bookmarkStart w:id="180" w:name="_Toc351203487"/>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、承诺</w:t>
      </w:r>
      <w:bookmarkEnd w:id="180"/>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1. 发包人承诺按照法律规定履行项目审批手续、筹集</w:t>
      </w:r>
      <w:r>
        <w:rPr>
          <w:rFonts w:hint="eastAsia" w:ascii="仿宋_GB2312" w:hAnsi="宋体" w:eastAsia="仿宋_GB2312"/>
          <w:bCs/>
          <w:color w:val="auto"/>
          <w:sz w:val="32"/>
          <w:szCs w:val="32"/>
          <w:highlight w:val="none"/>
          <w:lang w:eastAsia="zh-CN"/>
        </w:rPr>
        <w:t>项目</w:t>
      </w:r>
      <w:r>
        <w:rPr>
          <w:rFonts w:hint="eastAsia" w:ascii="仿宋_GB2312" w:hAnsi="宋体" w:eastAsia="仿宋_GB2312"/>
          <w:bCs/>
          <w:color w:val="auto"/>
          <w:sz w:val="32"/>
          <w:szCs w:val="32"/>
          <w:highlight w:val="none"/>
        </w:rPr>
        <w:t>资金并按照合同约定的期限和方式支付合同价款。</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2. 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3. 发包人和承包人通过招投标形式签订合同的，双方理解并承诺不再就同一工程另行签订与合同实质性内容相背离的协议。</w:t>
      </w:r>
      <w:bookmarkStart w:id="181" w:name="_Toc351203488"/>
    </w:p>
    <w:bookmarkEnd w:id="181"/>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黑体" w:hAnsi="黑体" w:eastAsia="黑体" w:cs="黑体"/>
          <w:b w:val="0"/>
          <w:bCs w:val="0"/>
          <w:color w:val="auto"/>
          <w:sz w:val="32"/>
          <w:szCs w:val="32"/>
          <w:highlight w:val="none"/>
        </w:rPr>
      </w:pPr>
      <w:bookmarkStart w:id="182" w:name="_Toc351203490"/>
      <w:r>
        <w:rPr>
          <w:rFonts w:hint="eastAsia" w:ascii="黑体" w:hAnsi="黑体" w:eastAsia="黑体" w:cs="黑体"/>
          <w:b w:val="0"/>
          <w:bCs w:val="0"/>
          <w:color w:val="auto"/>
          <w:sz w:val="32"/>
          <w:szCs w:val="32"/>
          <w:highlight w:val="none"/>
        </w:rPr>
        <w:t>十、签订地点</w:t>
      </w:r>
      <w:bookmarkEnd w:id="182"/>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本合同在</w:t>
      </w:r>
      <w:r>
        <w:rPr>
          <w:rFonts w:hint="eastAsia" w:ascii="仿宋_GB2312" w:hAnsi="宋体" w:eastAsia="仿宋_GB2312"/>
          <w:bCs/>
          <w:color w:val="auto"/>
          <w:sz w:val="32"/>
          <w:szCs w:val="32"/>
          <w:highlight w:val="none"/>
          <w:u w:val="single"/>
        </w:rPr>
        <w:t>广西贺州市平桂区平桂大道</w:t>
      </w:r>
      <w:r>
        <w:rPr>
          <w:rFonts w:hint="eastAsia" w:ascii="仿宋_GB2312" w:hAnsi="宋体" w:eastAsia="仿宋_GB2312"/>
          <w:bCs/>
          <w:color w:val="auto"/>
          <w:sz w:val="32"/>
          <w:szCs w:val="32"/>
          <w:highlight w:val="none"/>
          <w:u w:val="single"/>
          <w:lang w:val="en-US" w:eastAsia="zh-CN"/>
        </w:rPr>
        <w:t>1号B座4楼</w:t>
      </w:r>
      <w:r>
        <w:rPr>
          <w:rFonts w:hint="eastAsia" w:ascii="仿宋_GB2312" w:hAnsi="宋体" w:eastAsia="仿宋_GB2312"/>
          <w:bCs/>
          <w:color w:val="auto"/>
          <w:sz w:val="32"/>
          <w:szCs w:val="32"/>
          <w:highlight w:val="none"/>
        </w:rPr>
        <w:t>签订。</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黑体" w:hAnsi="黑体" w:eastAsia="黑体" w:cs="黑体"/>
          <w:b w:val="0"/>
          <w:bCs w:val="0"/>
          <w:color w:val="auto"/>
          <w:sz w:val="32"/>
          <w:szCs w:val="32"/>
          <w:highlight w:val="none"/>
        </w:rPr>
      </w:pPr>
      <w:bookmarkStart w:id="183" w:name="_Toc351203491"/>
      <w:r>
        <w:rPr>
          <w:rFonts w:hint="eastAsia" w:ascii="黑体" w:hAnsi="黑体" w:eastAsia="黑体" w:cs="黑体"/>
          <w:b w:val="0"/>
          <w:bCs w:val="0"/>
          <w:color w:val="auto"/>
          <w:sz w:val="32"/>
          <w:szCs w:val="32"/>
          <w:highlight w:val="none"/>
        </w:rPr>
        <w:t>十</w:t>
      </w: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、补充协议</w:t>
      </w:r>
      <w:bookmarkEnd w:id="183"/>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合同未尽事宜，合同当事人另行签订补充协议，补充协议是合同的组成部分。</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黑体" w:hAnsi="黑体" w:eastAsia="黑体" w:cs="黑体"/>
          <w:b w:val="0"/>
          <w:bCs w:val="0"/>
          <w:color w:val="auto"/>
          <w:sz w:val="32"/>
          <w:szCs w:val="32"/>
          <w:highlight w:val="none"/>
        </w:rPr>
      </w:pPr>
      <w:bookmarkStart w:id="184" w:name="_Toc351203492"/>
      <w:r>
        <w:rPr>
          <w:rFonts w:hint="eastAsia" w:ascii="黑体" w:hAnsi="黑体" w:eastAsia="黑体" w:cs="黑体"/>
          <w:b w:val="0"/>
          <w:bCs w:val="0"/>
          <w:color w:val="auto"/>
          <w:sz w:val="32"/>
          <w:szCs w:val="32"/>
          <w:highlight w:val="none"/>
        </w:rPr>
        <w:t>十</w:t>
      </w: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、合同生效</w:t>
      </w:r>
      <w:bookmarkEnd w:id="184"/>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本合同自</w:t>
      </w:r>
      <w:r>
        <w:rPr>
          <w:rFonts w:hint="eastAsia" w:ascii="仿宋_GB2312" w:hAnsi="宋体" w:eastAsia="仿宋_GB2312"/>
          <w:bCs/>
          <w:color w:val="auto"/>
          <w:sz w:val="32"/>
          <w:szCs w:val="32"/>
          <w:highlight w:val="none"/>
          <w:u w:val="single"/>
        </w:rPr>
        <w:t>双方签字盖章后</w:t>
      </w:r>
      <w:r>
        <w:rPr>
          <w:rFonts w:hint="eastAsia" w:ascii="仿宋_GB2312" w:hAnsi="宋体" w:eastAsia="仿宋_GB2312"/>
          <w:bCs/>
          <w:color w:val="auto"/>
          <w:sz w:val="32"/>
          <w:szCs w:val="32"/>
          <w:highlight w:val="none"/>
        </w:rPr>
        <w:t>生效。</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黑体" w:hAnsi="黑体" w:eastAsia="黑体" w:cs="黑体"/>
          <w:b w:val="0"/>
          <w:bCs w:val="0"/>
          <w:color w:val="auto"/>
          <w:sz w:val="32"/>
          <w:szCs w:val="32"/>
          <w:highlight w:val="none"/>
        </w:rPr>
      </w:pPr>
      <w:bookmarkStart w:id="185" w:name="_Toc351203493"/>
      <w:r>
        <w:rPr>
          <w:rFonts w:hint="eastAsia" w:ascii="黑体" w:hAnsi="黑体" w:eastAsia="黑体" w:cs="黑体"/>
          <w:b w:val="0"/>
          <w:bCs w:val="0"/>
          <w:color w:val="auto"/>
          <w:sz w:val="32"/>
          <w:szCs w:val="32"/>
          <w:highlight w:val="none"/>
        </w:rPr>
        <w:t>十五、合同份数</w:t>
      </w:r>
      <w:bookmarkEnd w:id="185"/>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本合同一式</w:t>
      </w:r>
      <w:r>
        <w:rPr>
          <w:rFonts w:hint="eastAsia" w:ascii="仿宋_GB2312" w:hAnsi="宋体" w:eastAsia="仿宋_GB2312"/>
          <w:bCs/>
          <w:color w:val="auto"/>
          <w:sz w:val="32"/>
          <w:szCs w:val="32"/>
          <w:highlight w:val="none"/>
          <w:u w:val="single"/>
          <w:lang w:eastAsia="zh-CN"/>
        </w:rPr>
        <w:t>陆</w:t>
      </w:r>
      <w:r>
        <w:rPr>
          <w:rFonts w:hint="eastAsia" w:ascii="仿宋_GB2312" w:hAnsi="宋体" w:eastAsia="仿宋_GB2312"/>
          <w:bCs/>
          <w:color w:val="auto"/>
          <w:sz w:val="32"/>
          <w:szCs w:val="32"/>
          <w:highlight w:val="none"/>
        </w:rPr>
        <w:t>份，均具有同等法律效力，发包人执</w:t>
      </w:r>
      <w:r>
        <w:rPr>
          <w:rFonts w:hint="eastAsia" w:ascii="仿宋_GB2312" w:hAnsi="宋体" w:eastAsia="仿宋_GB2312"/>
          <w:bCs/>
          <w:color w:val="auto"/>
          <w:sz w:val="32"/>
          <w:szCs w:val="32"/>
          <w:highlight w:val="none"/>
          <w:u w:val="single"/>
          <w:lang w:eastAsia="zh-CN"/>
        </w:rPr>
        <w:t>叁</w:t>
      </w:r>
      <w:r>
        <w:rPr>
          <w:rFonts w:hint="eastAsia" w:ascii="仿宋_GB2312" w:hAnsi="宋体" w:eastAsia="仿宋_GB2312"/>
          <w:bCs/>
          <w:color w:val="auto"/>
          <w:sz w:val="32"/>
          <w:szCs w:val="32"/>
          <w:highlight w:val="none"/>
        </w:rPr>
        <w:t>份，承包人执</w:t>
      </w:r>
      <w:r>
        <w:rPr>
          <w:rFonts w:hint="eastAsia" w:ascii="仿宋_GB2312" w:hAnsi="宋体" w:eastAsia="仿宋_GB2312"/>
          <w:bCs/>
          <w:color w:val="auto"/>
          <w:sz w:val="32"/>
          <w:szCs w:val="32"/>
          <w:highlight w:val="none"/>
          <w:u w:val="single"/>
          <w:lang w:eastAsia="zh-CN"/>
        </w:rPr>
        <w:t>叁</w:t>
      </w:r>
      <w:r>
        <w:rPr>
          <w:rFonts w:hint="eastAsia" w:ascii="仿宋_GB2312" w:hAnsi="宋体" w:eastAsia="仿宋_GB2312"/>
          <w:bCs/>
          <w:color w:val="auto"/>
          <w:sz w:val="32"/>
          <w:szCs w:val="32"/>
          <w:highlight w:val="none"/>
        </w:rPr>
        <w:t>份。</w:t>
      </w:r>
    </w:p>
    <w:p>
      <w:pPr>
        <w:spacing w:line="570" w:lineRule="exact"/>
        <w:ind w:left="5760" w:hanging="5040" w:hangingChars="1800"/>
        <w:jc w:val="left"/>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w w:val="100"/>
          <w:sz w:val="28"/>
          <w:szCs w:val="28"/>
          <w:highlight w:val="none"/>
          <w:u w:val="single"/>
        </w:rPr>
        <w:t>贺州市平桂区</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p>
    <w:p>
      <w:pPr>
        <w:spacing w:line="570" w:lineRule="exact"/>
        <w:ind w:left="5037" w:leftChars="532" w:hanging="3920" w:hangingChars="1400"/>
        <w:jc w:val="left"/>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w w:val="100"/>
          <w:sz w:val="28"/>
          <w:szCs w:val="28"/>
          <w:highlight w:val="none"/>
          <w:u w:val="single"/>
          <w:lang w:eastAsia="zh-CN"/>
        </w:rPr>
        <w:t>城市管理</w:t>
      </w:r>
      <w:r>
        <w:rPr>
          <w:rFonts w:hint="eastAsia" w:ascii="仿宋_GB2312" w:hAnsi="仿宋_GB2312" w:eastAsia="仿宋_GB2312" w:cs="仿宋_GB2312"/>
          <w:color w:val="auto"/>
          <w:sz w:val="28"/>
          <w:szCs w:val="28"/>
          <w:highlight w:val="none"/>
          <w:u w:val="single"/>
          <w:lang w:eastAsia="zh-CN"/>
        </w:rPr>
        <w:t>综合执法局</w:t>
      </w:r>
      <w:r>
        <w:rPr>
          <w:rFonts w:hint="eastAsia" w:ascii="仿宋_GB2312" w:hAnsi="仿宋_GB2312" w:eastAsia="仿宋_GB2312" w:cs="仿宋_GB2312"/>
          <w:color w:val="auto"/>
          <w:sz w:val="28"/>
          <w:szCs w:val="28"/>
          <w:highlight w:val="none"/>
          <w:u w:val="none"/>
          <w:lang w:val="en-US" w:eastAsia="zh-CN"/>
        </w:rPr>
        <w:t xml:space="preserve">               </w:t>
      </w:r>
    </w:p>
    <w:p>
      <w:pPr>
        <w:spacing w:line="570" w:lineRule="exact"/>
        <w:ind w:left="960" w:hanging="840" w:hangingChars="300"/>
        <w:jc w:val="left"/>
        <w:rPr>
          <w:rFonts w:hint="eastAsia" w:ascii="仿宋_GB2312" w:hAnsi="仿宋_GB2312" w:eastAsia="仿宋_GB2312" w:cs="仿宋_GB2312"/>
          <w:color w:val="auto"/>
          <w:sz w:val="28"/>
          <w:szCs w:val="28"/>
          <w:highlight w:val="none"/>
        </w:rPr>
      </w:pPr>
    </w:p>
    <w:p>
      <w:pPr>
        <w:spacing w:line="57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eastAsia="zh-CN"/>
        </w:rPr>
        <w:t>（签字）</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eastAsia="zh-CN"/>
        </w:rPr>
        <w:t>（签字）</w:t>
      </w:r>
      <w:r>
        <w:rPr>
          <w:rFonts w:hint="eastAsia" w:ascii="仿宋_GB2312" w:hAnsi="仿宋_GB2312" w:eastAsia="仿宋_GB2312" w:cs="仿宋_GB2312"/>
          <w:color w:val="auto"/>
          <w:sz w:val="28"/>
          <w:szCs w:val="28"/>
          <w:highlight w:val="none"/>
        </w:rPr>
        <w:t>：</w:t>
      </w:r>
    </w:p>
    <w:p>
      <w:pPr>
        <w:spacing w:line="570" w:lineRule="exact"/>
        <w:jc w:val="left"/>
        <w:rPr>
          <w:rFonts w:hint="eastAsia" w:ascii="仿宋_GB2312" w:hAnsi="仿宋_GB2312" w:eastAsia="仿宋_GB2312" w:cs="仿宋_GB2312"/>
          <w:color w:val="auto"/>
          <w:sz w:val="28"/>
          <w:szCs w:val="28"/>
          <w:highlight w:val="none"/>
        </w:rPr>
      </w:pPr>
    </w:p>
    <w:p>
      <w:pPr>
        <w:spacing w:line="570" w:lineRule="exact"/>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签字时间：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签字时间：</w:t>
      </w:r>
    </w:p>
    <w:p>
      <w:pPr>
        <w:spacing w:line="570" w:lineRule="exact"/>
        <w:jc w:val="left"/>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eastAsia="zh-CN"/>
        </w:rPr>
        <w:t>联系</w:t>
      </w:r>
      <w:r>
        <w:rPr>
          <w:rFonts w:hint="eastAsia" w:ascii="仿宋_GB2312" w:hAnsi="仿宋_GB2312" w:eastAsia="仿宋_GB2312" w:cs="仿宋_GB2312"/>
          <w:color w:val="auto"/>
          <w:sz w:val="28"/>
          <w:szCs w:val="28"/>
          <w:highlight w:val="none"/>
        </w:rPr>
        <w:t>电话：</w:t>
      </w:r>
      <w:r>
        <w:rPr>
          <w:rFonts w:hint="eastAsia" w:ascii="仿宋_GB2312" w:hAnsi="仿宋_GB2312" w:eastAsia="仿宋_GB2312" w:cs="仿宋_GB2312"/>
          <w:color w:val="auto"/>
          <w:sz w:val="28"/>
          <w:szCs w:val="28"/>
          <w:highlight w:val="none"/>
          <w:u w:val="single"/>
        </w:rPr>
        <w:t>0774-8839548</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联系</w:t>
      </w:r>
      <w:r>
        <w:rPr>
          <w:rFonts w:hint="eastAsia" w:ascii="仿宋_GB2312" w:hAnsi="仿宋_GB2312" w:eastAsia="仿宋_GB2312" w:cs="仿宋_GB2312"/>
          <w:color w:val="auto"/>
          <w:sz w:val="28"/>
          <w:szCs w:val="28"/>
          <w:highlight w:val="none"/>
        </w:rPr>
        <w:t>电话：</w:t>
      </w:r>
    </w:p>
    <w:p>
      <w:pPr>
        <w:spacing w:line="500" w:lineRule="exact"/>
        <w:ind w:left="6080" w:hanging="5320" w:hangingChars="1900"/>
        <w:jc w:val="left"/>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w w:val="100"/>
          <w:sz w:val="28"/>
          <w:szCs w:val="28"/>
          <w:highlight w:val="none"/>
          <w:u w:val="single"/>
        </w:rPr>
        <w:t>平桂区平桂大道</w:t>
      </w:r>
      <w:r>
        <w:rPr>
          <w:rFonts w:hint="eastAsia" w:ascii="仿宋_GB2312" w:hAnsi="仿宋_GB2312" w:eastAsia="仿宋_GB2312" w:cs="仿宋_GB2312"/>
          <w:color w:val="auto"/>
          <w:w w:val="100"/>
          <w:sz w:val="28"/>
          <w:szCs w:val="28"/>
          <w:highlight w:val="none"/>
          <w:u w:val="single"/>
          <w:lang w:val="en-US" w:eastAsia="zh-CN"/>
        </w:rPr>
        <w:t>1号</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w:t>
      </w:r>
    </w:p>
    <w:p>
      <w:pPr>
        <w:spacing w:line="500" w:lineRule="exact"/>
        <w:ind w:firstLine="840" w:firstLineChars="300"/>
        <w:jc w:val="left"/>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lang w:val="en-US" w:eastAsia="zh-CN"/>
        </w:rPr>
        <w:t>B座4楼</w:t>
      </w:r>
      <w:r>
        <w:rPr>
          <w:rFonts w:hint="eastAsia" w:ascii="仿宋_GB2312" w:hAnsi="仿宋_GB2312" w:eastAsia="仿宋_GB2312" w:cs="仿宋_GB2312"/>
          <w:color w:val="auto"/>
          <w:sz w:val="28"/>
          <w:szCs w:val="28"/>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4189" w:leftChars="1995" w:firstLine="420" w:firstLineChars="150"/>
        <w:jc w:val="left"/>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开户银行：</w:t>
      </w:r>
    </w:p>
    <w:p>
      <w:pPr>
        <w:keepNext w:val="0"/>
        <w:keepLines w:val="0"/>
        <w:pageBreakBefore w:val="0"/>
        <w:widowControl w:val="0"/>
        <w:kinsoku/>
        <w:wordWrap/>
        <w:overflowPunct/>
        <w:topLinePunct w:val="0"/>
        <w:autoSpaceDE/>
        <w:autoSpaceDN/>
        <w:bidi w:val="0"/>
        <w:adjustRightInd/>
        <w:snapToGrid/>
        <w:spacing w:line="500" w:lineRule="exact"/>
        <w:ind w:left="4189" w:leftChars="1995" w:firstLine="420" w:firstLineChars="150"/>
        <w:jc w:val="left"/>
        <w:textAlignment w:val="auto"/>
        <w:rPr>
          <w:rFonts w:hint="eastAsia" w:ascii="仿宋_GB2312" w:hAnsi="仿宋_GB2312" w:eastAsia="仿宋_GB2312" w:cs="仿宋_GB2312"/>
          <w:color w:val="auto"/>
          <w:w w:val="100"/>
          <w:sz w:val="28"/>
          <w:szCs w:val="28"/>
          <w:highlight w:val="none"/>
        </w:rPr>
      </w:pPr>
      <w:r>
        <w:rPr>
          <w:rFonts w:hint="eastAsia" w:ascii="仿宋_GB2312" w:hAnsi="仿宋_GB2312" w:eastAsia="仿宋_GB2312" w:cs="仿宋_GB2312"/>
          <w:color w:val="auto"/>
          <w:w w:val="100"/>
          <w:sz w:val="28"/>
          <w:szCs w:val="28"/>
          <w:highlight w:val="none"/>
        </w:rPr>
        <w:t>账号：</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tLeast"/>
        <w:jc w:val="center"/>
        <w:textAlignment w:val="auto"/>
        <w:rPr>
          <w:rFonts w:hint="eastAsia" w:ascii="仿宋_GB2312" w:hAnsi="楷体" w:eastAsia="仿宋_GB2312" w:cs="楷体"/>
          <w:b/>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合同基本条款</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合同基本条款是指</w:t>
      </w:r>
      <w:r>
        <w:rPr>
          <w:rFonts w:hint="eastAsia" w:ascii="仿宋_GB2312" w:hAnsi="仿宋_GB2312" w:eastAsia="仿宋_GB2312" w:cs="仿宋_GB2312"/>
          <w:color w:val="auto"/>
          <w:sz w:val="32"/>
          <w:szCs w:val="32"/>
          <w:highlight w:val="none"/>
          <w:lang w:eastAsia="zh-CN"/>
        </w:rPr>
        <w:t>发包人</w:t>
      </w:r>
      <w:r>
        <w:rPr>
          <w:rFonts w:hint="eastAsia" w:ascii="仿宋_GB2312" w:hAnsi="仿宋_GB2312" w:eastAsia="仿宋_GB2312" w:cs="仿宋_GB2312"/>
          <w:color w:val="auto"/>
          <w:sz w:val="32"/>
          <w:szCs w:val="32"/>
          <w:highlight w:val="none"/>
        </w:rPr>
        <w:t>（以下简称甲方）和</w:t>
      </w:r>
      <w:r>
        <w:rPr>
          <w:rFonts w:hint="eastAsia" w:ascii="仿宋_GB2312" w:hAnsi="仿宋_GB2312" w:eastAsia="仿宋_GB2312" w:cs="仿宋_GB2312"/>
          <w:color w:val="auto"/>
          <w:sz w:val="32"/>
          <w:szCs w:val="32"/>
          <w:highlight w:val="none"/>
          <w:lang w:eastAsia="zh-CN"/>
        </w:rPr>
        <w:t>承包人</w:t>
      </w:r>
      <w:r>
        <w:rPr>
          <w:rFonts w:hint="eastAsia" w:ascii="仿宋_GB2312" w:hAnsi="仿宋_GB2312" w:eastAsia="仿宋_GB2312" w:cs="仿宋_GB2312"/>
          <w:color w:val="auto"/>
          <w:sz w:val="32"/>
          <w:szCs w:val="32"/>
          <w:highlight w:val="none"/>
        </w:rPr>
        <w:t>（以下简称乙方）应共同遵守的基本原则，并做为双方签约的依据。对于合同的其他条款，双方应本着互谅互让的精神，在谈判中协商解决。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制订《合同基本条款》的依据是：</w:t>
      </w:r>
      <w:r>
        <w:rPr>
          <w:rFonts w:hint="eastAsia" w:ascii="仿宋_GB2312" w:hAnsi="楷体" w:eastAsia="仿宋_GB2312" w:cs="楷体"/>
          <w:color w:val="auto"/>
          <w:sz w:val="32"/>
          <w:szCs w:val="32"/>
          <w:highlight w:val="none"/>
        </w:rPr>
        <w:t>《中华人民共和国</w:t>
      </w:r>
      <w:r>
        <w:rPr>
          <w:rFonts w:hint="eastAsia" w:ascii="仿宋_GB2312" w:hAnsi="楷体" w:eastAsia="仿宋_GB2312" w:cs="楷体"/>
          <w:color w:val="auto"/>
          <w:sz w:val="32"/>
          <w:szCs w:val="32"/>
          <w:highlight w:val="none"/>
          <w:lang w:eastAsia="zh-CN"/>
        </w:rPr>
        <w:t>民法典</w:t>
      </w:r>
      <w:r>
        <w:rPr>
          <w:rFonts w:hint="eastAsia" w:ascii="仿宋_GB2312" w:hAnsi="楷体" w:eastAsia="仿宋_GB2312" w:cs="楷体"/>
          <w:color w:val="auto"/>
          <w:sz w:val="32"/>
          <w:szCs w:val="32"/>
          <w:highlight w:val="none"/>
        </w:rPr>
        <w:t>》</w:t>
      </w:r>
      <w:r>
        <w:rPr>
          <w:rFonts w:hint="eastAsia" w:ascii="仿宋_GB2312" w:hAnsi="宋体" w:eastAsia="仿宋_GB2312"/>
          <w:color w:val="auto"/>
          <w:sz w:val="32"/>
          <w:szCs w:val="32"/>
          <w:highlight w:val="none"/>
        </w:rPr>
        <w:t>及有关</w:t>
      </w:r>
      <w:r>
        <w:rPr>
          <w:rFonts w:hint="eastAsia" w:ascii="仿宋_GB2312" w:hAnsi="仿宋_GB2312" w:eastAsia="仿宋_GB2312" w:cs="仿宋_GB2312"/>
          <w:color w:val="auto"/>
          <w:sz w:val="32"/>
          <w:szCs w:val="32"/>
          <w:highlight w:val="none"/>
        </w:rPr>
        <w:t>法律规定。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《服务</w:t>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z w:val="32"/>
          <w:szCs w:val="32"/>
          <w:highlight w:val="none"/>
          <w:lang w:eastAsia="zh-CN"/>
        </w:rPr>
        <w:t>书》</w:t>
      </w:r>
      <w:r>
        <w:rPr>
          <w:rFonts w:hint="eastAsia" w:ascii="仿宋_GB2312" w:hAnsi="仿宋_GB2312" w:eastAsia="仿宋_GB2312" w:cs="仿宋_GB2312"/>
          <w:color w:val="auto"/>
          <w:sz w:val="32"/>
          <w:szCs w:val="32"/>
          <w:highlight w:val="none"/>
        </w:rPr>
        <w:t>以书面方式签订。</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权利和义务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楷体" w:eastAsia="仿宋_GB2312" w:cs="楷体"/>
          <w:b/>
          <w:bCs/>
          <w:color w:val="auto"/>
          <w:sz w:val="32"/>
          <w:szCs w:val="32"/>
          <w:highlight w:val="none"/>
        </w:rPr>
      </w:pPr>
      <w:r>
        <w:rPr>
          <w:rFonts w:hint="eastAsia" w:ascii="仿宋_GB2312" w:hAnsi="楷体" w:eastAsia="仿宋_GB2312" w:cs="楷体"/>
          <w:color w:val="auto"/>
          <w:sz w:val="32"/>
          <w:szCs w:val="32"/>
          <w:highlight w:val="none"/>
        </w:rPr>
        <w:t>2.</w:t>
      </w:r>
      <w:r>
        <w:rPr>
          <w:rFonts w:hint="eastAsia" w:ascii="仿宋_GB2312" w:hAnsi="楷体" w:eastAsia="仿宋_GB2312" w:cs="楷体"/>
          <w:color w:val="auto"/>
          <w:sz w:val="32"/>
          <w:szCs w:val="32"/>
          <w:highlight w:val="none"/>
          <w:lang w:val="en-US" w:eastAsia="zh-CN"/>
        </w:rPr>
        <w:t xml:space="preserve">1 </w:t>
      </w:r>
      <w:r>
        <w:rPr>
          <w:rFonts w:hint="eastAsia" w:ascii="仿宋_GB2312" w:hAnsi="楷体" w:eastAsia="仿宋_GB2312" w:cs="楷体"/>
          <w:color w:val="auto"/>
          <w:sz w:val="32"/>
          <w:szCs w:val="32"/>
          <w:highlight w:val="none"/>
        </w:rPr>
        <w:t>甲、乙双方应将招标文件、竞标文件确认的</w:t>
      </w:r>
      <w:r>
        <w:rPr>
          <w:rFonts w:hint="eastAsia" w:ascii="仿宋_GB2312" w:hAnsi="楷体" w:eastAsia="仿宋_GB2312" w:cs="楷体"/>
          <w:color w:val="auto"/>
          <w:sz w:val="32"/>
          <w:szCs w:val="32"/>
          <w:highlight w:val="none"/>
          <w:lang w:eastAsia="zh-CN"/>
        </w:rPr>
        <w:t>服务</w:t>
      </w:r>
      <w:r>
        <w:rPr>
          <w:rFonts w:hint="eastAsia" w:ascii="仿宋_GB2312" w:hAnsi="楷体" w:eastAsia="仿宋_GB2312" w:cs="楷体"/>
          <w:color w:val="auto"/>
          <w:sz w:val="32"/>
          <w:szCs w:val="32"/>
          <w:highlight w:val="none"/>
        </w:rPr>
        <w:t>名称、技术要求、质量标准、数量</w:t>
      </w:r>
      <w:r>
        <w:rPr>
          <w:rFonts w:hint="eastAsia" w:ascii="仿宋_GB2312" w:hAnsi="楷体" w:eastAsia="仿宋_GB2312" w:cs="楷体"/>
          <w:color w:val="auto"/>
          <w:sz w:val="32"/>
          <w:szCs w:val="32"/>
          <w:highlight w:val="none"/>
          <w:lang w:eastAsia="zh-CN"/>
        </w:rPr>
        <w:t>和服务工期</w:t>
      </w:r>
      <w:r>
        <w:rPr>
          <w:rFonts w:hint="eastAsia" w:ascii="仿宋_GB2312" w:hAnsi="楷体" w:eastAsia="仿宋_GB2312" w:cs="楷体"/>
          <w:color w:val="auto"/>
          <w:sz w:val="32"/>
          <w:szCs w:val="32"/>
          <w:highlight w:val="none"/>
        </w:rPr>
        <w:t>内容等作为本条款的基础。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楷体" w:eastAsia="仿宋_GB2312" w:cs="楷体"/>
          <w:b w:val="0"/>
          <w:bCs w:val="0"/>
          <w:color w:val="auto"/>
          <w:sz w:val="32"/>
          <w:szCs w:val="32"/>
          <w:highlight w:val="none"/>
        </w:rPr>
      </w:pPr>
      <w:r>
        <w:rPr>
          <w:rFonts w:hint="eastAsia" w:ascii="仿宋_GB2312" w:hAnsi="楷体" w:eastAsia="仿宋_GB2312" w:cs="楷体"/>
          <w:b w:val="0"/>
          <w:bCs w:val="0"/>
          <w:color w:val="auto"/>
          <w:sz w:val="32"/>
          <w:szCs w:val="32"/>
          <w:highlight w:val="none"/>
          <w:lang w:val="en-US" w:eastAsia="zh-CN"/>
        </w:rPr>
        <w:t xml:space="preserve">2.2 </w:t>
      </w:r>
      <w:r>
        <w:rPr>
          <w:rFonts w:hint="eastAsia" w:ascii="仿宋_GB2312" w:hAnsi="楷体" w:eastAsia="仿宋_GB2312" w:cs="楷体"/>
          <w:b w:val="0"/>
          <w:bCs w:val="0"/>
          <w:color w:val="auto"/>
          <w:sz w:val="32"/>
          <w:szCs w:val="32"/>
          <w:highlight w:val="none"/>
        </w:rPr>
        <w:t>甲方</w:t>
      </w:r>
      <w:r>
        <w:rPr>
          <w:rFonts w:hint="eastAsia" w:ascii="仿宋_GB2312" w:hAnsi="楷体" w:eastAsia="仿宋_GB2312" w:cs="楷体"/>
          <w:b w:val="0"/>
          <w:bCs w:val="0"/>
          <w:color w:val="auto"/>
          <w:sz w:val="32"/>
          <w:szCs w:val="32"/>
          <w:highlight w:val="none"/>
          <w:lang w:eastAsia="zh-CN"/>
        </w:rPr>
        <w:t>权力和义务</w:t>
      </w:r>
      <w:r>
        <w:rPr>
          <w:rFonts w:hint="eastAsia" w:ascii="仿宋_GB2312" w:hAnsi="楷体" w:eastAsia="仿宋_GB2312" w:cs="楷体"/>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lang w:eastAsia="zh-CN"/>
        </w:rPr>
        <w:t>（</w:t>
      </w:r>
      <w:r>
        <w:rPr>
          <w:rFonts w:hint="eastAsia" w:ascii="仿宋_GB2312" w:hAnsi="楷体" w:eastAsia="仿宋_GB2312" w:cs="楷体"/>
          <w:color w:val="auto"/>
          <w:sz w:val="32"/>
          <w:szCs w:val="32"/>
          <w:highlight w:val="none"/>
          <w:lang w:val="en-US" w:eastAsia="zh-CN"/>
        </w:rPr>
        <w:t>1</w:t>
      </w:r>
      <w:r>
        <w:rPr>
          <w:rFonts w:hint="eastAsia" w:ascii="仿宋_GB2312" w:hAnsi="楷体" w:eastAsia="仿宋_GB2312" w:cs="楷体"/>
          <w:color w:val="auto"/>
          <w:sz w:val="32"/>
          <w:szCs w:val="32"/>
          <w:highlight w:val="none"/>
          <w:lang w:eastAsia="zh-CN"/>
        </w:rPr>
        <w:t>）</w:t>
      </w:r>
      <w:r>
        <w:rPr>
          <w:rFonts w:hint="eastAsia" w:ascii="仿宋_GB2312" w:hAnsi="楷体" w:eastAsia="仿宋_GB2312" w:cs="楷体"/>
          <w:color w:val="auto"/>
          <w:sz w:val="32"/>
          <w:szCs w:val="32"/>
          <w:highlight w:val="none"/>
        </w:rPr>
        <w:t>及时落实好</w:t>
      </w:r>
      <w:r>
        <w:rPr>
          <w:rFonts w:hint="eastAsia" w:ascii="仿宋_GB2312" w:hAnsi="楷体" w:eastAsia="仿宋_GB2312" w:cs="楷体"/>
          <w:color w:val="auto"/>
          <w:sz w:val="32"/>
          <w:szCs w:val="32"/>
          <w:highlight w:val="none"/>
          <w:lang w:eastAsia="zh-CN"/>
        </w:rPr>
        <w:t>工作地点及位置</w:t>
      </w:r>
      <w:r>
        <w:rPr>
          <w:rFonts w:hint="eastAsia" w:ascii="仿宋_GB2312" w:hAnsi="楷体" w:eastAsia="仿宋_GB2312" w:cs="楷体"/>
          <w:color w:val="auto"/>
          <w:sz w:val="32"/>
          <w:szCs w:val="32"/>
          <w:highlight w:val="none"/>
        </w:rPr>
        <w:t>，协调好</w:t>
      </w:r>
      <w:r>
        <w:rPr>
          <w:rFonts w:hint="eastAsia" w:ascii="仿宋_GB2312" w:hAnsi="楷体" w:eastAsia="仿宋_GB2312" w:cs="楷体"/>
          <w:color w:val="auto"/>
          <w:sz w:val="32"/>
          <w:szCs w:val="32"/>
          <w:highlight w:val="none"/>
          <w:lang w:eastAsia="zh-CN"/>
        </w:rPr>
        <w:t>工作地点及位置</w:t>
      </w:r>
      <w:r>
        <w:rPr>
          <w:rFonts w:hint="eastAsia" w:ascii="仿宋_GB2312" w:hAnsi="楷体" w:eastAsia="仿宋_GB2312" w:cs="楷体"/>
          <w:color w:val="auto"/>
          <w:sz w:val="32"/>
          <w:szCs w:val="32"/>
          <w:highlight w:val="none"/>
        </w:rPr>
        <w:t>的民事关系。</w:t>
      </w:r>
    </w:p>
    <w:p>
      <w:pPr>
        <w:keepNext w:val="0"/>
        <w:keepLines w:val="0"/>
        <w:pageBreakBefore w:val="0"/>
        <w:widowControl w:val="0"/>
        <w:kinsoku/>
        <w:wordWrap/>
        <w:overflowPunct/>
        <w:topLinePunct w:val="0"/>
        <w:autoSpaceDE/>
        <w:autoSpaceDN/>
        <w:bidi w:val="0"/>
        <w:adjustRightInd/>
        <w:spacing w:line="590" w:lineRule="exact"/>
        <w:ind w:firstLine="627" w:firstLineChars="196"/>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spacing w:line="590" w:lineRule="exact"/>
        <w:ind w:firstLine="627" w:firstLineChars="196"/>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甲方有权依据双方签订的</w:t>
      </w:r>
      <w:r>
        <w:rPr>
          <w:rFonts w:hint="eastAsia" w:ascii="仿宋_GB2312" w:hAnsi="仿宋_GB2312" w:eastAsia="仿宋_GB2312" w:cs="仿宋_GB2312"/>
          <w:color w:val="auto"/>
          <w:sz w:val="32"/>
          <w:szCs w:val="32"/>
          <w:highlight w:val="none"/>
          <w:lang w:eastAsia="zh-CN"/>
        </w:rPr>
        <w:t>考核</w:t>
      </w:r>
      <w:r>
        <w:rPr>
          <w:rFonts w:hint="eastAsia" w:ascii="仿宋_GB2312" w:hAnsi="仿宋_GB2312" w:eastAsia="仿宋_GB2312" w:cs="仿宋_GB2312"/>
          <w:color w:val="auto"/>
          <w:sz w:val="32"/>
          <w:szCs w:val="32"/>
          <w:highlight w:val="none"/>
        </w:rPr>
        <w:t>办法对乙方提供的服务进行定期</w:t>
      </w:r>
      <w:r>
        <w:rPr>
          <w:rFonts w:hint="eastAsia" w:ascii="仿宋_GB2312" w:hAnsi="仿宋_GB2312" w:eastAsia="仿宋_GB2312" w:cs="仿宋_GB2312"/>
          <w:color w:val="auto"/>
          <w:sz w:val="32"/>
          <w:szCs w:val="32"/>
          <w:highlight w:val="none"/>
          <w:lang w:eastAsia="zh-CN"/>
        </w:rPr>
        <w:t>考核</w:t>
      </w:r>
      <w:r>
        <w:rPr>
          <w:rFonts w:hint="eastAsia" w:ascii="仿宋_GB2312" w:hAnsi="仿宋_GB2312" w:eastAsia="仿宋_GB2312" w:cs="仿宋_GB2312"/>
          <w:color w:val="auto"/>
          <w:sz w:val="32"/>
          <w:szCs w:val="32"/>
          <w:highlight w:val="none"/>
        </w:rPr>
        <w:t>。当考评结果未达到标准时，有权依据考评办法约定的数额扣除相应费用。</w:t>
      </w:r>
    </w:p>
    <w:p>
      <w:pPr>
        <w:keepNext w:val="0"/>
        <w:keepLines w:val="0"/>
        <w:pageBreakBefore w:val="0"/>
        <w:widowControl w:val="0"/>
        <w:kinsoku/>
        <w:wordWrap/>
        <w:overflowPunct/>
        <w:topLinePunct w:val="0"/>
        <w:autoSpaceDE/>
        <w:autoSpaceDN/>
        <w:bidi w:val="0"/>
        <w:adjustRightInd/>
        <w:spacing w:line="590" w:lineRule="exact"/>
        <w:ind w:firstLine="627" w:firstLineChars="196"/>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负责检查监督乙方管理工作的实施及制度的执行情况。</w:t>
      </w:r>
    </w:p>
    <w:p>
      <w:pPr>
        <w:keepNext w:val="0"/>
        <w:keepLines w:val="0"/>
        <w:pageBreakBefore w:val="0"/>
        <w:widowControl w:val="0"/>
        <w:kinsoku/>
        <w:wordWrap/>
        <w:overflowPunct/>
        <w:topLinePunct w:val="0"/>
        <w:autoSpaceDE/>
        <w:autoSpaceDN/>
        <w:bidi w:val="0"/>
        <w:adjustRightInd/>
        <w:spacing w:line="590" w:lineRule="exact"/>
        <w:ind w:firstLine="627" w:firstLineChars="196"/>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根据本合同规定，按时向乙方支付应付服务费用。</w:t>
      </w:r>
    </w:p>
    <w:p>
      <w:pPr>
        <w:keepNext w:val="0"/>
        <w:keepLines w:val="0"/>
        <w:pageBreakBefore w:val="0"/>
        <w:widowControl w:val="0"/>
        <w:kinsoku/>
        <w:wordWrap/>
        <w:overflowPunct/>
        <w:topLinePunct w:val="0"/>
        <w:autoSpaceDE/>
        <w:autoSpaceDN/>
        <w:bidi w:val="0"/>
        <w:adjustRightInd/>
        <w:spacing w:line="590" w:lineRule="exact"/>
        <w:ind w:firstLine="627" w:firstLineChars="196"/>
        <w:textAlignment w:val="auto"/>
        <w:rPr>
          <w:rFonts w:hint="eastAsia" w:ascii="仿宋_GB2312" w:hAnsi="楷体" w:eastAsia="仿宋_GB2312" w:cs="楷体"/>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国家法律、法规所规定由甲方承担的其它责任。</w:t>
      </w:r>
    </w:p>
    <w:p>
      <w:pPr>
        <w:keepNext w:val="0"/>
        <w:keepLines w:val="0"/>
        <w:pageBreakBefore w:val="0"/>
        <w:widowControl w:val="0"/>
        <w:kinsoku/>
        <w:wordWrap/>
        <w:overflowPunct/>
        <w:topLinePunct w:val="0"/>
        <w:autoSpaceDE/>
        <w:autoSpaceDN/>
        <w:bidi w:val="0"/>
        <w:adjustRightInd/>
        <w:snapToGrid/>
        <w:spacing w:before="159" w:beforeLines="50" w:after="159" w:afterLines="50" w:line="590" w:lineRule="exact"/>
        <w:ind w:firstLine="640" w:firstLineChars="200"/>
        <w:textAlignment w:val="auto"/>
        <w:rPr>
          <w:rFonts w:hint="eastAsia" w:ascii="仿宋_GB2312" w:hAnsi="楷体" w:eastAsia="仿宋_GB2312" w:cs="楷体"/>
          <w:b w:val="0"/>
          <w:bCs w:val="0"/>
          <w:color w:val="auto"/>
          <w:sz w:val="32"/>
          <w:szCs w:val="32"/>
          <w:highlight w:val="none"/>
        </w:rPr>
      </w:pPr>
      <w:r>
        <w:rPr>
          <w:rFonts w:hint="eastAsia" w:ascii="仿宋_GB2312" w:hAnsi="楷体" w:eastAsia="仿宋_GB2312" w:cs="楷体"/>
          <w:b w:val="0"/>
          <w:bCs w:val="0"/>
          <w:color w:val="auto"/>
          <w:sz w:val="32"/>
          <w:szCs w:val="32"/>
          <w:highlight w:val="none"/>
          <w:lang w:val="en-US" w:eastAsia="zh-CN"/>
        </w:rPr>
        <w:t xml:space="preserve">2.3 </w:t>
      </w:r>
      <w:r>
        <w:rPr>
          <w:rFonts w:hint="eastAsia" w:ascii="仿宋_GB2312" w:hAnsi="楷体" w:eastAsia="仿宋_GB2312" w:cs="楷体"/>
          <w:b w:val="0"/>
          <w:bCs w:val="0"/>
          <w:color w:val="auto"/>
          <w:sz w:val="32"/>
          <w:szCs w:val="32"/>
          <w:highlight w:val="none"/>
        </w:rPr>
        <w:t>乙方</w:t>
      </w:r>
      <w:r>
        <w:rPr>
          <w:rFonts w:hint="eastAsia" w:ascii="仿宋_GB2312" w:hAnsi="楷体" w:eastAsia="仿宋_GB2312" w:cs="楷体"/>
          <w:b w:val="0"/>
          <w:bCs w:val="0"/>
          <w:color w:val="auto"/>
          <w:sz w:val="32"/>
          <w:szCs w:val="32"/>
          <w:highlight w:val="none"/>
          <w:lang w:eastAsia="zh-CN"/>
        </w:rPr>
        <w:t>权力和义务</w:t>
      </w:r>
      <w:r>
        <w:rPr>
          <w:rFonts w:hint="eastAsia" w:ascii="仿宋_GB2312" w:hAnsi="楷体" w:eastAsia="仿宋_GB2312" w:cs="楷体"/>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按照国家及行业有关标准、规程和规范开展项目服务工作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在甲方规定的地方</w:t>
      </w:r>
      <w:r>
        <w:rPr>
          <w:rFonts w:hint="eastAsia" w:ascii="仿宋_GB2312" w:hAnsi="仿宋_GB2312" w:eastAsia="仿宋_GB2312" w:cs="仿宋_GB2312"/>
          <w:color w:val="auto"/>
          <w:sz w:val="32"/>
          <w:szCs w:val="32"/>
          <w:highlight w:val="none"/>
          <w:lang w:eastAsia="zh-CN"/>
        </w:rPr>
        <w:t>开展</w:t>
      </w:r>
      <w:r>
        <w:rPr>
          <w:rFonts w:hint="eastAsia" w:ascii="仿宋_GB2312" w:hAnsi="宋体" w:eastAsia="仿宋_GB2312"/>
          <w:bCs/>
          <w:color w:val="auto"/>
          <w:sz w:val="32"/>
          <w:szCs w:val="32"/>
          <w:highlight w:val="none"/>
          <w:lang w:eastAsia="zh-CN"/>
        </w:rPr>
        <w:t>包含但不限与</w:t>
      </w:r>
      <w:r>
        <w:rPr>
          <w:rFonts w:hint="eastAsia" w:ascii="仿宋_GB2312" w:hAnsi="仿宋_GB2312" w:eastAsia="仿宋_GB2312" w:cs="仿宋_GB2312"/>
          <w:b w:val="0"/>
          <w:bCs w:val="0"/>
          <w:color w:val="auto"/>
          <w:sz w:val="32"/>
          <w:szCs w:val="32"/>
          <w:highlight w:val="none"/>
          <w:u w:val="none"/>
          <w:lang w:eastAsia="zh-CN"/>
        </w:rPr>
        <w:t>绿化养护相关的浇灌、除草、施肥、修剪、打药及卫生保洁等工作</w:t>
      </w:r>
      <w:r>
        <w:rPr>
          <w:rFonts w:hint="eastAsia" w:ascii="仿宋_GB2312" w:hAnsi="仿宋_GB2312" w:eastAsia="仿宋_GB2312" w:cs="仿宋_GB2312"/>
          <w:color w:val="auto"/>
          <w:sz w:val="32"/>
          <w:szCs w:val="32"/>
          <w:highlight w:val="none"/>
          <w:lang w:eastAsia="zh-CN"/>
        </w:rPr>
        <w:t>，保证服务质量。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lang w:val="en-US" w:eastAsia="zh-CN"/>
        </w:rPr>
        <w:t>（3）</w:t>
      </w:r>
      <w:r>
        <w:rPr>
          <w:rFonts w:hint="eastAsia" w:ascii="仿宋_GB2312" w:hAnsi="楷体" w:eastAsia="仿宋_GB2312" w:cs="楷体"/>
          <w:color w:val="auto"/>
          <w:sz w:val="32"/>
          <w:szCs w:val="32"/>
          <w:highlight w:val="none"/>
        </w:rPr>
        <w:t>乙方从事以上工作时应按甲方技术要求进行，并接受甲方人员监督。</w:t>
      </w:r>
    </w:p>
    <w:p>
      <w:pPr>
        <w:keepNext w:val="0"/>
        <w:keepLines w:val="0"/>
        <w:pageBreakBefore w:val="0"/>
        <w:widowControl w:val="0"/>
        <w:kinsoku/>
        <w:wordWrap/>
        <w:overflowPunct/>
        <w:topLinePunct w:val="0"/>
        <w:autoSpaceDE/>
        <w:autoSpaceDN/>
        <w:bidi w:val="0"/>
        <w:adjustRightInd/>
        <w:snapToGrid w:val="0"/>
        <w:spacing w:line="590" w:lineRule="exact"/>
        <w:ind w:firstLine="636" w:firstLineChars="199"/>
        <w:textAlignment w:val="auto"/>
        <w:rPr>
          <w:rFonts w:hint="eastAsia"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lang w:val="en-US" w:eastAsia="zh-CN"/>
        </w:rPr>
        <w:t>（4）</w:t>
      </w:r>
      <w:r>
        <w:rPr>
          <w:rFonts w:hint="eastAsia" w:ascii="仿宋_GB2312" w:hAnsi="楷体" w:eastAsia="仿宋_GB2312" w:cs="楷体"/>
          <w:color w:val="auto"/>
          <w:sz w:val="32"/>
          <w:szCs w:val="32"/>
          <w:highlight w:val="none"/>
        </w:rPr>
        <w:t>乙方组织进场的工人，乙方应负责管理并遵纪守法和保证安全生产，若出现违法行为等，责任由乙方负责。如遇外界干扰</w:t>
      </w:r>
      <w:r>
        <w:rPr>
          <w:rFonts w:hint="eastAsia" w:ascii="仿宋_GB2312" w:hAnsi="楷体" w:eastAsia="仿宋_GB2312" w:cs="楷体"/>
          <w:color w:val="auto"/>
          <w:sz w:val="32"/>
          <w:szCs w:val="32"/>
          <w:highlight w:val="none"/>
          <w:lang w:eastAsia="zh-CN"/>
        </w:rPr>
        <w:t>阻碍工作的</w:t>
      </w:r>
      <w:r>
        <w:rPr>
          <w:rFonts w:hint="eastAsia" w:ascii="仿宋_GB2312" w:hAnsi="楷体" w:eastAsia="仿宋_GB2312" w:cs="楷体"/>
          <w:color w:val="auto"/>
          <w:sz w:val="32"/>
          <w:szCs w:val="32"/>
          <w:highlight w:val="none"/>
        </w:rPr>
        <w:t>，甲方</w:t>
      </w:r>
      <w:r>
        <w:rPr>
          <w:rFonts w:hint="eastAsia" w:ascii="仿宋_GB2312" w:hAnsi="楷体" w:eastAsia="仿宋_GB2312" w:cs="楷体"/>
          <w:color w:val="auto"/>
          <w:sz w:val="32"/>
          <w:szCs w:val="32"/>
          <w:highlight w:val="none"/>
          <w:lang w:eastAsia="zh-CN"/>
        </w:rPr>
        <w:t>应</w:t>
      </w:r>
      <w:r>
        <w:rPr>
          <w:rFonts w:hint="eastAsia" w:ascii="仿宋_GB2312" w:hAnsi="楷体" w:eastAsia="仿宋_GB2312" w:cs="楷体"/>
          <w:color w:val="auto"/>
          <w:sz w:val="32"/>
          <w:szCs w:val="32"/>
          <w:highlight w:val="none"/>
        </w:rPr>
        <w:t>积极处理，以维护正常工作秩序。乙方及其聘用的人员在工作过程中发生任何意外和所造成的任何损失均应当由乙方自行承担责任，与甲方无关。</w:t>
      </w:r>
    </w:p>
    <w:p>
      <w:pPr>
        <w:keepNext w:val="0"/>
        <w:keepLines w:val="0"/>
        <w:pageBreakBefore w:val="0"/>
        <w:widowControl w:val="0"/>
        <w:kinsoku/>
        <w:wordWrap/>
        <w:overflowPunct/>
        <w:topLinePunct w:val="0"/>
        <w:autoSpaceDE/>
        <w:autoSpaceDN/>
        <w:bidi w:val="0"/>
        <w:adjustRightInd/>
        <w:snapToGrid w:val="0"/>
        <w:spacing w:line="590" w:lineRule="exact"/>
        <w:ind w:firstLine="636" w:firstLineChars="199"/>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乙方在服务过程中，如甲方提供的资料不明确时需及时向甲方提出书面清单报告；</w:t>
      </w:r>
    </w:p>
    <w:p>
      <w:pPr>
        <w:keepNext w:val="0"/>
        <w:keepLines w:val="0"/>
        <w:pageBreakBefore w:val="0"/>
        <w:widowControl w:val="0"/>
        <w:kinsoku/>
        <w:wordWrap/>
        <w:overflowPunct/>
        <w:topLinePunct w:val="0"/>
        <w:autoSpaceDE/>
        <w:autoSpaceDN/>
        <w:bidi w:val="0"/>
        <w:adjustRightInd/>
        <w:snapToGrid w:val="0"/>
        <w:spacing w:line="590" w:lineRule="exact"/>
        <w:ind w:firstLine="636" w:firstLineChars="199"/>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乙方应选择专业能力强、技术经验丰富、有责任心的人员来完成该项目服务任务，乙方对项目服务出现的遗漏或错误负责修改或补充；</w:t>
      </w:r>
    </w:p>
    <w:p>
      <w:pPr>
        <w:keepNext w:val="0"/>
        <w:keepLines w:val="0"/>
        <w:pageBreakBefore w:val="0"/>
        <w:widowControl w:val="0"/>
        <w:kinsoku/>
        <w:wordWrap/>
        <w:overflowPunct/>
        <w:topLinePunct w:val="0"/>
        <w:autoSpaceDE/>
        <w:autoSpaceDN/>
        <w:bidi w:val="0"/>
        <w:adjustRightInd/>
        <w:snapToGrid w:val="0"/>
        <w:spacing w:line="590" w:lineRule="exact"/>
        <w:ind w:firstLine="636" w:firstLineChars="199"/>
        <w:textAlignment w:val="auto"/>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合同生效后，乙方要求终止或解除合同，乙方应返还甲方已支付的款项并赔偿相应的经济损失。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小标宋简体" w:hAnsi="方正小标宋简体" w:eastAsia="方正小标宋简体" w:cs="方正小标宋简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服务</w:t>
      </w:r>
      <w:r>
        <w:rPr>
          <w:rFonts w:hint="eastAsia" w:ascii="仿宋_GB2312" w:hAnsi="仿宋_GB2312" w:eastAsia="仿宋_GB2312" w:cs="仿宋_GB2312"/>
          <w:b/>
          <w:bCs/>
          <w:color w:val="auto"/>
          <w:sz w:val="32"/>
          <w:szCs w:val="32"/>
          <w:highlight w:val="none"/>
          <w:lang w:val="en-US" w:eastAsia="zh-CN"/>
        </w:rPr>
        <w:t>位置</w:t>
      </w:r>
    </w:p>
    <w:p>
      <w:pPr>
        <w:keepNext w:val="0"/>
        <w:keepLines w:val="0"/>
        <w:pageBreakBefore w:val="0"/>
        <w:widowControl w:val="0"/>
        <w:kinsoku/>
        <w:wordWrap/>
        <w:overflowPunct/>
        <w:topLinePunct w:val="0"/>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服务位置：</w:t>
      </w:r>
      <w:r>
        <w:rPr>
          <w:rFonts w:hint="eastAsia" w:ascii="仿宋_GB2312" w:hAnsi="仿宋_GB2312" w:eastAsia="仿宋_GB2312" w:cs="仿宋_GB2312"/>
          <w:color w:val="auto"/>
          <w:sz w:val="32"/>
          <w:szCs w:val="32"/>
          <w:highlight w:val="none"/>
        </w:rPr>
        <w:t>贺州市平桂区黄花山公园（一期）</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bidi w:val="0"/>
        <w:adjustRightInd/>
        <w:snapToGrid/>
        <w:spacing w:before="156" w:beforeLines="50" w:after="156" w:afterLines="50" w:line="590" w:lineRule="exact"/>
        <w:jc w:val="center"/>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val="0"/>
        <w:kinsoku/>
        <w:wordWrap/>
        <w:overflowPunct/>
        <w:topLinePunct w:val="0"/>
        <w:bidi w:val="0"/>
        <w:adjustRightInd/>
        <w:snapToGrid/>
        <w:spacing w:before="156" w:beforeLines="50" w:after="156" w:afterLines="50" w:line="590" w:lineRule="exact"/>
        <w:jc w:val="center"/>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验收</w:t>
      </w:r>
      <w:r>
        <w:rPr>
          <w:rFonts w:hint="eastAsia" w:ascii="仿宋_GB2312" w:hAnsi="仿宋_GB2312" w:eastAsia="仿宋_GB2312" w:cs="仿宋_GB2312"/>
          <w:b/>
          <w:bCs/>
          <w:color w:val="auto"/>
          <w:sz w:val="32"/>
          <w:szCs w:val="32"/>
          <w:highlight w:val="none"/>
          <w:lang w:eastAsia="zh-CN"/>
        </w:rPr>
        <w:t>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苗木种植要求：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1、苗木无病虫害，植株健壮，长势好，色泽正常，冠形完整（修剪整齐），树形优美，枝条分布均匀。</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2.苗木到指定地点要保证土球、根系及枝干不受损。</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3.在运输过程中要采取防晒、保湿等保护措施，以确保运输苗木较少水分流失。</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4.苗木起挖，运输过程不超过3天。</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5.种植前需按采购人要求整理种植场地，清理出来的泥土、垃圾等必须当天清理运走。</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6.成交单位当天运到施工场地的苗木，经采购人验收合格后，必须当天种完。如成交单位未能按此要求施工，采购人不予验收。</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苗木养护要求：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1.养护期限：自种植部分工作完成验收之日起1年。</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2.成活率要求：要求验收移交苗木成活率达到100%。</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3.验收移交苗木生长态势标准：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（1）乔木及单株灌木</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树木存活完好、生长旺盛，单株生长健壮、树形自然美观，主干主枝无杂生孽芽，无枯枝、病枝、残枝。树干粗壮，有明显的生长量，枝繁叶茂，无弱株、病株、歪斜株（最大倾斜度不超过5度，整形性歪斜除外），主、侧枝分布均匀，数量适宜，内膛通风透光。无死树、缺株。因养护不当造成原因死亡苗木要及时更换，缺损苗木要及时补植、更换，补植苗木应按同等品种、规格、标准于15日内更换补植完毕。</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（2）成片灌木</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灌木（绿篱）生长旺盛、存活完好，植株生长健壮，灌木主侧枝分布匀称、数量适宜、修剪合理，内堂不乱，通风透光。花灌木开花及时、正常，花后修剪及时；绿篱、色块枝叶正常，整齐一致，绿化带无缺株，绿地内无死苗。</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（3）地被、草坪</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地被及草坪生长茂盛、适时梳草、密度适宜无明显干枯草丛，枯草率小于3%，植物叶色绿润无明显色差，坪地均匀平整无坑洼现象，覆盖率高于98%无裸露地面，空秃面积小于20cm×20cm。</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4.浇水要求：护期内的浇水工作均由成交单位根据苗木生长恢复情况科学安排开展，</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5.病虫害防治要求：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乔木：要求生长季节叶色正，无卷叶、黄叶，无病虫害。根据不同季节、不同树种适时喷洒药物，病虫危害程度主干小于1%，叶部小于5%，无明显药害。枝叶完整，无枯黄、干焦、卷曲、缀拈、穿孔、流胶现象，地面无害虫粪屑，好叶率达95%。同时加强病虫检查，发现主要病虫害应根据虫情预报及时采取防治措施。对于危险性病虫害，一旦发现疫情应及时上报主管部门，并迅速采取扑灭措施及时清理带病虫的落叶、杂草等，消灭病源、虫源，防止病虫扩散、蔓延。</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灌木：要求做到以下几点：①叶色基本正常;②严重黄叶、焦叶、卷叶、带虫尿虫网灰尘的株数在10%以下;③被啃咬的叶片最严重的每株在5%以下；④有蛀干害虫的株数在5%以下;⑤介壳虫最严重处主枝主干上100平方厘米3头活虫以下，较细的枝条每尺长1段上在15头活虫以下，株数都在6%以下。</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3）地被、草坪：做到草坪叶色绿润，病虫害防治及时，病害症状小于1%，虫害现象小于5%。应加强病虫检查，发现主要病虫害应根据虫情预报及时采取防治措施。对于危险性病虫害，一旦发现疫情应及时上报主管部门，并迅速采取扑灭措施及时清理带病虫的落叶、杂草等，消灭病源、虫源，防止病虫扩散、蔓延。</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6.修剪要求：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乔木：根据不同树种适时进行抹芽、抽枝、修剪、整形；修剪合理，疏密得当，整齐美观。根据甲方要求，对具有造型条件的树种进行艺术造型修剪，造型率大于50%。及时合理清理枯枝、病枝、残枝；剪口平滑，留茬高度小于1cm;能及时很好地解决树木与高压电线、建筑物、交通信号灯、指示牌等之间的矛盾。修剪的树枝、树叶重点路段做到随产随清，其它路段做到日产日清。</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灌木：花坛、花带轮廓清晰，整齐美观，适时开花无残缺，修剪应遵循“先上后下，先内后外，去弱留强，去老留新”的原则进行。应使枝叶分布均匀，花灌木修剪，要有利于促进短枝和花芽形成；绿篱类修剪应促其分枝，保持全株枝叶丰满，造型绿篱按原有形态作整形修剪。地被、攀缘类：修剪应促进分枝，加速覆盖和攀缠功能，且养护公司需满足我局遇重大节日及活动等特殊事件的临时修剪要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（3）地被、草坪：修剪及时合理，坪面整齐，修剪高度5±1cm。</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7.除草要求：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（1）除草频率：各类型绿植绿地，每15日除草1次，全年除草不少于25次，且需满足采购人遇重大节日及活动等特殊事件的临时除草要求。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工作标准：应除小、除早、除净，绿地内可视范围内无明显杂草；乔木、灌木周围大型野草，应结合松土进行铲除，特别注意具有严重危害的各类藤蔓(如菟丝子等)；与管理区域的草坪草形态不符的杂草，成交单位应及时进行清除；除下杂草要集中处理，并及时清运。</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8.保洁要求：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（1）清理频率</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 xml:space="preserve">养护管理范围内所有绿地均要求按照每日清扫1轮次的标准开展日常保洁。  </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（2）工作要求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1.土壤墒情良好，无杂草污物，树干无绑缚物及攀缘植物。</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2.要配合环卫工搞好绿地外周边的环境卫生，工作产生的垃圾做到随产随清。</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3.实施浇水、施肥、松土、清洗等工作时，要特别注意周边的环境卫生，及时清理周边地面的污泥和水。</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4.要求绿地内种植土高于路沿石边缘往下5cm的部分要及时清理。</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5.需满足我局遇重大节日及活动等特殊事件的临时保洁要求。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3" w:firstLineChars="200"/>
        <w:jc w:val="center"/>
        <w:textAlignment w:val="auto"/>
        <w:rPr>
          <w:rFonts w:hint="eastAsia" w:ascii="仿宋_GB2312" w:hAnsi="仿宋_GB2312" w:eastAsia="仿宋_GB2312" w:cs="仿宋_GB2312"/>
          <w:b/>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ind w:firstLine="643" w:firstLineChars="200"/>
        <w:jc w:val="center"/>
        <w:textAlignment w:val="auto"/>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（五）付款方式</w:t>
      </w:r>
    </w:p>
    <w:p>
      <w:pPr>
        <w:keepNext w:val="0"/>
        <w:keepLines w:val="0"/>
        <w:pageBreakBefore w:val="0"/>
        <w:widowControl w:val="0"/>
        <w:kinsoku/>
        <w:wordWrap/>
        <w:overflowPunct/>
        <w:topLinePunct w:val="0"/>
        <w:autoSpaceDE/>
        <w:autoSpaceDN/>
        <w:bidi w:val="0"/>
        <w:snapToGrid/>
        <w:spacing w:line="590" w:lineRule="exact"/>
        <w:ind w:firstLine="640" w:firstLineChars="200"/>
        <w:jc w:val="both"/>
        <w:textAlignment w:val="auto"/>
        <w:rPr>
          <w:rFonts w:hint="eastAsia" w:ascii="仿宋_GB2312" w:hAnsi="宋体" w:eastAsia="仿宋_GB2312"/>
          <w:bCs/>
          <w:color w:val="auto"/>
          <w:sz w:val="32"/>
          <w:szCs w:val="32"/>
          <w:highlight w:val="none"/>
        </w:rPr>
      </w:pPr>
      <w:r>
        <w:rPr>
          <w:rFonts w:hint="eastAsia" w:ascii="仿宋_GB2312" w:hAnsi="宋体" w:eastAsia="仿宋_GB2312"/>
          <w:color w:val="auto"/>
          <w:sz w:val="32"/>
          <w:szCs w:val="32"/>
          <w:highlight w:val="none"/>
          <w:lang w:val="en-US" w:eastAsia="zh-CN"/>
        </w:rPr>
        <w:t>本项目无预付款，苗木完成种植工作并经过验收合格后</w:t>
      </w:r>
      <w:r>
        <w:rPr>
          <w:rFonts w:hint="eastAsia" w:ascii="仿宋_GB2312" w:hAnsi="宋体" w:eastAsia="仿宋_GB2312"/>
          <w:color w:val="auto"/>
          <w:sz w:val="32"/>
          <w:szCs w:val="32"/>
          <w:highlight w:val="none"/>
          <w:lang w:eastAsia="zh-CN"/>
        </w:rPr>
        <w:t>承包人可申请</w:t>
      </w:r>
      <w:r>
        <w:rPr>
          <w:rFonts w:hint="eastAsia" w:ascii="仿宋_GB2312" w:hAnsi="宋体" w:eastAsia="仿宋_GB2312"/>
          <w:b w:val="0"/>
          <w:bCs/>
          <w:color w:val="auto"/>
          <w:sz w:val="32"/>
          <w:szCs w:val="32"/>
          <w:highlight w:val="none"/>
          <w:lang w:val="en-US" w:eastAsia="zh-CN"/>
        </w:rPr>
        <w:t>项目总合同价</w:t>
      </w:r>
      <w:r>
        <w:rPr>
          <w:rFonts w:hint="eastAsia" w:ascii="仿宋_GB2312" w:hAnsi="宋体" w:eastAsia="仿宋_GB2312"/>
          <w:color w:val="auto"/>
          <w:sz w:val="32"/>
          <w:szCs w:val="32"/>
          <w:highlight w:val="none"/>
          <w:lang w:val="en-US" w:eastAsia="zh-CN"/>
        </w:rPr>
        <w:t>35%的服务款，养护期满6个月经验收合格后</w:t>
      </w:r>
      <w:r>
        <w:rPr>
          <w:rFonts w:hint="eastAsia" w:ascii="仿宋_GB2312" w:hAnsi="宋体" w:eastAsia="仿宋_GB2312"/>
          <w:color w:val="auto"/>
          <w:sz w:val="32"/>
          <w:szCs w:val="32"/>
          <w:highlight w:val="none"/>
          <w:lang w:eastAsia="zh-CN"/>
        </w:rPr>
        <w:t>可申请</w:t>
      </w:r>
      <w:r>
        <w:rPr>
          <w:rFonts w:hint="eastAsia" w:ascii="仿宋_GB2312" w:hAnsi="宋体" w:eastAsia="仿宋_GB2312"/>
          <w:color w:val="auto"/>
          <w:sz w:val="32"/>
          <w:szCs w:val="32"/>
          <w:highlight w:val="none"/>
          <w:lang w:val="en-US" w:eastAsia="zh-CN"/>
        </w:rPr>
        <w:t>至</w:t>
      </w:r>
      <w:r>
        <w:rPr>
          <w:rFonts w:hint="eastAsia" w:ascii="仿宋_GB2312" w:hAnsi="宋体" w:eastAsia="仿宋_GB2312"/>
          <w:b w:val="0"/>
          <w:bCs/>
          <w:color w:val="auto"/>
          <w:sz w:val="32"/>
          <w:szCs w:val="32"/>
          <w:highlight w:val="none"/>
          <w:lang w:val="en-US" w:eastAsia="zh-CN"/>
        </w:rPr>
        <w:t>项目总合同价</w:t>
      </w:r>
      <w:r>
        <w:rPr>
          <w:rFonts w:hint="eastAsia" w:ascii="仿宋_GB2312" w:hAnsi="宋体" w:eastAsia="仿宋_GB2312"/>
          <w:color w:val="auto"/>
          <w:sz w:val="32"/>
          <w:szCs w:val="32"/>
          <w:highlight w:val="none"/>
          <w:lang w:val="en-US" w:eastAsia="zh-CN"/>
        </w:rPr>
        <w:t>70%的服务款，</w:t>
      </w:r>
      <w:r>
        <w:rPr>
          <w:rFonts w:hint="eastAsia" w:ascii="仿宋_GB2312" w:hAnsi="宋体" w:eastAsia="仿宋_GB2312"/>
          <w:bCs/>
          <w:color w:val="auto"/>
          <w:sz w:val="32"/>
          <w:szCs w:val="32"/>
          <w:highlight w:val="none"/>
          <w:lang w:val="en-US" w:eastAsia="zh-CN"/>
        </w:rPr>
        <w:t>项目养护到验收合格完成移交后可申请全部服务款</w:t>
      </w:r>
      <w:r>
        <w:rPr>
          <w:rFonts w:hint="eastAsia" w:ascii="仿宋_GB2312" w:hAnsi="宋体" w:eastAsia="仿宋_GB2312"/>
          <w:bCs/>
          <w:color w:val="auto"/>
          <w:sz w:val="32"/>
          <w:szCs w:val="32"/>
          <w:highlight w:val="none"/>
        </w:rPr>
        <w:t>。</w:t>
      </w:r>
    </w:p>
    <w:p>
      <w:pPr>
        <w:keepNext w:val="0"/>
        <w:keepLines w:val="0"/>
        <w:pageBreakBefore w:val="0"/>
        <w:widowControl w:val="0"/>
        <w:kinsoku/>
        <w:wordWrap/>
        <w:overflowPunct/>
        <w:topLinePunct w:val="0"/>
        <w:bidi w:val="0"/>
        <w:adjustRightInd/>
        <w:spacing w:before="156" w:beforeLines="50" w:after="156" w:afterLines="50" w:line="590" w:lineRule="exact"/>
        <w:jc w:val="center"/>
        <w:textAlignment w:val="auto"/>
        <w:rPr>
          <w:rFonts w:hint="eastAsia" w:ascii="仿宋_GB2312" w:hAnsi="仿宋_GB2312" w:eastAsia="仿宋_GB2312" w:cs="仿宋_GB2312"/>
          <w:b/>
          <w:color w:val="auto"/>
          <w:sz w:val="32"/>
          <w:szCs w:val="32"/>
          <w:highlight w:val="none"/>
        </w:rPr>
      </w:pPr>
    </w:p>
    <w:p>
      <w:pPr>
        <w:keepNext w:val="0"/>
        <w:keepLines w:val="0"/>
        <w:pageBreakBefore w:val="0"/>
        <w:widowControl w:val="0"/>
        <w:kinsoku/>
        <w:wordWrap/>
        <w:overflowPunct/>
        <w:topLinePunct w:val="0"/>
        <w:bidi w:val="0"/>
        <w:adjustRightInd/>
        <w:spacing w:before="156" w:beforeLines="50" w:after="156" w:afterLines="50" w:line="590" w:lineRule="exact"/>
        <w:jc w:val="center"/>
        <w:textAlignment w:val="auto"/>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六</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不可抗拒力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lang w:val="en-US" w:eastAsia="zh-CN"/>
        </w:rPr>
        <w:t xml:space="preserve">5.1 </w:t>
      </w:r>
      <w:r>
        <w:rPr>
          <w:rFonts w:hint="eastAsia" w:ascii="仿宋_GB2312" w:hAnsi="楷体" w:eastAsia="仿宋_GB2312" w:cs="楷体"/>
          <w:color w:val="auto"/>
          <w:sz w:val="32"/>
          <w:szCs w:val="32"/>
          <w:highlight w:val="none"/>
        </w:rPr>
        <w:t>在合同有效期限内，任何一方因不可抗力事件导致不能按时履行合同，则合同履行期可延长，其延长期与不可抗力影响期相同。由于不可抗力事件导致合同的根本目的不能实现时，一方可解除合同。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lang w:val="en-US" w:eastAsia="zh-CN"/>
        </w:rPr>
        <w:t>5</w:t>
      </w:r>
      <w:r>
        <w:rPr>
          <w:rFonts w:hint="eastAsia" w:ascii="仿宋_GB2312" w:hAnsi="楷体" w:eastAsia="仿宋_GB2312" w:cs="楷体"/>
          <w:color w:val="auto"/>
          <w:sz w:val="32"/>
          <w:szCs w:val="32"/>
          <w:highlight w:val="none"/>
        </w:rPr>
        <w:t>.2</w:t>
      </w:r>
      <w:r>
        <w:rPr>
          <w:rFonts w:hint="eastAsia" w:ascii="仿宋_GB2312" w:hAnsi="楷体" w:eastAsia="仿宋_GB2312" w:cs="楷体"/>
          <w:color w:val="auto"/>
          <w:sz w:val="32"/>
          <w:szCs w:val="32"/>
          <w:highlight w:val="none"/>
          <w:lang w:val="en-US" w:eastAsia="zh-CN"/>
        </w:rPr>
        <w:t xml:space="preserve"> </w:t>
      </w:r>
      <w:r>
        <w:rPr>
          <w:rFonts w:hint="eastAsia" w:ascii="仿宋_GB2312" w:hAnsi="楷体" w:eastAsia="仿宋_GB2312" w:cs="楷体"/>
          <w:color w:val="auto"/>
          <w:sz w:val="32"/>
          <w:szCs w:val="32"/>
          <w:highlight w:val="none"/>
          <w:lang w:eastAsia="zh-CN"/>
        </w:rPr>
        <w:t>提供服务的</w:t>
      </w:r>
      <w:r>
        <w:rPr>
          <w:rFonts w:hint="eastAsia" w:ascii="仿宋_GB2312" w:hAnsi="楷体" w:eastAsia="仿宋_GB2312" w:cs="楷体"/>
          <w:color w:val="auto"/>
          <w:sz w:val="32"/>
          <w:szCs w:val="32"/>
          <w:highlight w:val="none"/>
        </w:rPr>
        <w:t>过程中，不可抗力事件发生后，应立即通知对方，在乙方采取挽救措施的情况下而无法挽回，造成</w:t>
      </w:r>
      <w:r>
        <w:rPr>
          <w:rFonts w:hint="eastAsia" w:ascii="仿宋_GB2312" w:hAnsi="楷体" w:eastAsia="仿宋_GB2312" w:cs="楷体"/>
          <w:color w:val="auto"/>
          <w:sz w:val="32"/>
          <w:szCs w:val="32"/>
          <w:highlight w:val="none"/>
          <w:lang w:eastAsia="zh-CN"/>
        </w:rPr>
        <w:t>苗木</w:t>
      </w:r>
      <w:r>
        <w:rPr>
          <w:rFonts w:hint="eastAsia" w:ascii="仿宋_GB2312" w:hAnsi="楷体" w:eastAsia="仿宋_GB2312" w:cs="楷体"/>
          <w:color w:val="auto"/>
          <w:sz w:val="32"/>
          <w:szCs w:val="32"/>
          <w:highlight w:val="none"/>
        </w:rPr>
        <w:t>损失等，双方应及时派员到现场核定损失情况。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lang w:val="en-US" w:eastAsia="zh-CN"/>
        </w:rPr>
        <w:t>5</w:t>
      </w:r>
      <w:r>
        <w:rPr>
          <w:rFonts w:hint="eastAsia" w:ascii="仿宋_GB2312" w:hAnsi="楷体" w:eastAsia="仿宋_GB2312" w:cs="楷体"/>
          <w:color w:val="auto"/>
          <w:sz w:val="32"/>
          <w:szCs w:val="32"/>
          <w:highlight w:val="none"/>
        </w:rPr>
        <w:t>.3</w:t>
      </w:r>
      <w:r>
        <w:rPr>
          <w:rFonts w:hint="eastAsia" w:ascii="仿宋_GB2312" w:hAnsi="楷体" w:eastAsia="仿宋_GB2312" w:cs="楷体"/>
          <w:color w:val="auto"/>
          <w:sz w:val="32"/>
          <w:szCs w:val="32"/>
          <w:highlight w:val="none"/>
          <w:lang w:val="en-US" w:eastAsia="zh-CN"/>
        </w:rPr>
        <w:t xml:space="preserve"> </w:t>
      </w:r>
      <w:r>
        <w:rPr>
          <w:rFonts w:hint="eastAsia" w:ascii="仿宋_GB2312" w:hAnsi="楷体" w:eastAsia="仿宋_GB2312" w:cs="楷体"/>
          <w:color w:val="auto"/>
          <w:sz w:val="32"/>
          <w:szCs w:val="32"/>
          <w:highlight w:val="none"/>
        </w:rPr>
        <w:t>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5.4 不可抗拒力的确认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除通用合同条款约定的不可抗力事件之外，视为不可抗力的其他情形：⑴ 6级及以上的地震⑵ 6级及以上的大风；⑶中雨级及以上的雨；⑷持续3天38度以上的高温天气；⑸持续2天零度以下的低温天气；⑹25年以上未发生过的洪水；(7)政府部门宏观政策影响。</w:t>
      </w:r>
    </w:p>
    <w:p>
      <w:pPr>
        <w:keepNext w:val="0"/>
        <w:keepLines w:val="0"/>
        <w:pageBreakBefore w:val="0"/>
        <w:widowControl w:val="0"/>
        <w:kinsoku/>
        <w:wordWrap/>
        <w:overflowPunct/>
        <w:topLinePunct w:val="0"/>
        <w:bidi w:val="0"/>
        <w:adjustRightInd/>
        <w:spacing w:before="156" w:beforeLines="50" w:after="156" w:afterLines="50" w:line="590" w:lineRule="exact"/>
        <w:jc w:val="center"/>
        <w:textAlignment w:val="auto"/>
        <w:rPr>
          <w:rFonts w:hint="eastAsia" w:ascii="仿宋_GB2312" w:hAnsi="仿宋_GB2312" w:eastAsia="仿宋_GB2312" w:cs="仿宋_GB2312"/>
          <w:b/>
          <w:color w:val="auto"/>
          <w:sz w:val="32"/>
          <w:szCs w:val="32"/>
          <w:highlight w:val="none"/>
        </w:rPr>
      </w:pPr>
    </w:p>
    <w:p>
      <w:pPr>
        <w:keepNext w:val="0"/>
        <w:keepLines w:val="0"/>
        <w:pageBreakBefore w:val="0"/>
        <w:widowControl w:val="0"/>
        <w:kinsoku/>
        <w:wordWrap/>
        <w:overflowPunct/>
        <w:topLinePunct w:val="0"/>
        <w:bidi w:val="0"/>
        <w:adjustRightInd/>
        <w:spacing w:before="156" w:beforeLines="50" w:after="156" w:afterLines="50" w:line="590" w:lineRule="exact"/>
        <w:jc w:val="center"/>
        <w:textAlignment w:val="auto"/>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七</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争议解决方式</w:t>
      </w:r>
    </w:p>
    <w:p>
      <w:pPr>
        <w:keepNext w:val="0"/>
        <w:keepLines w:val="0"/>
        <w:pageBreakBefore w:val="0"/>
        <w:widowControl w:val="0"/>
        <w:kinsoku/>
        <w:wordWrap/>
        <w:overflowPunct/>
        <w:topLinePunct w:val="0"/>
        <w:bidi w:val="0"/>
        <w:adjustRightInd/>
        <w:spacing w:before="156" w:beforeLines="50" w:after="156" w:afterLines="50" w:line="590" w:lineRule="exact"/>
        <w:ind w:firstLine="640" w:firstLineChars="200"/>
        <w:jc w:val="left"/>
        <w:textAlignment w:val="auto"/>
        <w:rPr>
          <w:rFonts w:hint="eastAsia"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双方在履行合同中所发生的一切争议，应通过协商解决。如协商不成，任何一方均可向有管辖权的人民法院起诉。</w:t>
      </w:r>
    </w:p>
    <w:p>
      <w:pPr>
        <w:keepNext w:val="0"/>
        <w:keepLines w:val="0"/>
        <w:pageBreakBefore w:val="0"/>
        <w:widowControl w:val="0"/>
        <w:kinsoku/>
        <w:wordWrap/>
        <w:overflowPunct/>
        <w:topLinePunct w:val="0"/>
        <w:bidi w:val="0"/>
        <w:adjustRightInd/>
        <w:spacing w:before="156" w:beforeLines="50" w:after="156" w:afterLines="50" w:line="590" w:lineRule="exact"/>
        <w:jc w:val="center"/>
        <w:textAlignment w:val="auto"/>
        <w:rPr>
          <w:rFonts w:hint="eastAsia" w:ascii="仿宋_GB2312" w:hAnsi="仿宋_GB2312" w:eastAsia="仿宋_GB2312" w:cs="仿宋_GB2312"/>
          <w:b/>
          <w:color w:val="auto"/>
          <w:sz w:val="32"/>
          <w:szCs w:val="32"/>
          <w:highlight w:val="none"/>
          <w:lang w:eastAsia="zh-CN"/>
        </w:rPr>
      </w:pPr>
    </w:p>
    <w:p>
      <w:pPr>
        <w:keepNext w:val="0"/>
        <w:keepLines w:val="0"/>
        <w:pageBreakBefore w:val="0"/>
        <w:widowControl w:val="0"/>
        <w:kinsoku/>
        <w:wordWrap/>
        <w:overflowPunct/>
        <w:topLinePunct w:val="0"/>
        <w:bidi w:val="0"/>
        <w:adjustRightInd/>
        <w:spacing w:before="156" w:beforeLines="50" w:after="156" w:afterLines="50" w:line="590" w:lineRule="exact"/>
        <w:jc w:val="center"/>
        <w:textAlignment w:val="auto"/>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（八</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合同变更</w:t>
      </w:r>
    </w:p>
    <w:p>
      <w:pPr>
        <w:keepNext w:val="0"/>
        <w:keepLines w:val="0"/>
        <w:pageBreakBefore w:val="0"/>
        <w:widowControl w:val="0"/>
        <w:kinsoku/>
        <w:wordWrap/>
        <w:overflowPunct/>
        <w:topLinePunct w:val="0"/>
        <w:bidi w:val="0"/>
        <w:adjustRightInd/>
        <w:spacing w:line="59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本合同的变更必须由双方协商一致，并以书面形式确定。但有下列情形之一的，一方可以向另一方提出变更合同权利与义务的请求，另一方应当在</w:t>
      </w:r>
      <w:r>
        <w:rPr>
          <w:rFonts w:hint="eastAsia" w:ascii="仿宋_GB2312" w:hAnsi="仿宋_GB2312" w:eastAsia="仿宋_GB2312" w:cs="仿宋_GB2312"/>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rPr>
        <w:t>个工作日内予以答复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逾期未予答复的，视为同意：</w:t>
      </w:r>
    </w:p>
    <w:p>
      <w:pPr>
        <w:keepNext w:val="0"/>
        <w:keepLines w:val="0"/>
        <w:pageBreakBefore w:val="0"/>
        <w:widowControl w:val="0"/>
        <w:kinsoku/>
        <w:wordWrap/>
        <w:overflowPunct/>
        <w:topLinePunct w:val="0"/>
        <w:bidi w:val="0"/>
        <w:adjustRightInd/>
        <w:spacing w:line="59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u w:val="single"/>
        </w:rPr>
        <w:t>合同甲方发生变化</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bidi w:val="0"/>
        <w:adjustRightInd/>
        <w:spacing w:line="59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u w:val="single"/>
        </w:rPr>
        <w:t>项目规模发生变化</w:t>
      </w:r>
      <w:r>
        <w:rPr>
          <w:rFonts w:hint="eastAsia" w:ascii="仿宋_GB2312" w:hAnsi="仿宋_GB2312" w:eastAsia="仿宋_GB2312" w:cs="仿宋_GB2312"/>
          <w:b w:val="0"/>
          <w:bCs w:val="0"/>
          <w:color w:val="auto"/>
          <w:sz w:val="32"/>
          <w:szCs w:val="32"/>
          <w:highlight w:val="none"/>
        </w:rPr>
        <w:t>。</w:t>
      </w:r>
    </w:p>
    <w:p>
      <w:pPr>
        <w:pStyle w:val="19"/>
        <w:spacing w:line="240" w:lineRule="auto"/>
        <w:jc w:val="both"/>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2"/>
          <w:highlight w:val="none"/>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2"/>
          <w:highlight w:val="none"/>
        </w:rPr>
      </w:pPr>
    </w:p>
    <w:p>
      <w:pPr>
        <w:spacing w:before="65" w:line="228" w:lineRule="auto"/>
        <w:ind w:left="540"/>
        <w:rPr>
          <w:rFonts w:hint="eastAsia" w:ascii="宋体" w:hAnsi="宋体" w:eastAsia="宋体" w:cs="宋体"/>
          <w:b/>
          <w:bCs/>
          <w:color w:val="auto"/>
          <w:highlight w:val="none"/>
        </w:rPr>
      </w:pPr>
    </w:p>
    <w:sectPr>
      <w:headerReference r:id="rId13" w:type="first"/>
      <w:footerReference r:id="rId15" w:type="first"/>
      <w:headerReference r:id="rId12" w:type="default"/>
      <w:footerReference r:id="rId14" w:type="default"/>
      <w:pgSz w:w="11906" w:h="16838"/>
      <w:pgMar w:top="1134" w:right="1134" w:bottom="1134" w:left="1134" w:header="851" w:footer="992"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7950"/>
        <w:tab w:val="clear" w:pos="4153"/>
        <w:tab w:val="clear" w:pos="8306"/>
      </w:tabs>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DQhc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Th2xy0O/Pz92/nHr/PPr+R1&#10;lqcPUGPWY8C8NLz1Ay7N7Ad0ZtaDijZ/kQ/BOIp7uogrh0REfrRarlYVhgTG5gvis6fnIUJ6kN6S&#10;bDQ04vSKqPz4HtKYOqfkas7fa2PKBI37y4GY2cNy72OP2UrDbpgI7Xx7Qj49Dr6hDvecEvPOoa55&#10;R2YjzsZuNg4h6n1XlijXg/Dm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Sw0IXIAQAAmQMAAA4AAAAAAAAAAQAgAAAAHgEAAGRycy9lMm9Eb2Mu&#10;eG1sUEsFBgAAAAAGAAYAWQEAAFg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36</w:t>
                    </w:r>
                    <w:r>
                      <w:fldChar w:fldCharType="end"/>
                    </w:r>
                  </w:p>
                </w:txbxContent>
              </v:textbox>
            </v:shape>
          </w:pict>
        </mc:Fallback>
      </mc:AlternateContent>
    </w:r>
  </w:p>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AeS7+rQAQAAogMAAA4AAAAAAAAAAQAgAAAAHwEAAGRy&#10;cy9lMm9Eb2MueG1sUEsFBgAAAAAGAAYAWQEAAGE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ascii="仿宋_GB2312" w:hAnsi="宋体" w:eastAsia="宋体"/>
        <w:sz w:val="18"/>
        <w:szCs w:val="18"/>
        <w:u w:val="single"/>
        <w:lang w:eastAsia="zh-CN"/>
      </w:rPr>
    </w:pPr>
    <w:r>
      <w:rPr>
        <w:rFonts w:hint="eastAsia" w:hAnsi="宋体"/>
      </w:rPr>
      <w:t>项目名称：</w:t>
    </w:r>
    <w:r>
      <w:rPr>
        <w:rFonts w:hint="eastAsia" w:hAnsi="宋体"/>
        <w:lang w:eastAsia="zh-CN"/>
      </w:rPr>
      <w:t>贺州市平桂区黄花山公园景观建设工程[一期(服务部分)]</w:t>
    </w:r>
    <w:r>
      <w:rPr>
        <w:rFonts w:hint="eastAsia" w:hAnsi="宋体"/>
      </w:rPr>
      <w:t xml:space="preserve">  项目编号：</w:t>
    </w:r>
    <w:r>
      <w:rPr>
        <w:rFonts w:hint="eastAsia" w:hAnsi="宋体"/>
        <w:lang w:eastAsia="zh-CN"/>
      </w:rPr>
      <w:t>HZZC2024-C3-030209-GXWX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rPr>
        <w:rFonts w:hint="eastAsia" w:eastAsia="宋体"/>
        <w:lang w:eastAsia="zh-CN"/>
      </w:rPr>
    </w:pPr>
    <w:r>
      <w:rPr>
        <w:rFonts w:hint="eastAsia" w:ascii="宋体" w:hAnsi="宋体" w:cs="宋体"/>
        <w:sz w:val="21"/>
        <w:szCs w:val="21"/>
      </w:rPr>
      <w:t>项目名称：</w:t>
    </w:r>
    <w:r>
      <w:rPr>
        <w:rFonts w:hint="eastAsia" w:ascii="宋体" w:hAnsi="宋体" w:cs="宋体"/>
        <w:sz w:val="21"/>
        <w:szCs w:val="21"/>
        <w:lang w:eastAsia="zh-CN"/>
      </w:rPr>
      <w:t>贺州市平桂区黄花山公园景观建设工程[一期(服务部分)]</w:t>
    </w:r>
    <w:r>
      <w:rPr>
        <w:rFonts w:hint="eastAsia" w:ascii="宋体" w:hAnsi="宋体" w:cs="宋体"/>
        <w:sz w:val="21"/>
        <w:szCs w:val="21"/>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0"/>
      <w:rPr>
        <w:rFonts w:hint="eastAsia" w:eastAsia="宋体"/>
        <w:lang w:eastAsia="zh-CN"/>
      </w:rPr>
    </w:pPr>
    <w:r>
      <w:rPr>
        <w:rFonts w:ascii="宋体" w:hAnsi="宋体" w:eastAsia="宋体" w:cs="宋体"/>
        <w:sz w:val="18"/>
        <w:szCs w:val="18"/>
        <w:u w:val="single" w:color="auto"/>
      </w:rPr>
      <w:t>项目名称：</w:t>
    </w:r>
    <w:r>
      <w:rPr>
        <w:rFonts w:hint="eastAsia" w:ascii="宋体" w:hAnsi="宋体" w:cs="宋体"/>
        <w:sz w:val="18"/>
        <w:szCs w:val="18"/>
        <w:u w:val="single" w:color="auto"/>
        <w:lang w:eastAsia="zh-CN"/>
      </w:rPr>
      <w:t>贺州市平桂区黄花山公园景观建设工程[一期(服务部分)]</w:t>
    </w:r>
    <w:r>
      <w:rPr>
        <w:rFonts w:hint="eastAsia" w:ascii="宋体" w:hAnsi="宋体" w:eastAsia="宋体" w:cs="宋体"/>
        <w:sz w:val="18"/>
        <w:szCs w:val="18"/>
        <w:u w:val="single" w:color="auto"/>
        <w:lang w:val="en-US" w:eastAsia="zh-CN"/>
      </w:rPr>
      <w:t xml:space="preserve">           </w:t>
    </w:r>
    <w:r>
      <w:rPr>
        <w:rFonts w:ascii="宋体" w:hAnsi="宋体" w:eastAsia="宋体" w:cs="宋体"/>
        <w:spacing w:val="-1"/>
        <w:sz w:val="18"/>
        <w:szCs w:val="18"/>
        <w:u w:val="single" w:color="auto"/>
      </w:rPr>
      <w:t xml:space="preserve">   项目编号：</w:t>
    </w:r>
    <w:r>
      <w:rPr>
        <w:rFonts w:hint="eastAsia" w:ascii="宋体" w:hAnsi="宋体" w:cs="宋体"/>
        <w:spacing w:val="-1"/>
        <w:sz w:val="18"/>
        <w:szCs w:val="18"/>
        <w:u w:val="single" w:color="auto"/>
        <w:lang w:eastAsia="zh-CN"/>
      </w:rPr>
      <w:t>HZZC2024-C3-030209-GXWX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cs="宋体"/>
        <w:sz w:val="21"/>
        <w:szCs w:val="21"/>
        <w:lang w:eastAsia="zh-CN"/>
      </w:rPr>
      <w:t>贺州市平桂区黄花山公园景观建设工程[一期(服务部分)]</w:t>
    </w:r>
  </w:p>
  <w:p>
    <w:pPr>
      <w:pStyle w:val="1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cs="宋体"/>
        <w:sz w:val="21"/>
        <w:szCs w:val="21"/>
        <w:lang w:eastAsia="zh-CN"/>
      </w:rPr>
      <w:t>贺州市平桂区黄花山公园景观建设工程[一期(服务部分)]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EB78"/>
    <w:multiLevelType w:val="singleLevel"/>
    <w:tmpl w:val="EB8CEB78"/>
    <w:lvl w:ilvl="0" w:tentative="0">
      <w:start w:val="3"/>
      <w:numFmt w:val="chineseCounting"/>
      <w:suff w:val="space"/>
      <w:lvlText w:val="第%1章"/>
      <w:lvlJc w:val="left"/>
      <w:rPr>
        <w:rFonts w:hint="eastAsia"/>
      </w:rPr>
    </w:lvl>
  </w:abstractNum>
  <w:abstractNum w:abstractNumId="1">
    <w:nsid w:val="FAF97E14"/>
    <w:multiLevelType w:val="singleLevel"/>
    <w:tmpl w:val="FAF97E14"/>
    <w:lvl w:ilvl="0" w:tentative="0">
      <w:start w:val="1"/>
      <w:numFmt w:val="chineseCounting"/>
      <w:suff w:val="space"/>
      <w:lvlText w:val="第%1章"/>
      <w:lvlJc w:val="left"/>
      <w:rPr>
        <w:rFonts w:hint="eastAsia"/>
      </w:rPr>
    </w:lvl>
  </w:abstractNum>
  <w:abstractNum w:abstractNumId="2">
    <w:nsid w:val="00000003"/>
    <w:multiLevelType w:val="multilevel"/>
    <w:tmpl w:val="00000003"/>
    <w:lvl w:ilvl="0" w:tentative="0">
      <w:start w:val="1"/>
      <w:numFmt w:val="decimal"/>
      <w:lvlText w:val="%1."/>
      <w:lvlJc w:val="left"/>
      <w:pPr>
        <w:ind w:left="360" w:hanging="360"/>
      </w:pPr>
      <w:rPr>
        <w:rFonts w:hint="eastAsia" w:ascii="宋体" w:hAnsi="宋体" w:eastAsia="宋体" w:cs="宋体"/>
        <w:b/>
        <w:i w:val="0"/>
        <w:sz w:val="24"/>
      </w:rPr>
    </w:lvl>
    <w:lvl w:ilvl="1" w:tentative="0">
      <w:start w:val="1"/>
      <w:numFmt w:val="decimal"/>
      <w:lvlText w:val="%1.%2"/>
      <w:lvlJc w:val="left"/>
      <w:pPr>
        <w:ind w:left="360" w:hanging="360"/>
      </w:pPr>
      <w:rPr>
        <w:rFonts w:hint="eastAsia" w:ascii="宋体" w:hAnsi="宋体" w:eastAsia="宋体" w:cs="宋体"/>
      </w:rPr>
    </w:lvl>
    <w:lvl w:ilvl="2" w:tentative="0">
      <w:start w:val="1"/>
      <w:numFmt w:val="decimal"/>
      <w:lvlText w:val="%1.%2.%3"/>
      <w:lvlJc w:val="left"/>
      <w:pPr>
        <w:ind w:left="720" w:hanging="720"/>
      </w:pPr>
      <w:rPr>
        <w:rFonts w:hint="eastAsia" w:ascii="宋体" w:hAnsi="宋体" w:eastAsia="宋体" w:cs="宋体"/>
      </w:rPr>
    </w:lvl>
    <w:lvl w:ilvl="3" w:tentative="0">
      <w:start w:val="1"/>
      <w:numFmt w:val="decimal"/>
      <w:lvlText w:val="%1.%2.%3.%4"/>
      <w:lvlJc w:val="left"/>
      <w:pPr>
        <w:ind w:left="720" w:hanging="720"/>
      </w:pPr>
      <w:rPr>
        <w:rFonts w:hint="eastAsia" w:ascii="宋体" w:hAnsi="宋体" w:eastAsia="宋体" w:cs="宋体"/>
      </w:rPr>
    </w:lvl>
    <w:lvl w:ilvl="4" w:tentative="0">
      <w:start w:val="1"/>
      <w:numFmt w:val="chineseCounting"/>
      <w:pStyle w:val="7"/>
      <w:lvlText w:val="（%5）"/>
      <w:lvlJc w:val="left"/>
      <w:pPr>
        <w:ind w:left="1080" w:hanging="1080"/>
      </w:pPr>
      <w:rPr>
        <w:rFonts w:hint="eastAsia" w:ascii="宋体" w:hAnsi="宋体" w:eastAsia="宋体" w:cs="宋体"/>
      </w:rPr>
    </w:lvl>
    <w:lvl w:ilvl="5" w:tentative="0">
      <w:start w:val="1"/>
      <w:numFmt w:val="decimal"/>
      <w:lvlText w:val="%6."/>
      <w:lvlJc w:val="left"/>
      <w:pPr>
        <w:tabs>
          <w:tab w:val="left" w:pos="0"/>
        </w:tabs>
        <w:ind w:left="0" w:firstLine="0"/>
      </w:pPr>
      <w:rPr>
        <w:rFonts w:hint="eastAsia" w:ascii="宋体" w:hAnsi="宋体" w:eastAsia="宋体" w:cs="宋体"/>
        <w:sz w:val="24"/>
      </w:rPr>
    </w:lvl>
    <w:lvl w:ilvl="6" w:tentative="0">
      <w:start w:val="1"/>
      <w:numFmt w:val="decimal"/>
      <w:lvlText w:val="（%7）"/>
      <w:lvlJc w:val="left"/>
      <w:pPr>
        <w:tabs>
          <w:tab w:val="left" w:pos="0"/>
        </w:tabs>
        <w:ind w:left="0" w:firstLine="0"/>
      </w:pPr>
      <w:rPr>
        <w:rFonts w:hint="eastAsia" w:ascii="宋体" w:hAnsi="宋体" w:eastAsia="宋体" w:cs="宋体"/>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800" w:hanging="1800"/>
      </w:pPr>
      <w:rPr>
        <w:rFonts w:hint="eastAsia"/>
      </w:rPr>
    </w:lvl>
  </w:abstractNum>
  <w:abstractNum w:abstractNumId="3">
    <w:nsid w:val="00000005"/>
    <w:multiLevelType w:val="multilevel"/>
    <w:tmpl w:val="00000005"/>
    <w:lvl w:ilvl="0" w:tentative="0">
      <w:start w:val="1"/>
      <w:numFmt w:val="decimal"/>
      <w:lvlText w:val="%1."/>
      <w:lvlJc w:val="left"/>
      <w:pPr>
        <w:ind w:left="425" w:hanging="425"/>
      </w:pPr>
      <w:rPr>
        <w:rFonts w:hint="default"/>
      </w:rPr>
    </w:lvl>
    <w:lvl w:ilvl="1" w:tentative="0">
      <w:start w:val="1"/>
      <w:numFmt w:val="decimal"/>
      <w:lvlText w:val="%1.%2"/>
      <w:lvlJc w:val="left"/>
      <w:pPr>
        <w:tabs>
          <w:tab w:val="left" w:pos="0"/>
        </w:tabs>
        <w:ind w:left="0" w:firstLine="0"/>
      </w:pPr>
      <w:rPr>
        <w:rFonts w:hint="default" w:ascii="宋体" w:hAnsi="宋体" w:eastAsia="宋体" w:cs="宋体"/>
      </w:rPr>
    </w:lvl>
    <w:lvl w:ilvl="2" w:tentative="0">
      <w:start w:val="1"/>
      <w:numFmt w:val="decimal"/>
      <w:pStyle w:val="6"/>
      <w:lvlText w:val="%1.%2.%3"/>
      <w:lvlJc w:val="left"/>
      <w:pPr>
        <w:tabs>
          <w:tab w:val="left" w:pos="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3BC73028"/>
    <w:multiLevelType w:val="singleLevel"/>
    <w:tmpl w:val="3BC73028"/>
    <w:lvl w:ilvl="0" w:tentative="0">
      <w:start w:val="1"/>
      <w:numFmt w:val="decimal"/>
      <w:pStyle w:val="8"/>
      <w:lvlText w:val="%1."/>
      <w:lvlJc w:val="left"/>
      <w:pPr>
        <w:tabs>
          <w:tab w:val="left" w:pos="360"/>
        </w:tabs>
        <w:ind w:left="360" w:hanging="360"/>
      </w:pPr>
    </w:lvl>
  </w:abstractNum>
  <w:abstractNum w:abstractNumId="5">
    <w:nsid w:val="3D1C47CD"/>
    <w:multiLevelType w:val="singleLevel"/>
    <w:tmpl w:val="3D1C47CD"/>
    <w:lvl w:ilvl="0" w:tentative="0">
      <w:start w:val="1"/>
      <w:numFmt w:val="decimal"/>
      <w:suff w:val="space"/>
      <w:lvlText w:val="%1."/>
      <w:lvlJc w:val="left"/>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hideGrammaticalErrors/>
  <w:documentProtection w:edit="forms" w:enforcement="1" w:cryptProviderType="rsaFull" w:cryptAlgorithmClass="hash" w:cryptAlgorithmType="typeAny" w:cryptAlgorithmSid="4" w:cryptSpinCount="0" w:hash="HFrWv1oA6uXJUZlKrVyE4LmG7hk=" w:salt="LBJ3Yj5Rp51xVcUuO/caXw=="/>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WRjYjliNmRjZWE3Yjk5OTdkMDM4YWI3ZjFjYTAifQ=="/>
  </w:docVars>
  <w:rsids>
    <w:rsidRoot w:val="2A3E728F"/>
    <w:rsid w:val="00006AF5"/>
    <w:rsid w:val="00057CEB"/>
    <w:rsid w:val="0008032F"/>
    <w:rsid w:val="000B3502"/>
    <w:rsid w:val="000D19E3"/>
    <w:rsid w:val="000D7216"/>
    <w:rsid w:val="001067EE"/>
    <w:rsid w:val="00107FAC"/>
    <w:rsid w:val="0016438D"/>
    <w:rsid w:val="001825D4"/>
    <w:rsid w:val="001C24A6"/>
    <w:rsid w:val="001C29DE"/>
    <w:rsid w:val="001F4639"/>
    <w:rsid w:val="001F4FEC"/>
    <w:rsid w:val="0020306F"/>
    <w:rsid w:val="00231B98"/>
    <w:rsid w:val="0023433D"/>
    <w:rsid w:val="002462D4"/>
    <w:rsid w:val="0025644F"/>
    <w:rsid w:val="00260D1E"/>
    <w:rsid w:val="002B0B83"/>
    <w:rsid w:val="002C0D6B"/>
    <w:rsid w:val="002C1373"/>
    <w:rsid w:val="0031414F"/>
    <w:rsid w:val="00332213"/>
    <w:rsid w:val="0035472E"/>
    <w:rsid w:val="00356262"/>
    <w:rsid w:val="003862AE"/>
    <w:rsid w:val="00432831"/>
    <w:rsid w:val="004503AC"/>
    <w:rsid w:val="00486D8E"/>
    <w:rsid w:val="00492366"/>
    <w:rsid w:val="004B1096"/>
    <w:rsid w:val="004B204B"/>
    <w:rsid w:val="004C5CD7"/>
    <w:rsid w:val="004E625E"/>
    <w:rsid w:val="004F5332"/>
    <w:rsid w:val="00515CDC"/>
    <w:rsid w:val="0055307F"/>
    <w:rsid w:val="0055383F"/>
    <w:rsid w:val="0056111C"/>
    <w:rsid w:val="00567BDC"/>
    <w:rsid w:val="00596D57"/>
    <w:rsid w:val="005A2777"/>
    <w:rsid w:val="005B2278"/>
    <w:rsid w:val="005C2B2B"/>
    <w:rsid w:val="005C3925"/>
    <w:rsid w:val="005F7572"/>
    <w:rsid w:val="006322D1"/>
    <w:rsid w:val="00694B93"/>
    <w:rsid w:val="006A17FF"/>
    <w:rsid w:val="006A1D4F"/>
    <w:rsid w:val="006B4201"/>
    <w:rsid w:val="006D031C"/>
    <w:rsid w:val="006E5C80"/>
    <w:rsid w:val="006F6300"/>
    <w:rsid w:val="00722252"/>
    <w:rsid w:val="00724966"/>
    <w:rsid w:val="00741CA8"/>
    <w:rsid w:val="00754D36"/>
    <w:rsid w:val="007567E0"/>
    <w:rsid w:val="00784287"/>
    <w:rsid w:val="007B0BEE"/>
    <w:rsid w:val="007D4E45"/>
    <w:rsid w:val="00801BB8"/>
    <w:rsid w:val="00825FD2"/>
    <w:rsid w:val="00841388"/>
    <w:rsid w:val="00842F80"/>
    <w:rsid w:val="00855618"/>
    <w:rsid w:val="00855C0F"/>
    <w:rsid w:val="00857C03"/>
    <w:rsid w:val="008801FE"/>
    <w:rsid w:val="008A0B16"/>
    <w:rsid w:val="008D7AB2"/>
    <w:rsid w:val="008E57DF"/>
    <w:rsid w:val="009255AB"/>
    <w:rsid w:val="00925A68"/>
    <w:rsid w:val="00996D62"/>
    <w:rsid w:val="009A76B9"/>
    <w:rsid w:val="009B5524"/>
    <w:rsid w:val="009B56B9"/>
    <w:rsid w:val="009C19C5"/>
    <w:rsid w:val="009C6BE0"/>
    <w:rsid w:val="009D158C"/>
    <w:rsid w:val="009D3F7A"/>
    <w:rsid w:val="00A023A5"/>
    <w:rsid w:val="00A066C3"/>
    <w:rsid w:val="00A72941"/>
    <w:rsid w:val="00A90290"/>
    <w:rsid w:val="00A94753"/>
    <w:rsid w:val="00AC14B5"/>
    <w:rsid w:val="00AC67FC"/>
    <w:rsid w:val="00AD7A7E"/>
    <w:rsid w:val="00AD7FB7"/>
    <w:rsid w:val="00AE42E7"/>
    <w:rsid w:val="00B03B8A"/>
    <w:rsid w:val="00B03D46"/>
    <w:rsid w:val="00B042F2"/>
    <w:rsid w:val="00B1107D"/>
    <w:rsid w:val="00B13BB9"/>
    <w:rsid w:val="00B9032F"/>
    <w:rsid w:val="00B96C4B"/>
    <w:rsid w:val="00BF5462"/>
    <w:rsid w:val="00BF7476"/>
    <w:rsid w:val="00C44FA2"/>
    <w:rsid w:val="00C552BD"/>
    <w:rsid w:val="00C55C8F"/>
    <w:rsid w:val="00C57841"/>
    <w:rsid w:val="00C70DC7"/>
    <w:rsid w:val="00C75C3C"/>
    <w:rsid w:val="00C8319C"/>
    <w:rsid w:val="00C87136"/>
    <w:rsid w:val="00C923D1"/>
    <w:rsid w:val="00CA334B"/>
    <w:rsid w:val="00CA5969"/>
    <w:rsid w:val="00CF0FEE"/>
    <w:rsid w:val="00D022C3"/>
    <w:rsid w:val="00D1001A"/>
    <w:rsid w:val="00D17012"/>
    <w:rsid w:val="00D23845"/>
    <w:rsid w:val="00D24285"/>
    <w:rsid w:val="00D445D2"/>
    <w:rsid w:val="00D46BF9"/>
    <w:rsid w:val="00D87A98"/>
    <w:rsid w:val="00DA7861"/>
    <w:rsid w:val="00DB7A9A"/>
    <w:rsid w:val="00E14358"/>
    <w:rsid w:val="00E26243"/>
    <w:rsid w:val="00E60D1C"/>
    <w:rsid w:val="00E74A68"/>
    <w:rsid w:val="00E96ED0"/>
    <w:rsid w:val="00EA7141"/>
    <w:rsid w:val="00ED34EB"/>
    <w:rsid w:val="00F12E68"/>
    <w:rsid w:val="00F149A4"/>
    <w:rsid w:val="00F60F60"/>
    <w:rsid w:val="00F6400E"/>
    <w:rsid w:val="00F7047A"/>
    <w:rsid w:val="00FC764C"/>
    <w:rsid w:val="00FD27AA"/>
    <w:rsid w:val="033A5A90"/>
    <w:rsid w:val="03CA7149"/>
    <w:rsid w:val="041A2115"/>
    <w:rsid w:val="041C55D5"/>
    <w:rsid w:val="04E92032"/>
    <w:rsid w:val="05FE0636"/>
    <w:rsid w:val="065148FE"/>
    <w:rsid w:val="06D72A7C"/>
    <w:rsid w:val="079A79C1"/>
    <w:rsid w:val="07E55BD7"/>
    <w:rsid w:val="089E60D1"/>
    <w:rsid w:val="08BC75B9"/>
    <w:rsid w:val="096206D2"/>
    <w:rsid w:val="0CEA2A0C"/>
    <w:rsid w:val="0D155C58"/>
    <w:rsid w:val="0D506357"/>
    <w:rsid w:val="0DF5088C"/>
    <w:rsid w:val="0F2955D0"/>
    <w:rsid w:val="0F54735E"/>
    <w:rsid w:val="101E531A"/>
    <w:rsid w:val="103A09EC"/>
    <w:rsid w:val="118B781E"/>
    <w:rsid w:val="11F2257D"/>
    <w:rsid w:val="12033A4C"/>
    <w:rsid w:val="12B45BA2"/>
    <w:rsid w:val="12B64912"/>
    <w:rsid w:val="12CB01AF"/>
    <w:rsid w:val="13020C6F"/>
    <w:rsid w:val="13432511"/>
    <w:rsid w:val="13590611"/>
    <w:rsid w:val="13A46379"/>
    <w:rsid w:val="13F23481"/>
    <w:rsid w:val="145C4F7A"/>
    <w:rsid w:val="14DD4CCB"/>
    <w:rsid w:val="159165FC"/>
    <w:rsid w:val="15F7586B"/>
    <w:rsid w:val="169E17F1"/>
    <w:rsid w:val="16B00C0C"/>
    <w:rsid w:val="19313E5C"/>
    <w:rsid w:val="196655DC"/>
    <w:rsid w:val="19F95AC8"/>
    <w:rsid w:val="1B2738EF"/>
    <w:rsid w:val="1B473191"/>
    <w:rsid w:val="1BC50824"/>
    <w:rsid w:val="1BE151C0"/>
    <w:rsid w:val="1C525A50"/>
    <w:rsid w:val="1C754A4D"/>
    <w:rsid w:val="1CBC5238"/>
    <w:rsid w:val="1FE66357"/>
    <w:rsid w:val="20E5764D"/>
    <w:rsid w:val="21D2078A"/>
    <w:rsid w:val="2242321D"/>
    <w:rsid w:val="243C3CD5"/>
    <w:rsid w:val="24D92F99"/>
    <w:rsid w:val="268806E8"/>
    <w:rsid w:val="2868169F"/>
    <w:rsid w:val="28804919"/>
    <w:rsid w:val="29D43EE9"/>
    <w:rsid w:val="2A3E728F"/>
    <w:rsid w:val="2DB26F9E"/>
    <w:rsid w:val="2E051CB2"/>
    <w:rsid w:val="2E302101"/>
    <w:rsid w:val="2EDD2F8E"/>
    <w:rsid w:val="2EFF0BCA"/>
    <w:rsid w:val="2F0812F3"/>
    <w:rsid w:val="2F0F50F7"/>
    <w:rsid w:val="30847060"/>
    <w:rsid w:val="30DC7CEC"/>
    <w:rsid w:val="3120068D"/>
    <w:rsid w:val="312F10B4"/>
    <w:rsid w:val="31A2252C"/>
    <w:rsid w:val="325D229C"/>
    <w:rsid w:val="329356D1"/>
    <w:rsid w:val="32B10FA9"/>
    <w:rsid w:val="32E02B86"/>
    <w:rsid w:val="34341772"/>
    <w:rsid w:val="345B73B8"/>
    <w:rsid w:val="34A5365E"/>
    <w:rsid w:val="34D32CD3"/>
    <w:rsid w:val="350C1A16"/>
    <w:rsid w:val="357D3F8B"/>
    <w:rsid w:val="361164F9"/>
    <w:rsid w:val="36B714B8"/>
    <w:rsid w:val="36BA6F25"/>
    <w:rsid w:val="373412EF"/>
    <w:rsid w:val="375E022C"/>
    <w:rsid w:val="378C6D82"/>
    <w:rsid w:val="386356C0"/>
    <w:rsid w:val="39987E7E"/>
    <w:rsid w:val="3A06064C"/>
    <w:rsid w:val="3A904E72"/>
    <w:rsid w:val="3AB45373"/>
    <w:rsid w:val="3ADE40AC"/>
    <w:rsid w:val="3B0B692C"/>
    <w:rsid w:val="3BFB4F9B"/>
    <w:rsid w:val="3C792EEB"/>
    <w:rsid w:val="3DBA5952"/>
    <w:rsid w:val="3E7C1B1C"/>
    <w:rsid w:val="3EF30109"/>
    <w:rsid w:val="3FAD2173"/>
    <w:rsid w:val="3FAE6BF5"/>
    <w:rsid w:val="41C871E3"/>
    <w:rsid w:val="4251506E"/>
    <w:rsid w:val="435D0F0C"/>
    <w:rsid w:val="43AF3427"/>
    <w:rsid w:val="43D27729"/>
    <w:rsid w:val="440554BC"/>
    <w:rsid w:val="443E544F"/>
    <w:rsid w:val="44942CCC"/>
    <w:rsid w:val="46DC4631"/>
    <w:rsid w:val="47226312"/>
    <w:rsid w:val="476D6A40"/>
    <w:rsid w:val="47722C7B"/>
    <w:rsid w:val="4840005F"/>
    <w:rsid w:val="48546527"/>
    <w:rsid w:val="48BD24EF"/>
    <w:rsid w:val="495E5AE3"/>
    <w:rsid w:val="49877565"/>
    <w:rsid w:val="4A2C53BC"/>
    <w:rsid w:val="4A52069F"/>
    <w:rsid w:val="4ABD48C4"/>
    <w:rsid w:val="4B956754"/>
    <w:rsid w:val="4C804AEE"/>
    <w:rsid w:val="4CA317EE"/>
    <w:rsid w:val="4DC75670"/>
    <w:rsid w:val="4DC85BF6"/>
    <w:rsid w:val="4EEB6117"/>
    <w:rsid w:val="50C128BB"/>
    <w:rsid w:val="50C30DAD"/>
    <w:rsid w:val="50CC71E7"/>
    <w:rsid w:val="51291338"/>
    <w:rsid w:val="51F10EEB"/>
    <w:rsid w:val="52686815"/>
    <w:rsid w:val="52AE5F27"/>
    <w:rsid w:val="52D849EE"/>
    <w:rsid w:val="530F44EB"/>
    <w:rsid w:val="53EA2807"/>
    <w:rsid w:val="541A1093"/>
    <w:rsid w:val="557E439D"/>
    <w:rsid w:val="558638BE"/>
    <w:rsid w:val="56FF164D"/>
    <w:rsid w:val="571D0C51"/>
    <w:rsid w:val="577D2A08"/>
    <w:rsid w:val="583F227E"/>
    <w:rsid w:val="59DF4786"/>
    <w:rsid w:val="5A1D2053"/>
    <w:rsid w:val="5B1410F6"/>
    <w:rsid w:val="5B351D71"/>
    <w:rsid w:val="5B6F2075"/>
    <w:rsid w:val="5BD743DE"/>
    <w:rsid w:val="5D242A83"/>
    <w:rsid w:val="5D603C64"/>
    <w:rsid w:val="5DEE0629"/>
    <w:rsid w:val="5EEF099F"/>
    <w:rsid w:val="60532F79"/>
    <w:rsid w:val="605B6A40"/>
    <w:rsid w:val="605C77E0"/>
    <w:rsid w:val="6142679E"/>
    <w:rsid w:val="61F3323A"/>
    <w:rsid w:val="628F256C"/>
    <w:rsid w:val="64035B50"/>
    <w:rsid w:val="64685413"/>
    <w:rsid w:val="64C76C8D"/>
    <w:rsid w:val="6651386A"/>
    <w:rsid w:val="6702148B"/>
    <w:rsid w:val="686209DF"/>
    <w:rsid w:val="69450BD9"/>
    <w:rsid w:val="69F60125"/>
    <w:rsid w:val="6A8C4951"/>
    <w:rsid w:val="6B943D56"/>
    <w:rsid w:val="6C464B2B"/>
    <w:rsid w:val="6C8F21E1"/>
    <w:rsid w:val="6D1A2F7C"/>
    <w:rsid w:val="6D596C2A"/>
    <w:rsid w:val="6DA762C1"/>
    <w:rsid w:val="6E001573"/>
    <w:rsid w:val="6E9B7D58"/>
    <w:rsid w:val="6EDF5F31"/>
    <w:rsid w:val="6F7944F2"/>
    <w:rsid w:val="70C20760"/>
    <w:rsid w:val="73522CE9"/>
    <w:rsid w:val="74660681"/>
    <w:rsid w:val="746F5C7A"/>
    <w:rsid w:val="76207072"/>
    <w:rsid w:val="76B15B00"/>
    <w:rsid w:val="76D27500"/>
    <w:rsid w:val="77610E25"/>
    <w:rsid w:val="778012CE"/>
    <w:rsid w:val="78831A10"/>
    <w:rsid w:val="7970507C"/>
    <w:rsid w:val="7985740C"/>
    <w:rsid w:val="79B01C1D"/>
    <w:rsid w:val="79FE2AEA"/>
    <w:rsid w:val="7A1808FC"/>
    <w:rsid w:val="7A1A569B"/>
    <w:rsid w:val="7A634F97"/>
    <w:rsid w:val="7B1A668B"/>
    <w:rsid w:val="7B210D6C"/>
    <w:rsid w:val="7BA96A51"/>
    <w:rsid w:val="7C0A6B85"/>
    <w:rsid w:val="7CDA67ED"/>
    <w:rsid w:val="7D4A49CA"/>
    <w:rsid w:val="7DE1316F"/>
    <w:rsid w:val="7DEE1A12"/>
    <w:rsid w:val="7EE60311"/>
    <w:rsid w:val="7F216ACD"/>
    <w:rsid w:val="7F7653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iPriority="99" w:semiHidden="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line="600" w:lineRule="exact"/>
      <w:ind w:firstLine="643" w:firstLineChars="200"/>
      <w:outlineLvl w:val="2"/>
    </w:pPr>
    <w:rPr>
      <w:b/>
      <w:bCs/>
      <w:sz w:val="32"/>
      <w:szCs w:val="32"/>
    </w:rPr>
  </w:style>
  <w:style w:type="paragraph" w:styleId="6">
    <w:name w:val="heading 4"/>
    <w:basedOn w:val="1"/>
    <w:next w:val="1"/>
    <w:autoRedefine/>
    <w:qFormat/>
    <w:uiPriority w:val="0"/>
    <w:pPr>
      <w:keepNext/>
      <w:keepLines/>
      <w:numPr>
        <w:ilvl w:val="2"/>
        <w:numId w:val="1"/>
      </w:numPr>
      <w:spacing w:beforeLines="50" w:afterLines="50" w:line="360" w:lineRule="auto"/>
      <w:outlineLvl w:val="3"/>
    </w:pPr>
    <w:rPr>
      <w:rFonts w:ascii="Arial" w:hAnsi="Arial"/>
      <w:sz w:val="24"/>
    </w:rPr>
  </w:style>
  <w:style w:type="paragraph" w:styleId="7">
    <w:name w:val="heading 5"/>
    <w:basedOn w:val="1"/>
    <w:next w:val="1"/>
    <w:autoRedefine/>
    <w:qFormat/>
    <w:uiPriority w:val="0"/>
    <w:pPr>
      <w:keepNext/>
      <w:keepLines/>
      <w:numPr>
        <w:ilvl w:val="4"/>
        <w:numId w:val="2"/>
      </w:numPr>
      <w:spacing w:beforeLines="50" w:afterLines="50" w:line="360" w:lineRule="auto"/>
      <w:outlineLvl w:val="4"/>
    </w:pPr>
    <w:rPr>
      <w:b/>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8">
    <w:name w:val="List Number"/>
    <w:basedOn w:val="1"/>
    <w:autoRedefine/>
    <w:qFormat/>
    <w:uiPriority w:val="0"/>
    <w:pPr>
      <w:numPr>
        <w:ilvl w:val="0"/>
        <w:numId w:val="3"/>
      </w:numPr>
    </w:pPr>
  </w:style>
  <w:style w:type="paragraph" w:styleId="9">
    <w:name w:val="Document Map"/>
    <w:basedOn w:val="1"/>
    <w:link w:val="55"/>
    <w:autoRedefine/>
    <w:qFormat/>
    <w:uiPriority w:val="0"/>
    <w:rPr>
      <w:rFonts w:ascii="宋体"/>
      <w:sz w:val="18"/>
      <w:szCs w:val="18"/>
    </w:rPr>
  </w:style>
  <w:style w:type="paragraph" w:styleId="10">
    <w:name w:val="toa heading"/>
    <w:basedOn w:val="1"/>
    <w:next w:val="1"/>
    <w:autoRedefine/>
    <w:semiHidden/>
    <w:unhideWhenUsed/>
    <w:qFormat/>
    <w:uiPriority w:val="99"/>
    <w:pPr>
      <w:spacing w:before="120" w:after="100" w:afterAutospacing="1"/>
    </w:pPr>
    <w:rPr>
      <w:rFonts w:ascii="Arial" w:hAnsi="Arial"/>
      <w:sz w:val="24"/>
    </w:rPr>
  </w:style>
  <w:style w:type="paragraph" w:styleId="11">
    <w:name w:val="annotation text"/>
    <w:basedOn w:val="1"/>
    <w:link w:val="50"/>
    <w:autoRedefine/>
    <w:qFormat/>
    <w:uiPriority w:val="0"/>
    <w:pPr>
      <w:jc w:val="left"/>
    </w:pPr>
  </w:style>
  <w:style w:type="paragraph" w:styleId="12">
    <w:name w:val="Body Text 3"/>
    <w:basedOn w:val="1"/>
    <w:autoRedefine/>
    <w:unhideWhenUsed/>
    <w:qFormat/>
    <w:uiPriority w:val="99"/>
    <w:pPr>
      <w:spacing w:after="120"/>
    </w:pPr>
    <w:rPr>
      <w:sz w:val="16"/>
      <w:szCs w:val="16"/>
    </w:rPr>
  </w:style>
  <w:style w:type="paragraph" w:styleId="13">
    <w:name w:val="Body Text"/>
    <w:basedOn w:val="1"/>
    <w:next w:val="14"/>
    <w:link w:val="51"/>
    <w:autoRedefine/>
    <w:unhideWhenUsed/>
    <w:qFormat/>
    <w:uiPriority w:val="99"/>
    <w:pPr>
      <w:spacing w:after="120"/>
    </w:pPr>
  </w:style>
  <w:style w:type="paragraph" w:styleId="14">
    <w:name w:val="Body Text First Indent"/>
    <w:basedOn w:val="13"/>
    <w:next w:val="1"/>
    <w:autoRedefine/>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5">
    <w:name w:val="Body Text Indent"/>
    <w:basedOn w:val="1"/>
    <w:next w:val="16"/>
    <w:link w:val="53"/>
    <w:autoRedefine/>
    <w:qFormat/>
    <w:uiPriority w:val="0"/>
    <w:pPr>
      <w:ind w:firstLine="830" w:firstLineChars="352"/>
    </w:pPr>
    <w:rPr>
      <w:rFonts w:ascii="仿宋_GB2312" w:eastAsia="仿宋_GB2312"/>
      <w:kern w:val="0"/>
      <w:sz w:val="32"/>
      <w:szCs w:val="20"/>
    </w:rPr>
  </w:style>
  <w:style w:type="paragraph" w:customStyle="1" w:styleId="16">
    <w:name w:val="Default"/>
    <w:next w:val="17"/>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18">
    <w:name w:val="List 2"/>
    <w:basedOn w:val="1"/>
    <w:autoRedefine/>
    <w:unhideWhenUsed/>
    <w:qFormat/>
    <w:uiPriority w:val="99"/>
    <w:pPr>
      <w:ind w:left="100" w:leftChars="200" w:hanging="200" w:hangingChars="200"/>
      <w:contextualSpacing/>
    </w:pPr>
  </w:style>
  <w:style w:type="paragraph" w:styleId="19">
    <w:name w:val="Plain Text"/>
    <w:basedOn w:val="1"/>
    <w:link w:val="56"/>
    <w:autoRedefine/>
    <w:qFormat/>
    <w:uiPriority w:val="0"/>
    <w:rPr>
      <w:rFonts w:ascii="宋体" w:hAnsi="Courier New"/>
      <w:kern w:val="0"/>
      <w:sz w:val="20"/>
      <w:szCs w:val="21"/>
    </w:rPr>
  </w:style>
  <w:style w:type="paragraph" w:styleId="20">
    <w:name w:val="Balloon Text"/>
    <w:basedOn w:val="1"/>
    <w:link w:val="45"/>
    <w:autoRedefine/>
    <w:qFormat/>
    <w:uiPriority w:val="0"/>
    <w:rPr>
      <w:sz w:val="18"/>
      <w:szCs w:val="18"/>
    </w:rPr>
  </w:style>
  <w:style w:type="paragraph" w:styleId="21">
    <w:name w:val="footer"/>
    <w:basedOn w:val="1"/>
    <w:next w:val="1"/>
    <w:autoRedefine/>
    <w:unhideWhenUsed/>
    <w:qFormat/>
    <w:uiPriority w:val="99"/>
    <w:pPr>
      <w:tabs>
        <w:tab w:val="center" w:pos="4153"/>
        <w:tab w:val="right" w:pos="8306"/>
      </w:tabs>
      <w:snapToGrid w:val="0"/>
      <w:jc w:val="left"/>
    </w:pPr>
    <w:rPr>
      <w:kern w:val="0"/>
      <w:sz w:val="18"/>
      <w:szCs w:val="18"/>
    </w:rPr>
  </w:style>
  <w:style w:type="paragraph" w:styleId="22">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uiPriority w:val="0"/>
    <w:rPr>
      <w:sz w:val="28"/>
    </w:rPr>
  </w:style>
  <w:style w:type="paragraph" w:styleId="24">
    <w:name w:val="toc 2"/>
    <w:basedOn w:val="1"/>
    <w:next w:val="1"/>
    <w:autoRedefine/>
    <w:unhideWhenUsed/>
    <w:qFormat/>
    <w:uiPriority w:val="39"/>
    <w:pPr>
      <w:tabs>
        <w:tab w:val="right" w:leader="dot" w:pos="8296"/>
      </w:tabs>
      <w:ind w:left="420" w:leftChars="200"/>
    </w:pPr>
  </w:style>
  <w:style w:type="paragraph" w:styleId="25">
    <w:name w:val="Body Text First Indent 2"/>
    <w:basedOn w:val="15"/>
    <w:next w:val="2"/>
    <w:link w:val="54"/>
    <w:autoRedefine/>
    <w:qFormat/>
    <w:uiPriority w:val="0"/>
    <w:pPr>
      <w:spacing w:line="200" w:lineRule="exact"/>
      <w:ind w:firstLine="420" w:firstLineChars="200"/>
    </w:pPr>
    <w:rPr>
      <w:rFonts w:ascii="宋体" w:hAnsi="Courier New" w:eastAsia="宋体"/>
      <w:spacing w:val="-4"/>
      <w:kern w:val="2"/>
      <w:sz w:val="18"/>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bCs/>
    </w:rPr>
  </w:style>
  <w:style w:type="character" w:styleId="33">
    <w:name w:val="HTML Definition"/>
    <w:basedOn w:val="28"/>
    <w:autoRedefine/>
    <w:qFormat/>
    <w:uiPriority w:val="0"/>
    <w:rPr>
      <w:bdr w:val="single" w:color="888888" w:sz="2" w:space="0"/>
      <w:shd w:val="clear" w:color="auto" w:fill="F2F4F9"/>
    </w:rPr>
  </w:style>
  <w:style w:type="character" w:styleId="34">
    <w:name w:val="HTML Typewriter"/>
    <w:basedOn w:val="28"/>
    <w:autoRedefine/>
    <w:qFormat/>
    <w:uiPriority w:val="0"/>
    <w:rPr>
      <w:rFonts w:hint="default"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basedOn w:val="28"/>
    <w:autoRedefine/>
    <w:unhideWhenUsed/>
    <w:qFormat/>
    <w:uiPriority w:val="99"/>
    <w:rPr>
      <w:color w:val="0000FF"/>
      <w:u w:val="non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rPr>
      <w:bdr w:val="single" w:color="D6D6D6" w:sz="6" w:space="0"/>
      <w:shd w:val="clear" w:color="auto" w:fill="F9F9F9"/>
    </w:rPr>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ascii="monospace" w:hAnsi="monospace" w:eastAsia="monospace" w:cs="monospace"/>
    </w:rPr>
  </w:style>
  <w:style w:type="paragraph" w:customStyle="1" w:styleId="42">
    <w:name w:val="font10"/>
    <w:basedOn w:val="1"/>
    <w:autoRedefine/>
    <w:qFormat/>
    <w:uiPriority w:val="0"/>
    <w:pPr>
      <w:widowControl/>
      <w:spacing w:before="100" w:beforeAutospacing="1" w:after="100" w:afterAutospacing="1"/>
      <w:jc w:val="left"/>
    </w:pPr>
    <w:rPr>
      <w:rFonts w:ascii="宋体" w:hAnsi="宋体" w:cs="宋体"/>
      <w:b/>
      <w:bCs/>
      <w:szCs w:val="21"/>
    </w:rPr>
  </w:style>
  <w:style w:type="paragraph" w:customStyle="1" w:styleId="43">
    <w:name w:val="正文2"/>
    <w:basedOn w:val="1"/>
    <w:autoRedefine/>
    <w:qFormat/>
    <w:uiPriority w:val="0"/>
    <w:pPr>
      <w:adjustRightInd w:val="0"/>
      <w:spacing w:before="156" w:line="360" w:lineRule="auto"/>
      <w:ind w:firstLine="510" w:firstLineChars="200"/>
    </w:pPr>
    <w:rPr>
      <w:sz w:val="24"/>
      <w:szCs w:val="20"/>
    </w:rPr>
  </w:style>
  <w:style w:type="paragraph" w:customStyle="1" w:styleId="44">
    <w:name w:val="正文1"/>
    <w:basedOn w:val="1"/>
    <w:autoRedefine/>
    <w:qFormat/>
    <w:uiPriority w:val="0"/>
    <w:pPr>
      <w:adjustRightInd w:val="0"/>
      <w:spacing w:line="318" w:lineRule="atLeast"/>
      <w:ind w:left="369" w:firstLine="369"/>
      <w:textAlignment w:val="baseline"/>
    </w:pPr>
    <w:rPr>
      <w:rFonts w:ascii="宋体"/>
      <w:szCs w:val="20"/>
    </w:rPr>
  </w:style>
  <w:style w:type="character" w:customStyle="1" w:styleId="45">
    <w:name w:val="批注框文本 Char"/>
    <w:basedOn w:val="28"/>
    <w:link w:val="20"/>
    <w:autoRedefine/>
    <w:qFormat/>
    <w:uiPriority w:val="0"/>
    <w:rPr>
      <w:kern w:val="2"/>
      <w:sz w:val="18"/>
      <w:szCs w:val="18"/>
    </w:rPr>
  </w:style>
  <w:style w:type="character" w:customStyle="1" w:styleId="46">
    <w:name w:val="hover1"/>
    <w:basedOn w:val="28"/>
    <w:autoRedefine/>
    <w:qFormat/>
    <w:uiPriority w:val="0"/>
  </w:style>
  <w:style w:type="character" w:customStyle="1" w:styleId="47">
    <w:name w:val="hover2"/>
    <w:basedOn w:val="28"/>
    <w:autoRedefine/>
    <w:qFormat/>
    <w:uiPriority w:val="0"/>
    <w:rPr>
      <w:color w:val="2590EB"/>
    </w:rPr>
  </w:style>
  <w:style w:type="character" w:customStyle="1" w:styleId="48">
    <w:name w:val="hover3"/>
    <w:basedOn w:val="28"/>
    <w:autoRedefine/>
    <w:qFormat/>
    <w:uiPriority w:val="0"/>
    <w:rPr>
      <w:color w:val="2590EB"/>
    </w:rPr>
  </w:style>
  <w:style w:type="character" w:customStyle="1" w:styleId="49">
    <w:name w:val="mini-outputtext1"/>
    <w:basedOn w:val="28"/>
    <w:autoRedefine/>
    <w:qFormat/>
    <w:uiPriority w:val="0"/>
  </w:style>
  <w:style w:type="character" w:customStyle="1" w:styleId="50">
    <w:name w:val="批注文字 Char"/>
    <w:link w:val="11"/>
    <w:autoRedefine/>
    <w:qFormat/>
    <w:uiPriority w:val="0"/>
    <w:rPr>
      <w:kern w:val="2"/>
      <w:sz w:val="21"/>
      <w:szCs w:val="24"/>
    </w:rPr>
  </w:style>
  <w:style w:type="character" w:customStyle="1" w:styleId="51">
    <w:name w:val="正文文本 Char"/>
    <w:link w:val="13"/>
    <w:autoRedefine/>
    <w:qFormat/>
    <w:uiPriority w:val="99"/>
    <w:rPr>
      <w:kern w:val="2"/>
      <w:sz w:val="21"/>
      <w:szCs w:val="24"/>
    </w:rPr>
  </w:style>
  <w:style w:type="paragraph" w:styleId="52">
    <w:name w:val="List Paragraph"/>
    <w:basedOn w:val="1"/>
    <w:autoRedefine/>
    <w:qFormat/>
    <w:uiPriority w:val="34"/>
    <w:pPr>
      <w:ind w:firstLine="420" w:firstLineChars="200"/>
    </w:pPr>
    <w:rPr>
      <w:rFonts w:ascii="Calibri" w:hAnsi="Calibri"/>
    </w:rPr>
  </w:style>
  <w:style w:type="character" w:customStyle="1" w:styleId="53">
    <w:name w:val="正文文本缩进 Char"/>
    <w:basedOn w:val="28"/>
    <w:link w:val="15"/>
    <w:autoRedefine/>
    <w:qFormat/>
    <w:uiPriority w:val="0"/>
    <w:rPr>
      <w:rFonts w:ascii="仿宋_GB2312" w:eastAsia="仿宋_GB2312"/>
      <w:sz w:val="32"/>
    </w:rPr>
  </w:style>
  <w:style w:type="character" w:customStyle="1" w:styleId="54">
    <w:name w:val="正文首行缩进 2 Char"/>
    <w:basedOn w:val="53"/>
    <w:link w:val="25"/>
    <w:autoRedefine/>
    <w:qFormat/>
    <w:uiPriority w:val="0"/>
    <w:rPr>
      <w:rFonts w:ascii="仿宋_GB2312" w:eastAsia="仿宋_GB2312"/>
      <w:sz w:val="32"/>
    </w:rPr>
  </w:style>
  <w:style w:type="character" w:customStyle="1" w:styleId="55">
    <w:name w:val="文档结构图 Char"/>
    <w:basedOn w:val="28"/>
    <w:link w:val="9"/>
    <w:autoRedefine/>
    <w:qFormat/>
    <w:uiPriority w:val="0"/>
    <w:rPr>
      <w:rFonts w:ascii="宋体"/>
      <w:kern w:val="2"/>
      <w:sz w:val="18"/>
      <w:szCs w:val="18"/>
    </w:rPr>
  </w:style>
  <w:style w:type="character" w:customStyle="1" w:styleId="56">
    <w:name w:val="纯文本 Char"/>
    <w:link w:val="19"/>
    <w:autoRedefine/>
    <w:qFormat/>
    <w:uiPriority w:val="0"/>
    <w:rPr>
      <w:rFonts w:ascii="宋体" w:hAnsi="Courier New"/>
      <w:szCs w:val="21"/>
    </w:rPr>
  </w:style>
  <w:style w:type="paragraph" w:customStyle="1" w:styleId="57">
    <w:name w:val="Table Paragraph"/>
    <w:basedOn w:val="1"/>
    <w:autoRedefine/>
    <w:qFormat/>
    <w:uiPriority w:val="1"/>
  </w:style>
  <w:style w:type="table" w:customStyle="1" w:styleId="58">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9">
    <w:name w:val="_正文段落"/>
    <w:basedOn w:val="19"/>
    <w:autoRedefine/>
    <w:qFormat/>
    <w:uiPriority w:val="0"/>
    <w:pPr>
      <w:spacing w:beforeLines="15" w:afterLines="30" w:line="360" w:lineRule="auto"/>
      <w:ind w:firstLine="200" w:firstLineChars="200"/>
    </w:pPr>
    <w:rPr>
      <w:sz w:val="24"/>
    </w:rPr>
  </w:style>
  <w:style w:type="paragraph" w:customStyle="1" w:styleId="60">
    <w:name w:val="04-正文"/>
    <w:basedOn w:val="1"/>
    <w:autoRedefine/>
    <w:qFormat/>
    <w:uiPriority w:val="0"/>
    <w:pPr>
      <w:spacing w:line="360" w:lineRule="exact"/>
      <w:ind w:firstLine="482"/>
    </w:pPr>
    <w:rPr>
      <w:rFonts w:eastAsia="仿宋"/>
    </w:rPr>
  </w:style>
  <w:style w:type="paragraph" w:customStyle="1" w:styleId="61">
    <w:name w:val="彩色列表1"/>
    <w:basedOn w:val="1"/>
    <w:autoRedefine/>
    <w:qFormat/>
    <w:uiPriority w:val="34"/>
    <w:pPr>
      <w:autoSpaceDE w:val="0"/>
      <w:autoSpaceDN w:val="0"/>
      <w:adjustRightInd w:val="0"/>
      <w:ind w:firstLine="420" w:firstLineChars="200"/>
      <w:jc w:val="left"/>
    </w:pPr>
    <w:rPr>
      <w:kern w:val="0"/>
      <w:sz w:val="24"/>
    </w:rPr>
  </w:style>
  <w:style w:type="character" w:customStyle="1" w:styleId="62">
    <w:name w:val="fontstyle21"/>
    <w:basedOn w:val="28"/>
    <w:autoRedefine/>
    <w:qFormat/>
    <w:uiPriority w:val="0"/>
    <w:rPr>
      <w:rFonts w:hint="default" w:ascii="仿宋" w:hAnsi="仿宋"/>
      <w:color w:val="000000"/>
      <w:sz w:val="28"/>
      <w:szCs w:val="28"/>
    </w:rPr>
  </w:style>
  <w:style w:type="paragraph" w:customStyle="1" w:styleId="63">
    <w:name w:val="Table Text"/>
    <w:basedOn w:val="1"/>
    <w:autoRedefine/>
    <w:semiHidden/>
    <w:qFormat/>
    <w:uiPriority w:val="0"/>
    <w:rPr>
      <w:rFonts w:ascii="宋体" w:hAnsi="宋体" w:eastAsia="宋体" w:cs="宋体"/>
      <w:sz w:val="20"/>
      <w:szCs w:val="20"/>
      <w:lang w:val="en-US" w:eastAsia="en-US" w:bidi="ar-SA"/>
    </w:rPr>
  </w:style>
  <w:style w:type="character" w:customStyle="1" w:styleId="64">
    <w:name w:val="font71"/>
    <w:basedOn w:val="28"/>
    <w:autoRedefine/>
    <w:qFormat/>
    <w:uiPriority w:val="0"/>
    <w:rPr>
      <w:rFonts w:hint="eastAsia" w:ascii="宋体" w:hAnsi="宋体" w:eastAsia="宋体" w:cs="宋体"/>
      <w:color w:val="000000"/>
      <w:sz w:val="28"/>
      <w:szCs w:val="28"/>
      <w:u w:val="none"/>
    </w:rPr>
  </w:style>
  <w:style w:type="character" w:customStyle="1" w:styleId="65">
    <w:name w:val="font51"/>
    <w:basedOn w:val="28"/>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BD9D3-D554-42F6-8B44-907FEBDD46F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84</Pages>
  <Words>43509</Words>
  <Characters>46784</Characters>
  <Lines>352</Lines>
  <Paragraphs>99</Paragraphs>
  <TotalTime>13</TotalTime>
  <ScaleCrop>false</ScaleCrop>
  <LinksUpToDate>false</LinksUpToDate>
  <CharactersWithSpaces>51020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2022-02-15T02:00:00Z</dcterms:created>
  <dc:creator>qzh</dc:creator>
  <cp:lastModifiedBy>Administrator</cp:lastModifiedBy>
  <cp:lastPrinted>2021-10-29T03:57:00Z</cp:lastPrinted>
  <dcterms:modified xsi:type="dcterms:W3CDTF">2024-05-22T07:48:04Z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CA81E331988442C1986E9D701945F6B1_13</vt:lpwstr>
  </property>
</Properties>
</file>