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30EA2">
      <w:pPr>
        <w:pStyle w:val="13"/>
        <w:jc w:val="center"/>
        <w:rPr>
          <w:rFonts w:hAnsi="宋体" w:cs="宋体"/>
          <w:color w:val="auto"/>
          <w:spacing w:val="30"/>
          <w:kern w:val="52"/>
          <w:sz w:val="64"/>
          <w:szCs w:val="64"/>
          <w:highlight w:val="none"/>
        </w:rPr>
      </w:pPr>
      <w:r>
        <w:rPr>
          <w:rFonts w:hint="eastAsia" w:hAnsi="宋体" w:cs="宋体"/>
          <w:color w:val="auto"/>
          <w:sz w:val="32"/>
          <w:highlight w:val="none"/>
        </w:rPr>
        <w:drawing>
          <wp:inline distT="0" distB="0" distL="0" distR="0">
            <wp:extent cx="1372870" cy="1347470"/>
            <wp:effectExtent l="0" t="0" r="0" b="5080"/>
            <wp:docPr id="1" name="图片 1" descr="003838bb567ad4db658ca6a05c2e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3838bb567ad4db658ca6a05c2e1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72870" cy="1347470"/>
                    </a:xfrm>
                    <a:prstGeom prst="rect">
                      <a:avLst/>
                    </a:prstGeom>
                    <a:noFill/>
                    <a:ln>
                      <a:noFill/>
                    </a:ln>
                  </pic:spPr>
                </pic:pic>
              </a:graphicData>
            </a:graphic>
          </wp:inline>
        </w:drawing>
      </w:r>
    </w:p>
    <w:p w14:paraId="0C3C98B3">
      <w:pPr>
        <w:jc w:val="center"/>
        <w:rPr>
          <w:rFonts w:ascii="宋体" w:hAnsi="宋体" w:cs="宋体"/>
          <w:b/>
          <w:color w:val="auto"/>
          <w:sz w:val="72"/>
          <w:szCs w:val="72"/>
          <w:highlight w:val="none"/>
        </w:rPr>
      </w:pPr>
      <w:r>
        <w:rPr>
          <w:rFonts w:hint="eastAsia" w:ascii="宋体" w:hAnsi="宋体" w:cs="宋体"/>
          <w:b/>
          <w:color w:val="auto"/>
          <w:sz w:val="72"/>
          <w:szCs w:val="72"/>
          <w:highlight w:val="none"/>
        </w:rPr>
        <w:t>广西建采项目管理有限公司</w:t>
      </w:r>
    </w:p>
    <w:p w14:paraId="57CE1695">
      <w:pPr>
        <w:snapToGrid w:val="0"/>
        <w:spacing w:before="156" w:beforeLines="50" w:line="360" w:lineRule="auto"/>
        <w:jc w:val="center"/>
        <w:rPr>
          <w:rFonts w:ascii="宋体" w:hAnsi="宋体" w:cs="宋体"/>
          <w:color w:val="auto"/>
          <w:sz w:val="44"/>
          <w:szCs w:val="44"/>
          <w:highlight w:val="none"/>
        </w:rPr>
      </w:pPr>
    </w:p>
    <w:p w14:paraId="2E9E1900">
      <w:pPr>
        <w:snapToGrid w:val="0"/>
        <w:spacing w:before="156" w:beforeLines="50" w:line="360" w:lineRule="auto"/>
        <w:jc w:val="center"/>
        <w:rPr>
          <w:rFonts w:ascii="宋体" w:hAnsi="宋体" w:cs="宋体"/>
          <w:b/>
          <w:bCs/>
          <w:color w:val="auto"/>
          <w:sz w:val="84"/>
          <w:szCs w:val="84"/>
          <w:highlight w:val="none"/>
        </w:rPr>
      </w:pPr>
      <w:r>
        <w:rPr>
          <w:rFonts w:hint="eastAsia" w:ascii="宋体" w:hAnsi="宋体" w:cs="宋体"/>
          <w:color w:val="auto"/>
          <w:sz w:val="84"/>
          <w:szCs w:val="84"/>
          <w:highlight w:val="none"/>
        </w:rPr>
        <w:t>竞争性谈判文件</w:t>
      </w:r>
    </w:p>
    <w:p w14:paraId="59473D97">
      <w:pPr>
        <w:snapToGrid w:val="0"/>
        <w:spacing w:line="360" w:lineRule="auto"/>
        <w:rPr>
          <w:rFonts w:hint="default" w:ascii="宋体" w:hAnsi="宋体" w:eastAsia="宋体" w:cs="宋体"/>
          <w:color w:val="auto"/>
          <w:sz w:val="30"/>
          <w:szCs w:val="72"/>
          <w:highlight w:val="none"/>
          <w:lang w:val="en-US" w:eastAsia="zh-CN"/>
        </w:rPr>
      </w:pPr>
      <w:r>
        <w:rPr>
          <w:rFonts w:hint="eastAsia" w:ascii="宋体" w:hAnsi="宋体" w:cs="宋体"/>
          <w:color w:val="auto"/>
          <w:sz w:val="30"/>
          <w:szCs w:val="72"/>
          <w:highlight w:val="none"/>
          <w:lang w:val="en-US" w:eastAsia="zh-CN"/>
        </w:rPr>
        <w:t xml:space="preserve">                         </w:t>
      </w:r>
    </w:p>
    <w:p w14:paraId="16744C7E">
      <w:pPr>
        <w:pStyle w:val="13"/>
        <w:snapToGrid w:val="0"/>
        <w:spacing w:line="360" w:lineRule="auto"/>
        <w:ind w:firstLine="1193" w:firstLineChars="396"/>
        <w:rPr>
          <w:rFonts w:hAnsi="宋体" w:cs="宋体"/>
          <w:b/>
          <w:bCs/>
          <w:color w:val="auto"/>
          <w:sz w:val="30"/>
          <w:szCs w:val="30"/>
          <w:highlight w:val="none"/>
        </w:rPr>
      </w:pPr>
    </w:p>
    <w:p w14:paraId="3AFF1A8B">
      <w:pPr>
        <w:pStyle w:val="13"/>
        <w:snapToGrid w:val="0"/>
        <w:spacing w:line="360" w:lineRule="auto"/>
        <w:ind w:firstLine="1807" w:firstLineChars="600"/>
        <w:rPr>
          <w:rFonts w:hAnsi="宋体" w:cs="宋体"/>
          <w:b/>
          <w:bCs/>
          <w:color w:val="auto"/>
          <w:sz w:val="30"/>
          <w:szCs w:val="30"/>
          <w:highlight w:val="none"/>
        </w:rPr>
      </w:pPr>
    </w:p>
    <w:p w14:paraId="5BC21171">
      <w:pPr>
        <w:pStyle w:val="13"/>
        <w:snapToGrid w:val="0"/>
        <w:spacing w:line="360" w:lineRule="auto"/>
        <w:ind w:firstLine="1205" w:firstLineChars="400"/>
        <w:rPr>
          <w:rFonts w:hint="eastAsia" w:hAnsi="宋体" w:eastAsia="宋体" w:cs="宋体"/>
          <w:b/>
          <w:bCs/>
          <w:color w:val="auto"/>
          <w:kern w:val="2"/>
          <w:sz w:val="30"/>
          <w:szCs w:val="30"/>
          <w:highlight w:val="none"/>
          <w:lang w:eastAsia="zh-CN"/>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bCs/>
          <w:color w:val="auto"/>
          <w:kern w:val="2"/>
          <w:sz w:val="30"/>
          <w:szCs w:val="30"/>
          <w:highlight w:val="none"/>
          <w:lang w:eastAsia="zh-CN"/>
        </w:rPr>
        <w:t>贺州市中医医院医疗设备采购</w:t>
      </w:r>
    </w:p>
    <w:p w14:paraId="628B3F53">
      <w:pPr>
        <w:pStyle w:val="13"/>
        <w:snapToGrid w:val="0"/>
        <w:spacing w:line="360" w:lineRule="auto"/>
        <w:ind w:firstLine="1205" w:firstLineChars="400"/>
        <w:rPr>
          <w:rFonts w:hAnsi="宋体" w:cs="宋体"/>
          <w:b/>
          <w:bCs/>
          <w:color w:val="auto"/>
          <w:sz w:val="30"/>
          <w:szCs w:val="30"/>
          <w:highlight w:val="none"/>
        </w:rPr>
      </w:pPr>
      <w:r>
        <w:rPr>
          <w:rFonts w:hint="eastAsia" w:hAnsi="宋体" w:cs="宋体"/>
          <w:b/>
          <w:bCs/>
          <w:color w:val="auto"/>
          <w:sz w:val="30"/>
          <w:szCs w:val="30"/>
          <w:highlight w:val="none"/>
        </w:rPr>
        <w:t>项目编号：</w:t>
      </w:r>
      <w:r>
        <w:rPr>
          <w:rFonts w:hint="eastAsia" w:hAnsi="宋体" w:cs="宋体"/>
          <w:b/>
          <w:bCs/>
          <w:color w:val="auto"/>
          <w:sz w:val="30"/>
          <w:szCs w:val="30"/>
          <w:highlight w:val="none"/>
          <w:lang w:eastAsia="zh-CN"/>
        </w:rPr>
        <w:t>HZZC2025-J1-990008-JCXM</w:t>
      </w:r>
      <w:r>
        <w:rPr>
          <w:rFonts w:hint="eastAsia" w:hAnsi="宋体" w:cs="宋体"/>
          <w:b/>
          <w:bCs/>
          <w:color w:val="auto"/>
          <w:sz w:val="30"/>
          <w:szCs w:val="30"/>
          <w:highlight w:val="none"/>
        </w:rPr>
        <w:t xml:space="preserve"> </w:t>
      </w:r>
    </w:p>
    <w:p w14:paraId="1259B496">
      <w:pPr>
        <w:pStyle w:val="13"/>
        <w:snapToGrid w:val="0"/>
        <w:spacing w:line="360" w:lineRule="auto"/>
        <w:ind w:firstLine="1125" w:firstLineChars="393"/>
        <w:rPr>
          <w:rFonts w:hAnsi="宋体" w:cs="宋体"/>
          <w:b/>
          <w:bCs/>
          <w:color w:val="auto"/>
          <w:w w:val="95"/>
          <w:sz w:val="30"/>
          <w:szCs w:val="30"/>
          <w:highlight w:val="none"/>
        </w:rPr>
      </w:pPr>
    </w:p>
    <w:p w14:paraId="586CA3C2">
      <w:pPr>
        <w:pStyle w:val="13"/>
        <w:snapToGrid w:val="0"/>
        <w:spacing w:line="360" w:lineRule="auto"/>
        <w:ind w:firstLine="1125" w:firstLineChars="393"/>
        <w:rPr>
          <w:rFonts w:hAnsi="宋体" w:cs="宋体"/>
          <w:b/>
          <w:bCs/>
          <w:color w:val="auto"/>
          <w:w w:val="95"/>
          <w:sz w:val="30"/>
          <w:szCs w:val="30"/>
          <w:highlight w:val="none"/>
        </w:rPr>
      </w:pPr>
    </w:p>
    <w:p w14:paraId="6742B9B4">
      <w:pPr>
        <w:pStyle w:val="13"/>
        <w:snapToGrid w:val="0"/>
        <w:spacing w:line="360" w:lineRule="auto"/>
        <w:ind w:firstLine="1125" w:firstLineChars="393"/>
        <w:rPr>
          <w:rFonts w:hAnsi="宋体" w:cs="宋体"/>
          <w:b/>
          <w:bCs/>
          <w:color w:val="auto"/>
          <w:w w:val="95"/>
          <w:sz w:val="30"/>
          <w:szCs w:val="30"/>
          <w:highlight w:val="none"/>
        </w:rPr>
      </w:pPr>
    </w:p>
    <w:p w14:paraId="3D003F9B">
      <w:pPr>
        <w:pStyle w:val="13"/>
        <w:snapToGrid w:val="0"/>
        <w:spacing w:line="360" w:lineRule="auto"/>
        <w:ind w:firstLine="1125" w:firstLineChars="393"/>
        <w:rPr>
          <w:rFonts w:hAnsi="宋体" w:cs="宋体"/>
          <w:b/>
          <w:bCs/>
          <w:color w:val="auto"/>
          <w:w w:val="95"/>
          <w:sz w:val="30"/>
          <w:szCs w:val="30"/>
          <w:highlight w:val="none"/>
        </w:rPr>
      </w:pPr>
    </w:p>
    <w:p w14:paraId="379781FD">
      <w:pPr>
        <w:pStyle w:val="13"/>
        <w:snapToGrid w:val="0"/>
        <w:spacing w:line="360" w:lineRule="auto"/>
        <w:ind w:firstLine="1145" w:firstLineChars="4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采 购 人：</w:t>
      </w:r>
      <w:r>
        <w:rPr>
          <w:rFonts w:hint="eastAsia" w:hAnsi="宋体" w:cs="宋体"/>
          <w:b/>
          <w:color w:val="auto"/>
          <w:sz w:val="32"/>
          <w:szCs w:val="32"/>
          <w:highlight w:val="none"/>
          <w:lang w:eastAsia="zh-CN"/>
        </w:rPr>
        <w:t>贺州市中医医院</w:t>
      </w:r>
    </w:p>
    <w:p w14:paraId="27AEEF44">
      <w:pPr>
        <w:pStyle w:val="13"/>
        <w:snapToGrid w:val="0"/>
        <w:spacing w:line="360" w:lineRule="auto"/>
        <w:ind w:firstLine="1145" w:firstLineChars="4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r>
        <w:rPr>
          <w:rFonts w:hint="eastAsia" w:hAnsi="宋体" w:cs="宋体"/>
          <w:b/>
          <w:color w:val="auto"/>
          <w:sz w:val="32"/>
          <w:szCs w:val="32"/>
          <w:highlight w:val="none"/>
        </w:rPr>
        <w:t>广西建采项目管理有限公司</w:t>
      </w:r>
    </w:p>
    <w:p w14:paraId="71D08C23">
      <w:pPr>
        <w:pStyle w:val="13"/>
        <w:snapToGrid w:val="0"/>
        <w:spacing w:line="360" w:lineRule="auto"/>
        <w:ind w:firstLine="1125" w:firstLineChars="393"/>
        <w:rPr>
          <w:rFonts w:hAnsi="宋体" w:cs="宋体"/>
          <w:b/>
          <w:bCs/>
          <w:color w:val="auto"/>
          <w:w w:val="95"/>
          <w:sz w:val="30"/>
          <w:szCs w:val="30"/>
          <w:highlight w:val="none"/>
        </w:rPr>
      </w:pPr>
    </w:p>
    <w:p w14:paraId="2BA8271B">
      <w:pPr>
        <w:pStyle w:val="13"/>
        <w:snapToGrid w:val="0"/>
        <w:spacing w:line="360" w:lineRule="auto"/>
        <w:jc w:val="center"/>
        <w:rPr>
          <w:rFonts w:hAnsi="宋体" w:cs="宋体"/>
          <w:color w:val="auto"/>
          <w:szCs w:val="20"/>
          <w:highlight w:val="none"/>
        </w:r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2</w:t>
      </w:r>
      <w:r>
        <w:rPr>
          <w:rFonts w:hint="eastAsia" w:hAnsi="宋体" w:cs="宋体"/>
          <w:b/>
          <w:bCs/>
          <w:color w:val="auto"/>
          <w:w w:val="95"/>
          <w:sz w:val="30"/>
          <w:szCs w:val="30"/>
          <w:highlight w:val="none"/>
        </w:rPr>
        <w:t>月</w:t>
      </w:r>
    </w:p>
    <w:p w14:paraId="0FED1677">
      <w:pPr>
        <w:spacing w:line="360" w:lineRule="auto"/>
        <w:jc w:val="center"/>
        <w:rPr>
          <w:rFonts w:ascii="宋体" w:hAnsi="宋体" w:cs="宋体"/>
          <w:b/>
          <w:color w:val="auto"/>
          <w:sz w:val="44"/>
          <w:szCs w:val="44"/>
          <w:highlight w:val="none"/>
        </w:rPr>
        <w:sectPr>
          <w:headerReference r:id="rId3" w:type="default"/>
          <w:footerReference r:id="rId4" w:type="default"/>
          <w:pgSz w:w="11906" w:h="16838"/>
          <w:pgMar w:top="1134" w:right="1134" w:bottom="1134" w:left="1134" w:header="851" w:footer="992" w:gutter="0"/>
          <w:pgNumType w:start="0"/>
          <w:cols w:space="720" w:num="1"/>
          <w:titlePg/>
          <w:docGrid w:type="lines" w:linePitch="312" w:charSpace="0"/>
        </w:sectPr>
      </w:pPr>
    </w:p>
    <w:p w14:paraId="16E0A36F">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3C0CF8F2">
      <w:pPr>
        <w:spacing w:line="400" w:lineRule="exact"/>
        <w:jc w:val="center"/>
        <w:rPr>
          <w:rFonts w:ascii="宋体" w:hAnsi="宋体" w:cs="宋体"/>
          <w:b/>
          <w:color w:val="auto"/>
          <w:sz w:val="44"/>
          <w:szCs w:val="44"/>
          <w:highlight w:val="none"/>
        </w:rPr>
      </w:pPr>
    </w:p>
    <w:p w14:paraId="2BAED26E">
      <w:pPr>
        <w:pStyle w:val="18"/>
        <w:keepNext w:val="0"/>
        <w:keepLines w:val="0"/>
        <w:pageBreakBefore w:val="0"/>
        <w:widowControl w:val="0"/>
        <w:tabs>
          <w:tab w:val="right" w:leader="dot" w:pos="9638"/>
        </w:tabs>
        <w:kinsoku/>
        <w:wordWrap/>
        <w:overflowPunct/>
        <w:topLinePunct w:val="0"/>
        <w:autoSpaceDE/>
        <w:autoSpaceDN/>
        <w:bidi w:val="0"/>
        <w:adjustRightInd/>
        <w:spacing w:line="72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TOC \o "1-3" \h \z \u</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_Toc15624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第一章 竞争性谈判公告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_Toc15624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C1D237E">
      <w:pPr>
        <w:pStyle w:val="18"/>
        <w:keepNext w:val="0"/>
        <w:keepLines w:val="0"/>
        <w:pageBreakBefore w:val="0"/>
        <w:widowControl w:val="0"/>
        <w:tabs>
          <w:tab w:val="right" w:leader="dot" w:pos="9638"/>
        </w:tabs>
        <w:kinsoku/>
        <w:wordWrap/>
        <w:overflowPunct/>
        <w:topLinePunct w:val="0"/>
        <w:autoSpaceDE/>
        <w:autoSpaceDN/>
        <w:bidi w:val="0"/>
        <w:adjustRightInd/>
        <w:spacing w:line="72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_Toc14539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第二章 供应商须知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_Toc14539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BA8833B">
      <w:pPr>
        <w:pStyle w:val="18"/>
        <w:keepNext w:val="0"/>
        <w:keepLines w:val="0"/>
        <w:pageBreakBefore w:val="0"/>
        <w:widowControl w:val="0"/>
        <w:tabs>
          <w:tab w:val="right" w:leader="dot" w:pos="9638"/>
        </w:tabs>
        <w:kinsoku/>
        <w:wordWrap/>
        <w:overflowPunct/>
        <w:topLinePunct w:val="0"/>
        <w:autoSpaceDE/>
        <w:autoSpaceDN/>
        <w:bidi w:val="0"/>
        <w:adjustRightInd/>
        <w:spacing w:line="72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_Toc22813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第三章 采购需求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_Toc22813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35FB506">
      <w:pPr>
        <w:pStyle w:val="18"/>
        <w:keepNext w:val="0"/>
        <w:keepLines w:val="0"/>
        <w:pageBreakBefore w:val="0"/>
        <w:widowControl w:val="0"/>
        <w:tabs>
          <w:tab w:val="right" w:leader="dot" w:pos="9638"/>
        </w:tabs>
        <w:kinsoku/>
        <w:wordWrap/>
        <w:overflowPunct/>
        <w:topLinePunct w:val="0"/>
        <w:autoSpaceDE/>
        <w:autoSpaceDN/>
        <w:bidi w:val="0"/>
        <w:adjustRightInd/>
        <w:spacing w:line="72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_Toc22279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第四章 评审程序和评定成交的标准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_Toc22279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5E61415">
      <w:pPr>
        <w:pStyle w:val="18"/>
        <w:keepNext w:val="0"/>
        <w:keepLines w:val="0"/>
        <w:pageBreakBefore w:val="0"/>
        <w:widowControl w:val="0"/>
        <w:tabs>
          <w:tab w:val="right" w:leader="dot" w:pos="9638"/>
        </w:tabs>
        <w:kinsoku/>
        <w:wordWrap/>
        <w:overflowPunct/>
        <w:topLinePunct w:val="0"/>
        <w:autoSpaceDE/>
        <w:autoSpaceDN/>
        <w:bidi w:val="0"/>
        <w:adjustRightInd/>
        <w:spacing w:line="72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_Toc13208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第五章 响应文件格式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408AF49">
      <w:pPr>
        <w:pStyle w:val="18"/>
        <w:keepNext w:val="0"/>
        <w:keepLines w:val="0"/>
        <w:pageBreakBefore w:val="0"/>
        <w:widowControl w:val="0"/>
        <w:tabs>
          <w:tab w:val="right" w:leader="dot" w:pos="9638"/>
        </w:tabs>
        <w:kinsoku/>
        <w:wordWrap/>
        <w:overflowPunct/>
        <w:topLinePunct w:val="0"/>
        <w:autoSpaceDE/>
        <w:autoSpaceDN/>
        <w:bidi w:val="0"/>
        <w:adjustRightInd/>
        <w:spacing w:line="72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第六章 合同文本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8D16A28">
      <w:pPr>
        <w:pStyle w:val="18"/>
        <w:keepNext w:val="0"/>
        <w:keepLines w:val="0"/>
        <w:pageBreakBefore w:val="0"/>
        <w:widowControl w:val="0"/>
        <w:tabs>
          <w:tab w:val="right" w:leader="dot" w:pos="9638"/>
        </w:tabs>
        <w:kinsoku/>
        <w:wordWrap/>
        <w:overflowPunct/>
        <w:topLinePunct w:val="0"/>
        <w:autoSpaceDE/>
        <w:autoSpaceDN/>
        <w:bidi w:val="0"/>
        <w:adjustRightInd/>
        <w:spacing w:line="72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_Toc29743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lang w:val="en-US" w:eastAsia="zh-CN"/>
        </w:rPr>
        <w:t>第七章“政采贷”政策告知函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_Toc29743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EBB8187">
      <w:pPr>
        <w:pStyle w:val="19"/>
        <w:keepNext w:val="0"/>
        <w:keepLines w:val="0"/>
        <w:pageBreakBefore w:val="0"/>
        <w:widowControl w:val="0"/>
        <w:tabs>
          <w:tab w:val="right" w:leader="dot" w:pos="8931"/>
          <w:tab w:val="clear" w:pos="8296"/>
        </w:tabs>
        <w:kinsoku/>
        <w:wordWrap/>
        <w:overflowPunct/>
        <w:topLinePunct w:val="0"/>
        <w:autoSpaceDE/>
        <w:autoSpaceDN/>
        <w:bidi w:val="0"/>
        <w:adjustRightInd/>
        <w:snapToGrid w:val="0"/>
        <w:spacing w:line="720" w:lineRule="auto"/>
        <w:ind w:left="0" w:leftChars="0"/>
        <w:textAlignment w:val="auto"/>
        <w:rPr>
          <w:rFonts w:ascii="宋体" w:hAnsi="宋体" w:cs="宋体"/>
          <w:b/>
          <w:color w:val="auto"/>
          <w:sz w:val="24"/>
          <w:highlight w:val="none"/>
        </w:rPr>
      </w:pPr>
      <w:r>
        <w:rPr>
          <w:rFonts w:hint="eastAsia" w:ascii="宋体" w:hAnsi="宋体" w:eastAsia="宋体" w:cs="宋体"/>
          <w:color w:val="auto"/>
          <w:sz w:val="21"/>
          <w:szCs w:val="21"/>
          <w:highlight w:val="none"/>
        </w:rPr>
        <w:fldChar w:fldCharType="end"/>
      </w:r>
    </w:p>
    <w:p w14:paraId="6F95A314">
      <w:pPr>
        <w:spacing w:line="400" w:lineRule="exact"/>
        <w:jc w:val="left"/>
        <w:rPr>
          <w:rFonts w:ascii="宋体" w:hAnsi="宋体" w:cs="宋体"/>
          <w:b/>
          <w:color w:val="auto"/>
          <w:sz w:val="32"/>
          <w:szCs w:val="32"/>
          <w:highlight w:val="none"/>
        </w:rPr>
      </w:pPr>
    </w:p>
    <w:p w14:paraId="7A3FF8DE">
      <w:pPr>
        <w:spacing w:line="400" w:lineRule="exact"/>
        <w:jc w:val="center"/>
        <w:rPr>
          <w:rFonts w:ascii="宋体" w:hAnsi="宋体" w:cs="宋体"/>
          <w:b/>
          <w:color w:val="auto"/>
          <w:sz w:val="32"/>
          <w:szCs w:val="32"/>
          <w:highlight w:val="none"/>
        </w:rPr>
      </w:pPr>
    </w:p>
    <w:p w14:paraId="7D619ECC">
      <w:pPr>
        <w:spacing w:line="400" w:lineRule="exact"/>
        <w:jc w:val="center"/>
        <w:rPr>
          <w:rFonts w:ascii="宋体" w:hAnsi="宋体" w:cs="宋体"/>
          <w:b/>
          <w:color w:val="auto"/>
          <w:sz w:val="32"/>
          <w:szCs w:val="32"/>
          <w:highlight w:val="none"/>
        </w:rPr>
      </w:pPr>
    </w:p>
    <w:p w14:paraId="1757ABA9">
      <w:pPr>
        <w:spacing w:line="400" w:lineRule="exact"/>
        <w:jc w:val="center"/>
        <w:rPr>
          <w:rFonts w:ascii="宋体" w:hAnsi="宋体" w:cs="宋体"/>
          <w:b/>
          <w:color w:val="auto"/>
          <w:sz w:val="32"/>
          <w:szCs w:val="32"/>
          <w:highlight w:val="none"/>
        </w:rPr>
      </w:pPr>
    </w:p>
    <w:p w14:paraId="6F716060">
      <w:pPr>
        <w:spacing w:line="400" w:lineRule="exact"/>
        <w:jc w:val="center"/>
        <w:rPr>
          <w:rFonts w:ascii="宋体" w:hAnsi="宋体" w:cs="宋体"/>
          <w:b/>
          <w:color w:val="auto"/>
          <w:sz w:val="32"/>
          <w:szCs w:val="32"/>
          <w:highlight w:val="none"/>
        </w:rPr>
      </w:pPr>
    </w:p>
    <w:p w14:paraId="203B0306">
      <w:pPr>
        <w:spacing w:line="400" w:lineRule="exact"/>
        <w:rPr>
          <w:rFonts w:ascii="宋体" w:hAnsi="宋体" w:cs="宋体"/>
          <w:b/>
          <w:color w:val="auto"/>
          <w:sz w:val="32"/>
          <w:szCs w:val="32"/>
          <w:highlight w:val="none"/>
        </w:rPr>
        <w:sectPr>
          <w:footerReference r:id="rId6" w:type="first"/>
          <w:footerReference r:id="rId5" w:type="default"/>
          <w:pgSz w:w="11906" w:h="16838"/>
          <w:pgMar w:top="1134" w:right="1134" w:bottom="1134" w:left="1134" w:header="851" w:footer="992" w:gutter="0"/>
          <w:pgNumType w:start="0"/>
          <w:cols w:space="720" w:num="1"/>
          <w:titlePg/>
          <w:docGrid w:type="lines" w:linePitch="312" w:charSpace="0"/>
        </w:sectPr>
      </w:pPr>
    </w:p>
    <w:p w14:paraId="408FC9A9">
      <w:pPr>
        <w:pStyle w:val="2"/>
        <w:spacing w:before="0" w:after="0" w:line="360" w:lineRule="auto"/>
        <w:jc w:val="center"/>
        <w:rPr>
          <w:rFonts w:ascii="宋体" w:hAnsi="宋体" w:cs="宋体"/>
          <w:b w:val="0"/>
          <w:bCs w:val="0"/>
          <w:color w:val="auto"/>
          <w:sz w:val="32"/>
          <w:szCs w:val="32"/>
          <w:highlight w:val="none"/>
        </w:rPr>
      </w:pPr>
      <w:bookmarkStart w:id="0" w:name="_Toc15624"/>
      <w:r>
        <w:rPr>
          <w:rFonts w:hint="eastAsia" w:ascii="宋体" w:hAnsi="宋体" w:cs="宋体"/>
          <w:color w:val="auto"/>
          <w:highlight w:val="none"/>
        </w:rPr>
        <w:t>第一章 竞争性谈判公告</w:t>
      </w:r>
      <w:bookmarkEnd w:id="0"/>
    </w:p>
    <w:p w14:paraId="266BD5F5">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宋体" w:cs="宋体"/>
          <w:b/>
          <w:color w:val="auto"/>
          <w:sz w:val="32"/>
          <w:szCs w:val="32"/>
          <w:highlight w:val="none"/>
        </w:rPr>
      </w:pPr>
      <w:r>
        <w:rPr>
          <w:rFonts w:hint="eastAsia" w:hAnsi="宋体" w:cs="宋体"/>
          <w:b/>
          <w:color w:val="auto"/>
          <w:sz w:val="32"/>
          <w:szCs w:val="32"/>
          <w:highlight w:val="none"/>
        </w:rPr>
        <w:t>广西建采项目管理有限公司</w:t>
      </w:r>
    </w:p>
    <w:p w14:paraId="72D658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32"/>
          <w:szCs w:val="32"/>
          <w:highlight w:val="none"/>
        </w:rPr>
      </w:pPr>
      <w:r>
        <w:rPr>
          <w:rFonts w:hint="eastAsia" w:ascii="宋体" w:hAnsi="宋体" w:cs="宋体"/>
          <w:b/>
          <w:color w:val="auto"/>
          <w:sz w:val="32"/>
          <w:szCs w:val="32"/>
          <w:highlight w:val="none"/>
        </w:rPr>
        <w:t>关于</w:t>
      </w:r>
      <w:r>
        <w:rPr>
          <w:rFonts w:hint="eastAsia" w:ascii="宋体" w:hAnsi="宋体" w:cs="宋体"/>
          <w:b/>
          <w:color w:val="auto"/>
          <w:sz w:val="32"/>
          <w:szCs w:val="32"/>
          <w:highlight w:val="none"/>
          <w:lang w:eastAsia="zh-CN"/>
        </w:rPr>
        <w:t>贺州市中医医院医疗设备采购</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eastAsia="zh-CN"/>
        </w:rPr>
        <w:t>HZZC2025-J1-990008-JCXM</w:t>
      </w:r>
      <w:r>
        <w:rPr>
          <w:rFonts w:hint="eastAsia" w:ascii="宋体" w:hAnsi="宋体" w:cs="宋体"/>
          <w:b/>
          <w:color w:val="auto"/>
          <w:sz w:val="32"/>
          <w:szCs w:val="32"/>
          <w:highlight w:val="none"/>
        </w:rPr>
        <w:t>）</w:t>
      </w:r>
      <w:r>
        <w:rPr>
          <w:rFonts w:hint="eastAsia" w:ascii="宋体" w:hAnsi="宋体" w:cs="宋体"/>
          <w:b/>
          <w:color w:val="auto"/>
          <w:kern w:val="0"/>
          <w:sz w:val="32"/>
          <w:szCs w:val="32"/>
          <w:highlight w:val="none"/>
        </w:rPr>
        <w:t>竞争性谈判公告（远程异地评标）</w:t>
      </w:r>
    </w:p>
    <w:p w14:paraId="30677BB9">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bookmarkStart w:id="1" w:name="_Hlk37430271"/>
      <w:r>
        <w:rPr>
          <w:rFonts w:hint="eastAsia" w:ascii="宋体" w:hAnsi="宋体" w:cs="宋体"/>
          <w:color w:val="auto"/>
          <w:szCs w:val="21"/>
          <w:highlight w:val="none"/>
        </w:rPr>
        <w:t>项目概况</w:t>
      </w:r>
    </w:p>
    <w:p w14:paraId="64FBC94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eastAsia="zh-CN"/>
        </w:rPr>
        <w:t>贺州市中医医院医疗设备采购</w:t>
      </w:r>
      <w:r>
        <w:rPr>
          <w:rFonts w:hint="eastAsia" w:ascii="宋体" w:hAnsi="宋体" w:cs="宋体"/>
          <w:color w:val="auto"/>
          <w:szCs w:val="21"/>
          <w:highlight w:val="none"/>
        </w:rPr>
        <w:t>采购项目的潜在供应商应在广西政府采购云平台（https://login.gcy.zfcg.gxzf.gov.cn/）获取（下载）竞争性谈判文件，并于</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时00分（北京时间）前提交响应文件。</w:t>
      </w:r>
    </w:p>
    <w:p w14:paraId="217A546D">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bookmarkStart w:id="2" w:name="_Toc71366047"/>
      <w:bookmarkStart w:id="3" w:name="_Toc28359095"/>
      <w:bookmarkStart w:id="4" w:name="_Toc35393805"/>
      <w:bookmarkStart w:id="5" w:name="_Toc71365369"/>
      <w:bookmarkStart w:id="6" w:name="_Toc28359018"/>
      <w:bookmarkStart w:id="7" w:name="_Toc35393636"/>
      <w:r>
        <w:rPr>
          <w:rFonts w:hint="eastAsia" w:ascii="宋体" w:hAnsi="宋体" w:cs="宋体"/>
          <w:b/>
          <w:bCs/>
          <w:color w:val="auto"/>
          <w:szCs w:val="21"/>
          <w:highlight w:val="none"/>
        </w:rPr>
        <w:t>一、项目基本情况</w:t>
      </w:r>
    </w:p>
    <w:p w14:paraId="2100B16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HZZC2025-J1-990008-JCXM</w:t>
      </w:r>
    </w:p>
    <w:p w14:paraId="02F24AA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贺州市中医医院医疗设备采购</w:t>
      </w:r>
    </w:p>
    <w:p w14:paraId="771F741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采购方式：竞争性谈判</w:t>
      </w:r>
    </w:p>
    <w:p w14:paraId="5E78856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Cs w:val="21"/>
          <w:highlight w:val="none"/>
          <w:lang w:val="en-US" w:eastAsia="zh-CN"/>
        </w:rPr>
      </w:pPr>
      <w:r>
        <w:rPr>
          <w:rFonts w:hint="eastAsia" w:ascii="宋体" w:hAnsi="宋体" w:cs="宋体"/>
          <w:color w:val="auto"/>
          <w:szCs w:val="21"/>
          <w:highlight w:val="none"/>
        </w:rPr>
        <w:t>预算金额：人民币</w:t>
      </w:r>
      <w:r>
        <w:rPr>
          <w:rFonts w:hint="eastAsia" w:ascii="宋体" w:hAnsi="宋体" w:cs="宋体"/>
          <w:color w:val="auto"/>
          <w:szCs w:val="21"/>
          <w:highlight w:val="none"/>
          <w:lang w:val="en-US" w:eastAsia="zh-CN"/>
        </w:rPr>
        <w:t>贰佰陆拾捌万伍仟元整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2685000.00</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其中0</w:t>
      </w:r>
      <w:r>
        <w:rPr>
          <w:rFonts w:hint="eastAsia" w:ascii="宋体" w:hAnsi="宋体" w:eastAsia="宋体" w:cs="宋体"/>
          <w:color w:val="auto"/>
          <w:sz w:val="21"/>
          <w:szCs w:val="21"/>
          <w:highlight w:val="none"/>
        </w:rPr>
        <w:t>1分标</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壹佰柒拾陆万元整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1760000.00</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02分标人</w:t>
      </w:r>
      <w:r>
        <w:rPr>
          <w:rFonts w:hint="eastAsia" w:ascii="宋体" w:hAnsi="宋体" w:cs="宋体"/>
          <w:color w:val="auto"/>
          <w:szCs w:val="21"/>
          <w:highlight w:val="none"/>
        </w:rPr>
        <w:t>民币</w:t>
      </w:r>
      <w:r>
        <w:rPr>
          <w:rFonts w:hint="eastAsia" w:ascii="宋体" w:hAnsi="宋体" w:cs="宋体"/>
          <w:color w:val="auto"/>
          <w:szCs w:val="21"/>
          <w:highlight w:val="none"/>
          <w:lang w:val="en-US" w:eastAsia="zh-CN"/>
        </w:rPr>
        <w:t>玖拾贰万伍仟元整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925000.00</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14:paraId="7D7F1A4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最高限价：人民币贰佰陆拾捌万伍仟元整（¥2685000.00）；其中01分标人民币壹佰柒拾陆万元整（¥1760000.00）、02分标人民币玖拾贰万伍仟元整（¥925000.00）。</w:t>
      </w:r>
    </w:p>
    <w:p w14:paraId="304A941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采购需求：</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1分标：彩色超声多普勒诊断系统1套</w:t>
      </w:r>
      <w:r>
        <w:rPr>
          <w:rFonts w:hint="eastAsia" w:ascii="宋体" w:hAnsi="宋体" w:cs="宋体"/>
          <w:color w:val="auto"/>
          <w:szCs w:val="21"/>
          <w:highlight w:val="none"/>
          <w:lang w:eastAsia="zh-CN"/>
        </w:rPr>
        <w:t>；具体详见第三章 《采购需求》、</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2分标：心血管疾病防治基层心电监测诊断中心系统及配套设备1项；具体详见第三章 《采购需求》。</w:t>
      </w:r>
    </w:p>
    <w:p w14:paraId="5934338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合同履行期限：</w:t>
      </w:r>
      <w:r>
        <w:rPr>
          <w:rFonts w:hint="eastAsia" w:ascii="宋体" w:hAnsi="宋体" w:eastAsia="宋体" w:cs="宋体"/>
          <w:color w:val="auto"/>
          <w:sz w:val="21"/>
          <w:szCs w:val="21"/>
          <w:highlight w:val="none"/>
        </w:rPr>
        <w:t>交付时间：签订合同后30</w:t>
      </w:r>
      <w:r>
        <w:rPr>
          <w:rFonts w:hint="eastAsia" w:ascii="宋体" w:hAnsi="宋体" w:cs="宋体"/>
          <w:color w:val="auto"/>
          <w:sz w:val="21"/>
          <w:szCs w:val="21"/>
          <w:highlight w:val="none"/>
          <w:lang w:val="en-US" w:eastAsia="zh-CN"/>
        </w:rPr>
        <w:t>个工作日</w:t>
      </w:r>
      <w:r>
        <w:rPr>
          <w:rFonts w:hint="eastAsia" w:ascii="宋体" w:hAnsi="宋体" w:eastAsia="宋体" w:cs="宋体"/>
          <w:color w:val="auto"/>
          <w:sz w:val="21"/>
          <w:szCs w:val="21"/>
          <w:highlight w:val="none"/>
        </w:rPr>
        <w:t>内，贺州市中医医院使用现场交货。</w:t>
      </w:r>
    </w:p>
    <w:p w14:paraId="7DBE1E0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本项目（是/否）接受联合体：否。</w:t>
      </w:r>
    </w:p>
    <w:p w14:paraId="4F86AD4F">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二、申请人的资格条件：</w:t>
      </w:r>
    </w:p>
    <w:p w14:paraId="257A061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51377E7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val="en-US" w:eastAsia="zh-CN"/>
        </w:rPr>
        <w:t>01分标</w:t>
      </w:r>
      <w:r>
        <w:rPr>
          <w:rFonts w:hint="eastAsia" w:ascii="宋体" w:hAnsi="宋体" w:cs="宋体"/>
          <w:color w:val="auto"/>
          <w:szCs w:val="21"/>
          <w:highlight w:val="none"/>
        </w:rPr>
        <w:t>：本</w:t>
      </w:r>
      <w:r>
        <w:rPr>
          <w:rFonts w:hint="eastAsia" w:ascii="宋体" w:hAnsi="宋体" w:cs="宋体"/>
          <w:color w:val="auto"/>
          <w:szCs w:val="21"/>
          <w:highlight w:val="none"/>
          <w:lang w:val="en-US" w:eastAsia="zh-CN"/>
        </w:rPr>
        <w:t>分标</w:t>
      </w:r>
      <w:r>
        <w:rPr>
          <w:rFonts w:hint="eastAsia" w:ascii="宋体" w:hAnsi="宋体" w:cs="宋体"/>
          <w:color w:val="auto"/>
          <w:szCs w:val="21"/>
          <w:highlight w:val="none"/>
        </w:rPr>
        <w:t>属于专门面向中小企业采购的项目，供应商应为中小企业、监狱企业、残疾人福利性单位；</w:t>
      </w:r>
      <w:r>
        <w:rPr>
          <w:rFonts w:hint="eastAsia" w:ascii="宋体" w:hAnsi="宋体" w:cs="宋体"/>
          <w:color w:val="auto"/>
          <w:szCs w:val="21"/>
          <w:highlight w:val="none"/>
          <w:lang w:val="en-US" w:eastAsia="zh-CN"/>
        </w:rPr>
        <w:t>02分标：</w:t>
      </w:r>
      <w:r>
        <w:rPr>
          <w:rFonts w:hint="eastAsia" w:ascii="宋体" w:hAnsi="宋体" w:cs="宋体"/>
          <w:color w:val="auto"/>
          <w:szCs w:val="21"/>
          <w:highlight w:val="none"/>
        </w:rPr>
        <w:t>本</w:t>
      </w:r>
      <w:r>
        <w:rPr>
          <w:rFonts w:hint="eastAsia" w:ascii="宋体" w:hAnsi="宋体" w:cs="宋体"/>
          <w:color w:val="auto"/>
          <w:szCs w:val="21"/>
          <w:highlight w:val="none"/>
          <w:lang w:val="en-US" w:eastAsia="zh-CN"/>
        </w:rPr>
        <w:t>分标不</w:t>
      </w:r>
      <w:r>
        <w:rPr>
          <w:rFonts w:hint="eastAsia" w:ascii="宋体" w:hAnsi="宋体" w:cs="宋体"/>
          <w:color w:val="auto"/>
          <w:szCs w:val="21"/>
          <w:highlight w:val="none"/>
        </w:rPr>
        <w:t>属于专门面向中小企业采购的项目</w:t>
      </w:r>
      <w:r>
        <w:rPr>
          <w:rFonts w:hint="eastAsia" w:ascii="宋体" w:hAnsi="宋体" w:cs="宋体"/>
          <w:color w:val="auto"/>
          <w:szCs w:val="21"/>
          <w:highlight w:val="none"/>
          <w:lang w:eastAsia="zh-CN"/>
        </w:rPr>
        <w:t>。</w:t>
      </w:r>
    </w:p>
    <w:p w14:paraId="64C023A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本项目的特定资格要求：01分标：具有国家主管部门颁发的有效的医疗器械生产许可证，或按《医疗器械监督管理条例》医疗器械分类管理要求具有有效的医疗器械经营备案凭证或者经营许可证的供应商；02分标：具有国家主管部门颁发的有效的医疗器械生产许可证，或按《医疗器械监督管理条例》医疗器械分类管理要求具有有效的医疗器械经营备案凭证或者经营许可证的供应商。</w:t>
      </w:r>
    </w:p>
    <w:p w14:paraId="0D304F04">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三、获取竞争性谈判文件</w:t>
      </w:r>
    </w:p>
    <w:p w14:paraId="7B60A31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日至</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日，每天上午00:00-12:00；下午12:00-23:59（北京时间，法定节假日除外）。</w:t>
      </w:r>
    </w:p>
    <w:p w14:paraId="1982387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地点：广西政府采购云平台（https://login.gcy.zfcg.gxzf.gov.cn/）</w:t>
      </w:r>
    </w:p>
    <w:p w14:paraId="0DE2993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发放纸质文件，供应商应自行在广西政府采购云平台（https://login.gcy.zfcg.gxzf.gov.cn/）下载竞争性谈判文件（操作路径：登录广西政府采购云平台-项目采购-获取采购文件-找到本项目-点击“申请获取采购文件”），电子响应文件制作需要基于广西政府采购云平台获取的竞争性谈判文件编制。</w:t>
      </w:r>
    </w:p>
    <w:p w14:paraId="0F80581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bCs/>
          <w:color w:val="auto"/>
          <w:kern w:val="0"/>
          <w:szCs w:val="21"/>
          <w:highlight w:val="none"/>
        </w:rPr>
        <w:t>售价：0元。</w:t>
      </w:r>
    </w:p>
    <w:p w14:paraId="3B1BB719">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bCs/>
          <w:color w:val="auto"/>
          <w:szCs w:val="21"/>
          <w:highlight w:val="none"/>
        </w:rPr>
        <w:t>四、响应文件提交</w:t>
      </w:r>
    </w:p>
    <w:p w14:paraId="64F9364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时00分（北京时间）</w:t>
      </w:r>
    </w:p>
    <w:p w14:paraId="0A8FEFF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2、地点：</w:t>
      </w:r>
      <w:r>
        <w:rPr>
          <w:rFonts w:hint="eastAsia" w:ascii="宋体" w:hAnsi="宋体" w:cs="宋体"/>
          <w:color w:val="auto"/>
          <w:szCs w:val="21"/>
          <w:highlight w:val="none"/>
          <w:lang w:eastAsia="zh-CN"/>
        </w:rPr>
        <w:t>通过广西政府采购云平台（https://www.gcy.zfcg.gxzf.gov.cn/）在线投标。</w:t>
      </w:r>
    </w:p>
    <w:p w14:paraId="667FB43A">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bCs/>
          <w:color w:val="auto"/>
          <w:szCs w:val="21"/>
          <w:highlight w:val="none"/>
        </w:rPr>
        <w:t>五、开启</w:t>
      </w:r>
    </w:p>
    <w:p w14:paraId="42319D5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1、首次响应文件开启时间：</w:t>
      </w:r>
      <w:r>
        <w:rPr>
          <w:rFonts w:hint="eastAsia" w:ascii="宋体" w:hAnsi="宋体" w:cs="宋体"/>
          <w:bCs/>
          <w:color w:val="auto"/>
          <w:kern w:val="0"/>
          <w:szCs w:val="21"/>
          <w:highlight w:val="none"/>
          <w:lang w:eastAsia="zh-CN"/>
        </w:rPr>
        <w:t>2025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14</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时00分（北京时间）</w:t>
      </w:r>
    </w:p>
    <w:p w14:paraId="56643A5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2、地点：</w:t>
      </w:r>
      <w:r>
        <w:rPr>
          <w:rFonts w:hint="eastAsia" w:ascii="宋体" w:hAnsi="宋体" w:cs="宋体"/>
          <w:color w:val="auto"/>
          <w:szCs w:val="21"/>
          <w:highlight w:val="none"/>
          <w:lang w:val="en-US" w:eastAsia="zh-CN"/>
        </w:rPr>
        <w:t>广西壮族自治区贺州市八步区贺州市平安东路绿洲家园B区B-2栋5号商铺3F广西建采项目管理有限公司-开标室</w:t>
      </w:r>
    </w:p>
    <w:p w14:paraId="325A51CB">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bCs/>
          <w:color w:val="auto"/>
          <w:szCs w:val="21"/>
          <w:highlight w:val="none"/>
        </w:rPr>
        <w:t>六、公告期限</w:t>
      </w:r>
    </w:p>
    <w:p w14:paraId="354843C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473610C5">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bCs/>
          <w:color w:val="auto"/>
          <w:szCs w:val="21"/>
          <w:highlight w:val="none"/>
        </w:rPr>
        <w:t>七、其他补充事宜</w:t>
      </w:r>
    </w:p>
    <w:p w14:paraId="16D0892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1、谈判保证金（人民币）：01分标人民币</w:t>
      </w:r>
      <w:r>
        <w:rPr>
          <w:rFonts w:hint="eastAsia" w:ascii="宋体" w:hAnsi="宋体" w:cs="宋体"/>
          <w:color w:val="auto"/>
          <w:szCs w:val="21"/>
          <w:highlight w:val="none"/>
          <w:lang w:val="en-US" w:eastAsia="zh-CN"/>
        </w:rPr>
        <w:t>壹万柒仟陆佰元整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17600.00</w:t>
      </w:r>
      <w:r>
        <w:rPr>
          <w:rFonts w:hint="eastAsia" w:ascii="宋体" w:hAnsi="宋体" w:cs="宋体"/>
          <w:color w:val="auto"/>
          <w:szCs w:val="21"/>
          <w:highlight w:val="none"/>
        </w:rPr>
        <w:t>）；02分标人民币</w:t>
      </w:r>
      <w:r>
        <w:rPr>
          <w:rFonts w:hint="eastAsia" w:ascii="宋体" w:hAnsi="宋体" w:cs="宋体"/>
          <w:color w:val="auto"/>
          <w:szCs w:val="21"/>
          <w:highlight w:val="none"/>
          <w:lang w:val="en-US" w:eastAsia="zh-CN"/>
        </w:rPr>
        <w:t>玖仟贰佰元整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9200.00</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14:paraId="352621D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谈判保证金的交纳方式：银行转账、支票、汇票、本票或者金融、担保机构出具的保函，禁止采用现钞方式。采用银行转账方式的，在响应文件提交截止时间前交至以下账户且到账；并注明项目名称或项目编号及所竞分标。</w:t>
      </w:r>
    </w:p>
    <w:p w14:paraId="51D66EC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开户名：广西建采项目管理有限公司</w:t>
      </w:r>
    </w:p>
    <w:p w14:paraId="76E59D5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账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号：45050164740200001325</w:t>
      </w:r>
    </w:p>
    <w:p w14:paraId="44674B5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开户行：中国建设银行贺州城东支行</w:t>
      </w:r>
    </w:p>
    <w:p w14:paraId="0C5ACFF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注：若成交供应商以电子保函形式提交投标保证金的，推广使用在“广西政府采购金融服务平台”通过在线方式完成保函申请、递交等全流程电子化操作。</w:t>
      </w:r>
    </w:p>
    <w:p w14:paraId="3049556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、网上查询地址：</w:t>
      </w:r>
      <w:r>
        <w:rPr>
          <w:rFonts w:hint="eastAsia" w:ascii="宋体" w:hAnsi="宋体" w:eastAsia="宋体" w:cs="宋体"/>
          <w:color w:val="auto"/>
          <w:kern w:val="0"/>
          <w:sz w:val="21"/>
          <w:szCs w:val="21"/>
          <w:highlight w:val="none"/>
        </w:rPr>
        <w:t>中国政府采购网（www.ccgp.gov.cn）、广西政府采购网（zfcg.gxzf.gov.cn）</w:t>
      </w:r>
      <w:r>
        <w:rPr>
          <w:rFonts w:hint="eastAsia" w:ascii="宋体" w:hAnsi="宋体" w:cs="宋体"/>
          <w:color w:val="auto"/>
          <w:kern w:val="0"/>
          <w:sz w:val="21"/>
          <w:szCs w:val="21"/>
          <w:highlight w:val="none"/>
          <w:lang w:eastAsia="zh-CN"/>
        </w:rPr>
        <w:t>、贺州市中医医院官网(www.gxhzzyyy.com)</w:t>
      </w:r>
      <w:r>
        <w:rPr>
          <w:rFonts w:hint="eastAsia" w:ascii="宋体" w:hAnsi="宋体" w:cs="宋体"/>
          <w:color w:val="auto"/>
          <w:szCs w:val="21"/>
          <w:highlight w:val="none"/>
        </w:rPr>
        <w:t>。</w:t>
      </w:r>
    </w:p>
    <w:p w14:paraId="5A2CDDA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、本项目需要落实的政府采购政策：政府采购促进中小企业发展</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政府采购支持采用本国产品的政策</w:t>
      </w:r>
      <w:r>
        <w:rPr>
          <w:rFonts w:hint="eastAsia" w:ascii="宋体" w:hAnsi="宋体" w:cs="宋体"/>
          <w:color w:val="auto"/>
          <w:szCs w:val="21"/>
          <w:highlight w:val="none"/>
          <w:lang w:eastAsia="zh-CN"/>
        </w:rPr>
        <w:t>；</w:t>
      </w:r>
      <w:r>
        <w:rPr>
          <w:rFonts w:hint="eastAsia" w:ascii="宋体" w:hAnsi="宋体" w:cs="宋体"/>
          <w:color w:val="auto"/>
          <w:szCs w:val="21"/>
          <w:highlight w:val="none"/>
        </w:rPr>
        <w:t>强制采购节能产品；优先采购节能产品、环境标志产品</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政府采购促进残疾人就业政策</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政府采购支持监狱企业发展</w:t>
      </w:r>
      <w:r>
        <w:rPr>
          <w:rFonts w:hint="eastAsia" w:ascii="宋体" w:hAnsi="宋体" w:cs="宋体"/>
          <w:color w:val="auto"/>
          <w:szCs w:val="21"/>
          <w:highlight w:val="none"/>
          <w:lang w:eastAsia="zh-CN"/>
        </w:rPr>
        <w:t>；</w:t>
      </w:r>
      <w:r>
        <w:rPr>
          <w:rFonts w:hint="eastAsia" w:ascii="宋体" w:hAnsi="宋体" w:cs="宋体"/>
          <w:color w:val="auto"/>
          <w:szCs w:val="21"/>
          <w:highlight w:val="none"/>
        </w:rPr>
        <w:t>扶持不发达地区和少数民族地区政策</w:t>
      </w:r>
      <w:r>
        <w:rPr>
          <w:rFonts w:hint="eastAsia" w:ascii="宋体" w:hAnsi="宋体" w:cs="宋体"/>
          <w:color w:val="auto"/>
          <w:szCs w:val="21"/>
          <w:highlight w:val="none"/>
          <w:lang w:eastAsia="zh-CN"/>
        </w:rPr>
        <w:t>。</w:t>
      </w:r>
    </w:p>
    <w:p w14:paraId="67477A2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、谈判注意事项：  </w:t>
      </w:r>
      <w:r>
        <w:rPr>
          <w:rFonts w:hint="eastAsia" w:ascii="宋体" w:hAnsi="宋体" w:cs="宋体"/>
          <w:color w:val="auto"/>
          <w:szCs w:val="21"/>
          <w:highlight w:val="none"/>
          <w:lang w:val="en-US" w:eastAsia="zh-CN"/>
        </w:rPr>
        <w:t xml:space="preserve">    </w:t>
      </w:r>
    </w:p>
    <w:p w14:paraId="48C13CD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本项目实行电子投标，供应商应按照本项目招标文件和广西政府采购云平台的要求编制、加密并提交投标文件。供应商在使用系统参与投标过程中遇到涉及平台使用的任何问题，可致电广西政府采购云平台技术支持热线咨询，联系方式：95763。</w:t>
      </w:r>
    </w:p>
    <w:p w14:paraId="5DB2170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（2）供应商应及时熟悉掌握电子标系统操作指南（见政采云电子卖场首页右上角—服务中心—帮助文档—项目采购）：https://helpcenter.zcygov.cn/document/#/document/dashboard?siteCode=gx。</w:t>
      </w:r>
    </w:p>
    <w:p w14:paraId="227A155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（3）供应商应及时完成CA申领和绑定（见广西壮族自治区政府采购网—办事服务—下载专区-政采云CA证书办理操作指南）。</w:t>
      </w:r>
    </w:p>
    <w:p w14:paraId="11CC87E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供应商通过政采云投标客户端软件制作投标文件，政采云投标客户端软件请供应商自行前往下载并安装（见广西壮族自治区政府采购网—办事服务—下载专区-广西壮族自治区全流程电子招投标项目管理系统--供应商客户端）。</w:t>
      </w:r>
    </w:p>
    <w:p w14:paraId="7145B4D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（5）因未注册入库、未办理CA数字证书、CA证书故障、操作不当等原因造成无法投标或投标失败等后果由供应商自行承担。</w:t>
      </w:r>
    </w:p>
    <w:p w14:paraId="31F2FA1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投标文件网上提交截止后，广西政府采购云平台（电子标系统）自动提取所有投标文件，各供应商须在开标开始后30分钟内对上传政采云的投标文件进行解密，所有供应商在规定的解密时限内解密完成或解密时限结束后，采购代理机构开启投标文件；供应商超过解密时限未完成解密的，系统默认其自动放弃。</w:t>
      </w:r>
    </w:p>
    <w:p w14:paraId="4D3060B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、监管部门：</w:t>
      </w:r>
      <w:r>
        <w:rPr>
          <w:rFonts w:hint="eastAsia" w:ascii="宋体" w:hAnsi="宋体" w:cs="宋体"/>
          <w:color w:val="auto"/>
          <w:szCs w:val="21"/>
          <w:highlight w:val="none"/>
          <w:lang w:eastAsia="zh-CN"/>
        </w:rPr>
        <w:t>贺州市财政局政府采购监督管理科</w:t>
      </w:r>
      <w:r>
        <w:rPr>
          <w:rFonts w:hint="eastAsia" w:ascii="宋体" w:hAnsi="宋体" w:cs="宋体"/>
          <w:color w:val="auto"/>
          <w:szCs w:val="21"/>
          <w:highlight w:val="none"/>
        </w:rPr>
        <w:t xml:space="preserve">  电话：0774-5135553</w:t>
      </w:r>
      <w:r>
        <w:rPr>
          <w:rFonts w:hint="eastAsia" w:ascii="宋体" w:hAnsi="宋体" w:cs="宋体"/>
          <w:color w:val="auto"/>
          <w:szCs w:val="21"/>
          <w:highlight w:val="none"/>
          <w:lang w:eastAsia="zh-CN"/>
        </w:rPr>
        <w:t>。</w:t>
      </w:r>
    </w:p>
    <w:p w14:paraId="46404CCC">
      <w:pPr>
        <w:pStyle w:val="18"/>
        <w:keepNext w:val="0"/>
        <w:keepLines w:val="0"/>
        <w:pageBreakBefore w:val="0"/>
        <w:widowControl w:val="0"/>
        <w:tabs>
          <w:tab w:val="right" w:leader="dot" w:pos="8398"/>
        </w:tabs>
        <w:kinsoku/>
        <w:wordWrap/>
        <w:overflowPunct/>
        <w:topLinePunct w:val="0"/>
        <w:autoSpaceDE/>
        <w:autoSpaceDN/>
        <w:bidi w:val="0"/>
        <w:adjustRightInd/>
        <w:snapToGrid/>
        <w:spacing w:before="0" w:after="0" w:line="360" w:lineRule="auto"/>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本项目采用远程异地评标，评审主会场地址：广西建采项目管理有限公司开标室（广西壮族自治区贺州市八步区贺州市平安东路绿洲家园B区B-2栋5号商铺3F）；评审副会场地址：青秀区南宁市青秀区竹溪大道36号青湖中心27楼2702号。</w:t>
      </w:r>
    </w:p>
    <w:p w14:paraId="40D93130">
      <w:pPr>
        <w:pStyle w:val="18"/>
        <w:keepNext w:val="0"/>
        <w:keepLines w:val="0"/>
        <w:pageBreakBefore w:val="0"/>
        <w:widowControl w:val="0"/>
        <w:tabs>
          <w:tab w:val="right" w:leader="dot" w:pos="8398"/>
        </w:tabs>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eastAsia="宋体" w:cs="宋体"/>
          <w:b w:val="0"/>
          <w:bCs w:val="0"/>
          <w:color w:val="auto"/>
          <w:sz w:val="21"/>
          <w:szCs w:val="21"/>
          <w:highlight w:val="none"/>
          <w:lang w:val="en-US" w:eastAsia="zh-CN"/>
        </w:rPr>
        <w:t>本项目划分为2个分标，各潜在供应商可以对本项目2个分标中的某个或全部分标进行竞标，但最多只能在其中一个分标被确定为成交供应商。</w:t>
      </w:r>
    </w:p>
    <w:p w14:paraId="1B6EEF01">
      <w:pPr>
        <w:pStyle w:val="18"/>
        <w:keepNext w:val="0"/>
        <w:keepLines w:val="0"/>
        <w:pageBreakBefore w:val="0"/>
        <w:widowControl w:val="0"/>
        <w:tabs>
          <w:tab w:val="right" w:leader="dot" w:pos="8398"/>
        </w:tabs>
        <w:kinsoku/>
        <w:wordWrap/>
        <w:overflowPunct/>
        <w:topLinePunct w:val="0"/>
        <w:autoSpaceDE/>
        <w:autoSpaceDN/>
        <w:bidi w:val="0"/>
        <w:adjustRightInd/>
        <w:snapToGrid/>
        <w:spacing w:before="0" w:after="0" w:line="360" w:lineRule="auto"/>
        <w:ind w:firstLine="420" w:firstLineChars="200"/>
        <w:textAlignment w:val="auto"/>
        <w:rPr>
          <w:rFonts w:hint="default" w:ascii="宋体" w:hAnsi="宋体" w:cs="宋体"/>
          <w:color w:val="auto"/>
          <w:szCs w:val="21"/>
          <w:highlight w:val="none"/>
          <w:lang w:val="en-US" w:eastAsia="zh-CN"/>
        </w:rPr>
      </w:pPr>
      <w:r>
        <w:rPr>
          <w:rFonts w:hint="eastAsia" w:ascii="宋体" w:hAnsi="宋体" w:eastAsia="宋体" w:cs="宋体"/>
          <w:b w:val="0"/>
          <w:bCs w:val="0"/>
          <w:color w:val="auto"/>
          <w:sz w:val="21"/>
          <w:szCs w:val="21"/>
          <w:highlight w:val="none"/>
        </w:rPr>
        <w:t>本项目评审顺序为：1分标→2分标</w:t>
      </w:r>
    </w:p>
    <w:p w14:paraId="00EE35CD">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bCs/>
          <w:color w:val="auto"/>
          <w:szCs w:val="21"/>
          <w:highlight w:val="none"/>
        </w:rPr>
        <w:t>八、凡对本次采购提出询问，请按以下方式联系。</w:t>
      </w:r>
      <w:bookmarkEnd w:id="2"/>
      <w:bookmarkEnd w:id="3"/>
      <w:bookmarkEnd w:id="4"/>
      <w:bookmarkEnd w:id="5"/>
      <w:bookmarkEnd w:id="6"/>
      <w:bookmarkEnd w:id="7"/>
    </w:p>
    <w:p w14:paraId="25DD215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bookmarkStart w:id="8" w:name="_Toc28359019"/>
      <w:bookmarkStart w:id="9" w:name="_Toc35393637"/>
      <w:bookmarkStart w:id="10" w:name="_Toc28359096"/>
      <w:bookmarkStart w:id="11" w:name="_Toc35393806"/>
      <w:r>
        <w:rPr>
          <w:rFonts w:hint="eastAsia" w:ascii="宋体" w:hAnsi="宋体" w:cs="宋体"/>
          <w:color w:val="auto"/>
          <w:szCs w:val="21"/>
          <w:highlight w:val="none"/>
        </w:rPr>
        <w:t>1.采购人信息</w:t>
      </w:r>
    </w:p>
    <w:p w14:paraId="59BE221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贺州市中医医院</w:t>
      </w:r>
    </w:p>
    <w:p w14:paraId="6003674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贺州市八步区龙山路48号</w:t>
      </w:r>
    </w:p>
    <w:p w14:paraId="680BF54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联系方式：</w:t>
      </w:r>
      <w:bookmarkStart w:id="12" w:name="_Toc28359086"/>
      <w:bookmarkStart w:id="13" w:name="_Toc28359009"/>
      <w:r>
        <w:rPr>
          <w:rFonts w:hint="eastAsia" w:ascii="宋体" w:hAnsi="宋体" w:cs="宋体"/>
          <w:color w:val="auto"/>
          <w:szCs w:val="21"/>
          <w:highlight w:val="none"/>
        </w:rPr>
        <w:t>石科长</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0774-5139083</w:t>
      </w:r>
    </w:p>
    <w:p w14:paraId="6E5928C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2.采购代理机构信息</w:t>
      </w:r>
      <w:bookmarkEnd w:id="12"/>
      <w:bookmarkEnd w:id="13"/>
    </w:p>
    <w:p w14:paraId="775BD97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名 称：广西建采项目管理有限公司</w:t>
      </w:r>
    </w:p>
    <w:p w14:paraId="7C52B8D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地　址：贺州市平安东路绿洲家园B区B-2栋5号商铺2F</w:t>
      </w:r>
    </w:p>
    <w:p w14:paraId="0975B6B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联系方式：</w:t>
      </w:r>
      <w:bookmarkStart w:id="14" w:name="_Toc28359087"/>
      <w:bookmarkStart w:id="15" w:name="_Toc28359010"/>
      <w:r>
        <w:rPr>
          <w:rFonts w:hint="eastAsia" w:ascii="宋体" w:hAnsi="宋体" w:cs="宋体"/>
          <w:color w:val="auto"/>
          <w:szCs w:val="21"/>
          <w:highlight w:val="none"/>
        </w:rPr>
        <w:t>0774-5081968</w:t>
      </w:r>
    </w:p>
    <w:p w14:paraId="028F63A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3.项目联系方式</w:t>
      </w:r>
      <w:bookmarkEnd w:id="14"/>
      <w:bookmarkEnd w:id="15"/>
    </w:p>
    <w:p w14:paraId="6F524814">
      <w:pPr>
        <w:pStyle w:val="1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cs="宋体"/>
          <w:color w:val="auto"/>
          <w:sz w:val="21"/>
          <w:highlight w:val="none"/>
        </w:rPr>
      </w:pPr>
      <w:r>
        <w:rPr>
          <w:rFonts w:hint="eastAsia" w:hAnsi="宋体" w:cs="宋体"/>
          <w:color w:val="auto"/>
          <w:sz w:val="21"/>
          <w:highlight w:val="none"/>
        </w:rPr>
        <w:t>项目联系人：刘宇倩</w:t>
      </w:r>
    </w:p>
    <w:p w14:paraId="79E5748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电　话：0774-5081968</w:t>
      </w:r>
    </w:p>
    <w:bookmarkEnd w:id="1"/>
    <w:bookmarkEnd w:id="8"/>
    <w:bookmarkEnd w:id="9"/>
    <w:bookmarkEnd w:id="10"/>
    <w:bookmarkEnd w:id="11"/>
    <w:p w14:paraId="0DC15E2B">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贺州市中医医院</w:t>
      </w:r>
    </w:p>
    <w:p w14:paraId="39AF8169">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color w:val="auto"/>
          <w:szCs w:val="21"/>
          <w:highlight w:val="none"/>
          <w:lang w:eastAsia="zh-CN"/>
        </w:rPr>
      </w:pPr>
    </w:p>
    <w:p w14:paraId="003732DA">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color w:val="auto"/>
          <w:szCs w:val="21"/>
          <w:highlight w:val="none"/>
          <w:lang w:eastAsia="zh-CN"/>
        </w:rPr>
      </w:pPr>
    </w:p>
    <w:p w14:paraId="41C9E807">
      <w:pPr>
        <w:spacing w:line="400" w:lineRule="exact"/>
        <w:ind w:firstLine="7035" w:firstLineChars="3350"/>
        <w:rPr>
          <w:rFonts w:ascii="宋体" w:hAnsi="宋体" w:cs="宋体"/>
          <w:color w:val="auto"/>
          <w:szCs w:val="21"/>
          <w:highlight w:val="none"/>
        </w:rPr>
      </w:pPr>
    </w:p>
    <w:p w14:paraId="31930C7F">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cs="宋体"/>
          <w:color w:val="auto"/>
          <w:szCs w:val="21"/>
          <w:highlight w:val="none"/>
        </w:rPr>
      </w:pPr>
      <w:r>
        <w:rPr>
          <w:rFonts w:hint="eastAsia" w:ascii="宋体" w:hAnsi="宋体" w:cs="宋体"/>
          <w:color w:val="auto"/>
          <w:szCs w:val="21"/>
          <w:highlight w:val="none"/>
        </w:rPr>
        <w:t xml:space="preserve">采购代理机构：广西建采项目管理有限公司  </w:t>
      </w:r>
    </w:p>
    <w:p w14:paraId="02212B11">
      <w:pPr>
        <w:keepNext w:val="0"/>
        <w:keepLines w:val="0"/>
        <w:pageBreakBefore w:val="0"/>
        <w:widowControl w:val="0"/>
        <w:tabs>
          <w:tab w:val="left" w:pos="669"/>
        </w:tabs>
        <w:kinsoku/>
        <w:wordWrap/>
        <w:overflowPunct/>
        <w:topLinePunct w:val="0"/>
        <w:autoSpaceDE/>
        <w:autoSpaceDN/>
        <w:bidi w:val="0"/>
        <w:adjustRightInd/>
        <w:snapToGrid/>
        <w:spacing w:line="360" w:lineRule="auto"/>
        <w:jc w:val="right"/>
        <w:textAlignment w:val="auto"/>
        <w:rPr>
          <w:rFonts w:ascii="宋体" w:hAnsi="宋体" w:cs="宋体"/>
          <w:color w:val="auto"/>
          <w:szCs w:val="21"/>
          <w:highlight w:val="none"/>
        </w:rPr>
      </w:pP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 xml:space="preserve">日                  </w:t>
      </w:r>
    </w:p>
    <w:p w14:paraId="6567DBB0">
      <w:pPr>
        <w:keepNext/>
        <w:keepLines/>
        <w:spacing w:line="579" w:lineRule="auto"/>
        <w:jc w:val="center"/>
        <w:rPr>
          <w:rFonts w:ascii="宋体" w:hAnsi="宋体" w:cs="宋体"/>
          <w:color w:val="auto"/>
          <w:highlight w:val="none"/>
        </w:rPr>
        <w:sectPr>
          <w:footerReference r:id="rId8" w:type="first"/>
          <w:footerReference r:id="rId7" w:type="default"/>
          <w:pgSz w:w="11910" w:h="16840"/>
          <w:pgMar w:top="1134" w:right="1134" w:bottom="1134" w:left="1134" w:header="567" w:footer="567" w:gutter="0"/>
          <w:pgNumType w:start="1"/>
          <w:cols w:space="720" w:num="1"/>
          <w:docGrid w:linePitch="286" w:charSpace="0"/>
        </w:sectPr>
      </w:pPr>
    </w:p>
    <w:p w14:paraId="3251F0EA">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宋体" w:hAnsi="宋体" w:cs="宋体"/>
          <w:color w:val="auto"/>
          <w:highlight w:val="none"/>
        </w:rPr>
      </w:pPr>
      <w:bookmarkStart w:id="16" w:name="_Toc14539"/>
      <w:r>
        <w:rPr>
          <w:rFonts w:hint="eastAsia" w:ascii="宋体" w:hAnsi="宋体" w:cs="宋体"/>
          <w:color w:val="auto"/>
          <w:highlight w:val="none"/>
        </w:rPr>
        <w:t>第二章 供应商须知</w:t>
      </w:r>
      <w:bookmarkEnd w:id="16"/>
    </w:p>
    <w:p w14:paraId="45B550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tbl>
      <w:tblPr>
        <w:tblStyle w:val="22"/>
        <w:tblW w:w="96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95"/>
      </w:tblGrid>
      <w:tr w14:paraId="34ABE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78C7885">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条款号</w:t>
            </w:r>
          </w:p>
        </w:tc>
        <w:tc>
          <w:tcPr>
            <w:tcW w:w="8695" w:type="dxa"/>
            <w:vAlign w:val="center"/>
          </w:tcPr>
          <w:p w14:paraId="2C3F57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内    容</w:t>
            </w:r>
          </w:p>
        </w:tc>
      </w:tr>
      <w:tr w14:paraId="2F9C8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86876F">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8695" w:type="dxa"/>
            <w:vAlign w:val="center"/>
          </w:tcPr>
          <w:p w14:paraId="56FDB9A9">
            <w:pPr>
              <w:keepNext w:val="0"/>
              <w:keepLines w:val="0"/>
              <w:pageBreakBefore w:val="0"/>
              <w:widowControl w:val="0"/>
              <w:kinsoku/>
              <w:wordWrap/>
              <w:overflowPunct/>
              <w:topLinePunct w:val="0"/>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供应商的资格条件：详见竞争性谈判公告</w:t>
            </w:r>
          </w:p>
        </w:tc>
      </w:tr>
      <w:tr w14:paraId="7E381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EC884F0">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5.1</w:t>
            </w:r>
          </w:p>
        </w:tc>
        <w:tc>
          <w:tcPr>
            <w:tcW w:w="8695" w:type="dxa"/>
            <w:vAlign w:val="center"/>
          </w:tcPr>
          <w:p w14:paraId="4112D342">
            <w:pPr>
              <w:keepNext w:val="0"/>
              <w:keepLines w:val="0"/>
              <w:pageBreakBefore w:val="0"/>
              <w:widowControl w:val="0"/>
              <w:kinsoku/>
              <w:wordWrap/>
              <w:overflowPunct/>
              <w:topLinePunct w:val="0"/>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 详见竞争性谈判公告</w:t>
            </w:r>
          </w:p>
        </w:tc>
      </w:tr>
      <w:tr w14:paraId="440D9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C2822C0">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6.2</w:t>
            </w:r>
          </w:p>
        </w:tc>
        <w:tc>
          <w:tcPr>
            <w:tcW w:w="8695" w:type="dxa"/>
            <w:vAlign w:val="center"/>
          </w:tcPr>
          <w:p w14:paraId="391126A6">
            <w:pPr>
              <w:pStyle w:val="8"/>
              <w:keepNext w:val="0"/>
              <w:keepLines w:val="0"/>
              <w:pageBreakBefore w:val="0"/>
              <w:widowControl w:val="0"/>
              <w:kinsoku/>
              <w:wordWrap/>
              <w:overflowPunct/>
              <w:topLinePunct w:val="0"/>
              <w:bidi w:val="0"/>
              <w:adjustRightInd/>
              <w:spacing w:line="360" w:lineRule="auto"/>
              <w:jc w:val="both"/>
              <w:rPr>
                <w:rFonts w:ascii="宋体" w:hAnsi="宋体" w:cs="宋体"/>
                <w:color w:val="auto"/>
                <w:szCs w:val="21"/>
                <w:highlight w:val="none"/>
                <w:u w:val="single"/>
              </w:rPr>
            </w:pPr>
            <w:r>
              <w:rPr>
                <w:rFonts w:hint="eastAsia" w:ascii="宋体" w:hAnsi="宋体" w:cs="宋体"/>
                <w:color w:val="auto"/>
                <w:szCs w:val="21"/>
                <w:highlight w:val="none"/>
              </w:rPr>
              <w:t>本项目不允许分包。</w:t>
            </w:r>
          </w:p>
        </w:tc>
      </w:tr>
      <w:tr w14:paraId="5FCD3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C76FD34">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12.1.1</w:t>
            </w:r>
          </w:p>
        </w:tc>
        <w:tc>
          <w:tcPr>
            <w:tcW w:w="8695" w:type="dxa"/>
            <w:vAlign w:val="center"/>
          </w:tcPr>
          <w:p w14:paraId="08E37A63">
            <w:pPr>
              <w:keepNext w:val="0"/>
              <w:keepLines w:val="0"/>
              <w:pageBreakBefore w:val="0"/>
              <w:widowControl w:val="0"/>
              <w:kinsoku/>
              <w:wordWrap/>
              <w:overflowPunct/>
              <w:topLinePunct w:val="0"/>
              <w:bidi w:val="0"/>
              <w:adjustRightInd/>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资格文件</w:t>
            </w:r>
          </w:p>
          <w:p w14:paraId="5CF77845">
            <w:pPr>
              <w:keepNext w:val="0"/>
              <w:keepLines w:val="0"/>
              <w:pageBreakBefore w:val="0"/>
              <w:widowControl w:val="0"/>
              <w:kinsoku/>
              <w:wordWrap/>
              <w:overflowPunct/>
              <w:topLinePunct w:val="0"/>
              <w:bidi w:val="0"/>
              <w:adjustRightInd/>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1、贺州市政府采购供应商信用承诺函（格式后附）；（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C6B57CF">
            <w:pPr>
              <w:keepNext w:val="0"/>
              <w:keepLines w:val="0"/>
              <w:pageBreakBefore w:val="0"/>
              <w:widowControl w:val="0"/>
              <w:kinsoku/>
              <w:wordWrap/>
              <w:overflowPunct/>
              <w:topLinePunct w:val="0"/>
              <w:bidi w:val="0"/>
              <w:adjustRightInd/>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073FEB1">
            <w:pPr>
              <w:keepNext w:val="0"/>
              <w:keepLines w:val="0"/>
              <w:pageBreakBefore w:val="0"/>
              <w:widowControl w:val="0"/>
              <w:kinsoku/>
              <w:wordWrap/>
              <w:overflowPunct/>
              <w:topLinePunct w:val="0"/>
              <w:bidi w:val="0"/>
              <w:adjustRightInd/>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5863BEF">
            <w:pPr>
              <w:keepNext w:val="0"/>
              <w:keepLines w:val="0"/>
              <w:pageBreakBefore w:val="0"/>
              <w:widowControl w:val="0"/>
              <w:kinsoku/>
              <w:wordWrap/>
              <w:overflowPunct/>
              <w:topLinePunct w:val="0"/>
              <w:bidi w:val="0"/>
              <w:adjustRightInd/>
              <w:snapToGrid w:val="0"/>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4、具有国家主管部门颁发的有效的医疗器械生产许可证，或按《医疗器械监督管理条例》医疗器械分类管理要求具有有效的医疗器械经营备案凭证或者经营许可证的供应商；</w:t>
            </w:r>
            <w:r>
              <w:rPr>
                <w:rFonts w:hint="eastAsia" w:ascii="宋体" w:hAnsi="宋体" w:cs="宋体"/>
                <w:b/>
                <w:bCs/>
                <w:color w:val="auto"/>
                <w:szCs w:val="21"/>
                <w:highlight w:val="none"/>
                <w:lang w:val="en-US" w:eastAsia="zh-CN"/>
              </w:rPr>
              <w:t>（必须提供，否则响应文件按无效响应处理）</w:t>
            </w:r>
          </w:p>
          <w:p w14:paraId="10740C5E">
            <w:pPr>
              <w:keepNext w:val="0"/>
              <w:keepLines w:val="0"/>
              <w:pageBreakBefore w:val="0"/>
              <w:widowControl w:val="0"/>
              <w:kinsoku/>
              <w:wordWrap/>
              <w:overflowPunct/>
              <w:topLinePunct w:val="0"/>
              <w:bidi w:val="0"/>
              <w:adjustRightInd/>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5、《中小企业声明函》或《残疾人福利性单位声明函》或属于监狱企业的证明文件（格式后附）；</w:t>
            </w:r>
            <w:r>
              <w:rPr>
                <w:rFonts w:hint="eastAsia" w:ascii="宋体" w:hAnsi="宋体" w:cs="宋体"/>
                <w:b/>
                <w:bCs/>
                <w:color w:val="auto"/>
                <w:szCs w:val="21"/>
                <w:highlight w:val="none"/>
                <w:lang w:val="en-US" w:eastAsia="zh-CN"/>
              </w:rPr>
              <w:t>（01分标必须提供，否则响应文件按无效响应处理；02分标如有，请提供）</w:t>
            </w:r>
          </w:p>
          <w:p w14:paraId="793B1273">
            <w:pPr>
              <w:keepNext w:val="0"/>
              <w:keepLines w:val="0"/>
              <w:pageBreakBefore w:val="0"/>
              <w:widowControl w:val="0"/>
              <w:kinsoku/>
              <w:wordWrap/>
              <w:overflowPunct/>
              <w:topLinePunct w:val="0"/>
              <w:bidi w:val="0"/>
              <w:adjustRightInd/>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、除谈判文件规定必须提供以外，供应商认为需要提供的其他证明材料</w:t>
            </w:r>
            <w:r>
              <w:rPr>
                <w:rFonts w:hint="eastAsia" w:ascii="宋体" w:hAnsi="宋体" w:cs="宋体"/>
                <w:color w:val="auto"/>
                <w:szCs w:val="21"/>
                <w:highlight w:val="none"/>
                <w:lang w:eastAsia="zh-CN"/>
              </w:rPr>
              <w:t>。</w:t>
            </w:r>
          </w:p>
          <w:p w14:paraId="434BC81E">
            <w:pPr>
              <w:keepNext w:val="0"/>
              <w:keepLines w:val="0"/>
              <w:pageBreakBefore w:val="0"/>
              <w:widowControl w:val="0"/>
              <w:kinsoku/>
              <w:wordWrap/>
              <w:overflowPunct/>
              <w:topLinePunct w:val="0"/>
              <w:bidi w:val="0"/>
              <w:adjustRightInd/>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注：</w:t>
            </w:r>
          </w:p>
          <w:p w14:paraId="054CF262">
            <w:pPr>
              <w:keepNext w:val="0"/>
              <w:keepLines w:val="0"/>
              <w:pageBreakBefore w:val="0"/>
              <w:widowControl w:val="0"/>
              <w:kinsoku/>
              <w:wordWrap/>
              <w:overflowPunct/>
              <w:topLinePunct w:val="0"/>
              <w:bidi w:val="0"/>
              <w:adjustRightInd/>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14:paraId="36C45046">
            <w:pPr>
              <w:keepNext w:val="0"/>
              <w:keepLines w:val="0"/>
              <w:pageBreakBefore w:val="0"/>
              <w:widowControl w:val="0"/>
              <w:kinsoku/>
              <w:wordWrap/>
              <w:overflowPunct/>
              <w:topLinePunct w:val="0"/>
              <w:bidi w:val="0"/>
              <w:adjustRightInd/>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2.竞标声明必须由法定代表人在规定签章处逐一签字（含电子签名）并加盖供应商公章，否则响应文件按无效响应处理。</w:t>
            </w:r>
          </w:p>
          <w:p w14:paraId="73EFAB53">
            <w:pPr>
              <w:keepNext w:val="0"/>
              <w:keepLines w:val="0"/>
              <w:pageBreakBefore w:val="0"/>
              <w:widowControl w:val="0"/>
              <w:kinsoku/>
              <w:wordWrap/>
              <w:overflowPunct/>
              <w:topLinePunct w:val="0"/>
              <w:bidi w:val="0"/>
              <w:adjustRightInd/>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3.供应商直接控股、管理关系信息表必须由法定代表人或者委托代理人在规定签章处逐一签字（含电子签名）并加盖供应商公章，否则响应文件按无效响应处理。</w:t>
            </w:r>
          </w:p>
        </w:tc>
      </w:tr>
      <w:tr w14:paraId="3D23E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95E98A">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12.1.2</w:t>
            </w:r>
          </w:p>
        </w:tc>
        <w:tc>
          <w:tcPr>
            <w:tcW w:w="8695" w:type="dxa"/>
            <w:vAlign w:val="center"/>
          </w:tcPr>
          <w:p w14:paraId="0E0F12F7">
            <w:pPr>
              <w:keepNext w:val="0"/>
              <w:keepLines w:val="0"/>
              <w:pageBreakBefore w:val="0"/>
              <w:widowControl w:val="0"/>
              <w:kinsoku/>
              <w:wordWrap/>
              <w:overflowPunct/>
              <w:topLinePunct w:val="0"/>
              <w:bidi w:val="0"/>
              <w:adjustRightInd/>
              <w:spacing w:line="360" w:lineRule="auto"/>
              <w:rPr>
                <w:rFonts w:ascii="宋体" w:hAnsi="宋体" w:cs="宋体"/>
                <w:color w:val="auto"/>
                <w:szCs w:val="21"/>
                <w:highlight w:val="none"/>
              </w:rPr>
            </w:pPr>
            <w:r>
              <w:rPr>
                <w:rFonts w:hint="eastAsia" w:ascii="宋体" w:hAnsi="宋体" w:cs="宋体"/>
                <w:b/>
                <w:color w:val="auto"/>
                <w:szCs w:val="21"/>
                <w:highlight w:val="none"/>
              </w:rPr>
              <w:t>报价文件</w:t>
            </w:r>
          </w:p>
          <w:p w14:paraId="63249E0F">
            <w:pPr>
              <w:keepNext w:val="0"/>
              <w:keepLines w:val="0"/>
              <w:pageBreakBefore w:val="0"/>
              <w:widowControl w:val="0"/>
              <w:kinsoku/>
              <w:wordWrap/>
              <w:overflowPunct/>
              <w:topLinePunct w:val="0"/>
              <w:bidi w:val="0"/>
              <w:adjustRightInd/>
              <w:spacing w:line="360" w:lineRule="auto"/>
              <w:rPr>
                <w:rFonts w:ascii="宋体" w:hAnsi="宋体" w:cs="宋体"/>
                <w:bCs/>
                <w:color w:val="auto"/>
                <w:szCs w:val="21"/>
                <w:highlight w:val="none"/>
              </w:rPr>
            </w:pPr>
            <w:r>
              <w:rPr>
                <w:rFonts w:hint="eastAsia" w:ascii="宋体" w:hAnsi="宋体" w:cs="宋体"/>
                <w:bCs/>
                <w:color w:val="auto"/>
                <w:szCs w:val="21"/>
                <w:highlight w:val="none"/>
              </w:rPr>
              <w:t>1、竞标报价表（格式后附）；</w:t>
            </w:r>
            <w:r>
              <w:rPr>
                <w:rFonts w:hint="eastAsia" w:ascii="宋体" w:hAnsi="宋体" w:cs="宋体"/>
                <w:b/>
                <w:color w:val="auto"/>
                <w:szCs w:val="21"/>
                <w:highlight w:val="none"/>
              </w:rPr>
              <w:t>（必须提供，否则响应文件按无效响应处理）</w:t>
            </w:r>
          </w:p>
          <w:p w14:paraId="543BF31B">
            <w:pPr>
              <w:keepNext w:val="0"/>
              <w:keepLines w:val="0"/>
              <w:pageBreakBefore w:val="0"/>
              <w:widowControl w:val="0"/>
              <w:kinsoku/>
              <w:wordWrap/>
              <w:overflowPunct/>
              <w:topLinePunct w:val="0"/>
              <w:bidi w:val="0"/>
              <w:adjustRightInd/>
              <w:spacing w:line="360" w:lineRule="auto"/>
              <w:rPr>
                <w:rFonts w:ascii="宋体" w:hAnsi="宋体" w:cs="宋体"/>
                <w:color w:val="auto"/>
                <w:szCs w:val="21"/>
                <w:highlight w:val="none"/>
              </w:rPr>
            </w:pPr>
            <w:r>
              <w:rPr>
                <w:rFonts w:hint="eastAsia" w:ascii="宋体" w:hAnsi="宋体" w:cs="宋体"/>
                <w:b/>
                <w:color w:val="auto"/>
                <w:szCs w:val="21"/>
                <w:highlight w:val="none"/>
              </w:rPr>
              <w:t>商务技术文件</w:t>
            </w:r>
          </w:p>
          <w:p w14:paraId="38EB4C5C">
            <w:pPr>
              <w:keepNext w:val="0"/>
              <w:keepLines w:val="0"/>
              <w:pageBreakBefore w:val="0"/>
              <w:widowControl w:val="0"/>
              <w:kinsoku/>
              <w:wordWrap/>
              <w:overflowPunct/>
              <w:topLinePunct w:val="0"/>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bCs/>
                <w:color w:val="auto"/>
                <w:szCs w:val="21"/>
                <w:highlight w:val="none"/>
              </w:rPr>
              <w:t>必须提供，否则响应文件按无效响应处理）</w:t>
            </w:r>
          </w:p>
          <w:p w14:paraId="5FB55B5E">
            <w:pPr>
              <w:keepNext w:val="0"/>
              <w:keepLines w:val="0"/>
              <w:pageBreakBefore w:val="0"/>
              <w:widowControl w:val="0"/>
              <w:kinsoku/>
              <w:wordWrap/>
              <w:overflowPunct/>
              <w:topLinePunct w:val="0"/>
              <w:bidi w:val="0"/>
              <w:adjustRightInd/>
              <w:spacing w:line="360" w:lineRule="auto"/>
              <w:rPr>
                <w:rFonts w:ascii="宋体" w:hAnsi="宋体" w:cs="宋体"/>
                <w:b/>
                <w:bCs/>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（必须提供，否则响应文件按无效响应处理）</w:t>
            </w:r>
          </w:p>
          <w:p w14:paraId="00FB5ADD">
            <w:pPr>
              <w:keepNext w:val="0"/>
              <w:keepLines w:val="0"/>
              <w:pageBreakBefore w:val="0"/>
              <w:widowControl w:val="0"/>
              <w:kinsoku/>
              <w:wordWrap/>
              <w:overflowPunct/>
              <w:topLinePunct w:val="0"/>
              <w:bidi w:val="0"/>
              <w:adjustRightInd/>
              <w:spacing w:line="360" w:lineRule="auto"/>
              <w:rPr>
                <w:rFonts w:ascii="宋体" w:hAnsi="宋体" w:cs="宋体"/>
                <w:b/>
                <w:bCs/>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bCs/>
                <w:color w:val="auto"/>
                <w:szCs w:val="21"/>
                <w:highlight w:val="none"/>
              </w:rPr>
              <w:t>委托时必须提供，否则响应文件按无效响应处理）</w:t>
            </w:r>
          </w:p>
          <w:p w14:paraId="0D58B728">
            <w:pPr>
              <w:keepNext w:val="0"/>
              <w:keepLines w:val="0"/>
              <w:pageBreakBefore w:val="0"/>
              <w:widowControl w:val="0"/>
              <w:kinsoku/>
              <w:wordWrap/>
              <w:overflowPunct/>
              <w:topLinePunct w:val="0"/>
              <w:bidi w:val="0"/>
              <w:adjustRightInd/>
              <w:spacing w:line="360" w:lineRule="auto"/>
              <w:rPr>
                <w:rFonts w:ascii="宋体" w:hAnsi="宋体" w:cs="宋体"/>
                <w:b/>
                <w:bCs/>
                <w:color w:val="auto"/>
                <w:szCs w:val="21"/>
                <w:highlight w:val="none"/>
              </w:rPr>
            </w:pPr>
            <w:r>
              <w:rPr>
                <w:rFonts w:hint="eastAsia" w:ascii="宋体" w:hAnsi="宋体" w:cs="宋体"/>
                <w:color w:val="auto"/>
                <w:szCs w:val="21"/>
                <w:highlight w:val="none"/>
              </w:rPr>
              <w:t>4、谈判保证金提交凭证；</w:t>
            </w:r>
            <w:r>
              <w:rPr>
                <w:rFonts w:hint="eastAsia" w:ascii="宋体" w:hAnsi="宋体" w:cs="宋体"/>
                <w:b/>
                <w:bCs/>
                <w:color w:val="auto"/>
                <w:szCs w:val="21"/>
                <w:highlight w:val="none"/>
              </w:rPr>
              <w:t>（必须提供，否则响应文件按无效响应处理）</w:t>
            </w:r>
          </w:p>
          <w:p w14:paraId="11850E8C">
            <w:pPr>
              <w:keepNext w:val="0"/>
              <w:keepLines w:val="0"/>
              <w:pageBreakBefore w:val="0"/>
              <w:widowControl w:val="0"/>
              <w:kinsoku/>
              <w:wordWrap/>
              <w:overflowPunct/>
              <w:topLinePunct w:val="0"/>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bCs/>
                <w:color w:val="auto"/>
                <w:szCs w:val="21"/>
                <w:highlight w:val="none"/>
              </w:rPr>
              <w:t>（必须提供，否则响应文件按无效响应处理）</w:t>
            </w:r>
          </w:p>
          <w:p w14:paraId="3C8BA7E5">
            <w:pPr>
              <w:keepNext w:val="0"/>
              <w:keepLines w:val="0"/>
              <w:pageBreakBefore w:val="0"/>
              <w:widowControl w:val="0"/>
              <w:kinsoku/>
              <w:wordWrap/>
              <w:overflowPunct/>
              <w:topLinePunct w:val="0"/>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6、售后服务承诺（格式自拟）；</w:t>
            </w:r>
            <w:r>
              <w:rPr>
                <w:rFonts w:hint="eastAsia" w:ascii="宋体" w:hAnsi="宋体" w:cs="宋体"/>
                <w:b/>
                <w:bCs/>
                <w:color w:val="auto"/>
                <w:szCs w:val="21"/>
                <w:highlight w:val="none"/>
              </w:rPr>
              <w:t>（必须提供，否则响应文件按无效响应处理）</w:t>
            </w:r>
          </w:p>
          <w:p w14:paraId="61F15FF0">
            <w:pPr>
              <w:keepNext w:val="0"/>
              <w:keepLines w:val="0"/>
              <w:pageBreakBefore w:val="0"/>
              <w:widowControl w:val="0"/>
              <w:kinsoku/>
              <w:wordWrap/>
              <w:overflowPunct/>
              <w:topLinePunct w:val="0"/>
              <w:bidi w:val="0"/>
              <w:adjustRightInd/>
              <w:spacing w:line="360" w:lineRule="auto"/>
              <w:rPr>
                <w:rFonts w:ascii="宋体" w:hAnsi="宋体" w:cs="宋体"/>
                <w:b/>
                <w:bCs/>
                <w:color w:val="auto"/>
                <w:szCs w:val="21"/>
                <w:highlight w:val="none"/>
              </w:rPr>
            </w:pPr>
            <w:r>
              <w:rPr>
                <w:rFonts w:hint="eastAsia" w:ascii="宋体" w:hAnsi="宋体" w:cs="宋体"/>
                <w:color w:val="auto"/>
                <w:szCs w:val="21"/>
                <w:highlight w:val="none"/>
              </w:rPr>
              <w:t>7、技术偏离表（格式后附）；</w:t>
            </w:r>
            <w:r>
              <w:rPr>
                <w:rFonts w:hint="eastAsia" w:ascii="宋体" w:hAnsi="宋体" w:cs="宋体"/>
                <w:b/>
                <w:bCs/>
                <w:color w:val="auto"/>
                <w:szCs w:val="21"/>
                <w:highlight w:val="none"/>
              </w:rPr>
              <w:t>（必须提供，否则响应文件按无效响应处理）</w:t>
            </w:r>
          </w:p>
          <w:p w14:paraId="670C95C5">
            <w:pPr>
              <w:keepNext w:val="0"/>
              <w:keepLines w:val="0"/>
              <w:pageBreakBefore w:val="0"/>
              <w:widowControl w:val="0"/>
              <w:kinsoku/>
              <w:wordWrap/>
              <w:overflowPunct/>
              <w:topLinePunct w:val="0"/>
              <w:bidi w:val="0"/>
              <w:adjustRightInd/>
              <w:spacing w:line="360" w:lineRule="auto"/>
              <w:rPr>
                <w:rFonts w:ascii="宋体" w:hAnsi="宋体" w:cs="宋体"/>
                <w:b/>
                <w:bCs/>
                <w:color w:val="auto"/>
                <w:szCs w:val="21"/>
                <w:highlight w:val="none"/>
              </w:rPr>
            </w:pPr>
            <w:r>
              <w:rPr>
                <w:rFonts w:hint="eastAsia" w:ascii="宋体" w:hAnsi="宋体" w:cs="宋体"/>
                <w:color w:val="auto"/>
                <w:szCs w:val="21"/>
                <w:highlight w:val="none"/>
              </w:rPr>
              <w:t>8、第三章《采购需求》中要求提供的材料；</w:t>
            </w:r>
            <w:r>
              <w:rPr>
                <w:rFonts w:hint="eastAsia" w:ascii="宋体" w:hAnsi="宋体" w:cs="宋体"/>
                <w:b/>
                <w:bCs/>
                <w:color w:val="auto"/>
                <w:szCs w:val="21"/>
                <w:highlight w:val="none"/>
              </w:rPr>
              <w:t>（如有要求，必须提供，否则响应文件按无效响应处理）</w:t>
            </w:r>
          </w:p>
          <w:p w14:paraId="6FD93618">
            <w:pPr>
              <w:keepNext w:val="0"/>
              <w:keepLines w:val="0"/>
              <w:pageBreakBefore w:val="0"/>
              <w:widowControl w:val="0"/>
              <w:kinsoku/>
              <w:wordWrap/>
              <w:overflowPunct/>
              <w:topLinePunct w:val="0"/>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9、对应采购需求的技术要求、商务要求提供的其他文件资料（格式自拟）；</w:t>
            </w:r>
          </w:p>
          <w:p w14:paraId="11ABDE3D">
            <w:pPr>
              <w:keepNext w:val="0"/>
              <w:keepLines w:val="0"/>
              <w:pageBreakBefore w:val="0"/>
              <w:widowControl w:val="0"/>
              <w:kinsoku/>
              <w:wordWrap/>
              <w:overflowPunct/>
              <w:topLinePunct w:val="0"/>
              <w:bidi w:val="0"/>
              <w:adjustRightInd/>
              <w:spacing w:line="360" w:lineRule="auto"/>
              <w:rPr>
                <w:rFonts w:ascii="宋体" w:hAnsi="宋体" w:cs="宋体"/>
                <w:b/>
                <w:color w:val="auto"/>
                <w:szCs w:val="21"/>
                <w:highlight w:val="none"/>
              </w:rPr>
            </w:pPr>
            <w:r>
              <w:rPr>
                <w:rFonts w:hint="eastAsia" w:ascii="宋体" w:hAnsi="宋体" w:cs="宋体"/>
                <w:color w:val="auto"/>
                <w:szCs w:val="21"/>
                <w:highlight w:val="none"/>
              </w:rPr>
              <w:t>10、供应商认为需要提供的其他有关资料。</w:t>
            </w:r>
          </w:p>
          <w:p w14:paraId="20B55214">
            <w:pPr>
              <w:keepNext w:val="0"/>
              <w:keepLines w:val="0"/>
              <w:pageBreakBefore w:val="0"/>
              <w:widowControl w:val="0"/>
              <w:kinsoku/>
              <w:wordWrap/>
              <w:overflowPunct/>
              <w:topLinePunct w:val="0"/>
              <w:bidi w:val="0"/>
              <w:adjustRightInd/>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注：以上标明“必须提供”材料复印件的，必须加盖供应商公章，否则响应文件按无效响应处理。</w:t>
            </w:r>
          </w:p>
        </w:tc>
      </w:tr>
      <w:tr w14:paraId="7FAE2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92484D8">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15.2</w:t>
            </w:r>
          </w:p>
        </w:tc>
        <w:tc>
          <w:tcPr>
            <w:tcW w:w="8695" w:type="dxa"/>
            <w:vAlign w:val="center"/>
          </w:tcPr>
          <w:p w14:paraId="51ACF3D6">
            <w:pPr>
              <w:keepNext w:val="0"/>
              <w:keepLines w:val="0"/>
              <w:pageBreakBefore w:val="0"/>
              <w:widowControl w:val="0"/>
              <w:kinsoku/>
              <w:wordWrap/>
              <w:overflowPunct/>
              <w:topLinePunct w:val="0"/>
              <w:bidi w:val="0"/>
              <w:adjustRightInd/>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竞标报价包含竞标货物（包括备品备件、专用工具等）的价格（包括已在中国</w:t>
            </w:r>
            <w:r>
              <w:rPr>
                <w:rFonts w:hint="eastAsia" w:ascii="宋体" w:hAnsi="宋体" w:cs="宋体"/>
                <w:color w:val="auto"/>
                <w:highlight w:val="none"/>
              </w:rPr>
              <w:t>境内</w:t>
            </w:r>
            <w:r>
              <w:rPr>
                <w:rFonts w:hint="eastAsia" w:ascii="宋体" w:hAnsi="宋体" w:cs="宋体"/>
                <w:color w:val="auto"/>
                <w:szCs w:val="21"/>
                <w:highlight w:val="none"/>
              </w:rPr>
              <w:t>的进口货物完税后的仓库交货价、展室交货价或者货架交货价），竞标货物运输（含保险）、安装（如有）、调试、检验、技术服务、培训和谈判文件要求提供的所有伴随服务、工程等费用和税费。（采购需求另有约定的，从其约定。）</w:t>
            </w:r>
          </w:p>
        </w:tc>
      </w:tr>
      <w:tr w14:paraId="05822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3445B70">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16.2</w:t>
            </w:r>
          </w:p>
        </w:tc>
        <w:tc>
          <w:tcPr>
            <w:tcW w:w="8695" w:type="dxa"/>
            <w:vAlign w:val="center"/>
          </w:tcPr>
          <w:p w14:paraId="581878CD">
            <w:pPr>
              <w:pStyle w:val="7"/>
              <w:keepNext w:val="0"/>
              <w:keepLines w:val="0"/>
              <w:pageBreakBefore w:val="0"/>
              <w:widowControl w:val="0"/>
              <w:tabs>
                <w:tab w:val="clear" w:pos="454"/>
              </w:tabs>
              <w:kinsoku/>
              <w:wordWrap/>
              <w:overflowPunct/>
              <w:topLinePunct w:val="0"/>
              <w:bidi w:val="0"/>
              <w:adjustRightInd/>
              <w:snapToGrid w:val="0"/>
              <w:spacing w:afterLines="0" w:line="360" w:lineRule="auto"/>
              <w:ind w:left="0" w:firstLine="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竞标有效期：首次响应文件提交截止之日起60天内。</w:t>
            </w:r>
          </w:p>
        </w:tc>
      </w:tr>
      <w:tr w14:paraId="32D2A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6E6560">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17.1</w:t>
            </w:r>
          </w:p>
        </w:tc>
        <w:tc>
          <w:tcPr>
            <w:tcW w:w="8695" w:type="dxa"/>
            <w:vAlign w:val="center"/>
          </w:tcPr>
          <w:p w14:paraId="4928B517">
            <w:pPr>
              <w:keepNext w:val="0"/>
              <w:keepLines w:val="0"/>
              <w:pageBreakBefore w:val="0"/>
              <w:widowControl w:val="0"/>
              <w:kinsoku/>
              <w:wordWrap/>
              <w:overflowPunct/>
              <w:topLinePunct w:val="0"/>
              <w:bidi w:val="0"/>
              <w:adjustRightInd/>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本项目收取谈判保证金，具体规定如下：</w:t>
            </w:r>
          </w:p>
          <w:p w14:paraId="664B5C5D">
            <w:pPr>
              <w:keepNext w:val="0"/>
              <w:keepLines w:val="0"/>
              <w:pageBreakBefore w:val="0"/>
              <w:widowControl w:val="0"/>
              <w:kinsoku/>
              <w:wordWrap/>
              <w:overflowPunct/>
              <w:topLinePunct w:val="0"/>
              <w:bidi w:val="0"/>
              <w:adjustRightInd/>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谈判保证金（人民币）：01分标人民币壹万柒仟陆佰元整（¥17600.00）；02分标人民币玖仟贰佰元整（¥9200.00）。</w:t>
            </w:r>
          </w:p>
          <w:p w14:paraId="62CA4FE4">
            <w:pPr>
              <w:keepNext w:val="0"/>
              <w:keepLines w:val="0"/>
              <w:pageBreakBefore w:val="0"/>
              <w:widowControl w:val="0"/>
              <w:kinsoku/>
              <w:wordWrap/>
              <w:overflowPunct/>
              <w:topLinePunct w:val="0"/>
              <w:bidi w:val="0"/>
              <w:adjustRightInd/>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谈判保证金的交纳方式：银行转账、支票、汇票、本票或者金融、担保机构出具的保函，禁止采用现钞方式。采用银行转账方式的，在响应文件提交截止时间前交至</w:t>
            </w:r>
            <w:r>
              <w:rPr>
                <w:rFonts w:hint="eastAsia" w:ascii="宋体" w:hAnsi="宋体" w:cs="宋体"/>
                <w:color w:val="auto"/>
                <w:szCs w:val="21"/>
                <w:highlight w:val="none"/>
              </w:rPr>
              <w:t>以下账户</w:t>
            </w:r>
            <w:r>
              <w:rPr>
                <w:rFonts w:hint="eastAsia" w:ascii="宋体" w:hAnsi="宋体" w:cs="宋体"/>
                <w:color w:val="auto"/>
                <w:kern w:val="0"/>
                <w:szCs w:val="21"/>
                <w:highlight w:val="none"/>
              </w:rPr>
              <w:t>且到账；</w:t>
            </w:r>
            <w:r>
              <w:rPr>
                <w:rFonts w:hint="eastAsia" w:ascii="宋体" w:hAnsi="宋体" w:cs="宋体"/>
                <w:color w:val="auto"/>
                <w:szCs w:val="20"/>
                <w:highlight w:val="none"/>
              </w:rPr>
              <w:t>并注明项目名称或项目编号及所竞分标。</w:t>
            </w:r>
          </w:p>
          <w:p w14:paraId="137F00E9">
            <w:pPr>
              <w:keepNext w:val="0"/>
              <w:keepLines w:val="0"/>
              <w:pageBreakBefore w:val="0"/>
              <w:widowControl w:val="0"/>
              <w:kinsoku/>
              <w:wordWrap/>
              <w:overflowPunct/>
              <w:topLinePunct w:val="0"/>
              <w:bidi w:val="0"/>
              <w:adjustRightInd/>
              <w:spacing w:line="360" w:lineRule="auto"/>
              <w:rPr>
                <w:rFonts w:ascii="宋体" w:hAnsi="宋体" w:cs="宋体"/>
                <w:color w:val="auto"/>
                <w:highlight w:val="none"/>
              </w:rPr>
            </w:pPr>
            <w:r>
              <w:rPr>
                <w:rFonts w:hint="eastAsia" w:ascii="宋体" w:hAnsi="宋体" w:cs="宋体"/>
                <w:color w:val="auto"/>
                <w:highlight w:val="none"/>
              </w:rPr>
              <w:t>开户名：广西建采项目管理有限公司</w:t>
            </w:r>
          </w:p>
          <w:p w14:paraId="32AEE240">
            <w:pPr>
              <w:keepNext w:val="0"/>
              <w:keepLines w:val="0"/>
              <w:pageBreakBefore w:val="0"/>
              <w:widowControl w:val="0"/>
              <w:kinsoku/>
              <w:wordWrap/>
              <w:overflowPunct/>
              <w:topLinePunct w:val="0"/>
              <w:bidi w:val="0"/>
              <w:adjustRightInd/>
              <w:spacing w:line="360" w:lineRule="auto"/>
              <w:rPr>
                <w:rFonts w:ascii="宋体" w:hAnsi="宋体" w:cs="宋体"/>
                <w:color w:val="auto"/>
                <w:highlight w:val="none"/>
              </w:rPr>
            </w:pPr>
            <w:r>
              <w:rPr>
                <w:rFonts w:hint="eastAsia" w:ascii="宋体" w:hAnsi="宋体" w:cs="宋体"/>
                <w:color w:val="auto"/>
                <w:highlight w:val="none"/>
              </w:rPr>
              <w:t>账 号： 45050164740200001325</w:t>
            </w:r>
          </w:p>
          <w:p w14:paraId="4FD862A7">
            <w:pPr>
              <w:keepNext w:val="0"/>
              <w:keepLines w:val="0"/>
              <w:pageBreakBefore w:val="0"/>
              <w:widowControl w:val="0"/>
              <w:kinsoku/>
              <w:wordWrap/>
              <w:overflowPunct/>
              <w:topLinePunct w:val="0"/>
              <w:bidi w:val="0"/>
              <w:adjustRightInd/>
              <w:spacing w:line="360" w:lineRule="auto"/>
              <w:rPr>
                <w:rFonts w:ascii="宋体" w:hAnsi="宋体" w:cs="宋体"/>
                <w:color w:val="auto"/>
                <w:highlight w:val="none"/>
              </w:rPr>
            </w:pPr>
            <w:r>
              <w:rPr>
                <w:rFonts w:hint="eastAsia" w:ascii="宋体" w:hAnsi="宋体" w:cs="宋体"/>
                <w:color w:val="auto"/>
                <w:highlight w:val="none"/>
              </w:rPr>
              <w:t>开户行：中国建设银行贺州城东支行</w:t>
            </w:r>
          </w:p>
          <w:p w14:paraId="2EAEF014">
            <w:pPr>
              <w:keepNext w:val="0"/>
              <w:keepLines w:val="0"/>
              <w:pageBreakBefore w:val="0"/>
              <w:widowControl w:val="0"/>
              <w:kinsoku/>
              <w:wordWrap/>
              <w:overflowPunct/>
              <w:topLinePunct w:val="0"/>
              <w:bidi w:val="0"/>
              <w:adjustRightInd/>
              <w:spacing w:line="360" w:lineRule="auto"/>
              <w:rPr>
                <w:rFonts w:ascii="宋体" w:hAnsi="宋体" w:cs="宋体"/>
                <w:color w:val="auto"/>
                <w:kern w:val="0"/>
                <w:szCs w:val="21"/>
                <w:highlight w:val="none"/>
              </w:rPr>
            </w:pPr>
            <w:r>
              <w:rPr>
                <w:rFonts w:hint="eastAsia" w:ascii="宋体" w:hAnsi="宋体" w:cs="宋体"/>
                <w:color w:val="auto"/>
                <w:highlight w:val="none"/>
              </w:rPr>
              <w:t>注：若成交供应商以电子保函形式提交投标保证金的，推广使用在“广西政府采购金融服务平台”通过在线方式完成保函申请、递交等全流程电子化操作。</w:t>
            </w:r>
          </w:p>
          <w:p w14:paraId="794CC9C4">
            <w:pPr>
              <w:keepNext w:val="0"/>
              <w:keepLines w:val="0"/>
              <w:pageBreakBefore w:val="0"/>
              <w:widowControl w:val="0"/>
              <w:kinsoku/>
              <w:wordWrap/>
              <w:overflowPunct/>
              <w:topLinePunct w:val="0"/>
              <w:bidi w:val="0"/>
              <w:adjustRightInd/>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14:paraId="7A8E5142">
            <w:pPr>
              <w:keepNext w:val="0"/>
              <w:keepLines w:val="0"/>
              <w:pageBreakBefore w:val="0"/>
              <w:widowControl w:val="0"/>
              <w:kinsoku/>
              <w:wordWrap/>
              <w:overflowPunct/>
              <w:topLinePunct w:val="0"/>
              <w:bidi w:val="0"/>
              <w:adjustRightInd/>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1.谈判保证金采用银行转账交纳方式的，在响应文件提交截止时间前交至指定账户并且到账，供应商应将银行转账底单的复印件作为谈判保证金提交凭证。</w:t>
            </w:r>
          </w:p>
          <w:p w14:paraId="1121608F">
            <w:pPr>
              <w:keepNext w:val="0"/>
              <w:keepLines w:val="0"/>
              <w:pageBreakBefore w:val="0"/>
              <w:widowControl w:val="0"/>
              <w:kinsoku/>
              <w:wordWrap/>
              <w:overflowPunct/>
              <w:topLinePunct w:val="0"/>
              <w:bidi w:val="0"/>
              <w:adjustRightInd/>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2.谈判保证金采用支票、汇票、本票或者金融、担保机构出具的保函交纳方式的，供应商应将支票、汇票、本票或者金融、担保机构出具的保函的复印件作为谈判保证金提交凭证。</w:t>
            </w:r>
          </w:p>
          <w:p w14:paraId="045515EA">
            <w:pPr>
              <w:keepNext w:val="0"/>
              <w:keepLines w:val="0"/>
              <w:pageBreakBefore w:val="0"/>
              <w:widowControl w:val="0"/>
              <w:kinsoku/>
              <w:wordWrap/>
              <w:overflowPunct/>
              <w:topLinePunct w:val="0"/>
              <w:bidi w:val="0"/>
              <w:adjustRightInd/>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3.供应商为联合体的，可以由联合体中的一方或者多方共同交纳谈判保证金，其交纳的保证金对联合体各方均具有约束力。</w:t>
            </w:r>
          </w:p>
          <w:p w14:paraId="1D236B3F">
            <w:pPr>
              <w:keepNext w:val="0"/>
              <w:keepLines w:val="0"/>
              <w:pageBreakBefore w:val="0"/>
              <w:widowControl w:val="0"/>
              <w:kinsoku/>
              <w:wordWrap/>
              <w:overflowPunct/>
              <w:topLinePunct w:val="0"/>
              <w:bidi w:val="0"/>
              <w:adjustRightInd/>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14:paraId="593975FE">
            <w:pPr>
              <w:keepNext w:val="0"/>
              <w:keepLines w:val="0"/>
              <w:pageBreakBefore w:val="0"/>
              <w:widowControl w:val="0"/>
              <w:kinsoku/>
              <w:wordWrap/>
              <w:overflowPunct/>
              <w:topLinePunct w:val="0"/>
              <w:bidi w:val="0"/>
              <w:adjustRightInd/>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1.响应文件提交截止时间后提交的，或者未足额交纳的，或者保函额度不足的，视为无效谈判保证金。</w:t>
            </w:r>
          </w:p>
          <w:p w14:paraId="5108C54A">
            <w:pPr>
              <w:keepNext w:val="0"/>
              <w:keepLines w:val="0"/>
              <w:pageBreakBefore w:val="0"/>
              <w:widowControl w:val="0"/>
              <w:kinsoku/>
              <w:wordWrap/>
              <w:overflowPunct/>
              <w:topLinePunct w:val="0"/>
              <w:bidi w:val="0"/>
              <w:adjustRightInd/>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2.供应商采用现钞方式或者从个人账户（自然人竞标除外）转出的谈判保证金，视为无效谈判保证金。</w:t>
            </w:r>
          </w:p>
          <w:p w14:paraId="699D271C">
            <w:pPr>
              <w:keepNext w:val="0"/>
              <w:keepLines w:val="0"/>
              <w:pageBreakBefore w:val="0"/>
              <w:widowControl w:val="0"/>
              <w:kinsoku/>
              <w:wordWrap/>
              <w:overflowPunct/>
              <w:topLinePunct w:val="0"/>
              <w:bidi w:val="0"/>
              <w:adjustRightInd/>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3.支票、汇票或者本票出现无效或者背书情形的，视为无效谈判保证金。</w:t>
            </w:r>
          </w:p>
          <w:p w14:paraId="6BA14020">
            <w:pPr>
              <w:keepNext w:val="0"/>
              <w:keepLines w:val="0"/>
              <w:pageBreakBefore w:val="0"/>
              <w:widowControl w:val="0"/>
              <w:kinsoku/>
              <w:wordWrap/>
              <w:overflowPunct/>
              <w:topLinePunct w:val="0"/>
              <w:bidi w:val="0"/>
              <w:adjustRightInd/>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4.保函有效期低于竞标有效期的，视为无效谈判保证金。</w:t>
            </w:r>
          </w:p>
          <w:p w14:paraId="4869B4AB">
            <w:pPr>
              <w:keepNext w:val="0"/>
              <w:keepLines w:val="0"/>
              <w:pageBreakBefore w:val="0"/>
              <w:widowControl w:val="0"/>
              <w:kinsoku/>
              <w:wordWrap/>
              <w:overflowPunct/>
              <w:topLinePunct w:val="0"/>
              <w:bidi w:val="0"/>
              <w:adjustRightInd/>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5.竞标保证金采用金融、担保机构出具的保函为有条件保函的，视为无效谈判保证金。</w:t>
            </w:r>
          </w:p>
        </w:tc>
      </w:tr>
      <w:tr w14:paraId="43743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F6673BE">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18.2</w:t>
            </w:r>
          </w:p>
        </w:tc>
        <w:tc>
          <w:tcPr>
            <w:tcW w:w="8695" w:type="dxa"/>
            <w:vAlign w:val="center"/>
          </w:tcPr>
          <w:p w14:paraId="35BCCCC6">
            <w:pPr>
              <w:keepNext w:val="0"/>
              <w:keepLines w:val="0"/>
              <w:pageBreakBefore w:val="0"/>
              <w:widowControl w:val="0"/>
              <w:kinsoku/>
              <w:wordWrap/>
              <w:overflowPunct/>
              <w:topLinePunct w:val="0"/>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响应文件应按资格文件、报价文件、商务技术文件分别编制，并按广西政府采购云平台的要求编制、加密、上传。</w:t>
            </w:r>
          </w:p>
        </w:tc>
      </w:tr>
      <w:tr w14:paraId="4CD55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AC8C93">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20.1</w:t>
            </w:r>
          </w:p>
        </w:tc>
        <w:tc>
          <w:tcPr>
            <w:tcW w:w="8695" w:type="dxa"/>
            <w:vAlign w:val="center"/>
          </w:tcPr>
          <w:p w14:paraId="4B64516B">
            <w:pPr>
              <w:keepNext w:val="0"/>
              <w:keepLines w:val="0"/>
              <w:pageBreakBefore w:val="0"/>
              <w:widowControl w:val="0"/>
              <w:kinsoku/>
              <w:wordWrap/>
              <w:overflowPunct/>
              <w:topLinePunct w:val="0"/>
              <w:bidi w:val="0"/>
              <w:adjustRightInd/>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首次响应文件提交截止时间：详见竞争性谈判公告。</w:t>
            </w:r>
          </w:p>
          <w:p w14:paraId="352832A7">
            <w:pPr>
              <w:keepNext w:val="0"/>
              <w:keepLines w:val="0"/>
              <w:pageBreakBefore w:val="0"/>
              <w:widowControl w:val="0"/>
              <w:kinsoku/>
              <w:wordWrap/>
              <w:overflowPunct/>
              <w:topLinePunct w:val="0"/>
              <w:bidi w:val="0"/>
              <w:adjustRightInd/>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首次响应文件提交地点：详见竞争性谈判公告。</w:t>
            </w:r>
          </w:p>
        </w:tc>
      </w:tr>
      <w:tr w14:paraId="2AC59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35DC17D">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24.1</w:t>
            </w:r>
          </w:p>
        </w:tc>
        <w:tc>
          <w:tcPr>
            <w:tcW w:w="8695" w:type="dxa"/>
            <w:vAlign w:val="center"/>
          </w:tcPr>
          <w:p w14:paraId="5E86AE02">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谈判小组的人数：3人。其中，采购人代表1人，评审专家2人</w:t>
            </w:r>
            <w:r>
              <w:rPr>
                <w:rFonts w:hint="eastAsia" w:ascii="宋体" w:hAnsi="宋体" w:cs="宋体"/>
                <w:color w:val="auto"/>
                <w:szCs w:val="21"/>
                <w:highlight w:val="none"/>
                <w:lang w:val="en-US" w:eastAsia="zh-CN"/>
              </w:rPr>
              <w:t>（主会场1名专家，副会场1名专家）。</w:t>
            </w:r>
          </w:p>
          <w:p w14:paraId="5FFCAD91">
            <w:pPr>
              <w:snapToGrid w:val="0"/>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w:t>
            </w:r>
            <w:r>
              <w:rPr>
                <w:rFonts w:hint="eastAsia" w:ascii="宋体" w:hAnsi="宋体" w:eastAsia="宋体" w:cs="宋体"/>
                <w:b/>
                <w:bCs/>
                <w:color w:val="auto"/>
                <w:szCs w:val="21"/>
                <w:highlight w:val="none"/>
                <w:lang w:val="en-US" w:eastAsia="zh-CN"/>
              </w:rPr>
              <w:t>审</w:t>
            </w:r>
            <w:r>
              <w:rPr>
                <w:rFonts w:hint="eastAsia" w:ascii="宋体" w:hAnsi="宋体" w:eastAsia="宋体" w:cs="宋体"/>
                <w:b/>
                <w:bCs/>
                <w:color w:val="auto"/>
                <w:szCs w:val="21"/>
                <w:highlight w:val="none"/>
              </w:rPr>
              <w:t>专家确定方式</w:t>
            </w:r>
            <w:r>
              <w:rPr>
                <w:rFonts w:hint="eastAsia" w:ascii="宋体" w:hAnsi="宋体" w:eastAsia="宋体" w:cs="宋体"/>
                <w:color w:val="auto"/>
                <w:szCs w:val="21"/>
                <w:highlight w:val="none"/>
              </w:rPr>
              <w:t>：开标前由采购代理机构在广西政府采购云平台评审专家库随机抽取确定。</w:t>
            </w:r>
          </w:p>
          <w:p w14:paraId="52FD51D2">
            <w:pPr>
              <w:snapToGrid w:val="0"/>
              <w:spacing w:line="360" w:lineRule="auto"/>
              <w:rPr>
                <w:rFonts w:ascii="宋体" w:hAnsi="宋体" w:cs="宋体"/>
                <w:color w:val="auto"/>
                <w:szCs w:val="21"/>
                <w:highlight w:val="none"/>
                <w:u w:val="single"/>
              </w:rPr>
            </w:pPr>
            <w:r>
              <w:rPr>
                <w:rFonts w:hint="eastAsia" w:ascii="宋体" w:hAnsi="宋体" w:eastAsia="宋体" w:cs="宋体"/>
                <w:b w:val="0"/>
                <w:bCs w:val="0"/>
                <w:color w:val="auto"/>
                <w:szCs w:val="21"/>
                <w:highlight w:val="none"/>
              </w:rPr>
              <w:t>是否远程抽取评委及远程异地评标：☑是   □否</w:t>
            </w:r>
          </w:p>
        </w:tc>
      </w:tr>
      <w:tr w14:paraId="556AE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25404BA">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25.2</w:t>
            </w:r>
          </w:p>
        </w:tc>
        <w:tc>
          <w:tcPr>
            <w:tcW w:w="8695" w:type="dxa"/>
            <w:vAlign w:val="center"/>
          </w:tcPr>
          <w:p w14:paraId="25D89384">
            <w:pPr>
              <w:keepNext w:val="0"/>
              <w:keepLines w:val="0"/>
              <w:pageBreakBefore w:val="0"/>
              <w:widowControl w:val="0"/>
              <w:kinsoku/>
              <w:wordWrap/>
              <w:overflowPunct/>
              <w:topLinePunct w:val="0"/>
              <w:bidi w:val="0"/>
              <w:adjustRightInd/>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响应文件未按时解密的，视为响应文件无效。</w:t>
            </w:r>
          </w:p>
        </w:tc>
      </w:tr>
      <w:tr w14:paraId="370AA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1A505A58">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26</w:t>
            </w:r>
          </w:p>
        </w:tc>
        <w:tc>
          <w:tcPr>
            <w:tcW w:w="8695" w:type="dxa"/>
            <w:vAlign w:val="center"/>
          </w:tcPr>
          <w:p w14:paraId="0F01183D">
            <w:pPr>
              <w:keepNext w:val="0"/>
              <w:keepLines w:val="0"/>
              <w:pageBreakBefore w:val="0"/>
              <w:widowControl w:val="0"/>
              <w:kinsoku/>
              <w:wordWrap/>
              <w:overflowPunct/>
              <w:topLinePunct w:val="0"/>
              <w:bidi w:val="0"/>
              <w:adjustRightInd/>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3BE829FE">
            <w:pPr>
              <w:keepNext w:val="0"/>
              <w:keepLines w:val="0"/>
              <w:pageBreakBefore w:val="0"/>
              <w:widowControl w:val="0"/>
              <w:kinsoku/>
              <w:wordWrap/>
              <w:overflowPunct/>
              <w:topLinePunct w:val="0"/>
              <w:bidi w:val="0"/>
              <w:adjustRightInd/>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114A9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08FE8507">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p>
        </w:tc>
        <w:tc>
          <w:tcPr>
            <w:tcW w:w="8695" w:type="dxa"/>
            <w:vAlign w:val="center"/>
          </w:tcPr>
          <w:p w14:paraId="6936EB27">
            <w:pPr>
              <w:keepNext w:val="0"/>
              <w:keepLines w:val="0"/>
              <w:pageBreakBefore w:val="0"/>
              <w:widowControl w:val="0"/>
              <w:kinsoku/>
              <w:wordWrap/>
              <w:overflowPunct/>
              <w:topLinePunct w:val="0"/>
              <w:bidi w:val="0"/>
              <w:adjustRightInd/>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谈判的顺序：按广西政府采购云平台系统的编号顺序。</w:t>
            </w:r>
          </w:p>
          <w:p w14:paraId="7BE7B102">
            <w:pPr>
              <w:keepNext w:val="0"/>
              <w:keepLines w:val="0"/>
              <w:pageBreakBefore w:val="0"/>
              <w:widowControl w:val="0"/>
              <w:kinsoku/>
              <w:wordWrap/>
              <w:overflowPunct/>
              <w:topLinePunct w:val="0"/>
              <w:bidi w:val="0"/>
              <w:adjustRightInd/>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符合谈判资格的供应商必须在接到谈判通知后规定时间内参加谈判，未在规定时间内参加谈判的视同放弃参加谈判权利，其响应文件按无效响应处理。</w:t>
            </w:r>
          </w:p>
        </w:tc>
      </w:tr>
      <w:tr w14:paraId="457C3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992" w:type="dxa"/>
            <w:vMerge w:val="continue"/>
            <w:vAlign w:val="center"/>
          </w:tcPr>
          <w:p w14:paraId="2FCB5387">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p>
        </w:tc>
        <w:tc>
          <w:tcPr>
            <w:tcW w:w="8695" w:type="dxa"/>
            <w:vAlign w:val="center"/>
          </w:tcPr>
          <w:p w14:paraId="1C296CC8">
            <w:pPr>
              <w:keepNext w:val="0"/>
              <w:keepLines w:val="0"/>
              <w:pageBreakBefore w:val="0"/>
              <w:widowControl w:val="0"/>
              <w:kinsoku/>
              <w:wordWrap/>
              <w:overflowPunct/>
              <w:topLinePunct w:val="0"/>
              <w:bidi w:val="0"/>
              <w:adjustRightInd/>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评标价相同时，按照最后报价由低到高顺序依次推荐；最后报价相同时，按节能环保优先、技术指标高优先、质保期长优先、交货期短优先、故障响应时间短优先的顺序依次推荐。</w:t>
            </w:r>
          </w:p>
        </w:tc>
      </w:tr>
      <w:tr w14:paraId="6C6CA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71D5988">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28.1</w:t>
            </w:r>
          </w:p>
        </w:tc>
        <w:tc>
          <w:tcPr>
            <w:tcW w:w="8695" w:type="dxa"/>
            <w:vAlign w:val="center"/>
          </w:tcPr>
          <w:p w14:paraId="7E081D60">
            <w:pPr>
              <w:keepNext w:val="0"/>
              <w:keepLines w:val="0"/>
              <w:pageBreakBefore w:val="0"/>
              <w:widowControl w:val="0"/>
              <w:kinsoku/>
              <w:wordWrap/>
              <w:overflowPunct/>
              <w:topLinePunct w:val="0"/>
              <w:autoSpaceDE w:val="0"/>
              <w:autoSpaceDN w:val="0"/>
              <w:bidi w:val="0"/>
              <w:adjustRightInd/>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6E6C5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638065">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29.1</w:t>
            </w:r>
          </w:p>
        </w:tc>
        <w:tc>
          <w:tcPr>
            <w:tcW w:w="8695" w:type="dxa"/>
            <w:vAlign w:val="center"/>
          </w:tcPr>
          <w:p w14:paraId="73ADED79">
            <w:pPr>
              <w:keepNext w:val="0"/>
              <w:keepLines w:val="0"/>
              <w:pageBreakBefore w:val="0"/>
              <w:widowControl w:val="0"/>
              <w:kinsoku/>
              <w:wordWrap/>
              <w:overflowPunct/>
              <w:topLinePunct w:val="0"/>
              <w:autoSpaceDE w:val="0"/>
              <w:autoSpaceDN w:val="0"/>
              <w:bidi w:val="0"/>
              <w:adjustRightInd/>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签订合同携带的证明材料：</w:t>
            </w:r>
          </w:p>
          <w:p w14:paraId="18A1ADFE">
            <w:pPr>
              <w:keepNext w:val="0"/>
              <w:keepLines w:val="0"/>
              <w:pageBreakBefore w:val="0"/>
              <w:widowControl w:val="0"/>
              <w:kinsoku/>
              <w:wordWrap/>
              <w:overflowPunct/>
              <w:topLinePunct w:val="0"/>
              <w:autoSpaceDE w:val="0"/>
              <w:autoSpaceDN w:val="0"/>
              <w:bidi w:val="0"/>
              <w:adjustRightInd/>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1、委托代理人负责签订合同的，须携带授权委托书及委托代理人身份证原件等其他资格证件。</w:t>
            </w:r>
          </w:p>
          <w:p w14:paraId="56D07A79">
            <w:pPr>
              <w:keepNext w:val="0"/>
              <w:keepLines w:val="0"/>
              <w:pageBreakBefore w:val="0"/>
              <w:widowControl w:val="0"/>
              <w:kinsoku/>
              <w:wordWrap/>
              <w:overflowPunct/>
              <w:topLinePunct w:val="0"/>
              <w:bidi w:val="0"/>
              <w:adjustRightInd/>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2、法定代表人负责签订合同的，须携带法定代表人身份证明原件及身份证原件等其他证明材料。</w:t>
            </w:r>
          </w:p>
        </w:tc>
      </w:tr>
      <w:tr w14:paraId="14D4D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7E93E1">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31.2</w:t>
            </w:r>
          </w:p>
        </w:tc>
        <w:tc>
          <w:tcPr>
            <w:tcW w:w="8695" w:type="dxa"/>
            <w:vAlign w:val="center"/>
          </w:tcPr>
          <w:p w14:paraId="3AB2A738">
            <w:pPr>
              <w:keepNext w:val="0"/>
              <w:keepLines w:val="0"/>
              <w:pageBreakBefore w:val="0"/>
              <w:widowControl w:val="0"/>
              <w:kinsoku/>
              <w:wordWrap/>
              <w:overflowPunct/>
              <w:topLinePunct w:val="0"/>
              <w:bidi w:val="0"/>
              <w:adjustRightInd/>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接收质疑函方式：以纸质书面形式。</w:t>
            </w:r>
          </w:p>
          <w:p w14:paraId="385401F6">
            <w:pPr>
              <w:pStyle w:val="13"/>
              <w:keepNext w:val="0"/>
              <w:keepLines w:val="0"/>
              <w:pageBreakBefore w:val="0"/>
              <w:widowControl w:val="0"/>
              <w:kinsoku/>
              <w:wordWrap/>
              <w:overflowPunct/>
              <w:topLinePunct w:val="0"/>
              <w:bidi w:val="0"/>
              <w:adjustRightInd/>
              <w:snapToGrid w:val="0"/>
              <w:spacing w:line="360" w:lineRule="auto"/>
              <w:rPr>
                <w:rFonts w:hAnsi="宋体" w:cs="宋体"/>
                <w:color w:val="auto"/>
                <w:sz w:val="21"/>
                <w:highlight w:val="none"/>
              </w:rPr>
            </w:pPr>
            <w:r>
              <w:rPr>
                <w:rFonts w:hint="eastAsia" w:hAnsi="宋体" w:cs="宋体"/>
                <w:color w:val="auto"/>
                <w:kern w:val="2"/>
                <w:sz w:val="21"/>
                <w:highlight w:val="none"/>
              </w:rPr>
              <w:t>质疑联系部门及联系方式：</w:t>
            </w:r>
            <w:r>
              <w:rPr>
                <w:rFonts w:hint="eastAsia" w:hAnsi="宋体" w:cs="宋体"/>
                <w:color w:val="auto"/>
                <w:sz w:val="21"/>
                <w:highlight w:val="none"/>
              </w:rPr>
              <w:t>广西建采项目管理有限公司，</w:t>
            </w:r>
          </w:p>
          <w:p w14:paraId="56AA1D60">
            <w:pPr>
              <w:pStyle w:val="13"/>
              <w:keepNext w:val="0"/>
              <w:keepLines w:val="0"/>
              <w:pageBreakBefore w:val="0"/>
              <w:widowControl w:val="0"/>
              <w:kinsoku/>
              <w:wordWrap/>
              <w:overflowPunct/>
              <w:topLinePunct w:val="0"/>
              <w:bidi w:val="0"/>
              <w:adjustRightInd/>
              <w:snapToGrid w:val="0"/>
              <w:spacing w:line="360" w:lineRule="auto"/>
              <w:rPr>
                <w:rFonts w:hAnsi="宋体" w:cs="宋体"/>
                <w:color w:val="auto"/>
                <w:sz w:val="21"/>
                <w:highlight w:val="none"/>
              </w:rPr>
            </w:pPr>
            <w:r>
              <w:rPr>
                <w:rFonts w:hint="eastAsia" w:hAnsi="宋体" w:cs="宋体"/>
                <w:color w:val="auto"/>
                <w:sz w:val="21"/>
                <w:highlight w:val="none"/>
              </w:rPr>
              <w:t>质疑联系人：刘宇倩       联系电话：0774-5081968，</w:t>
            </w:r>
          </w:p>
          <w:p w14:paraId="1A21905A">
            <w:pPr>
              <w:pStyle w:val="13"/>
              <w:keepNext w:val="0"/>
              <w:keepLines w:val="0"/>
              <w:pageBreakBefore w:val="0"/>
              <w:widowControl w:val="0"/>
              <w:kinsoku/>
              <w:wordWrap/>
              <w:overflowPunct/>
              <w:topLinePunct w:val="0"/>
              <w:bidi w:val="0"/>
              <w:adjustRightInd/>
              <w:snapToGrid w:val="0"/>
              <w:spacing w:line="360" w:lineRule="auto"/>
              <w:rPr>
                <w:rFonts w:hAnsi="宋体" w:cs="宋体"/>
                <w:color w:val="auto"/>
                <w:sz w:val="21"/>
                <w:highlight w:val="none"/>
              </w:rPr>
            </w:pPr>
            <w:r>
              <w:rPr>
                <w:rFonts w:hint="eastAsia" w:hAnsi="宋体" w:cs="宋体"/>
                <w:color w:val="auto"/>
                <w:sz w:val="21"/>
                <w:highlight w:val="none"/>
              </w:rPr>
              <w:t>通讯地址：贺州市平安东路绿洲家园B区B-2栋5号商铺2F</w:t>
            </w:r>
          </w:p>
          <w:p w14:paraId="0139072E">
            <w:pPr>
              <w:pStyle w:val="13"/>
              <w:keepNext w:val="0"/>
              <w:keepLines w:val="0"/>
              <w:pageBreakBefore w:val="0"/>
              <w:widowControl w:val="0"/>
              <w:kinsoku/>
              <w:wordWrap/>
              <w:overflowPunct/>
              <w:topLinePunct w:val="0"/>
              <w:bidi w:val="0"/>
              <w:adjustRightInd/>
              <w:snapToGrid w:val="0"/>
              <w:spacing w:line="360" w:lineRule="auto"/>
              <w:rPr>
                <w:rFonts w:hAnsi="宋体" w:cs="宋体"/>
                <w:color w:val="auto"/>
                <w:kern w:val="2"/>
                <w:sz w:val="21"/>
                <w:highlight w:val="none"/>
              </w:rPr>
            </w:pPr>
            <w:r>
              <w:rPr>
                <w:rFonts w:hint="eastAsia" w:hAnsi="宋体" w:cs="宋体"/>
                <w:color w:val="auto"/>
                <w:sz w:val="21"/>
                <w:highlight w:val="none"/>
              </w:rPr>
              <w:t>现场提交质疑办理业务时间： 工作日，上午8:00-12:00；下午15:00-18:00（北京时间）</w:t>
            </w:r>
          </w:p>
        </w:tc>
      </w:tr>
      <w:tr w14:paraId="2CEF4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33F0676">
            <w:pPr>
              <w:keepNext w:val="0"/>
              <w:keepLines w:val="0"/>
              <w:pageBreakBefore w:val="0"/>
              <w:widowControl w:val="0"/>
              <w:kinsoku/>
              <w:wordWrap/>
              <w:overflowPunct/>
              <w:topLinePunct w:val="0"/>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32.1</w:t>
            </w:r>
          </w:p>
        </w:tc>
        <w:tc>
          <w:tcPr>
            <w:tcW w:w="8695" w:type="dxa"/>
            <w:vAlign w:val="center"/>
          </w:tcPr>
          <w:p w14:paraId="1D63D16B">
            <w:pPr>
              <w:pStyle w:val="13"/>
              <w:keepNext w:val="0"/>
              <w:keepLines w:val="0"/>
              <w:pageBreakBefore w:val="0"/>
              <w:widowControl w:val="0"/>
              <w:kinsoku/>
              <w:wordWrap/>
              <w:overflowPunct/>
              <w:topLinePunct w:val="0"/>
              <w:bidi w:val="0"/>
              <w:adjustRightInd/>
              <w:snapToGrid w:val="0"/>
              <w:spacing w:line="360" w:lineRule="auto"/>
              <w:rPr>
                <w:rFonts w:hAnsi="宋体" w:cs="宋体"/>
                <w:color w:val="auto"/>
                <w:sz w:val="21"/>
                <w:highlight w:val="none"/>
              </w:rPr>
            </w:pPr>
            <w:r>
              <w:rPr>
                <w:rFonts w:hint="eastAsia" w:hAnsi="宋体" w:cs="宋体"/>
                <w:color w:val="auto"/>
                <w:sz w:val="21"/>
                <w:highlight w:val="none"/>
              </w:rPr>
              <w:t>1、采购代理服务费支付方式：本项目的招标代理服务费按以下收费标准向成交供应商收取，领取成交通知书前，成交供应商应向采购代理机构一次付清招标代理服务费，否则采购代理机构有权不予以办理。</w:t>
            </w:r>
          </w:p>
          <w:p w14:paraId="2D968E5B">
            <w:pPr>
              <w:pStyle w:val="13"/>
              <w:keepNext w:val="0"/>
              <w:keepLines w:val="0"/>
              <w:pageBreakBefore w:val="0"/>
              <w:widowControl w:val="0"/>
              <w:kinsoku/>
              <w:wordWrap/>
              <w:overflowPunct/>
              <w:topLinePunct w:val="0"/>
              <w:bidi w:val="0"/>
              <w:adjustRightInd/>
              <w:snapToGrid w:val="0"/>
              <w:spacing w:line="360" w:lineRule="auto"/>
              <w:rPr>
                <w:rFonts w:hAnsi="宋体" w:cs="宋体"/>
                <w:color w:val="auto"/>
                <w:sz w:val="21"/>
                <w:highlight w:val="none"/>
              </w:rPr>
            </w:pPr>
            <w:r>
              <w:rPr>
                <w:rFonts w:hint="eastAsia" w:hAnsi="宋体" w:cs="宋体"/>
                <w:color w:val="auto"/>
                <w:sz w:val="21"/>
                <w:highlight w:val="none"/>
              </w:rPr>
              <w:t>2、采购代理服务费收取标准：</w:t>
            </w:r>
          </w:p>
          <w:p w14:paraId="21B936AE">
            <w:pPr>
              <w:pStyle w:val="13"/>
              <w:keepNext w:val="0"/>
              <w:keepLines w:val="0"/>
              <w:pageBreakBefore w:val="0"/>
              <w:widowControl w:val="0"/>
              <w:kinsoku/>
              <w:wordWrap/>
              <w:overflowPunct/>
              <w:topLinePunct w:val="0"/>
              <w:bidi w:val="0"/>
              <w:adjustRightInd/>
              <w:snapToGrid w:val="0"/>
              <w:spacing w:line="360" w:lineRule="auto"/>
              <w:rPr>
                <w:rFonts w:hAnsi="宋体" w:cs="宋体"/>
                <w:color w:val="auto"/>
                <w:sz w:val="21"/>
                <w:highlight w:val="none"/>
                <w:u w:val="single"/>
              </w:rPr>
            </w:pPr>
            <w:r>
              <w:rPr>
                <w:rFonts w:hint="eastAsia" w:hAnsi="宋体" w:cs="宋体"/>
                <w:color w:val="auto"/>
                <w:sz w:val="21"/>
                <w:highlight w:val="none"/>
              </w:rPr>
              <w:t>以成交金额为计费额，按本须知正文第32.2条规定的收费计算标准（货物类）采用差额定率累进法计算出收费基准价格，采购代理服务费收费以（收费基准价格）收取。</w:t>
            </w:r>
          </w:p>
        </w:tc>
      </w:tr>
      <w:tr w14:paraId="41152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C91FB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33.1</w:t>
            </w:r>
          </w:p>
        </w:tc>
        <w:tc>
          <w:tcPr>
            <w:tcW w:w="8695" w:type="dxa"/>
            <w:vAlign w:val="center"/>
          </w:tcPr>
          <w:p w14:paraId="539B3182">
            <w:pPr>
              <w:pStyle w:val="13"/>
              <w:keepNext w:val="0"/>
              <w:keepLines w:val="0"/>
              <w:pageBreakBefore w:val="0"/>
              <w:widowControl w:val="0"/>
              <w:kinsoku/>
              <w:wordWrap/>
              <w:overflowPunct/>
              <w:topLinePunct w:val="0"/>
              <w:bidi w:val="0"/>
              <w:adjustRightInd/>
              <w:snapToGrid w:val="0"/>
              <w:spacing w:line="360" w:lineRule="auto"/>
              <w:rPr>
                <w:rFonts w:hAnsi="宋体" w:cs="宋体"/>
                <w:color w:val="auto"/>
                <w:sz w:val="21"/>
                <w:highlight w:val="none"/>
              </w:rPr>
            </w:pPr>
            <w:r>
              <w:rPr>
                <w:rFonts w:hint="eastAsia" w:hAnsi="宋体" w:cs="宋体"/>
                <w:color w:val="auto"/>
                <w:sz w:val="21"/>
                <w:highlight w:val="none"/>
              </w:rPr>
              <w:t>解释：构成本谈判文件的各个组成文件应互为解释，互为说明；除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14:paraId="4B5D5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5A86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33.2</w:t>
            </w:r>
          </w:p>
        </w:tc>
        <w:tc>
          <w:tcPr>
            <w:tcW w:w="8695" w:type="dxa"/>
            <w:vAlign w:val="center"/>
          </w:tcPr>
          <w:p w14:paraId="189DBFAC">
            <w:pPr>
              <w:pStyle w:val="13"/>
              <w:keepNext w:val="0"/>
              <w:keepLines w:val="0"/>
              <w:pageBreakBefore w:val="0"/>
              <w:widowControl w:val="0"/>
              <w:kinsoku/>
              <w:wordWrap/>
              <w:overflowPunct/>
              <w:topLinePunct w:val="0"/>
              <w:bidi w:val="0"/>
              <w:adjustRightInd/>
              <w:snapToGrid w:val="0"/>
              <w:spacing w:line="360" w:lineRule="auto"/>
              <w:rPr>
                <w:rFonts w:hAnsi="宋体" w:cs="宋体"/>
                <w:color w:val="auto"/>
                <w:sz w:val="21"/>
                <w:highlight w:val="none"/>
              </w:rPr>
            </w:pPr>
            <w:r>
              <w:rPr>
                <w:rFonts w:hint="eastAsia" w:hAnsi="宋体" w:cs="宋体"/>
                <w:color w:val="auto"/>
                <w:sz w:val="21"/>
                <w:highlight w:val="none"/>
              </w:rPr>
              <w:t>1.本谈判文件中描述供应商的“公章”是指根据我国对公章的管理规定，用供应商法定主体行为名称制作的印章（含电子印章），除本谈判文件有特殊规定外，供应商的财务章、部门章、分公司章、工会章、合同章、竞标专用章、业务专用章及银行的转账章、现金收讫章、现金付讫章等其他形式印章均不能代替公章。</w:t>
            </w:r>
          </w:p>
          <w:p w14:paraId="5871411A">
            <w:pPr>
              <w:pStyle w:val="13"/>
              <w:keepNext w:val="0"/>
              <w:keepLines w:val="0"/>
              <w:pageBreakBefore w:val="0"/>
              <w:widowControl w:val="0"/>
              <w:kinsoku/>
              <w:wordWrap/>
              <w:overflowPunct/>
              <w:topLinePunct w:val="0"/>
              <w:bidi w:val="0"/>
              <w:adjustRightInd/>
              <w:snapToGrid w:val="0"/>
              <w:spacing w:line="360" w:lineRule="auto"/>
              <w:rPr>
                <w:rFonts w:hAnsi="宋体" w:cs="宋体"/>
                <w:color w:val="auto"/>
                <w:sz w:val="21"/>
                <w:highlight w:val="none"/>
              </w:rPr>
            </w:pPr>
            <w:r>
              <w:rPr>
                <w:rFonts w:hint="eastAsia" w:hAnsi="宋体" w:cs="宋体"/>
                <w:color w:val="auto"/>
                <w:sz w:val="21"/>
                <w:highlight w:val="none"/>
              </w:rPr>
              <w:t>2.供应商为其他组织或者自然人时，本谈判文件规定的法定代表人指负责人或者自然人。本谈判文件所称负责人是指参加竞标的其他组织</w:t>
            </w:r>
            <w:r>
              <w:rPr>
                <w:rFonts w:hint="eastAsia" w:hAnsi="宋体" w:cs="宋体"/>
                <w:bCs/>
                <w:color w:val="auto"/>
                <w:sz w:val="21"/>
                <w:highlight w:val="none"/>
              </w:rPr>
              <w:t>营业执照或者执业许可证等证照上</w:t>
            </w:r>
            <w:r>
              <w:rPr>
                <w:rFonts w:hint="eastAsia" w:hAnsi="宋体" w:cs="宋体"/>
                <w:color w:val="auto"/>
                <w:sz w:val="21"/>
                <w:highlight w:val="none"/>
              </w:rPr>
              <w:t>的负责人，本谈判文件所称自然人指参与竞标的自然人本人，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0FB43F40">
            <w:pPr>
              <w:pStyle w:val="13"/>
              <w:keepNext w:val="0"/>
              <w:keepLines w:val="0"/>
              <w:pageBreakBefore w:val="0"/>
              <w:widowControl w:val="0"/>
              <w:kinsoku/>
              <w:wordWrap/>
              <w:overflowPunct/>
              <w:topLinePunct w:val="0"/>
              <w:bidi w:val="0"/>
              <w:adjustRightInd/>
              <w:snapToGrid w:val="0"/>
              <w:spacing w:line="360" w:lineRule="auto"/>
              <w:rPr>
                <w:rFonts w:hAnsi="宋体" w:cs="宋体"/>
                <w:color w:val="auto"/>
                <w:sz w:val="21"/>
                <w:highlight w:val="none"/>
              </w:rPr>
            </w:pPr>
            <w:r>
              <w:rPr>
                <w:rFonts w:hint="eastAsia" w:hAnsi="宋体" w:cs="宋体"/>
                <w:color w:val="auto"/>
                <w:sz w:val="21"/>
                <w:highlight w:val="none"/>
              </w:rPr>
              <w:t>3.本谈判文件中描述供应商的“签字”是指供应商的法定代表人或者委托代理人在文件规定签署处签名（含电子签名）的行为，私章、印鉴等其他形式均不能代替签字。</w:t>
            </w:r>
          </w:p>
          <w:p w14:paraId="38CD27B9">
            <w:pPr>
              <w:pStyle w:val="13"/>
              <w:keepNext w:val="0"/>
              <w:keepLines w:val="0"/>
              <w:pageBreakBefore w:val="0"/>
              <w:widowControl w:val="0"/>
              <w:kinsoku/>
              <w:wordWrap/>
              <w:overflowPunct/>
              <w:topLinePunct w:val="0"/>
              <w:bidi w:val="0"/>
              <w:adjustRightInd/>
              <w:snapToGrid w:val="0"/>
              <w:spacing w:line="360" w:lineRule="auto"/>
              <w:rPr>
                <w:rFonts w:hAnsi="宋体" w:cs="宋体"/>
                <w:color w:val="auto"/>
                <w:sz w:val="21"/>
                <w:highlight w:val="none"/>
              </w:rPr>
            </w:pPr>
            <w:r>
              <w:rPr>
                <w:rFonts w:hint="eastAsia" w:hAnsi="宋体" w:cs="宋体"/>
                <w:color w:val="auto"/>
                <w:sz w:val="21"/>
                <w:highlight w:val="none"/>
              </w:rPr>
              <w:t>4.自然人竞标的，谈判文件规定盖章的地方自然人可以加盖手指指印。</w:t>
            </w:r>
          </w:p>
          <w:p w14:paraId="3254BFC2">
            <w:pPr>
              <w:pStyle w:val="13"/>
              <w:keepNext w:val="0"/>
              <w:keepLines w:val="0"/>
              <w:pageBreakBefore w:val="0"/>
              <w:widowControl w:val="0"/>
              <w:kinsoku/>
              <w:wordWrap/>
              <w:overflowPunct/>
              <w:topLinePunct w:val="0"/>
              <w:bidi w:val="0"/>
              <w:adjustRightInd/>
              <w:snapToGrid w:val="0"/>
              <w:spacing w:line="360" w:lineRule="auto"/>
              <w:rPr>
                <w:rFonts w:hAnsi="宋体" w:cs="宋体"/>
                <w:color w:val="auto"/>
                <w:sz w:val="21"/>
                <w:highlight w:val="none"/>
              </w:rPr>
            </w:pPr>
            <w:r>
              <w:rPr>
                <w:rFonts w:hint="eastAsia" w:hAnsi="宋体" w:cs="宋体"/>
                <w:color w:val="auto"/>
                <w:sz w:val="21"/>
                <w:highlight w:val="none"/>
              </w:rPr>
              <w:t>5、本谈判文件所称的“以上”“以下”“以内”“届满”，包括本数；所称的“不满”“超过”“以外”，不包括本数。</w:t>
            </w:r>
          </w:p>
        </w:tc>
      </w:tr>
    </w:tbl>
    <w:p w14:paraId="1CCC20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34D87977">
      <w:pPr>
        <w:spacing w:line="400" w:lineRule="exact"/>
        <w:jc w:val="center"/>
        <w:rPr>
          <w:rFonts w:ascii="宋体" w:hAnsi="宋体" w:cs="宋体"/>
          <w:b/>
          <w:color w:val="auto"/>
          <w:sz w:val="32"/>
          <w:szCs w:val="32"/>
          <w:highlight w:val="none"/>
        </w:rPr>
      </w:pPr>
    </w:p>
    <w:p w14:paraId="50F71EE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一、总则</w:t>
      </w:r>
    </w:p>
    <w:p w14:paraId="3367F11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1.适用范围</w:t>
      </w:r>
    </w:p>
    <w:p w14:paraId="2753350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388D76C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1F540F4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2.定义</w:t>
      </w:r>
    </w:p>
    <w:p w14:paraId="46E519D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65EC029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b/>
          <w:color w:val="auto"/>
          <w:szCs w:val="21"/>
          <w:highlight w:val="none"/>
        </w:rPr>
      </w:pPr>
      <w:r>
        <w:rPr>
          <w:rFonts w:hint="eastAsia" w:ascii="宋体" w:hAnsi="宋体" w:cs="宋体"/>
          <w:color w:val="auto"/>
          <w:szCs w:val="21"/>
          <w:highlight w:val="none"/>
        </w:rPr>
        <w:t>2.2“采购代理机构”</w:t>
      </w:r>
      <w:r>
        <w:rPr>
          <w:rFonts w:hint="eastAsia" w:ascii="宋体" w:hAnsi="宋体" w:cs="宋体"/>
          <w:b/>
          <w:color w:val="auto"/>
          <w:szCs w:val="21"/>
          <w:highlight w:val="none"/>
        </w:rPr>
        <w:t>是指政府采购集中采购机构和集中采购机构以外的采购代理机构。</w:t>
      </w:r>
    </w:p>
    <w:p w14:paraId="47DC1AB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6B3242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36CD2FD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2.5“竞标”是指按照本项目竞争性谈判公告或者邀请函规定的方式供应商获取谈判文件、提交响应文件并希望获得标的的行为。</w:t>
      </w:r>
    </w:p>
    <w:p w14:paraId="50E8478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2.6“售后服务”是指包含但不限于供应商须承担的备品备件、包装、运输、装卸、保险、货到就位以及安装、调试、培训、保修和其他类似的义务。</w:t>
      </w:r>
    </w:p>
    <w:p w14:paraId="79046FD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00D5379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是指：供应商根据本谈判文件要求，编制包含报价、技术和服务等所有内容的文件。</w:t>
      </w:r>
    </w:p>
    <w:p w14:paraId="4271589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2.9 “实质性要求”是指采购需求中带“▲”的条款或者不能负偏离的条款或者已经指明不满足按响应文件按无效响应处理的条款。</w:t>
      </w:r>
    </w:p>
    <w:p w14:paraId="34ABB09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2.10“正偏离”，是指响应文件对谈判文件“采购需求”中有关条款作出优于条款要求并有利于采购人的响应情形；</w:t>
      </w:r>
    </w:p>
    <w:p w14:paraId="5550C12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2.11“负偏离”，是指响应文件对谈判文件“采购需求”中有关条款作出的响应不满足条款要求，导致采购人要求不能得到满足的情形。</w:t>
      </w:r>
    </w:p>
    <w:p w14:paraId="02EBAC3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62A7618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2.13“首次报价”是指供应商提交的首次响应文件中的竞标报价。</w:t>
      </w:r>
    </w:p>
    <w:p w14:paraId="2F06263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contextualSpacing/>
        <w:textAlignment w:val="auto"/>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603CD85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contextualSpacing/>
        <w:textAlignment w:val="auto"/>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3CE3555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4.竞标费用</w:t>
      </w:r>
    </w:p>
    <w:p w14:paraId="412B270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2C7C5BF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78D68D6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5D4A936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14:paraId="39AF270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5.3</w:t>
      </w:r>
      <w:bookmarkStart w:id="17" w:name="_Hlk65857072"/>
      <w:r>
        <w:rPr>
          <w:rFonts w:hint="eastAsia" w:ascii="宋体" w:hAnsi="宋体" w:cs="宋体"/>
          <w:color w:val="auto"/>
          <w:szCs w:val="21"/>
          <w:highlight w:val="none"/>
        </w:rPr>
        <w:t>根据《政府采购促进中小企业发展管理办法》（财库〔2020〕46号）第九条第二款和《广西壮族自治区财政厅关于进一步发挥政府采购政策功能促进企业发展的通知》（桂财采〔2022〕30号）第四条第一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bookmarkEnd w:id="17"/>
    </w:p>
    <w:p w14:paraId="6693FDD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5A489AC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bookmarkStart w:id="18" w:name="_Toc254970673"/>
      <w:bookmarkStart w:id="19" w:name="_Toc254970532"/>
      <w:r>
        <w:rPr>
          <w:rFonts w:hint="eastAsia" w:ascii="宋体" w:hAnsi="宋体" w:cs="宋体"/>
          <w:color w:val="auto"/>
          <w:szCs w:val="21"/>
          <w:highlight w:val="none"/>
        </w:rPr>
        <w:t>6.1本项目不允许转包。</w:t>
      </w:r>
    </w:p>
    <w:p w14:paraId="278789D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5F747D8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6.3供应商根据谈判文件的规定和采购项目的实际情况，拟在成交后将成交项目的非主体、非关键性工作分包的，应当在响应文件中载明分包承担主体，分包承担主体应当具备相应资质条件且不得再次分包。</w:t>
      </w:r>
    </w:p>
    <w:p w14:paraId="6A6AE10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7.特别说明</w:t>
      </w:r>
      <w:bookmarkEnd w:id="18"/>
      <w:bookmarkEnd w:id="19"/>
    </w:p>
    <w:p w14:paraId="0AF7380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bookmarkStart w:id="20" w:name="_8.1提供相同品牌产品且通过资格审查、符合性审查的不同投标人参加同一合"/>
      <w:bookmarkEnd w:id="20"/>
      <w:r>
        <w:rPr>
          <w:rFonts w:hint="eastAsia" w:ascii="宋体" w:hAnsi="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14:paraId="37F1B0F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7.2供应商应仔细阅读谈判文件的所有内容，按照谈判文件的要求提交响应文件，并对所提供的全部资料的真实性承担法律责任。</w:t>
      </w:r>
    </w:p>
    <w:p w14:paraId="6764DF3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7.3供应商在竞标活动中提供任何虚假材料,其响应文件按无效响应处理，并报监管部门查处；签订合同后发现的,成交供应商须依法赔偿采购人，且民事赔偿并不免除违法供应商的行政与刑事责任。</w:t>
      </w:r>
    </w:p>
    <w:p w14:paraId="25ADF63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3954BC9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0C7131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7E611B6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20DB7FE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047A02B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F66D4E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D85519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0CE84FD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3DA1070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2BE8A3B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66376AD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651234E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4A87906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（6）不同供应商的谈判保证金从同一单位或者个人账户转出。</w:t>
      </w:r>
    </w:p>
    <w:p w14:paraId="460C965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w:t>
      </w:r>
      <w:bookmarkStart w:id="21" w:name="_Hlk54682620"/>
      <w:r>
        <w:rPr>
          <w:rFonts w:hint="eastAsia" w:ascii="宋体" w:hAnsi="宋体" w:cs="宋体"/>
          <w:color w:val="auto"/>
          <w:szCs w:val="21"/>
          <w:highlight w:val="none"/>
        </w:rPr>
        <w:t>，将报同级监督管理部门</w:t>
      </w:r>
      <w:bookmarkEnd w:id="21"/>
      <w:r>
        <w:rPr>
          <w:rFonts w:hint="eastAsia" w:ascii="宋体" w:hAnsi="宋体" w:cs="宋体"/>
          <w:color w:val="auto"/>
          <w:szCs w:val="21"/>
          <w:highlight w:val="none"/>
        </w:rPr>
        <w:t>：</w:t>
      </w:r>
    </w:p>
    <w:p w14:paraId="02F1D50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6036EE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078E6C1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3DFEAC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EB3BB4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50ABCA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013311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79604472">
      <w:pPr>
        <w:spacing w:line="520" w:lineRule="exact"/>
        <w:ind w:left="1" w:firstLine="417" w:firstLineChars="199"/>
        <w:jc w:val="center"/>
        <w:rPr>
          <w:rFonts w:ascii="宋体" w:hAnsi="宋体" w:cs="宋体"/>
          <w:color w:val="auto"/>
          <w:highlight w:val="none"/>
        </w:rPr>
      </w:pPr>
      <w:bookmarkStart w:id="22" w:name="_Toc254970675"/>
      <w:bookmarkStart w:id="23" w:name="_Toc254970534"/>
    </w:p>
    <w:p w14:paraId="155D15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rPr>
        <w:t>二、谈判文件</w:t>
      </w:r>
      <w:bookmarkEnd w:id="22"/>
      <w:bookmarkEnd w:id="23"/>
    </w:p>
    <w:p w14:paraId="3783D6C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8.谈判文件的构成</w:t>
      </w:r>
    </w:p>
    <w:p w14:paraId="64757A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（1）竞争性谈判公告；</w:t>
      </w:r>
    </w:p>
    <w:p w14:paraId="34D9BA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（2）供应商须知； </w:t>
      </w:r>
    </w:p>
    <w:p w14:paraId="40B4A9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（3）采购需求；</w:t>
      </w:r>
    </w:p>
    <w:p w14:paraId="184AEF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（4）响应文件格式；</w:t>
      </w:r>
    </w:p>
    <w:p w14:paraId="74A8CE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（5）合同文本；</w:t>
      </w:r>
    </w:p>
    <w:p w14:paraId="29AC4D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（6）评审程序和评定成交的标准；</w:t>
      </w:r>
    </w:p>
    <w:p w14:paraId="22FAF42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68966F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供应商应认真阅读谈判文件的采购需求，如供应商对谈判文件有疑问的，如要求采购人作出澄清或者修改的，供应商尽可能在提交首次响应文件截止之日前，以纸质书面形式向采购人、采购代理机构提出，否则，由此产生的后果由供应商自行负责。</w:t>
      </w:r>
    </w:p>
    <w:p w14:paraId="6DD69AF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10.谈判文件的澄清和修改</w:t>
      </w:r>
    </w:p>
    <w:p w14:paraId="38467A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10.1提交首次响应文件截止之日前，采购人、采购代理机构或者谈判小组可以对已发出的谈判文件进行必要的澄清或者修改，澄清或者修改的内容作为谈判文件的组成部分。澄清或者修改将在原公告发布媒体上发布更正公告。澄清或者修改的内容可能影响响应文件编制的，采购人、采购代理机构或者谈判小组应当在提交首次响应文件截止之日3个工作日前，在原公告发布媒体上发布更正公告；不足3个工作日的，应当顺延提交首次响应文件截止之日。</w:t>
      </w:r>
    </w:p>
    <w:p w14:paraId="5EE072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highlight w:val="none"/>
        </w:rPr>
        <w:t>10.2采购人和采购代理机构可以视采购具体情况，变更</w:t>
      </w:r>
      <w:r>
        <w:rPr>
          <w:rFonts w:hint="eastAsia" w:ascii="宋体" w:hAnsi="宋体" w:cs="宋体"/>
          <w:color w:val="auto"/>
          <w:szCs w:val="21"/>
          <w:highlight w:val="none"/>
        </w:rPr>
        <w:t>首次响应文件提交截止时间</w:t>
      </w:r>
      <w:r>
        <w:rPr>
          <w:rFonts w:hint="eastAsia" w:ascii="宋体" w:hAnsi="宋体" w:cs="宋体"/>
          <w:color w:val="auto"/>
          <w:highlight w:val="none"/>
        </w:rPr>
        <w:t>，并</w:t>
      </w:r>
      <w:r>
        <w:rPr>
          <w:rFonts w:hint="eastAsia" w:ascii="宋体" w:hAnsi="宋体" w:cs="宋体"/>
          <w:color w:val="auto"/>
          <w:szCs w:val="21"/>
          <w:highlight w:val="none"/>
        </w:rPr>
        <w:t>在原公告发布媒体上发布更正公告。</w:t>
      </w:r>
    </w:p>
    <w:p w14:paraId="50E356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10.3</w:t>
      </w:r>
      <w:r>
        <w:rPr>
          <w:rFonts w:hint="eastAsia" w:ascii="宋体" w:hAnsi="宋体" w:cs="宋体"/>
          <w:color w:val="auto"/>
          <w:szCs w:val="21"/>
          <w:highlight w:val="none"/>
        </w:rPr>
        <w:t>谈判文件澄清、答复、修改、补充的内容为谈判文件的组成部分。</w:t>
      </w:r>
      <w:r>
        <w:rPr>
          <w:rFonts w:hint="eastAsia" w:ascii="宋体" w:hAnsi="宋体" w:cs="宋体"/>
          <w:b/>
          <w:color w:val="auto"/>
          <w:szCs w:val="21"/>
          <w:highlight w:val="none"/>
        </w:rPr>
        <w:t>当谈判文件与谈判文件的澄清、答复、修改、补充通知就同一内容的表述不一致时，以最后发出的文件为准。</w:t>
      </w:r>
    </w:p>
    <w:p w14:paraId="7679E7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highlight w:val="none"/>
        </w:rPr>
        <w:t>10.4</w:t>
      </w:r>
      <w:r>
        <w:rPr>
          <w:rFonts w:hint="eastAsia" w:ascii="宋体" w:hAnsi="宋体" w:cs="宋体"/>
          <w:b/>
          <w:color w:val="auto"/>
          <w:szCs w:val="21"/>
          <w:highlight w:val="none"/>
        </w:rPr>
        <w:t>响应文件未按谈判文件的澄清、修改后的内容编制的，其响应文件作无效响应处理。</w:t>
      </w:r>
    </w:p>
    <w:p w14:paraId="3DFA0F86">
      <w:pPr>
        <w:spacing w:line="520" w:lineRule="exact"/>
        <w:rPr>
          <w:rFonts w:ascii="宋体" w:hAnsi="宋体" w:cs="宋体"/>
          <w:color w:val="auto"/>
          <w:szCs w:val="21"/>
          <w:highlight w:val="none"/>
        </w:rPr>
      </w:pPr>
    </w:p>
    <w:p w14:paraId="5913A3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auto"/>
          <w:szCs w:val="21"/>
          <w:highlight w:val="none"/>
        </w:rPr>
      </w:pPr>
      <w:r>
        <w:rPr>
          <w:rFonts w:hint="eastAsia" w:ascii="宋体" w:hAnsi="宋体" w:cs="宋体"/>
          <w:b/>
          <w:color w:val="auto"/>
          <w:sz w:val="32"/>
          <w:szCs w:val="32"/>
          <w:highlight w:val="none"/>
        </w:rPr>
        <w:t>三、响应文件的编制</w:t>
      </w:r>
    </w:p>
    <w:p w14:paraId="15FE075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230418A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31BDFAC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1EF59C5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14:paraId="4B3C6F8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49F6FF6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12.1.2报价商务技术文件：详见“供应商须知前附表”</w:t>
      </w:r>
    </w:p>
    <w:p w14:paraId="6FCD2F2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13.计量单位</w:t>
      </w:r>
    </w:p>
    <w:p w14:paraId="1F00DE1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52E017D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3BE91B4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供应商没有按照谈判文件要求提供全部资料，或者供应商没有对谈判文件在各方面作出实质性响应可能导致其响应文件按无效响应处理，是供应商应当考虑的风险。</w:t>
      </w:r>
    </w:p>
    <w:p w14:paraId="72F7F9D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15.竞标报价</w:t>
      </w:r>
    </w:p>
    <w:p w14:paraId="36F277F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14:paraId="19E2CC0A">
      <w:pPr>
        <w:keepNext w:val="0"/>
        <w:keepLines w:val="0"/>
        <w:pageBreakBefore w:val="0"/>
        <w:tabs>
          <w:tab w:val="left" w:pos="2492"/>
        </w:tabs>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14:paraId="1184787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15.3竞标报价要求</w:t>
      </w:r>
    </w:p>
    <w:p w14:paraId="461B252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14:paraId="4CC76FC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39A7D6F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62D0F3E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240DDAB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15.3.2最后报价超过所竞标分标规定的采购预算金额或者最高限价的，其响应文件将按无效响应处理。</w:t>
      </w:r>
    </w:p>
    <w:p w14:paraId="6C37967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2EDDFCC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8BE67D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AD82D9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3C71F02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17.谈判保证金</w:t>
      </w:r>
    </w:p>
    <w:p w14:paraId="6B62945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17.1供应商须按“供应商须知前附表”的规定提交谈判保证金。</w:t>
      </w:r>
    </w:p>
    <w:p w14:paraId="14D5BE7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17.2谈判保证金的退还</w:t>
      </w:r>
    </w:p>
    <w:p w14:paraId="7E84797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根据《广西壮族自治区财政厅关于进一步发挥政府采购政策功能促进企业发展的通知》（桂财采〔2022〕30号）第一条第五款的规定，未</w:t>
      </w:r>
      <w:r>
        <w:rPr>
          <w:rFonts w:hint="eastAsia" w:ascii="宋体" w:hAnsi="宋体" w:cs="宋体"/>
          <w:color w:val="auto"/>
          <w:spacing w:val="-6"/>
          <w:szCs w:val="21"/>
          <w:highlight w:val="none"/>
        </w:rPr>
        <w:t>成交供应商的谈判保证金自成交通知书发出之日起</w:t>
      </w:r>
      <w:r>
        <w:rPr>
          <w:rFonts w:hint="eastAsia" w:ascii="宋体" w:hAnsi="宋体" w:cs="宋体"/>
          <w:color w:val="auto"/>
          <w:spacing w:val="-6"/>
          <w:szCs w:val="21"/>
          <w:highlight w:val="none"/>
          <w:lang w:val="en-US" w:eastAsia="zh-CN"/>
        </w:rPr>
        <w:t>5</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；成交供应商的谈判保证金自签订合同之日起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个工作日内退还。 </w:t>
      </w:r>
    </w:p>
    <w:p w14:paraId="1FCE64B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17.3谈判保证金不计息。</w:t>
      </w:r>
    </w:p>
    <w:p w14:paraId="184C820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17.4供应商有下列情形之一的，竞谈判保证金将不予退还： </w:t>
      </w:r>
    </w:p>
    <w:p w14:paraId="4AE11D0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（1）供应商在提交首次响应文件截止时间后撤回响应文件的；</w:t>
      </w:r>
    </w:p>
    <w:p w14:paraId="4965270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01609E4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155999B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（4）除因不可抗力或者谈判文件认可的情形以外，成交供应商不与采购人签订合同的；</w:t>
      </w:r>
    </w:p>
    <w:p w14:paraId="43317F2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3717784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078D929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18. 响应文件编制的要求</w:t>
      </w:r>
    </w:p>
    <w:p w14:paraId="7CD865F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18.1供应商应按本谈判文件规定的格式和顺序编制、装订响应文件并标注页码，响应文件内容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pacing w:val="-6"/>
          <w:szCs w:val="21"/>
          <w:highlight w:val="none"/>
        </w:rPr>
        <w:t>后果由供应商承担。</w:t>
      </w:r>
    </w:p>
    <w:p w14:paraId="279F9C0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18.2响应文件应按资格证明文件、报价商务技术文件分别编制电子文件，并按广西政府采购云平台的要求编制、加密、上传。</w:t>
      </w:r>
    </w:p>
    <w:p w14:paraId="29AF1D8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18.</w:t>
      </w:r>
      <w:bookmarkStart w:id="24" w:name="_Hlk65832699"/>
      <w:r>
        <w:rPr>
          <w:rFonts w:hint="eastAsia" w:ascii="宋体" w:hAnsi="宋体" w:cs="宋体"/>
          <w:color w:val="auto"/>
          <w:szCs w:val="21"/>
          <w:highlight w:val="none"/>
        </w:rPr>
        <w:t>3响应文件须由供应商在规定位置盖公章并签字</w:t>
      </w:r>
      <w:bookmarkStart w:id="25" w:name="_Hlk65832569"/>
      <w:r>
        <w:rPr>
          <w:rFonts w:hint="eastAsia" w:ascii="宋体" w:hAnsi="宋体" w:cs="宋体"/>
          <w:color w:val="auto"/>
          <w:szCs w:val="21"/>
          <w:highlight w:val="none"/>
        </w:rPr>
        <w:t>（具体以供应商须知前附表或响应文件格式规定为准）</w:t>
      </w:r>
      <w:bookmarkEnd w:id="24"/>
      <w:bookmarkEnd w:id="25"/>
      <w:r>
        <w:rPr>
          <w:rFonts w:hint="eastAsia" w:ascii="宋体" w:hAnsi="宋体" w:cs="宋体"/>
          <w:color w:val="auto"/>
          <w:szCs w:val="21"/>
          <w:highlight w:val="none"/>
        </w:rPr>
        <w:t>，否则其响应文件按无效响应处理。</w:t>
      </w:r>
    </w:p>
    <w:p w14:paraId="03CF113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18.4响应文件中标注的供应商名称应与营业执照（事业单位法人证书、执业许可证、自然人身份证）及公章一致，否则其响应文件按无效响应处理。</w:t>
      </w:r>
    </w:p>
    <w:p w14:paraId="1BA3E07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33B5696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19.响应文件的加密、解密</w:t>
      </w:r>
    </w:p>
    <w:p w14:paraId="4BAA976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19.1电子响应文件编制完成后，供应商应按广西政府采购云平台的要求进行加密，并在规定时间内解密，否则，由此产生的后果由供应商自行负责。</w:t>
      </w:r>
    </w:p>
    <w:p w14:paraId="4E0D22A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1837BCE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b/>
          <w:color w:val="auto"/>
          <w:szCs w:val="21"/>
          <w:highlight w:val="none"/>
        </w:rPr>
      </w:pPr>
      <w:r>
        <w:rPr>
          <w:rFonts w:hint="eastAsia" w:ascii="宋体" w:hAnsi="宋体" w:cs="宋体"/>
          <w:color w:val="auto"/>
          <w:szCs w:val="21"/>
          <w:highlight w:val="none"/>
        </w:rPr>
        <w:t>20.2本项目为全流程电子化政府采购项目，通过广西政府采购云平台（https://www.gcy.zfcg.gxzf.gov.cn/）实行在线电子竞标，供应商应先安装“广西政府采购云平台电子交易客户端”（请自行前往广西政府采购云平台平台进行下载），并按照本项目竞争性谈判文件和广西政府采购云平台的要求编制、加密后在首次响应文件提交截止时间前通过网络上传至广西政府采购云平台，</w:t>
      </w:r>
      <w:r>
        <w:rPr>
          <w:rFonts w:hint="eastAsia" w:ascii="宋体" w:hAnsi="宋体" w:cs="宋体"/>
          <w:b/>
          <w:color w:val="auto"/>
          <w:szCs w:val="21"/>
          <w:highlight w:val="none"/>
        </w:rPr>
        <w:t>供应商在广西政府采购云平台提交电子版响应文件时，请填写参加远程开标活动经办人联系方式。</w:t>
      </w:r>
    </w:p>
    <w:p w14:paraId="0781522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20.3未在规定时间内上传或者未按广西政府采购云平台的要求编制、加密的电子响应文件，广西政府采购云平台将拒收。</w:t>
      </w:r>
    </w:p>
    <w:p w14:paraId="0D2CCA7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20.4电子响应文件提交方式见“竞争性谈判公告”中“四、响应文件提交”。</w:t>
      </w:r>
    </w:p>
    <w:p w14:paraId="1A6CEA8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3A88F8A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bCs/>
          <w:color w:val="auto"/>
          <w:szCs w:val="21"/>
          <w:highlight w:val="none"/>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38B3D19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22.首次响应文件的退回</w:t>
      </w:r>
    </w:p>
    <w:p w14:paraId="788C957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14BBCA5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14:paraId="64BA3DD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23.1供应商在首次响应文件提交截止时间后书面通知采购人、采购代理机构书面撤回响应文件的，将根据本须知正文17.4的规定不予退还其竞标保证金。</w:t>
      </w:r>
    </w:p>
    <w:p w14:paraId="27F69DA4">
      <w:pPr>
        <w:spacing w:line="520" w:lineRule="exact"/>
        <w:ind w:firstLine="420" w:firstLineChars="200"/>
        <w:rPr>
          <w:rFonts w:ascii="宋体" w:hAnsi="宋体" w:cs="宋体"/>
          <w:color w:val="auto"/>
          <w:szCs w:val="21"/>
          <w:highlight w:val="none"/>
        </w:rPr>
      </w:pPr>
    </w:p>
    <w:p w14:paraId="34E97C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rPr>
        <w:t>四、评审及谈判</w:t>
      </w:r>
    </w:p>
    <w:p w14:paraId="68D1DF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24.谈判小组成立</w:t>
      </w:r>
    </w:p>
    <w:p w14:paraId="401036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24.1竞争性谈判小组成立：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4D02EB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5ECE8ED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25. 首次响应文件的开启</w:t>
      </w:r>
    </w:p>
    <w:p w14:paraId="3C9ECE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25.1首次响应文件由谈判小组或者采购代理机构在“供应商须知前附表”规定的时间开启。</w:t>
      </w:r>
    </w:p>
    <w:p w14:paraId="3F86C0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响应文件未按时解密的，视为响应文件无效。</w:t>
      </w:r>
      <w:r>
        <w:rPr>
          <w:rFonts w:hint="eastAsia" w:ascii="宋体" w:hAnsi="宋体" w:cs="宋体"/>
          <w:color w:val="auto"/>
          <w:szCs w:val="21"/>
          <w:highlight w:val="none"/>
        </w:rPr>
        <w:t>（解密异常情况处理：详见本章26.2电子交易活动的中止。）</w:t>
      </w:r>
    </w:p>
    <w:p w14:paraId="1CFAAC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25.3成功解密响应文件的供应商不足3家的，不得谈判。</w:t>
      </w:r>
    </w:p>
    <w:p w14:paraId="3BFCC77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26. 评审程序和评定成交的标准</w:t>
      </w:r>
    </w:p>
    <w:p w14:paraId="043F2B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26.1谈判小组按照“第四章  评审程序和评定成交的标准”规定的评审程序对响应文件进行评审，并按照评定成交的标准推荐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确定</w:t>
      </w:r>
      <w:r>
        <w:rPr>
          <w:rFonts w:hint="eastAsia" w:ascii="宋体" w:hAnsi="宋体" w:cs="宋体"/>
          <w:color w:val="auto"/>
          <w:szCs w:val="21"/>
          <w:highlight w:val="none"/>
        </w:rPr>
        <w:t>成交候选供应商。</w:t>
      </w:r>
    </w:p>
    <w:p w14:paraId="2E082C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26.2电子交易活动的中止。采购过程中出现以下情形，导致电子交易平台无法正常运行，或者无法保证电子交易的公平、公正和安全时，采购机构可中止电子交易活动：</w:t>
      </w:r>
    </w:p>
    <w:p w14:paraId="70FB0D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790519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1EBAA0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0E1403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51E982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（4）其他无法保证电子交易的公平、公正和安全的情况。</w:t>
      </w:r>
    </w:p>
    <w:p w14:paraId="5F37BD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26.3出现以上情形，不影响采购公平、公正性的，采购代理机构可以待上述情形消除后继续组织电子交易活动；影响或可能影响采购公平、公正性的，经采购代理机构确认后，应当重新采购。</w:t>
      </w:r>
    </w:p>
    <w:p w14:paraId="3F83DC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10535D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27.1 本项目采购人授权谈判小组直接确定成交供应商，谈判小组从评审报告提出的成交候选人中，根据质量和服务均能满足采购文件实质性响应要求且最后报价最低的原则确定成交供应商。</w:t>
      </w:r>
    </w:p>
    <w:p w14:paraId="1BC938C8">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27.2采购代理机构应当在成交供应商确定后2个工作日内，在省级以上财政部门指定的媒体上公告成交结果，同时向成交供应商发出成交通知书。</w:t>
      </w:r>
      <w:r>
        <w:rPr>
          <w:rFonts w:hint="eastAsia" w:ascii="宋体" w:hAnsi="宋体" w:cs="宋体"/>
          <w:b/>
          <w:color w:val="auto"/>
          <w:kern w:val="0"/>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kern w:val="0"/>
          <w:szCs w:val="21"/>
          <w:highlight w:val="none"/>
        </w:rPr>
        <w:t>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14:paraId="4512B3B5">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27.3出现下列情形之一的，采购人或者采购代理机构应当终止竞争性谈判采购活动，发布项目终止公告并说明原因，重新开展采购活动：</w:t>
      </w:r>
    </w:p>
    <w:p w14:paraId="61849B69">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（一）因情况变化，不再符合规定的竞争性谈判采购方式适用情形的；</w:t>
      </w:r>
    </w:p>
    <w:p w14:paraId="630AAE7A">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（二）出现影响采购公正的违法、违规行为的；</w:t>
      </w:r>
    </w:p>
    <w:p w14:paraId="5ECACD6B">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（三）在采购过程中符合竞争要求的供应商或者报价未超过采购预算的供应商不足3家的，但“第四章 评审程序和评定成交的标准”第3.7条规定的情形除外。</w:t>
      </w:r>
    </w:p>
    <w:p w14:paraId="22D98D81">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27.4在采购活动中因重大变故，采购任务取消的，采购人或者采购代理机构应当终止采购活动，通知所有参加采购活动的供应商。</w:t>
      </w:r>
    </w:p>
    <w:p w14:paraId="29122619">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bCs/>
          <w:color w:val="auto"/>
          <w:szCs w:val="21"/>
          <w:highlight w:val="none"/>
        </w:rPr>
        <w:t>27.5</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1AE866D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49A3EDC2">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highlight w:val="none"/>
        </w:rPr>
      </w:pPr>
      <w:r>
        <w:rPr>
          <w:rFonts w:hint="eastAsia" w:ascii="宋体" w:hAnsi="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w:t>
      </w:r>
    </w:p>
    <w:p w14:paraId="7E5ACC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28.2在履约保证金退还日期前，若成交供应商的开户名称、开户银行、帐号有变动的，请以书面形式通知履约保证金收取单位，否则由此产生的后果由成交供应商自负。</w:t>
      </w:r>
    </w:p>
    <w:p w14:paraId="6DD542A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29.签订合同</w:t>
      </w:r>
    </w:p>
    <w:p w14:paraId="149221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29.1成交供应商在收到成交通知书（书面或电子）后，按“供应商须知前附表”规定向采购人出示相关证明材料，经采购人核验合格后方可签订合同（书面或电子）。如成交供应商为联合体的，联合体各方应当共同与采购人签订采购合同，就采购合同约定的事项对采购人承担连带责任。</w:t>
      </w:r>
    </w:p>
    <w:p w14:paraId="60CAC6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29.2 签订合同时间：按成交通知书的规定与采购人签订政府采购合同（最长不能超过25日）</w:t>
      </w:r>
    </w:p>
    <w:p w14:paraId="44FC9C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29.3成交供应商拒绝与采购人签订合同的，按照本须知正文第27.5条的规定执行。</w:t>
      </w:r>
    </w:p>
    <w:p w14:paraId="28C09F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293B0F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B519D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1670FE2C">
      <w:pPr>
        <w:pStyle w:val="6"/>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ascii="宋体" w:hAnsi="宋体" w:cs="宋体"/>
          <w:color w:val="auto"/>
          <w:szCs w:val="21"/>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szCs w:val="21"/>
          <w:highlight w:val="none"/>
        </w:rPr>
        <w:t>但答复的内容不得涉及商业秘密。</w:t>
      </w:r>
    </w:p>
    <w:p w14:paraId="62345E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31.2供应商认为谈判文件、采购过程或者成交结果使自己的合法权益受到损害的，应当在知道或者应知其权益受到损害之日起7个工作日内，以纸质书面形式向采购人、采购代理机构提出质疑，</w:t>
      </w:r>
      <w:r>
        <w:rPr>
          <w:rFonts w:hint="eastAsia" w:ascii="宋体" w:hAnsi="宋体" w:cs="宋体"/>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14:paraId="2DD006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（1）对可以质疑的谈判文件提出质疑的，为获取谈判文件之日；</w:t>
      </w:r>
    </w:p>
    <w:p w14:paraId="29A95E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7BE692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6A10CE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A6070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31.4供应商提出质疑应当提交质疑函和必要的证明材料，针对同一采购程序环节的质疑必须在法定质疑期内一次性提出。质疑函应当包括下列内容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17AF65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7696D1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（2）质疑项目的名称、编号；</w:t>
      </w:r>
    </w:p>
    <w:p w14:paraId="297AEB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399AD1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（4）事实依据；</w:t>
      </w:r>
    </w:p>
    <w:p w14:paraId="50F2D0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（5）必要的法律依据；</w:t>
      </w:r>
    </w:p>
    <w:p w14:paraId="542D83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（6）提出质疑的日期。</w:t>
      </w:r>
    </w:p>
    <w:p w14:paraId="127324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E4B82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7539B3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14:paraId="0611E8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43D6A6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61B70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bCs/>
          <w:color w:val="auto"/>
          <w:szCs w:val="21"/>
          <w:highlight w:val="none"/>
        </w:rPr>
      </w:pPr>
      <w:r>
        <w:rPr>
          <w:rFonts w:hint="eastAsia" w:ascii="宋体" w:hAnsi="宋体" w:cs="宋体"/>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FD2A19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32.其他内容</w:t>
      </w:r>
    </w:p>
    <w:p w14:paraId="2E4C1A0A">
      <w:pPr>
        <w:keepNext w:val="0"/>
        <w:keepLines w:val="0"/>
        <w:pageBreakBefore w:val="0"/>
        <w:widowControl w:val="0"/>
        <w:tabs>
          <w:tab w:val="left" w:pos="2835"/>
        </w:tabs>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32.1代理服务费：代理服务收取标准及缴费账户详见“供应商须知前附表”，供应商为联合体的，可以由联合体中的一方或者多方共同交纳代理服务费。</w:t>
      </w:r>
    </w:p>
    <w:p w14:paraId="14A082A2">
      <w:pPr>
        <w:keepNext w:val="0"/>
        <w:keepLines w:val="0"/>
        <w:pageBreakBefore w:val="0"/>
        <w:widowControl w:val="0"/>
        <w:tabs>
          <w:tab w:val="left" w:pos="2835"/>
        </w:tabs>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32.2代理服务费收费计算标准：</w:t>
      </w:r>
    </w:p>
    <w:tbl>
      <w:tblPr>
        <w:tblStyle w:val="2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8"/>
        <w:gridCol w:w="1659"/>
        <w:gridCol w:w="1532"/>
        <w:gridCol w:w="1546"/>
      </w:tblGrid>
      <w:tr w14:paraId="0E1A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tcBorders>
              <w:tl2br w:val="single" w:color="auto" w:sz="4" w:space="0"/>
            </w:tcBorders>
          </w:tcPr>
          <w:p w14:paraId="2777AFF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74DA0EF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0EC69B10">
            <w:pPr>
              <w:keepNext w:val="0"/>
              <w:keepLines w:val="0"/>
              <w:pageBreakBefore w:val="0"/>
              <w:widowControl w:val="0"/>
              <w:kinsoku/>
              <w:wordWrap/>
              <w:overflowPunct/>
              <w:topLinePunct w:val="0"/>
              <w:autoSpaceDE/>
              <w:autoSpaceDN/>
              <w:bidi w:val="0"/>
              <w:adjustRightInd/>
              <w:snapToGrid/>
              <w:spacing w:line="360" w:lineRule="auto"/>
              <w:ind w:firstLine="105" w:firstLineChars="50"/>
              <w:jc w:val="center"/>
              <w:textAlignment w:val="auto"/>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2C0407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28F0CC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工程类</w:t>
            </w:r>
          </w:p>
        </w:tc>
      </w:tr>
      <w:tr w14:paraId="704E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tcPr>
          <w:p w14:paraId="3758A57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665443F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5774F44F">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7040A0EF">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4C0F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tcPr>
          <w:p w14:paraId="2C9ECB6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623EFC38">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0B80A904">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07868242">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51F1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tcPr>
          <w:p w14:paraId="64CFBE3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75EC0A6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5BC1FBBE">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676C5BDE">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color w:val="auto"/>
                <w:szCs w:val="21"/>
                <w:highlight w:val="none"/>
              </w:rPr>
            </w:pPr>
            <w:r>
              <w:rPr>
                <w:rFonts w:hint="eastAsia" w:ascii="宋体" w:hAnsi="宋体" w:cs="宋体"/>
                <w:color w:val="auto"/>
                <w:kern w:val="0"/>
                <w:szCs w:val="21"/>
                <w:highlight w:val="none"/>
              </w:rPr>
              <w:t>0.55%</w:t>
            </w:r>
          </w:p>
        </w:tc>
      </w:tr>
      <w:tr w14:paraId="7ADA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tcPr>
          <w:p w14:paraId="7716DDF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508A6243">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4CB863EB">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454B51B3">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3A51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tcPr>
          <w:p w14:paraId="527F21C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5DB0628C">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2026AFA2">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24BE2200">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color w:val="auto"/>
                <w:szCs w:val="21"/>
                <w:highlight w:val="none"/>
              </w:rPr>
            </w:pPr>
            <w:r>
              <w:rPr>
                <w:rFonts w:hint="eastAsia" w:ascii="宋体" w:hAnsi="宋体" w:cs="宋体"/>
                <w:color w:val="auto"/>
                <w:kern w:val="0"/>
                <w:szCs w:val="21"/>
                <w:highlight w:val="none"/>
              </w:rPr>
              <w:t>0.2%</w:t>
            </w:r>
          </w:p>
        </w:tc>
      </w:tr>
      <w:tr w14:paraId="26C6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tcPr>
          <w:p w14:paraId="32DEBCF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11EF9B8A">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2EB2490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617F43F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54A9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tcPr>
          <w:p w14:paraId="4FD37E1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58CC0C79">
            <w:pPr>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6D2E408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21FB9963">
            <w:pPr>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ascii="宋体" w:hAnsi="宋体" w:cs="宋体"/>
                <w:color w:val="auto"/>
                <w:szCs w:val="21"/>
                <w:highlight w:val="none"/>
              </w:rPr>
            </w:pPr>
            <w:r>
              <w:rPr>
                <w:rFonts w:hint="eastAsia" w:ascii="宋体" w:hAnsi="宋体" w:cs="宋体"/>
                <w:color w:val="auto"/>
                <w:szCs w:val="21"/>
                <w:highlight w:val="none"/>
              </w:rPr>
              <w:t>0.035%</w:t>
            </w:r>
          </w:p>
        </w:tc>
      </w:tr>
      <w:tr w14:paraId="0DC0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tcPr>
          <w:p w14:paraId="6A8D827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1D89E755">
            <w:pPr>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7D7053C4">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739AF05F">
            <w:pPr>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ascii="宋体" w:hAnsi="宋体" w:cs="宋体"/>
                <w:color w:val="auto"/>
                <w:szCs w:val="21"/>
                <w:highlight w:val="none"/>
              </w:rPr>
            </w:pPr>
            <w:r>
              <w:rPr>
                <w:rFonts w:hint="eastAsia" w:ascii="宋体" w:hAnsi="宋体" w:cs="宋体"/>
                <w:color w:val="auto"/>
                <w:szCs w:val="21"/>
                <w:highlight w:val="none"/>
              </w:rPr>
              <w:t>0.008%</w:t>
            </w:r>
          </w:p>
        </w:tc>
      </w:tr>
      <w:tr w14:paraId="5CBE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tcPr>
          <w:p w14:paraId="3F05E9B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44BE7DF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526DD880">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480C1225">
            <w:pPr>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ascii="宋体" w:hAnsi="宋体" w:cs="宋体"/>
                <w:color w:val="auto"/>
                <w:szCs w:val="21"/>
                <w:highlight w:val="none"/>
              </w:rPr>
            </w:pPr>
            <w:r>
              <w:rPr>
                <w:rFonts w:hint="eastAsia" w:ascii="宋体" w:hAnsi="宋体" w:cs="宋体"/>
                <w:color w:val="auto"/>
                <w:szCs w:val="21"/>
                <w:highlight w:val="none"/>
              </w:rPr>
              <w:t>0.006%</w:t>
            </w:r>
          </w:p>
        </w:tc>
      </w:tr>
      <w:tr w14:paraId="105E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tcPr>
          <w:p w14:paraId="2012DC7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0CC15AE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6D4B3F89">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485AD321">
            <w:pPr>
              <w:keepNext w:val="0"/>
              <w:keepLines w:val="0"/>
              <w:pageBreakBefore w:val="0"/>
              <w:widowControl w:val="0"/>
              <w:kinsoku/>
              <w:wordWrap/>
              <w:overflowPunct/>
              <w:topLinePunct w:val="0"/>
              <w:autoSpaceDE/>
              <w:autoSpaceDN/>
              <w:bidi w:val="0"/>
              <w:adjustRightInd/>
              <w:snapToGrid/>
              <w:spacing w:line="360" w:lineRule="auto"/>
              <w:ind w:firstLine="105" w:firstLineChars="50"/>
              <w:textAlignment w:val="auto"/>
              <w:rPr>
                <w:rFonts w:ascii="宋体" w:hAnsi="宋体" w:cs="宋体"/>
                <w:color w:val="auto"/>
                <w:szCs w:val="21"/>
                <w:highlight w:val="none"/>
              </w:rPr>
            </w:pPr>
            <w:r>
              <w:rPr>
                <w:rFonts w:hint="eastAsia" w:ascii="宋体" w:hAnsi="宋体" w:cs="宋体"/>
                <w:color w:val="auto"/>
                <w:szCs w:val="21"/>
                <w:highlight w:val="none"/>
              </w:rPr>
              <w:t>0.004%</w:t>
            </w:r>
          </w:p>
        </w:tc>
      </w:tr>
    </w:tbl>
    <w:p w14:paraId="572C6C3A">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ascii="宋体" w:hAnsi="宋体" w:cs="宋体"/>
          <w:color w:val="auto"/>
          <w:szCs w:val="21"/>
          <w:highlight w:val="none"/>
        </w:rPr>
      </w:pPr>
      <w:r>
        <w:rPr>
          <w:rFonts w:hint="eastAsia" w:ascii="宋体" w:hAnsi="宋体" w:cs="宋体"/>
          <w:color w:val="auto"/>
          <w:szCs w:val="21"/>
          <w:highlight w:val="none"/>
        </w:rPr>
        <w:t xml:space="preserve">注： </w:t>
      </w:r>
    </w:p>
    <w:p w14:paraId="569EABD6">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22652EA6">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4290C778">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ascii="宋体" w:hAnsi="宋体" w:cs="宋体"/>
          <w:color w:val="auto"/>
          <w:szCs w:val="21"/>
          <w:highlight w:val="none"/>
        </w:rPr>
      </w:pPr>
      <w:r>
        <w:rPr>
          <w:rFonts w:hint="eastAsia" w:ascii="宋体" w:hAnsi="宋体" w:cs="宋体"/>
          <w:color w:val="auto"/>
          <w:szCs w:val="21"/>
          <w:highlight w:val="none"/>
        </w:rPr>
        <w:t>例如：某货物采购代理业务成交金额或者暂定价为150万元，计算采购代理收费额如下：</w:t>
      </w:r>
    </w:p>
    <w:p w14:paraId="65614FB2">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ascii="宋体" w:hAnsi="宋体" w:cs="宋体"/>
          <w:color w:val="auto"/>
          <w:szCs w:val="21"/>
          <w:highlight w:val="none"/>
        </w:rPr>
      </w:pPr>
      <w:r>
        <w:rPr>
          <w:rFonts w:hint="eastAsia" w:ascii="宋体" w:hAnsi="宋体" w:cs="宋体"/>
          <w:color w:val="auto"/>
          <w:szCs w:val="21"/>
          <w:highlight w:val="none"/>
        </w:rPr>
        <w:t>100 万元 ×l.5 %＝ 1.5 万元</w:t>
      </w:r>
    </w:p>
    <w:p w14:paraId="6B0679D3">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ascii="宋体" w:hAnsi="宋体" w:cs="宋体"/>
          <w:color w:val="auto"/>
          <w:szCs w:val="21"/>
          <w:highlight w:val="none"/>
        </w:rPr>
      </w:pPr>
      <w:r>
        <w:rPr>
          <w:rFonts w:hint="eastAsia" w:ascii="宋体" w:hAnsi="宋体" w:cs="宋体"/>
          <w:color w:val="auto"/>
          <w:szCs w:val="21"/>
          <w:highlight w:val="none"/>
        </w:rPr>
        <w:t>（ 150 － 100 ）万元 ×1.1%＝ 0.55 万元</w:t>
      </w:r>
    </w:p>
    <w:p w14:paraId="052D2414">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ascii="宋体" w:hAnsi="宋体" w:cs="宋体"/>
          <w:color w:val="auto"/>
          <w:szCs w:val="21"/>
          <w:highlight w:val="none"/>
        </w:rPr>
      </w:pPr>
      <w:r>
        <w:rPr>
          <w:rFonts w:hint="eastAsia" w:ascii="宋体" w:hAnsi="宋体" w:cs="宋体"/>
          <w:color w:val="auto"/>
          <w:szCs w:val="21"/>
          <w:highlight w:val="none"/>
        </w:rPr>
        <w:t>合计收费＝ 1.5 ＋ 0.55＝ 2.05 （万元）</w:t>
      </w:r>
    </w:p>
    <w:p w14:paraId="415904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32.3 代理服务费交纳银行帐号信息</w:t>
      </w:r>
    </w:p>
    <w:p w14:paraId="34ACA2AE">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ascii="宋体" w:hAnsi="宋体" w:cs="宋体"/>
          <w:color w:val="auto"/>
          <w:szCs w:val="21"/>
          <w:highlight w:val="none"/>
        </w:rPr>
      </w:pPr>
      <w:r>
        <w:rPr>
          <w:rFonts w:hint="eastAsia" w:ascii="宋体" w:hAnsi="宋体" w:cs="宋体"/>
          <w:color w:val="auto"/>
          <w:szCs w:val="21"/>
          <w:highlight w:val="none"/>
        </w:rPr>
        <w:t>账户名称： 广西建采项目管理有限公司</w:t>
      </w:r>
    </w:p>
    <w:p w14:paraId="6ADA447D">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ascii="宋体" w:hAnsi="宋体" w:cs="宋体"/>
          <w:color w:val="auto"/>
          <w:szCs w:val="21"/>
          <w:highlight w:val="none"/>
        </w:rPr>
      </w:pPr>
      <w:r>
        <w:rPr>
          <w:rFonts w:hint="eastAsia" w:ascii="宋体" w:hAnsi="宋体" w:cs="宋体"/>
          <w:color w:val="auto"/>
          <w:szCs w:val="21"/>
          <w:highlight w:val="none"/>
        </w:rPr>
        <w:t xml:space="preserve">开户银行： 中国建设银行贺州城东支行             </w:t>
      </w:r>
    </w:p>
    <w:p w14:paraId="4B556663">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ascii="宋体" w:hAnsi="宋体" w:cs="宋体"/>
          <w:color w:val="auto"/>
          <w:szCs w:val="21"/>
          <w:highlight w:val="none"/>
        </w:rPr>
      </w:pPr>
      <w:r>
        <w:rPr>
          <w:rFonts w:hint="eastAsia" w:ascii="宋体" w:hAnsi="宋体" w:cs="宋体"/>
          <w:color w:val="auto"/>
          <w:szCs w:val="21"/>
          <w:highlight w:val="none"/>
        </w:rPr>
        <w:t>银行账号： 45050164740200001325</w:t>
      </w:r>
    </w:p>
    <w:p w14:paraId="7E63307D">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ascii="宋体" w:hAnsi="宋体" w:cs="宋体"/>
          <w:b/>
          <w:bCs/>
          <w:color w:val="auto"/>
          <w:sz w:val="24"/>
          <w:highlight w:val="none"/>
        </w:rPr>
      </w:pPr>
      <w:r>
        <w:rPr>
          <w:rFonts w:hint="eastAsia" w:ascii="宋体" w:hAnsi="宋体" w:cs="宋体"/>
          <w:b/>
          <w:bCs/>
          <w:color w:val="auto"/>
          <w:sz w:val="24"/>
          <w:highlight w:val="none"/>
        </w:rPr>
        <w:t>33. 需要补充的其他内容</w:t>
      </w:r>
    </w:p>
    <w:p w14:paraId="7C1535FF">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Ansi="宋体" w:cs="宋体"/>
          <w:color w:val="auto"/>
          <w:sz w:val="21"/>
          <w:highlight w:val="none"/>
        </w:rPr>
      </w:pPr>
      <w:r>
        <w:rPr>
          <w:rFonts w:hint="eastAsia" w:hAnsi="宋体" w:cs="宋体"/>
          <w:color w:val="auto"/>
          <w:sz w:val="21"/>
          <w:highlight w:val="none"/>
        </w:rPr>
        <w:t>33.1本谈判文件解释规则详见“供应商须知前附表”。</w:t>
      </w:r>
    </w:p>
    <w:p w14:paraId="21BA496A">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ascii="宋体" w:hAnsi="宋体" w:cs="宋体"/>
          <w:color w:val="auto"/>
          <w:szCs w:val="21"/>
          <w:highlight w:val="none"/>
        </w:rPr>
      </w:pPr>
      <w:r>
        <w:rPr>
          <w:rFonts w:hint="eastAsia" w:ascii="宋体" w:hAnsi="宋体" w:cs="宋体"/>
          <w:color w:val="auto"/>
          <w:kern w:val="0"/>
          <w:szCs w:val="21"/>
          <w:highlight w:val="none"/>
        </w:rPr>
        <w:t>33.2 其他事</w:t>
      </w:r>
      <w:r>
        <w:rPr>
          <w:rFonts w:hint="eastAsia" w:ascii="宋体" w:hAnsi="宋体" w:cs="宋体"/>
          <w:color w:val="auto"/>
          <w:szCs w:val="21"/>
          <w:highlight w:val="none"/>
        </w:rPr>
        <w:t>项详见“供应商须知前附表”。</w:t>
      </w:r>
    </w:p>
    <w:p w14:paraId="2F6114D4">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Ansi="宋体" w:cs="宋体"/>
          <w:color w:val="auto"/>
          <w:sz w:val="21"/>
          <w:highlight w:val="none"/>
        </w:rPr>
      </w:pPr>
      <w:r>
        <w:rPr>
          <w:rFonts w:hint="eastAsia" w:hAnsi="宋体" w:cs="宋体"/>
          <w:color w:val="auto"/>
          <w:sz w:val="21"/>
          <w:highlight w:val="none"/>
        </w:rPr>
        <w:t>33.3</w:t>
      </w:r>
      <w:bookmarkStart w:id="26" w:name="_Hlk65857140"/>
      <w:r>
        <w:rPr>
          <w:rFonts w:hint="eastAsia" w:hAnsi="宋体" w:cs="宋体"/>
          <w:color w:val="auto"/>
          <w:sz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52B67798">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2C26C8E6">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049E8F09">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FE2A8F9">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2443287B">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ascii="宋体" w:hAnsi="宋体" w:cs="宋体"/>
          <w:color w:val="auto"/>
          <w:highlight w:val="none"/>
        </w:rPr>
      </w:pPr>
      <w:r>
        <w:rPr>
          <w:rFonts w:hint="eastAsia" w:ascii="宋体" w:hAnsi="宋体" w:cs="宋体"/>
          <w:color w:val="auto"/>
          <w:szCs w:val="21"/>
          <w:highlight w:val="none"/>
        </w:rPr>
        <w:t>依据本谈判文件规定享受扶持政策获得政府采购合同的，小微企业不得将合同分包给大中型企业，中型企业不得将合同分包给大型企业。</w:t>
      </w:r>
      <w:bookmarkEnd w:id="26"/>
    </w:p>
    <w:p w14:paraId="4E9438C4">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宋体" w:hAnsi="宋体" w:cs="宋体"/>
          <w:color w:val="auto"/>
          <w:sz w:val="32"/>
          <w:szCs w:val="32"/>
          <w:highlight w:val="none"/>
        </w:rPr>
      </w:pPr>
      <w:r>
        <w:rPr>
          <w:rFonts w:hint="eastAsia" w:ascii="宋体" w:hAnsi="宋体" w:cs="宋体"/>
          <w:bCs w:val="0"/>
          <w:color w:val="auto"/>
          <w:sz w:val="32"/>
          <w:szCs w:val="32"/>
          <w:highlight w:val="none"/>
        </w:rPr>
        <w:br w:type="page"/>
      </w:r>
      <w:bookmarkStart w:id="27" w:name="_Toc22813"/>
      <w:r>
        <w:rPr>
          <w:rFonts w:hint="eastAsia" w:ascii="宋体" w:hAnsi="宋体" w:cs="宋体"/>
          <w:color w:val="auto"/>
          <w:highlight w:val="none"/>
        </w:rPr>
        <w:t>第三章 采购需求</w:t>
      </w:r>
      <w:bookmarkEnd w:id="27"/>
    </w:p>
    <w:p w14:paraId="4BA0DAC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bookmarkStart w:id="28" w:name="_Hlk48036094"/>
      <w:r>
        <w:rPr>
          <w:rFonts w:hint="eastAsia" w:ascii="宋体" w:hAnsi="宋体" w:cs="宋体"/>
          <w:b/>
          <w:color w:val="auto"/>
          <w:szCs w:val="21"/>
          <w:highlight w:val="none"/>
        </w:rPr>
        <w:t>说明：</w:t>
      </w:r>
    </w:p>
    <w:p w14:paraId="1DF782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14:paraId="528D4F1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2、根据《财政部发展改革委生态环境部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节能产品政府采购品目清单），供应商的竞标货物必须使用政府强制采购的节能产品，否则响应文件作无效响应处理。成交供应商须在供货时提供相应的节能产品认证证书。</w:t>
      </w:r>
    </w:p>
    <w:p w14:paraId="1A4143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3、如供应商竞标产品存在侵犯他人的知识产权或者专利成果行为的，由供应商自行承担相应法律责任。</w:t>
      </w:r>
    </w:p>
    <w:p w14:paraId="5DF1C40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4、“实质性要求”是指竞争性谈判文件中已经指明不满足则响应无效的条款，或者不能负偏离的条款，或者采购需求中带“▲”的条款。</w:t>
      </w:r>
    </w:p>
    <w:p w14:paraId="622347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5、供应商应根据自身实际情况如实响应竞争性谈判文件。</w:t>
      </w:r>
    </w:p>
    <w:bookmarkEnd w:id="28"/>
    <w:p w14:paraId="7FB22A8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01分标：</w:t>
      </w:r>
    </w:p>
    <w:tbl>
      <w:tblPr>
        <w:tblStyle w:val="22"/>
        <w:tblW w:w="97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1539"/>
        <w:gridCol w:w="787"/>
        <w:gridCol w:w="970"/>
        <w:gridCol w:w="5671"/>
      </w:tblGrid>
      <w:tr w14:paraId="77F3D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736" w:type="dxa"/>
            <w:vAlign w:val="center"/>
          </w:tcPr>
          <w:p w14:paraId="6B0E76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b/>
                <w:color w:val="auto"/>
                <w:kern w:val="0"/>
                <w:szCs w:val="21"/>
                <w:highlight w:val="none"/>
              </w:rPr>
              <w:t>序号</w:t>
            </w:r>
          </w:p>
        </w:tc>
        <w:tc>
          <w:tcPr>
            <w:tcW w:w="1539" w:type="dxa"/>
            <w:vAlign w:val="center"/>
          </w:tcPr>
          <w:p w14:paraId="03A65AA9">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b/>
                <w:bCs/>
                <w:color w:val="auto"/>
                <w:szCs w:val="21"/>
                <w:highlight w:val="none"/>
              </w:rPr>
              <w:t>标的的名称</w:t>
            </w:r>
          </w:p>
        </w:tc>
        <w:tc>
          <w:tcPr>
            <w:tcW w:w="787" w:type="dxa"/>
            <w:vAlign w:val="center"/>
          </w:tcPr>
          <w:p w14:paraId="1660D63C">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color w:val="auto"/>
                <w:szCs w:val="21"/>
                <w:highlight w:val="none"/>
              </w:rPr>
            </w:pPr>
            <w:r>
              <w:rPr>
                <w:rFonts w:hint="eastAsia" w:ascii="宋体" w:hAnsi="宋体" w:cs="宋体"/>
                <w:b/>
                <w:bCs/>
                <w:color w:val="auto"/>
                <w:kern w:val="0"/>
                <w:szCs w:val="21"/>
                <w:highlight w:val="none"/>
              </w:rPr>
              <w:t>所属行业</w:t>
            </w:r>
          </w:p>
        </w:tc>
        <w:tc>
          <w:tcPr>
            <w:tcW w:w="970" w:type="dxa"/>
            <w:vAlign w:val="center"/>
          </w:tcPr>
          <w:p w14:paraId="64857C8F">
            <w:pPr>
              <w:keepNext w:val="0"/>
              <w:keepLines w:val="0"/>
              <w:pageBreakBefore w:val="0"/>
              <w:tabs>
                <w:tab w:val="left" w:pos="180"/>
                <w:tab w:val="left" w:pos="1620"/>
              </w:tabs>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b/>
                <w:bCs/>
                <w:color w:val="auto"/>
                <w:szCs w:val="21"/>
                <w:highlight w:val="none"/>
              </w:rPr>
              <w:t>数量及单位</w:t>
            </w:r>
          </w:p>
        </w:tc>
        <w:tc>
          <w:tcPr>
            <w:tcW w:w="5671" w:type="dxa"/>
            <w:vAlign w:val="center"/>
          </w:tcPr>
          <w:p w14:paraId="0556576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b/>
                <w:color w:val="auto"/>
                <w:kern w:val="0"/>
                <w:szCs w:val="21"/>
                <w:highlight w:val="none"/>
              </w:rPr>
              <w:t>技术要求</w:t>
            </w:r>
          </w:p>
        </w:tc>
      </w:tr>
      <w:tr w14:paraId="4221A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36" w:type="dxa"/>
            <w:vAlign w:val="center"/>
          </w:tcPr>
          <w:p w14:paraId="5145FC2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kern w:val="0"/>
                <w:szCs w:val="21"/>
                <w:highlight w:val="none"/>
              </w:rPr>
              <w:t>1</w:t>
            </w:r>
          </w:p>
        </w:tc>
        <w:tc>
          <w:tcPr>
            <w:tcW w:w="1539" w:type="dxa"/>
            <w:vAlign w:val="center"/>
          </w:tcPr>
          <w:p w14:paraId="56B4FD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彩色超声多普勒诊断系统</w:t>
            </w:r>
          </w:p>
        </w:tc>
        <w:tc>
          <w:tcPr>
            <w:tcW w:w="787" w:type="dxa"/>
            <w:vAlign w:val="center"/>
          </w:tcPr>
          <w:p w14:paraId="08EF99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工业</w:t>
            </w:r>
          </w:p>
        </w:tc>
        <w:tc>
          <w:tcPr>
            <w:tcW w:w="970" w:type="dxa"/>
            <w:vAlign w:val="center"/>
          </w:tcPr>
          <w:p w14:paraId="67F0D55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1套</w:t>
            </w:r>
          </w:p>
        </w:tc>
        <w:tc>
          <w:tcPr>
            <w:tcW w:w="5671" w:type="dxa"/>
            <w:vAlign w:val="center"/>
          </w:tcPr>
          <w:p w14:paraId="496186F5">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一、用途：</w:t>
            </w:r>
            <w:r>
              <w:rPr>
                <w:rFonts w:hint="eastAsia" w:ascii="宋体" w:hAnsi="宋体" w:eastAsia="宋体" w:cs="宋体"/>
                <w:color w:val="auto"/>
                <w:sz w:val="21"/>
                <w:szCs w:val="21"/>
                <w:highlight w:val="none"/>
              </w:rPr>
              <w:t xml:space="preserve">主要用于腹部、成人心脏、妇科、泌尿、血管（外周、颅脑、腹部）、小器官、骨骼肌肉、神经等方面的临床诊断和科研教学工作，具备持续升级能力，能满足开展新的临床应用需求。    </w:t>
            </w:r>
          </w:p>
          <w:p w14:paraId="61ED34F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二、主要技术规格及系统概述：</w:t>
            </w:r>
          </w:p>
          <w:p w14:paraId="4E75B0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1、主机成像系统：</w:t>
            </w:r>
          </w:p>
          <w:p w14:paraId="16CFDC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1.1高分辨率液晶显示器≥21.5英寸, 分辨率1920×1080，无闪烁，不间断逐行扫描，可上下左右任意旋转，可前后折叠；</w:t>
            </w:r>
          </w:p>
          <w:p w14:paraId="21CAC2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操作面板具备液晶触摸屏≥10英寸,最大旋转角度达360度，可通过手指滑动触摸屏进行翻页，直接点击触摸屏即可选择需要调节的参数，操作面板可上下左右进行高度调整及旋转，触屏上可实时同步显示检查图像；</w:t>
            </w:r>
          </w:p>
          <w:p w14:paraId="31E4D0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1.3全新多波束并行发射技术，全程动态聚焦；</w:t>
            </w:r>
          </w:p>
          <w:p w14:paraId="0B0F28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1.4脉冲优化处理技术；</w:t>
            </w:r>
          </w:p>
          <w:p w14:paraId="785722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1.5接收波束并行处理技术；</w:t>
            </w:r>
          </w:p>
          <w:p w14:paraId="3F3360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1.6自适应增益补偿技术；</w:t>
            </w:r>
          </w:p>
          <w:p w14:paraId="79415C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1.7数字化二维灰阶成像及M型显像单元；</w:t>
            </w:r>
          </w:p>
          <w:p w14:paraId="3E9129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1.8解剖M型技术,可360度任意旋转M型取样线角度方便准确的进行测量；</w:t>
            </w:r>
          </w:p>
          <w:p w14:paraId="68A670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1.9脉冲反向谐波成像单元；</w:t>
            </w:r>
          </w:p>
          <w:p w14:paraId="6069A8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1.10彩色多普勒成像技术；</w:t>
            </w:r>
          </w:p>
          <w:p w14:paraId="441A2E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1.11自适应宽频带彩色多普勒成像技术；</w:t>
            </w:r>
          </w:p>
          <w:p w14:paraId="4FD0CF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1.12彩色多普勒能量图技术；</w:t>
            </w:r>
          </w:p>
          <w:p w14:paraId="598C12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1.13方向性能量图技术；</w:t>
            </w:r>
          </w:p>
          <w:p w14:paraId="1CBA6B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1.14数字化频谱多普勒显示和分析单元 ；</w:t>
            </w:r>
          </w:p>
          <w:p w14:paraId="1907F1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1.15动态范围≥255dB；</w:t>
            </w:r>
          </w:p>
          <w:p w14:paraId="453B92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1.16智能全程聚焦技术；</w:t>
            </w:r>
          </w:p>
          <w:p w14:paraId="6415E0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1.17智能化一键图像优化技术；可自适应调整图像的增益等参数获取最佳图像；</w:t>
            </w:r>
          </w:p>
          <w:p w14:paraId="6DC186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1.18空间复合成像技术，同时作用于发射和接收, 可达≥3线偏转；</w:t>
            </w:r>
          </w:p>
          <w:p w14:paraId="7F6A54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1.19自适应核磁像素优化技术，改善边界显示，提高分辨率，减少伪像，支持所有成像探头，可分级调节≥5级；</w:t>
            </w:r>
          </w:p>
          <w:p w14:paraId="2B8D16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1.20实时二同步 /三同步能力；</w:t>
            </w:r>
          </w:p>
          <w:p w14:paraId="29FAB1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1.21内置DICOM 3.0 标准输出接口；</w:t>
            </w:r>
          </w:p>
          <w:p w14:paraId="2A9E95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1.22内有一体化超声工作站。</w:t>
            </w:r>
          </w:p>
          <w:p w14:paraId="7BD0CF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2、先进成像技术：</w:t>
            </w:r>
          </w:p>
          <w:p w14:paraId="40525C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2.1超宽视野成像扫描技术</w:t>
            </w:r>
          </w:p>
          <w:p w14:paraId="463393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（1）测量功能,电影回放功能；</w:t>
            </w:r>
          </w:p>
          <w:p w14:paraId="594846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（2）线阵、凸阵及容积探头具备；</w:t>
            </w:r>
          </w:p>
          <w:p w14:paraId="11448F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（3）结合先进的成像技术如复合成像技术结合使用。</w:t>
            </w:r>
          </w:p>
          <w:p w14:paraId="442EC7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2.2具备血流自动多普勒测量提供一键实时包络多普勒信号、自动选择最高峰值等测量，并将测量结果加入报告单键优化二维、多普勒图像质量；</w:t>
            </w:r>
          </w:p>
          <w:p w14:paraId="5E4FB5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2.3脑卒中疾病诊断相关技术</w:t>
            </w:r>
          </w:p>
          <w:p w14:paraId="72B14A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（1）可自动记录颈总动脉和颈内动脉的近端、中端、远端的血流速度测量结果；</w:t>
            </w:r>
          </w:p>
          <w:p w14:paraId="2E89CD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（2）自动得到颈总动脉和颈内动脉血流速度峰值；</w:t>
            </w:r>
          </w:p>
          <w:p w14:paraId="4EB7B8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（3）计算出颈内动脉和颈总动脉的血流速度峰值速度比；</w:t>
            </w:r>
          </w:p>
          <w:p w14:paraId="10F230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2.4超声声速自动校正技术</w:t>
            </w:r>
          </w:p>
          <w:p w14:paraId="4DE5B3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（1）针对晚孕期肥胖及困难病人；</w:t>
            </w:r>
          </w:p>
          <w:p w14:paraId="3D1DFB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（2）可用于乳腺检查，并可调整级别；</w:t>
            </w:r>
          </w:p>
          <w:p w14:paraId="330570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（3）专门的预置条件；</w:t>
            </w:r>
          </w:p>
          <w:p w14:paraId="24B3F2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2.5扩展成像技术：凸阵、线阵探头均具有此功能；</w:t>
            </w:r>
          </w:p>
          <w:p w14:paraId="2BCE33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2.6组织多普勒技术(TDI/或DTI)，具有彩色，谐波，PW， M型多种模式，并有在机应变及应变率定量分析工具。</w:t>
            </w:r>
          </w:p>
          <w:p w14:paraId="69EB0E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3.测量和分析（B型、M型、频谱多普勒、彩色多普勒）</w:t>
            </w:r>
          </w:p>
          <w:p w14:paraId="1E0EF6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3.1一般测量：距离、面积、周长等 ；</w:t>
            </w:r>
          </w:p>
          <w:p w14:paraId="37C63E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3.2产科测量：包括全面的产科径线测量、NT测量、单/双胎儿孕龄及生长曲线、羊水指数、新生儿髋关节角度等；</w:t>
            </w:r>
          </w:p>
          <w:p w14:paraId="2ED522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3.3外周血管测量和计算功能；</w:t>
            </w:r>
          </w:p>
          <w:p w14:paraId="1A9BDF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3.4多普勒血流测量及分析；</w:t>
            </w:r>
          </w:p>
          <w:p w14:paraId="301028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3.5心脏功能测量与分析。</w:t>
            </w:r>
          </w:p>
          <w:p w14:paraId="0B6FD4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4.图像存储 (电影) 回放重显及病案管理单元</w:t>
            </w:r>
          </w:p>
          <w:p w14:paraId="55935D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4.1数字化捕捉、回放、存储静、动态图像，实时图像传输，实时 JPEG 解压缩，可进行参数编程调节</w:t>
            </w:r>
          </w:p>
          <w:p w14:paraId="41CA20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4.2硬盘≥500G，DVD／USB图像存储,电影回放重现单元≥2000帧；</w:t>
            </w:r>
          </w:p>
          <w:p w14:paraId="293428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4.3具备主机硬盘图像数据存储；</w:t>
            </w:r>
          </w:p>
          <w:p w14:paraId="4C3D55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4.4病案管理单元包括病人资料、报告、图像等的存储、修改、检索和打印等；</w:t>
            </w:r>
          </w:p>
          <w:p w14:paraId="2FFFEC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4.5可根据检查要求对工作站参数（存储、压缩、回放）进行编程调节。</w:t>
            </w:r>
          </w:p>
          <w:p w14:paraId="491975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5.输入/输出信号：</w:t>
            </w:r>
          </w:p>
          <w:p w14:paraId="4D208E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5.1输入：VCR、外部视频、RGB 彩色视频；</w:t>
            </w:r>
          </w:p>
          <w:p w14:paraId="71A75E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5.2输出：复合视频、RGB 彩色视频/S-视频、DP高清输出；</w:t>
            </w:r>
          </w:p>
          <w:p w14:paraId="071FFF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6.连通性：数字图像和通信 DICOM 3.0 版接口部件。</w:t>
            </w:r>
          </w:p>
          <w:p w14:paraId="0706A74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三、系统技术参数及要求：</w:t>
            </w:r>
          </w:p>
          <w:p w14:paraId="7580E4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1、系统通用功能：</w:t>
            </w:r>
          </w:p>
          <w:p w14:paraId="399E5A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1.1高分辨率液晶显示器≥21.5英寸, 1920×1080，无闪烁，不间断逐行扫描，可上下左右任意旋转，可前后折叠；</w:t>
            </w:r>
          </w:p>
          <w:p w14:paraId="4A02F0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操作面板具备液晶触摸屏≥10英寸,最大旋转角度达360度，可通过手指滑动触摸屏进行翻页，直接点击触摸屏即可选择需要调节的参数，操作面板可上下左右进行高度调整及旋转，触屏上可实时同步显示检查图像；</w:t>
            </w:r>
          </w:p>
          <w:p w14:paraId="1E79F2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1.3成像探头接口选择：≥ 4个，无针式；</w:t>
            </w:r>
          </w:p>
          <w:p w14:paraId="13A7A2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1.4预设条件: 针对不同的检查脏器,预置最佳化图像的检查条件,减少操作时的调节,及常用所需的外部调节及组合调节。</w:t>
            </w:r>
          </w:p>
          <w:p w14:paraId="4D362F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2、探头规格</w:t>
            </w:r>
          </w:p>
          <w:p w14:paraId="57B074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（1）频率：超宽频带探头，最高频率≥12MHz, 从1 MHz 到12 MHz；</w:t>
            </w:r>
          </w:p>
          <w:p w14:paraId="7F07DD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（2）二维、彩色、多普勒均可独立变频；</w:t>
            </w:r>
          </w:p>
          <w:p w14:paraId="0B15DA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（3）类型：线阵、凸阵、相控阵；</w:t>
            </w:r>
          </w:p>
          <w:p w14:paraId="2A8D96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（4）电子线阵探头有效阵元数≥256、电子凸阵探头有效阵元数≥192、电子相控阵探头有效阵元数≥80；</w:t>
            </w:r>
          </w:p>
          <w:p w14:paraId="2477BB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（5）单晶体(或同技术）腹部凸阵探头（1.1-5.0MHz）、单晶体(或同技术）心脏相控阵探头（1.2-4.8MHz）、浅表小器官线阵探头（4.3-11.9MHz）、腔内微凸阵探头（4.2-8.9MHz）；</w:t>
            </w:r>
          </w:p>
          <w:p w14:paraId="0FFDDB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（6）探头视野≥100度；</w:t>
            </w:r>
          </w:p>
          <w:p w14:paraId="4A661D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（7）B/D 兼用：电子线阵：B/PWD、电子凸阵：B/PWD；</w:t>
            </w:r>
          </w:p>
          <w:p w14:paraId="3FC292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（8）穿刺导向：探头可配穿刺导向装置。</w:t>
            </w:r>
          </w:p>
          <w:p w14:paraId="4A76D8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3、二维显像主要参数：</w:t>
            </w:r>
          </w:p>
          <w:p w14:paraId="05E665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（1）扫描线：每帧线密度≥310超声线；</w:t>
            </w:r>
          </w:p>
          <w:p w14:paraId="5A191E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（2）增益调节：TGC增益补偿≥4段，LGC侧向增益补偿≥4段，触屏上可视可调，B/M 可独立调节；</w:t>
            </w:r>
          </w:p>
          <w:p w14:paraId="5BF9D8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（3）数字式声束形成器：数字式全程动态聚焦，数字式可变孔径及动态变迹，A/D≥12bit；</w:t>
            </w:r>
          </w:p>
          <w:p w14:paraId="49846A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（4）高分辨率放大：放大时增加信息量，提高分辨率及帧率；</w:t>
            </w:r>
          </w:p>
          <w:p w14:paraId="256E25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（5）声束聚焦：发射及接收全程连续聚焦；</w:t>
            </w:r>
          </w:p>
          <w:p w14:paraId="409B96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（6）接收方式：独立接收和发射通道数, 多倍信号并行处理。</w:t>
            </w:r>
          </w:p>
          <w:p w14:paraId="21D47F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4、频谱多普勒：</w:t>
            </w:r>
          </w:p>
          <w:p w14:paraId="589600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（1）显示模式：脉冲多普勒 (PWD)、脉冲重复频率 (HPRF)、连续波多普勒（CW）；</w:t>
            </w:r>
          </w:p>
          <w:p w14:paraId="062D9B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（2）发射频率:电子相控阵: PWD,CWD1.6-1.8MHz、电子凸阵:PWD:2.0-2.2MHz、电子线阵:PWD:5.75-7.0MHz；</w:t>
            </w:r>
          </w:p>
          <w:p w14:paraId="7A4577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（3）显示方式：B/D、M/D、D、B/CDV、B/CPA、B/CDV/PW；B/CPA/PW；B/CDV/CW；</w:t>
            </w:r>
          </w:p>
          <w:p w14:paraId="5AD7E9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（4）最大测量速度：PWD正或反向血流速度：≥5.0m/s；</w:t>
            </w:r>
          </w:p>
          <w:p w14:paraId="07BB0C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（5）最低测量速度：≤1mm/s ；</w:t>
            </w:r>
          </w:p>
          <w:p w14:paraId="32BCFD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（6）Doppler及M型电影回放：≥45秒；</w:t>
            </w:r>
          </w:p>
          <w:p w14:paraId="688D5B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（7）滤波器：高通滤波或低通滤波两种，分级选择；</w:t>
            </w:r>
          </w:p>
          <w:p w14:paraId="30530F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（8）取样宽度及位置范围：宽度 1mm至20mm多级可调；</w:t>
            </w:r>
          </w:p>
          <w:p w14:paraId="24C4FD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（9）零位移动：≥7级；</w:t>
            </w:r>
          </w:p>
          <w:p w14:paraId="33D0BA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（10）显示控制：反转显示 (上/下)、零移位、B-刷新、D 扩展、B/D 扩展，局放及移位。</w:t>
            </w:r>
          </w:p>
          <w:p w14:paraId="0659D0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5、彩色多普勒：</w:t>
            </w:r>
          </w:p>
          <w:p w14:paraId="7C659B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（1）显示方式：速度图 (CDV)、能量图 (CPA)、方向性能量图（DCPA）</w:t>
            </w:r>
          </w:p>
          <w:p w14:paraId="526827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（2）扫描速率：相控阵探头，全视野，18cm深度时，彩色扫描帧率≥10帧/秒；</w:t>
            </w:r>
          </w:p>
          <w:p w14:paraId="79875E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（3）彩色增强功能:彩色多普勒能量图(CDE/CPI)、组织多普勒(TDI)；</w:t>
            </w:r>
          </w:p>
          <w:p w14:paraId="24DCDB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（4）具有双同步/三同步显示(B/D/CDV)；</w:t>
            </w:r>
          </w:p>
          <w:p w14:paraId="182247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（5）彩色显示速度：最低平均血流显示速度≤5mm/s（非噪声信号）；</w:t>
            </w:r>
          </w:p>
          <w:p w14:paraId="7E294F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（6）显示控制：零位移动、黑白与彩色比较、彩色对比；</w:t>
            </w:r>
          </w:p>
          <w:p w14:paraId="7D5E5C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（7）显示位置调整：线阵扫描感兴趣的图像范围：-20°～ +20。</w:t>
            </w:r>
          </w:p>
          <w:p w14:paraId="1ACBED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6、超声功率输出调节：</w:t>
            </w:r>
          </w:p>
          <w:p w14:paraId="282176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（1）B/M、PWD、COLOR DOPPLER；</w:t>
            </w:r>
          </w:p>
          <w:p w14:paraId="37FD7F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（2）输出功率选择分级可调。</w:t>
            </w:r>
          </w:p>
          <w:p w14:paraId="4AC305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7、记录装置：</w:t>
            </w:r>
          </w:p>
          <w:p w14:paraId="295375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（1）内置一体化超声工作站：数字化储存静态及动态图像，动态图像及静态图像以AVI、BMP或JPEG等PC通用格式直接储存；</w:t>
            </w:r>
          </w:p>
          <w:p w14:paraId="6E1B6D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（2）DVD-RW 或USB图像存储；</w:t>
            </w:r>
          </w:p>
          <w:p w14:paraId="71D2AF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（3）USB接口≥4个，用于图像传输。</w:t>
            </w:r>
          </w:p>
          <w:p w14:paraId="3C52ED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8.技术手册：中文操作手册。</w:t>
            </w:r>
          </w:p>
          <w:p w14:paraId="32AB0D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附件配置：9.配置工作站一套，可与采购人pacs系统连接</w:t>
            </w:r>
          </w:p>
          <w:p w14:paraId="7E7417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10.配置便携式彩超一台</w:t>
            </w:r>
          </w:p>
          <w:p w14:paraId="4A91F5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主要技术参数要求：</w:t>
            </w:r>
          </w:p>
          <w:p w14:paraId="5F1D24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10.1高分辨率宽屏液晶监视器，图像分辨率≤0.5mm，可显示头发丝；</w:t>
            </w:r>
          </w:p>
          <w:p w14:paraId="3F4E53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10.2全数字彩色超声诊断系统主机，高分辨率血流显像技术；</w:t>
            </w:r>
          </w:p>
          <w:p w14:paraId="49E778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10.3二维灰阶成像单元，斑点噪音抑制技术、高保真影像技术、全数字波束形成器；</w:t>
            </w:r>
          </w:p>
          <w:p w14:paraId="30EC80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10.4彩色多普勒血流成像单元、能量多普勒血流成像单元、PW多普勒血流成像单元、M型成像单元；</w:t>
            </w:r>
          </w:p>
          <w:p w14:paraId="30FB62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10.5组织优化成像技术、 iclear 程序化扫描技术、自适应彩色伪差去除技术，自动频谱跟踪测量、3K-10K扩展脉冲成像技术、多倍信号并行处理技术；</w:t>
            </w:r>
          </w:p>
          <w:p w14:paraId="57953D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10.6主机动态范围≥150dB ，0~150dB可视可调；</w:t>
            </w:r>
          </w:p>
          <w:p w14:paraId="0AAE84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10.7便携式翻盖结构，整机净重量约6公斤；</w:t>
            </w:r>
          </w:p>
          <w:p w14:paraId="2E5E8E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10.8支持云技术，通过大数据智能数据处理，用户可通过空间传输，非接触直接获取得个人超声信息。</w:t>
            </w:r>
          </w:p>
          <w:p w14:paraId="11FE94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10.9多项技术参数仅用单一旋钮自主调节。</w:t>
            </w:r>
          </w:p>
          <w:p w14:paraId="1FE686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探头规格：</w:t>
            </w:r>
          </w:p>
          <w:p w14:paraId="44AC6E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10.10纯净波宽频带变频探头，可视可调基波中心频率≥3种，频率组合≥6种；</w:t>
            </w:r>
          </w:p>
          <w:p w14:paraId="206D40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10.11电子凸阵探头：（2-5.5MHZ）具有组织谐波功能；电子线阵探头：（6.0-12.0MHZ）具有组织谐波功能；</w:t>
            </w:r>
          </w:p>
          <w:p w14:paraId="7D0A9C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10.12支持手柄厚度小于5mm的手术监视专用探头。</w:t>
            </w:r>
          </w:p>
          <w:p w14:paraId="42EEB0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二维图像主要参数：</w:t>
            </w:r>
          </w:p>
          <w:p w14:paraId="20B08D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10.13聚焦：数字化动态全程接收聚焦；</w:t>
            </w:r>
          </w:p>
          <w:p w14:paraId="7C44AA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10.15最大图像深度≥200mm、系统动态范围≥150dB、灰阶成像显示≥256级；</w:t>
            </w:r>
          </w:p>
          <w:p w14:paraId="0470E1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10.16 PSHI TM 宽带频移，优化组织谐波成像；</w:t>
            </w:r>
          </w:p>
          <w:p w14:paraId="1A0135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10.17 8级深度可调，8倍倍率放大；</w:t>
            </w:r>
          </w:p>
          <w:p w14:paraId="28D21D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10.18 预设模式：针对不同的检查脏器，可预置最佳化图像的检查，预设数量：≥6种，用户可以自定义条件。</w:t>
            </w:r>
          </w:p>
          <w:p w14:paraId="3FAA8D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频谱多普勒：</w:t>
            </w:r>
          </w:p>
          <w:p w14:paraId="7BA000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10.1方式：脉冲波多谱勒(PWD) ，多普勒手动描迹；</w:t>
            </w:r>
          </w:p>
          <w:p w14:paraId="134836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10.20取样宽度及位置范围：宽度1mm至25mm分级调节；</w:t>
            </w:r>
          </w:p>
          <w:p w14:paraId="3114C2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10.21角度校正： -60—+60度，入射角度在15—45度之间；</w:t>
            </w:r>
          </w:p>
          <w:p w14:paraId="278C19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10.22显示方式：速度分散显示、速度显示、能量显示；</w:t>
            </w:r>
          </w:p>
          <w:p w14:paraId="583047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10.23超声功率输出调节：B/M、PWD、CF输出功率可调≥8级；</w:t>
            </w:r>
          </w:p>
          <w:p w14:paraId="2004BC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10.24伪彩功能16种，频谱倒向功能。</w:t>
            </w:r>
          </w:p>
          <w:p w14:paraId="0EF854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彩色多普勒：</w:t>
            </w:r>
          </w:p>
          <w:p w14:paraId="2182C5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10.25成像方式：彩色多普勒速度图、彩色多普勒能量图、方向性能量图；</w:t>
            </w:r>
          </w:p>
          <w:p w14:paraId="619F44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10.26自动彩色技术：单步操作，一键优化彩色多普勒血流；</w:t>
            </w:r>
          </w:p>
          <w:p w14:paraId="005355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10.27扫描速率：全视野，18cm深度时，帧速率≥45帧/秒；</w:t>
            </w:r>
          </w:p>
          <w:p w14:paraId="791BA8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10.28显示格式：双幅实时显示B＋B/C模式, 双幅显示, B/C模式，B/C/Doppler三同步或动态刷新模式；</w:t>
            </w:r>
          </w:p>
          <w:p w14:paraId="2ADC3A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10.29线阵探头扫描成像的角度变化范围≥15度。</w:t>
            </w:r>
          </w:p>
          <w:p w14:paraId="251337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10.30血流框可以倒置。</w:t>
            </w:r>
          </w:p>
          <w:p w14:paraId="422C23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系统测量及分析：</w:t>
            </w:r>
          </w:p>
          <w:p w14:paraId="554145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10.31一般测量：距离、面积、周长、容积、角度、时间、斜率、流速、流速比等；</w:t>
            </w:r>
          </w:p>
          <w:p w14:paraId="7BB071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10.32妇科测量包、产科测量包、心脏功能测量包、小器官测量包、泌尿科测量包、矫形外科测量包等专科测量包；</w:t>
            </w:r>
          </w:p>
          <w:p w14:paraId="1B30C6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10.33妇科IUD专用测量包,根据测量子宫数据自动推荐合适的节育器；</w:t>
            </w:r>
          </w:p>
          <w:p w14:paraId="3CFB53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10.34多普勒血流测量与分析，多普勒手动，自动描迹测量，外周血管测量与分析。图像存储、管理、记录与电影回放重现单元 ：</w:t>
            </w:r>
          </w:p>
          <w:p w14:paraId="170007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10.35存储及管理功能：探头参数存储、图像存储、电影回放存储、测量结果存储、报告存储，查询调出图文病人信息档案，可按诊断模式自动生成相应格式，图文病案打印报告，可一键导出典型病案到当前诊断病案供医生编辑，也可将当前病案图文内容导入典型病案，病案库可扩充，实现自动快捷诊断。</w:t>
            </w:r>
          </w:p>
          <w:p w14:paraId="153A4E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10.36具有先进的双向电影回放和逐帧回放功能，≥300帧，可手动/自动回放，可保存/加载电影，机内可达500幅图像永久存储功能；</w:t>
            </w:r>
          </w:p>
          <w:p w14:paraId="1B7326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10.37一体化剪贴板：在屏幕下方显示保存的图像，可直接调出或删除；</w:t>
            </w:r>
          </w:p>
          <w:p w14:paraId="6A7E46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10.38用户信息自动化录入；</w:t>
            </w:r>
          </w:p>
          <w:p w14:paraId="6B1A6D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10.39动态图像，静态图像，直接存储，能在普通PC 机上直接观看图像, 图像即时打印技术；</w:t>
            </w:r>
          </w:p>
          <w:p w14:paraId="574BB1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10.40视频及报告存储拷贝功能。</w:t>
            </w:r>
          </w:p>
          <w:p w14:paraId="4F6DFB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输入/输出信号：</w:t>
            </w:r>
          </w:p>
          <w:p w14:paraId="7A0D28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10.41输入：COM、USB、DICOM；</w:t>
            </w:r>
          </w:p>
          <w:p w14:paraId="7E0A42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10.42输出：VGA、DVI、USB、COM、DICOM；</w:t>
            </w:r>
          </w:p>
        </w:tc>
      </w:tr>
    </w:tbl>
    <w:p w14:paraId="4D3517C9">
      <w:pPr>
        <w:rPr>
          <w:rFonts w:ascii="宋体" w:hAnsi="宋体" w:cs="宋体"/>
          <w:color w:val="auto"/>
          <w:highlight w:val="none"/>
        </w:rPr>
      </w:pPr>
    </w:p>
    <w:tbl>
      <w:tblPr>
        <w:tblStyle w:val="22"/>
        <w:tblW w:w="97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52"/>
        <w:gridCol w:w="7539"/>
      </w:tblGrid>
      <w:tr w14:paraId="52CFF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91" w:type="dxa"/>
            <w:gridSpan w:val="2"/>
            <w:tcBorders>
              <w:top w:val="single" w:color="auto" w:sz="4" w:space="0"/>
              <w:left w:val="single" w:color="auto" w:sz="4" w:space="0"/>
              <w:bottom w:val="single" w:color="auto" w:sz="4" w:space="0"/>
              <w:right w:val="single" w:color="auto" w:sz="4" w:space="0"/>
            </w:tcBorders>
          </w:tcPr>
          <w:p w14:paraId="05CE2F1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b/>
                <w:color w:val="auto"/>
                <w:szCs w:val="21"/>
                <w:highlight w:val="none"/>
              </w:rPr>
              <w:t>▲一、商务要求</w:t>
            </w:r>
          </w:p>
        </w:tc>
      </w:tr>
      <w:tr w14:paraId="7CFD3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52" w:type="dxa"/>
            <w:tcBorders>
              <w:top w:val="single" w:color="auto" w:sz="4" w:space="0"/>
              <w:left w:val="single" w:color="auto" w:sz="4" w:space="0"/>
              <w:bottom w:val="single" w:color="auto" w:sz="4" w:space="0"/>
              <w:right w:val="single" w:color="auto" w:sz="4" w:space="0"/>
            </w:tcBorders>
            <w:vAlign w:val="center"/>
          </w:tcPr>
          <w:p w14:paraId="019E94C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报价要求</w:t>
            </w:r>
          </w:p>
        </w:tc>
        <w:tc>
          <w:tcPr>
            <w:tcW w:w="7539" w:type="dxa"/>
            <w:tcBorders>
              <w:top w:val="single" w:color="auto" w:sz="4" w:space="0"/>
              <w:left w:val="single" w:color="auto" w:sz="4" w:space="0"/>
              <w:bottom w:val="single" w:color="auto" w:sz="4" w:space="0"/>
              <w:right w:val="single" w:color="auto" w:sz="4" w:space="0"/>
            </w:tcBorders>
            <w:vAlign w:val="center"/>
          </w:tcPr>
          <w:p w14:paraId="71AB56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竞标</w:t>
            </w:r>
            <w:r>
              <w:rPr>
                <w:rFonts w:hint="eastAsia" w:ascii="宋体" w:hAnsi="宋体" w:cs="宋体"/>
                <w:bCs/>
                <w:color w:val="auto"/>
                <w:szCs w:val="21"/>
                <w:highlight w:val="none"/>
              </w:rPr>
              <w:t>报价为采购人指定地点的现场交货价，包括：</w:t>
            </w:r>
          </w:p>
          <w:p w14:paraId="5A5F3D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（1）货物的价格：包括货款、杂配件、安装调试费、验收费，信息系统接入费；</w:t>
            </w:r>
          </w:p>
          <w:p w14:paraId="20012A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（2）货物的标准附件、备品备件、专用工具的价格。</w:t>
            </w:r>
          </w:p>
          <w:p w14:paraId="1DB887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（3）运输、装卸、调试、培训、技术支持、售后服务费。</w:t>
            </w:r>
          </w:p>
          <w:p w14:paraId="7C856F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（4）采购代理服务费、保险费和各项税金。</w:t>
            </w:r>
          </w:p>
          <w:p w14:paraId="273CB2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（5）接入医院HIS系统、超声影像系统及相关端口开发费用。</w:t>
            </w:r>
          </w:p>
          <w:p w14:paraId="24CB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注：</w:t>
            </w:r>
            <w:r>
              <w:rPr>
                <w:rFonts w:hint="eastAsia" w:ascii="宋体" w:hAnsi="宋体" w:cs="宋体"/>
                <w:bCs/>
                <w:color w:val="auto"/>
                <w:szCs w:val="21"/>
                <w:highlight w:val="none"/>
                <w:lang w:eastAsia="zh-CN"/>
              </w:rPr>
              <w:t>竞标人</w:t>
            </w:r>
            <w:r>
              <w:rPr>
                <w:rFonts w:hint="eastAsia" w:ascii="宋体" w:hAnsi="宋体" w:cs="宋体"/>
                <w:bCs/>
                <w:color w:val="auto"/>
                <w:szCs w:val="21"/>
                <w:highlight w:val="none"/>
              </w:rPr>
              <w:t>自行考虑完成项目所需的辅材、杂配件等数量，</w:t>
            </w:r>
            <w:r>
              <w:rPr>
                <w:rFonts w:hint="eastAsia" w:ascii="宋体" w:hAnsi="宋体" w:cs="宋体"/>
                <w:bCs/>
                <w:color w:val="auto"/>
                <w:szCs w:val="21"/>
                <w:highlight w:val="none"/>
                <w:lang w:val="en-US" w:eastAsia="zh-CN"/>
              </w:rPr>
              <w:t>竞</w:t>
            </w:r>
            <w:r>
              <w:rPr>
                <w:rFonts w:hint="eastAsia" w:ascii="宋体" w:hAnsi="宋体" w:cs="宋体"/>
                <w:bCs/>
                <w:color w:val="auto"/>
                <w:szCs w:val="21"/>
                <w:highlight w:val="none"/>
              </w:rPr>
              <w:t>标报价中应包含全部内容，</w:t>
            </w:r>
            <w:r>
              <w:rPr>
                <w:rFonts w:hint="eastAsia" w:ascii="宋体" w:hAnsi="宋体" w:cs="宋体"/>
                <w:bCs/>
                <w:color w:val="auto"/>
                <w:szCs w:val="21"/>
                <w:highlight w:val="none"/>
                <w:lang w:val="en-US" w:eastAsia="zh-CN"/>
              </w:rPr>
              <w:t>成交</w:t>
            </w:r>
            <w:r>
              <w:rPr>
                <w:rFonts w:hint="eastAsia" w:ascii="宋体" w:hAnsi="宋体" w:cs="宋体"/>
                <w:bCs/>
                <w:color w:val="auto"/>
                <w:szCs w:val="21"/>
                <w:highlight w:val="none"/>
              </w:rPr>
              <w:t>后采购人不再另行支付额外费用。</w:t>
            </w:r>
          </w:p>
        </w:tc>
      </w:tr>
      <w:tr w14:paraId="613FD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52" w:type="dxa"/>
            <w:tcBorders>
              <w:top w:val="single" w:color="auto" w:sz="4" w:space="0"/>
              <w:left w:val="single" w:color="auto" w:sz="4" w:space="0"/>
              <w:bottom w:val="single" w:color="auto" w:sz="4" w:space="0"/>
              <w:right w:val="single" w:color="auto" w:sz="4" w:space="0"/>
            </w:tcBorders>
            <w:vAlign w:val="center"/>
          </w:tcPr>
          <w:p w14:paraId="5E124E6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highlight w:val="none"/>
              </w:rPr>
            </w:pPr>
            <w:bookmarkStart w:id="40" w:name="_GoBack"/>
            <w:r>
              <w:rPr>
                <w:rFonts w:hint="eastAsia" w:ascii="宋体" w:hAnsi="宋体" w:eastAsia="宋体" w:cs="宋体"/>
                <w:color w:val="auto"/>
                <w:kern w:val="0"/>
                <w:szCs w:val="21"/>
                <w:highlight w:val="none"/>
              </w:rPr>
              <w:t>交</w:t>
            </w:r>
            <w:r>
              <w:rPr>
                <w:rFonts w:hint="eastAsia" w:ascii="宋体" w:hAnsi="宋体" w:eastAsia="宋体" w:cs="宋体"/>
                <w:color w:val="auto"/>
                <w:kern w:val="0"/>
                <w:szCs w:val="21"/>
                <w:highlight w:val="none"/>
                <w:lang w:val="en-US" w:eastAsia="zh-CN"/>
              </w:rPr>
              <w:t>付时间</w:t>
            </w:r>
            <w:bookmarkEnd w:id="40"/>
            <w:r>
              <w:rPr>
                <w:rFonts w:hint="eastAsia" w:ascii="宋体" w:hAnsi="宋体" w:eastAsia="宋体" w:cs="宋体"/>
                <w:color w:val="auto"/>
                <w:szCs w:val="21"/>
                <w:highlight w:val="none"/>
              </w:rPr>
              <w:t>和地点</w:t>
            </w:r>
          </w:p>
        </w:tc>
        <w:tc>
          <w:tcPr>
            <w:tcW w:w="7539" w:type="dxa"/>
            <w:tcBorders>
              <w:top w:val="single" w:color="auto" w:sz="4" w:space="0"/>
              <w:left w:val="single" w:color="auto" w:sz="4" w:space="0"/>
              <w:bottom w:val="single" w:color="auto" w:sz="4" w:space="0"/>
              <w:right w:val="single" w:color="auto" w:sz="4" w:space="0"/>
            </w:tcBorders>
            <w:vAlign w:val="center"/>
          </w:tcPr>
          <w:p w14:paraId="1E5B3FF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交付时间：</w:t>
            </w:r>
            <w:r>
              <w:rPr>
                <w:rFonts w:hint="eastAsia" w:ascii="宋体" w:hAnsi="宋体" w:cs="宋体"/>
                <w:bCs/>
                <w:color w:val="auto"/>
                <w:szCs w:val="21"/>
                <w:highlight w:val="none"/>
                <w:lang w:eastAsia="zh-CN"/>
              </w:rPr>
              <w:t>签订合同后30个工作日内，贺州市中医医院使用现场交货。</w:t>
            </w:r>
          </w:p>
          <w:p w14:paraId="68D2A28B">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bCs/>
                <w:color w:val="auto"/>
                <w:szCs w:val="21"/>
                <w:highlight w:val="none"/>
              </w:rPr>
              <w:t>地点：采购人指定地点。</w:t>
            </w:r>
          </w:p>
        </w:tc>
      </w:tr>
      <w:tr w14:paraId="0FD2A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52" w:type="dxa"/>
            <w:tcBorders>
              <w:top w:val="single" w:color="auto" w:sz="4" w:space="0"/>
              <w:left w:val="single" w:color="auto" w:sz="4" w:space="0"/>
              <w:bottom w:val="single" w:color="auto" w:sz="4" w:space="0"/>
              <w:right w:val="single" w:color="auto" w:sz="4" w:space="0"/>
            </w:tcBorders>
            <w:vAlign w:val="center"/>
          </w:tcPr>
          <w:p w14:paraId="3ACAC11A">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合同签订时间</w:t>
            </w:r>
          </w:p>
        </w:tc>
        <w:tc>
          <w:tcPr>
            <w:tcW w:w="7539" w:type="dxa"/>
            <w:tcBorders>
              <w:top w:val="single" w:color="auto" w:sz="4" w:space="0"/>
              <w:left w:val="single" w:color="auto" w:sz="4" w:space="0"/>
              <w:bottom w:val="single" w:color="auto" w:sz="4" w:space="0"/>
              <w:right w:val="single" w:color="auto" w:sz="4" w:space="0"/>
            </w:tcBorders>
            <w:vAlign w:val="center"/>
          </w:tcPr>
          <w:p w14:paraId="461AADB0">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b w:val="0"/>
                <w:bCs w:val="0"/>
                <w:color w:val="auto"/>
                <w:highlight w:val="none"/>
              </w:rPr>
            </w:pPr>
            <w:r>
              <w:rPr>
                <w:rFonts w:hint="eastAsia" w:ascii="宋体" w:hAnsi="宋体" w:eastAsia="宋体" w:cs="宋体"/>
                <w:b w:val="0"/>
                <w:bCs w:val="0"/>
                <w:color w:val="auto"/>
                <w:sz w:val="21"/>
                <w:szCs w:val="21"/>
                <w:highlight w:val="none"/>
                <w:lang w:val="en-US" w:eastAsia="zh-CN"/>
              </w:rPr>
              <w:t>采购人应当尽量缩短采购合同签订时间，原则上不得晚于成交（成交）通知书发放之日起25日。采购人因不可抗力原因延迟签订合同的，应当自不可抗力事由消除之日起5个工作日内完成合同签订事宜，鼓励采购人通过完善内部流程进一步缩短合同签订期限。</w:t>
            </w:r>
          </w:p>
        </w:tc>
      </w:tr>
      <w:tr w14:paraId="66F94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52" w:type="dxa"/>
            <w:tcBorders>
              <w:top w:val="single" w:color="auto" w:sz="4" w:space="0"/>
              <w:left w:val="single" w:color="auto" w:sz="4" w:space="0"/>
              <w:bottom w:val="single" w:color="auto" w:sz="4" w:space="0"/>
              <w:right w:val="single" w:color="auto" w:sz="4" w:space="0"/>
            </w:tcBorders>
            <w:vAlign w:val="center"/>
          </w:tcPr>
          <w:p w14:paraId="35157E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rPr>
              <w:t>付款</w:t>
            </w:r>
            <w:r>
              <w:rPr>
                <w:rFonts w:hint="eastAsia" w:ascii="宋体" w:hAnsi="宋体" w:cs="宋体"/>
                <w:color w:val="auto"/>
                <w:szCs w:val="21"/>
                <w:highlight w:val="none"/>
                <w:lang w:val="en-US" w:eastAsia="zh-CN"/>
              </w:rPr>
              <w:t>方式</w:t>
            </w:r>
          </w:p>
        </w:tc>
        <w:tc>
          <w:tcPr>
            <w:tcW w:w="7539" w:type="dxa"/>
            <w:tcBorders>
              <w:top w:val="single" w:color="auto" w:sz="4" w:space="0"/>
              <w:left w:val="single" w:color="auto" w:sz="4" w:space="0"/>
              <w:bottom w:val="single" w:color="auto" w:sz="4" w:space="0"/>
              <w:right w:val="single" w:color="auto" w:sz="4" w:space="0"/>
            </w:tcBorders>
            <w:vAlign w:val="center"/>
          </w:tcPr>
          <w:p w14:paraId="1C039D7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货物安装完成经验收合格后支付至合同总额的80%，货物验收完成满一年后支付合同金额的10%，货物验收完成满两年后支付合同金额的10%(不计利息)</w:t>
            </w:r>
          </w:p>
          <w:p w14:paraId="4BB7616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b w:val="0"/>
                <w:bCs w:val="0"/>
                <w:color w:val="auto"/>
                <w:szCs w:val="21"/>
                <w:highlight w:val="none"/>
              </w:rPr>
            </w:pPr>
            <w:r>
              <w:rPr>
                <w:rFonts w:hint="eastAsia" w:ascii="宋体" w:hAnsi="宋体" w:cs="宋体"/>
                <w:b w:val="0"/>
                <w:bCs w:val="0"/>
                <w:color w:val="auto"/>
                <w:szCs w:val="21"/>
                <w:highlight w:val="none"/>
              </w:rPr>
              <w:t>采购人收到发票后10个工作日内支付资金</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验收时间在项目完成后5个工作日内验收。(使用财政专项资金，按财政批准同意支付时间为准)</w:t>
            </w:r>
          </w:p>
        </w:tc>
      </w:tr>
      <w:tr w14:paraId="6F1FF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2252" w:type="dxa"/>
            <w:tcBorders>
              <w:top w:val="single" w:color="auto" w:sz="4" w:space="0"/>
              <w:left w:val="single" w:color="auto" w:sz="4" w:space="0"/>
              <w:bottom w:val="single" w:color="auto" w:sz="4" w:space="0"/>
              <w:right w:val="single" w:color="auto" w:sz="4" w:space="0"/>
            </w:tcBorders>
            <w:vAlign w:val="center"/>
          </w:tcPr>
          <w:p w14:paraId="5417E2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p>
        </w:tc>
        <w:tc>
          <w:tcPr>
            <w:tcW w:w="7539" w:type="dxa"/>
            <w:tcBorders>
              <w:top w:val="single" w:color="auto" w:sz="4" w:space="0"/>
              <w:left w:val="single" w:color="auto" w:sz="4" w:space="0"/>
              <w:bottom w:val="single" w:color="auto" w:sz="4" w:space="0"/>
              <w:right w:val="single" w:color="auto" w:sz="4" w:space="0"/>
            </w:tcBorders>
            <w:vAlign w:val="center"/>
          </w:tcPr>
          <w:p w14:paraId="423C7E7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eastAsia="宋体" w:cs="宋体"/>
                <w:b w:val="0"/>
                <w:bCs w:val="0"/>
                <w:color w:val="auto"/>
                <w:highlight w:val="none"/>
              </w:rPr>
              <w:t>按国家有关产品“三包”规定执行“三包”，质保期不得少于</w:t>
            </w: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rPr>
              <w:t>年</w:t>
            </w:r>
          </w:p>
        </w:tc>
      </w:tr>
      <w:tr w14:paraId="5E0A3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52" w:type="dxa"/>
            <w:tcBorders>
              <w:top w:val="single" w:color="auto" w:sz="4" w:space="0"/>
              <w:left w:val="single" w:color="auto" w:sz="4" w:space="0"/>
              <w:bottom w:val="single" w:color="auto" w:sz="4" w:space="0"/>
              <w:right w:val="single" w:color="auto" w:sz="4" w:space="0"/>
            </w:tcBorders>
            <w:vAlign w:val="center"/>
          </w:tcPr>
          <w:p w14:paraId="1B7042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售后服务及培训要求</w:t>
            </w:r>
          </w:p>
        </w:tc>
        <w:tc>
          <w:tcPr>
            <w:tcW w:w="7539" w:type="dxa"/>
            <w:tcBorders>
              <w:top w:val="single" w:color="auto" w:sz="4" w:space="0"/>
              <w:left w:val="single" w:color="auto" w:sz="4" w:space="0"/>
              <w:bottom w:val="single" w:color="auto" w:sz="4" w:space="0"/>
              <w:right w:val="single" w:color="auto" w:sz="4" w:space="0"/>
            </w:tcBorders>
            <w:vAlign w:val="center"/>
          </w:tcPr>
          <w:p w14:paraId="795333F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售后服务费用包含在报价中，售后服务内容如下：</w:t>
            </w:r>
          </w:p>
          <w:p w14:paraId="78CB5F5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（1）负责送货上门，</w:t>
            </w:r>
            <w:r>
              <w:rPr>
                <w:rFonts w:hint="eastAsia" w:ascii="宋体" w:hAnsi="宋体" w:cs="宋体"/>
                <w:color w:val="auto"/>
                <w:highlight w:val="none"/>
                <w:lang w:val="en-US" w:eastAsia="zh-CN"/>
              </w:rPr>
              <w:t>成交供应商</w:t>
            </w:r>
            <w:r>
              <w:rPr>
                <w:rFonts w:hint="eastAsia" w:ascii="宋体" w:hAnsi="宋体" w:cs="宋体"/>
                <w:color w:val="auto"/>
                <w:highlight w:val="none"/>
              </w:rPr>
              <w:t>安装调试至合格，负责培训。配置至少</w:t>
            </w:r>
            <w:r>
              <w:rPr>
                <w:rFonts w:hint="eastAsia" w:ascii="宋体" w:hAnsi="宋体" w:cs="宋体"/>
                <w:color w:val="auto"/>
                <w:highlight w:val="none"/>
                <w:lang w:val="en-US" w:eastAsia="zh-CN"/>
              </w:rPr>
              <w:t>1</w:t>
            </w:r>
            <w:r>
              <w:rPr>
                <w:rFonts w:hint="eastAsia" w:ascii="宋体" w:hAnsi="宋体" w:cs="宋体"/>
                <w:color w:val="auto"/>
                <w:highlight w:val="none"/>
              </w:rPr>
              <w:t>名专业技术人员，随时提供安装、调试或维修等服务。配置专业技术人员提供技术培训，包括设备日常操作、工作原理、注意事项、简单故障排除、维护保养等方面的系统培训，保证使用人员正常操作设备的各种功能。时间、地点、人员由采购人确定，提前通知成交供应商安排技术人员到场。</w:t>
            </w:r>
          </w:p>
          <w:p w14:paraId="68E7117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（2）定期回访以及对设备维修、更换配件。</w:t>
            </w:r>
          </w:p>
          <w:p w14:paraId="4EF86C3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（3）成交供应商应保证所供产品是全新的、未使用过的且是近</w:t>
            </w:r>
            <w:r>
              <w:rPr>
                <w:rFonts w:hint="eastAsia" w:ascii="宋体" w:hAnsi="宋体" w:cs="宋体"/>
                <w:color w:val="auto"/>
                <w:highlight w:val="none"/>
                <w:lang w:val="en-US" w:eastAsia="zh-CN"/>
              </w:rPr>
              <w:t>6</w:t>
            </w:r>
            <w:r>
              <w:rPr>
                <w:rFonts w:hint="eastAsia" w:ascii="宋体" w:hAnsi="宋体" w:cs="宋体"/>
                <w:color w:val="auto"/>
                <w:highlight w:val="none"/>
              </w:rPr>
              <w:t>个月内生产的，并完全符合规定的质量、规格的要求。</w:t>
            </w:r>
          </w:p>
          <w:p w14:paraId="1197D37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（4）便于售后问题的处理，响应时间＜4小时，接故障通知24小时内派专业技术人员并携带工器具到达现场提供技术服务。</w:t>
            </w:r>
          </w:p>
          <w:p w14:paraId="3480211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（5）提供设备纸质版或电子版的操作规程和维护保养流程。</w:t>
            </w:r>
          </w:p>
          <w:p w14:paraId="4E2602D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（6）设备如属于政府部门有强制检定要求的，成交供应商应负责设备使用前的相关检定。</w:t>
            </w:r>
          </w:p>
          <w:p w14:paraId="12FCC751">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auto"/>
                <w:highlight w:val="none"/>
              </w:rPr>
            </w:pPr>
            <w:r>
              <w:rPr>
                <w:rFonts w:hint="eastAsia" w:ascii="宋体" w:hAnsi="宋体" w:cs="宋体"/>
                <w:color w:val="auto"/>
                <w:highlight w:val="none"/>
              </w:rPr>
              <w:t>（7）其余按厂家承诺。</w:t>
            </w:r>
          </w:p>
        </w:tc>
      </w:tr>
      <w:tr w14:paraId="498A4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52" w:type="dxa"/>
            <w:tcBorders>
              <w:top w:val="single" w:color="auto" w:sz="4" w:space="0"/>
              <w:left w:val="single" w:color="auto" w:sz="4" w:space="0"/>
              <w:bottom w:val="single" w:color="auto" w:sz="4" w:space="0"/>
              <w:right w:val="single" w:color="auto" w:sz="4" w:space="0"/>
            </w:tcBorders>
            <w:vAlign w:val="center"/>
          </w:tcPr>
          <w:p w14:paraId="22222B6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验收标准</w:t>
            </w:r>
          </w:p>
          <w:p w14:paraId="201C179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7539" w:type="dxa"/>
            <w:tcBorders>
              <w:top w:val="single" w:color="auto" w:sz="4" w:space="0"/>
              <w:left w:val="single" w:color="auto" w:sz="4" w:space="0"/>
              <w:bottom w:val="single" w:color="auto" w:sz="4" w:space="0"/>
              <w:right w:val="single" w:color="auto" w:sz="4" w:space="0"/>
            </w:tcBorders>
            <w:vAlign w:val="center"/>
          </w:tcPr>
          <w:p w14:paraId="1516B0C4">
            <w:pPr>
              <w:keepNext w:val="0"/>
              <w:keepLines w:val="0"/>
              <w:pageBreakBefore w:val="0"/>
              <w:widowControl w:val="0"/>
              <w:kinsoku/>
              <w:wordWrap/>
              <w:overflowPunct/>
              <w:topLinePunct w:val="0"/>
              <w:autoSpaceDE/>
              <w:autoSpaceDN/>
              <w:bidi w:val="0"/>
              <w:adjustRightInd/>
              <w:snapToGrid/>
              <w:spacing w:line="360" w:lineRule="auto"/>
              <w:ind w:right="0" w:firstLine="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1"/>
                <w:sz w:val="21"/>
                <w:szCs w:val="21"/>
                <w:highlight w:val="none"/>
              </w:rPr>
              <w:t>1、验收标准：符合现行国家相关标准、行业标准、地</w:t>
            </w:r>
            <w:r>
              <w:rPr>
                <w:rFonts w:hint="eastAsia" w:ascii="宋体" w:hAnsi="宋体" w:eastAsia="宋体" w:cs="宋体"/>
                <w:color w:val="auto"/>
                <w:spacing w:val="-2"/>
                <w:sz w:val="21"/>
                <w:szCs w:val="21"/>
                <w:highlight w:val="none"/>
              </w:rPr>
              <w:t>方标准或者其他标准、规范</w:t>
            </w:r>
            <w:r>
              <w:rPr>
                <w:rFonts w:hint="eastAsia" w:ascii="宋体" w:hAnsi="宋体" w:eastAsia="宋体" w:cs="宋体"/>
                <w:color w:val="auto"/>
                <w:spacing w:val="-2"/>
                <w:sz w:val="21"/>
                <w:szCs w:val="21"/>
                <w:highlight w:val="none"/>
                <w:lang w:eastAsia="zh-CN"/>
              </w:rPr>
              <w:t>。</w:t>
            </w:r>
          </w:p>
          <w:p w14:paraId="120A427A">
            <w:pPr>
              <w:keepNext w:val="0"/>
              <w:keepLines w:val="0"/>
              <w:pageBreakBefore w:val="0"/>
              <w:widowControl w:val="0"/>
              <w:kinsoku/>
              <w:wordWrap/>
              <w:overflowPunct/>
              <w:topLinePunct w:val="0"/>
              <w:autoSpaceDE/>
              <w:autoSpaceDN/>
              <w:bidi w:val="0"/>
              <w:adjustRightInd/>
              <w:snapToGrid/>
              <w:spacing w:line="360" w:lineRule="auto"/>
              <w:ind w:right="0" w:firstLine="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2、成交供应商在货物交付验收时，由采购人对照</w:t>
            </w:r>
            <w:r>
              <w:rPr>
                <w:rFonts w:hint="eastAsia" w:ascii="宋体" w:hAnsi="宋体" w:cs="宋体"/>
                <w:color w:val="auto"/>
                <w:spacing w:val="-2"/>
                <w:sz w:val="21"/>
                <w:szCs w:val="21"/>
                <w:highlight w:val="none"/>
                <w:lang w:val="en-US" w:eastAsia="zh-CN"/>
              </w:rPr>
              <w:t>采购</w:t>
            </w:r>
            <w:r>
              <w:rPr>
                <w:rFonts w:hint="eastAsia" w:ascii="宋体" w:hAnsi="宋体" w:eastAsia="宋体" w:cs="宋体"/>
                <w:color w:val="auto"/>
                <w:spacing w:val="-2"/>
                <w:sz w:val="21"/>
                <w:szCs w:val="21"/>
                <w:highlight w:val="none"/>
                <w:lang w:eastAsia="zh-CN"/>
              </w:rPr>
              <w:t>文件的项目要求及技术需求，全面核对检验。如不符合</w:t>
            </w:r>
            <w:r>
              <w:rPr>
                <w:rFonts w:hint="eastAsia" w:ascii="宋体" w:hAnsi="宋体" w:cs="宋体"/>
                <w:color w:val="auto"/>
                <w:spacing w:val="-2"/>
                <w:sz w:val="21"/>
                <w:szCs w:val="21"/>
                <w:highlight w:val="none"/>
                <w:lang w:val="en-US" w:eastAsia="zh-CN"/>
              </w:rPr>
              <w:t>采购</w:t>
            </w:r>
            <w:r>
              <w:rPr>
                <w:rFonts w:hint="eastAsia" w:ascii="宋体" w:hAnsi="宋体" w:eastAsia="宋体" w:cs="宋体"/>
                <w:color w:val="auto"/>
                <w:spacing w:val="-2"/>
                <w:sz w:val="21"/>
                <w:szCs w:val="21"/>
                <w:highlight w:val="none"/>
                <w:lang w:eastAsia="zh-CN"/>
              </w:rPr>
              <w:t>文件的技术需求及要求以及提供虚假承诺的，按相关规定做违约处理，成交供应商承担所有责任和费用，采购人保留进一步追究责任的权利。</w:t>
            </w:r>
          </w:p>
          <w:p w14:paraId="56C71A0F">
            <w:pPr>
              <w:keepNext w:val="0"/>
              <w:keepLines w:val="0"/>
              <w:pageBreakBefore w:val="0"/>
              <w:widowControl w:val="0"/>
              <w:kinsoku/>
              <w:wordWrap/>
              <w:overflowPunct/>
              <w:topLinePunct w:val="0"/>
              <w:autoSpaceDE/>
              <w:autoSpaceDN/>
              <w:bidi w:val="0"/>
              <w:adjustRightInd/>
              <w:snapToGrid/>
              <w:spacing w:line="360" w:lineRule="auto"/>
              <w:ind w:right="0" w:firstLine="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3、验收时间</w:t>
            </w:r>
            <w:r>
              <w:rPr>
                <w:rFonts w:hint="eastAsia" w:ascii="宋体" w:hAnsi="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lang w:eastAsia="zh-CN"/>
              </w:rPr>
              <w:t>采购人收到成交供应商验收申请之日起</w:t>
            </w:r>
            <w:r>
              <w:rPr>
                <w:rFonts w:hint="eastAsia" w:ascii="宋体" w:hAnsi="宋体" w:eastAsia="宋体" w:cs="宋体"/>
                <w:color w:val="auto"/>
                <w:spacing w:val="-2"/>
                <w:sz w:val="21"/>
                <w:szCs w:val="21"/>
                <w:highlight w:val="none"/>
                <w:lang w:val="en-US" w:eastAsia="zh-CN"/>
              </w:rPr>
              <w:t>5</w:t>
            </w:r>
            <w:r>
              <w:rPr>
                <w:rFonts w:hint="eastAsia" w:ascii="宋体" w:hAnsi="宋体" w:eastAsia="宋体" w:cs="宋体"/>
                <w:color w:val="auto"/>
                <w:spacing w:val="-2"/>
                <w:sz w:val="21"/>
                <w:szCs w:val="21"/>
                <w:highlight w:val="none"/>
                <w:lang w:eastAsia="zh-CN"/>
              </w:rPr>
              <w:t>个工作日进行验收（如有特殊情况，按采购人指定的时间，另行验收）。</w:t>
            </w:r>
          </w:p>
          <w:p w14:paraId="108DF6E4">
            <w:pPr>
              <w:keepNext w:val="0"/>
              <w:keepLines w:val="0"/>
              <w:pageBreakBefore w:val="0"/>
              <w:widowControl w:val="0"/>
              <w:kinsoku/>
              <w:wordWrap/>
              <w:overflowPunct/>
              <w:topLinePunct w:val="0"/>
              <w:autoSpaceDE/>
              <w:autoSpaceDN/>
              <w:bidi w:val="0"/>
              <w:adjustRightInd/>
              <w:snapToGrid/>
              <w:spacing w:line="360" w:lineRule="auto"/>
              <w:ind w:right="0" w:firstLine="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4、验收地点：采购人指定交货地点。</w:t>
            </w:r>
          </w:p>
          <w:p w14:paraId="12CC7611">
            <w:pPr>
              <w:keepNext w:val="0"/>
              <w:keepLines w:val="0"/>
              <w:pageBreakBefore w:val="0"/>
              <w:widowControl w:val="0"/>
              <w:kinsoku/>
              <w:wordWrap/>
              <w:overflowPunct/>
              <w:topLinePunct w:val="0"/>
              <w:autoSpaceDE/>
              <w:autoSpaceDN/>
              <w:bidi w:val="0"/>
              <w:adjustRightInd/>
              <w:snapToGrid/>
              <w:spacing w:line="360" w:lineRule="auto"/>
              <w:ind w:right="0" w:firstLine="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5、验收方式：</w:t>
            </w:r>
          </w:p>
          <w:p w14:paraId="3741624A">
            <w:pPr>
              <w:keepNext w:val="0"/>
              <w:keepLines w:val="0"/>
              <w:pageBreakBefore w:val="0"/>
              <w:widowControl w:val="0"/>
              <w:kinsoku/>
              <w:wordWrap/>
              <w:overflowPunct/>
              <w:topLinePunct w:val="0"/>
              <w:autoSpaceDE/>
              <w:autoSpaceDN/>
              <w:bidi w:val="0"/>
              <w:adjustRightInd/>
              <w:snapToGrid/>
              <w:spacing w:line="360" w:lineRule="auto"/>
              <w:ind w:right="0" w:firstLine="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1）成交供应商完成货物安装调试和培训后，书面向采购人提交验收申请。</w:t>
            </w:r>
          </w:p>
          <w:p w14:paraId="4B73528E">
            <w:pPr>
              <w:keepNext w:val="0"/>
              <w:keepLines w:val="0"/>
              <w:pageBreakBefore w:val="0"/>
              <w:widowControl w:val="0"/>
              <w:kinsoku/>
              <w:wordWrap/>
              <w:overflowPunct/>
              <w:topLinePunct w:val="0"/>
              <w:autoSpaceDE/>
              <w:autoSpaceDN/>
              <w:bidi w:val="0"/>
              <w:adjustRightInd/>
              <w:snapToGrid/>
              <w:spacing w:line="360" w:lineRule="auto"/>
              <w:ind w:right="0" w:firstLine="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2）采购人收到成交供应商验收申请之日起</w:t>
            </w:r>
            <w:r>
              <w:rPr>
                <w:rFonts w:hint="eastAsia" w:ascii="宋体" w:hAnsi="宋体" w:eastAsia="宋体" w:cs="宋体"/>
                <w:color w:val="auto"/>
                <w:spacing w:val="-2"/>
                <w:sz w:val="21"/>
                <w:szCs w:val="21"/>
                <w:highlight w:val="none"/>
                <w:lang w:val="en-US" w:eastAsia="zh-CN"/>
              </w:rPr>
              <w:t>5</w:t>
            </w:r>
            <w:r>
              <w:rPr>
                <w:rFonts w:hint="eastAsia" w:ascii="宋体" w:hAnsi="宋体" w:eastAsia="宋体" w:cs="宋体"/>
                <w:color w:val="auto"/>
                <w:spacing w:val="-2"/>
                <w:sz w:val="21"/>
                <w:szCs w:val="21"/>
                <w:highlight w:val="none"/>
                <w:lang w:eastAsia="zh-CN"/>
              </w:rPr>
              <w:t>个工作日进行验收（如有特殊情况，按采购人指定的时间，另行验收）。</w:t>
            </w:r>
          </w:p>
          <w:p w14:paraId="2C63D6FC">
            <w:pPr>
              <w:keepNext w:val="0"/>
              <w:keepLines w:val="0"/>
              <w:pageBreakBefore w:val="0"/>
              <w:widowControl w:val="0"/>
              <w:kinsoku/>
              <w:wordWrap/>
              <w:overflowPunct/>
              <w:topLinePunct w:val="0"/>
              <w:autoSpaceDE/>
              <w:autoSpaceDN/>
              <w:bidi w:val="0"/>
              <w:adjustRightInd/>
              <w:snapToGrid/>
              <w:spacing w:line="360" w:lineRule="auto"/>
              <w:ind w:right="0" w:firstLine="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3）本项目验收由验收小组按照采购合同约定对每一项技术和商务要求的履约情况进行确认，作为验收依据；</w:t>
            </w:r>
          </w:p>
          <w:p w14:paraId="14BF3BD5">
            <w:pPr>
              <w:keepNext w:val="0"/>
              <w:keepLines w:val="0"/>
              <w:pageBreakBefore w:val="0"/>
              <w:widowControl w:val="0"/>
              <w:kinsoku/>
              <w:wordWrap/>
              <w:overflowPunct/>
              <w:topLinePunct w:val="0"/>
              <w:autoSpaceDE/>
              <w:autoSpaceDN/>
              <w:bidi w:val="0"/>
              <w:adjustRightInd/>
              <w:snapToGrid/>
              <w:spacing w:line="360" w:lineRule="auto"/>
              <w:ind w:right="0" w:firstLine="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4）验收结束后，验收小组出具采购验收书，验收书应当包括每一项技术和商务要求的履约情况，并列明项目总体评价，由验收小组、采购人和成交供应商共同签署。</w:t>
            </w:r>
          </w:p>
          <w:p w14:paraId="3EB5BC8C">
            <w:pPr>
              <w:keepNext w:val="0"/>
              <w:keepLines w:val="0"/>
              <w:pageBreakBefore w:val="0"/>
              <w:widowControl w:val="0"/>
              <w:kinsoku/>
              <w:wordWrap/>
              <w:overflowPunct/>
              <w:topLinePunct w:val="0"/>
              <w:autoSpaceDE/>
              <w:autoSpaceDN/>
              <w:bidi w:val="0"/>
              <w:adjustRightInd/>
              <w:snapToGrid/>
              <w:spacing w:line="360" w:lineRule="auto"/>
              <w:ind w:right="0" w:firstLine="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5）验收过程中所产生的一切费用均由成交供应商承担。</w:t>
            </w:r>
          </w:p>
          <w:p w14:paraId="6A5EA89F">
            <w:pPr>
              <w:keepNext w:val="0"/>
              <w:keepLines w:val="0"/>
              <w:pageBreakBefore w:val="0"/>
              <w:widowControl w:val="0"/>
              <w:kinsoku/>
              <w:wordWrap/>
              <w:overflowPunct/>
              <w:topLinePunct w:val="0"/>
              <w:autoSpaceDE/>
              <w:autoSpaceDN/>
              <w:bidi w:val="0"/>
              <w:adjustRightInd/>
              <w:snapToGrid/>
              <w:spacing w:line="360" w:lineRule="auto"/>
              <w:ind w:right="0" w:firstLine="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6）验收书一式肆份，双方各执两份。</w:t>
            </w:r>
          </w:p>
          <w:p w14:paraId="791953F7">
            <w:pPr>
              <w:keepNext w:val="0"/>
              <w:keepLines w:val="0"/>
              <w:pageBreakBefore w:val="0"/>
              <w:widowControl w:val="0"/>
              <w:kinsoku/>
              <w:wordWrap/>
              <w:overflowPunct/>
              <w:topLinePunct w:val="0"/>
              <w:autoSpaceDE/>
              <w:autoSpaceDN/>
              <w:bidi w:val="0"/>
              <w:adjustRightInd/>
              <w:snapToGrid/>
              <w:spacing w:line="360" w:lineRule="auto"/>
              <w:ind w:right="0" w:firstLine="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7）验收结论不合格的，成交供应商应自收到验收书后</w:t>
            </w:r>
            <w:r>
              <w:rPr>
                <w:rFonts w:hint="eastAsia" w:ascii="宋体" w:hAnsi="宋体" w:eastAsia="宋体" w:cs="宋体"/>
                <w:color w:val="auto"/>
                <w:spacing w:val="-2"/>
                <w:sz w:val="21"/>
                <w:szCs w:val="21"/>
                <w:highlight w:val="none"/>
                <w:lang w:val="en-US" w:eastAsia="zh-CN"/>
              </w:rPr>
              <w:t>5</w:t>
            </w:r>
            <w:r>
              <w:rPr>
                <w:rFonts w:hint="eastAsia" w:ascii="宋体" w:hAnsi="宋体" w:eastAsia="宋体" w:cs="宋体"/>
                <w:color w:val="auto"/>
                <w:spacing w:val="-2"/>
                <w:sz w:val="21"/>
                <w:szCs w:val="21"/>
                <w:highlight w:val="none"/>
                <w:lang w:eastAsia="zh-CN"/>
              </w:rPr>
              <w:t>日内及时予以解决。经成交供应商对验收结论不合格的货物进行整改后，仍然达不到要求的，经双方协商，可按以下办法处理：</w:t>
            </w:r>
          </w:p>
          <w:p w14:paraId="37386B9B">
            <w:pPr>
              <w:keepNext w:val="0"/>
              <w:keepLines w:val="0"/>
              <w:pageBreakBefore w:val="0"/>
              <w:widowControl w:val="0"/>
              <w:kinsoku/>
              <w:wordWrap/>
              <w:overflowPunct/>
              <w:topLinePunct w:val="0"/>
              <w:autoSpaceDE/>
              <w:autoSpaceDN/>
              <w:bidi w:val="0"/>
              <w:adjustRightInd/>
              <w:snapToGrid/>
              <w:spacing w:line="360" w:lineRule="auto"/>
              <w:ind w:right="0" w:firstLine="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（1）更换：由成交供应商承担所发生的全部费用；</w:t>
            </w:r>
          </w:p>
          <w:p w14:paraId="4184FC66">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（2）退货处理：成交供应商应退还采购人支付的合同款，同时应承担与该货物相关的直接费用（运输、保险、检验、合同款利息及银行手续费等）。</w:t>
            </w:r>
          </w:p>
        </w:tc>
      </w:tr>
      <w:tr w14:paraId="3DA3D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52" w:type="dxa"/>
            <w:tcBorders>
              <w:top w:val="single" w:color="auto" w:sz="4" w:space="0"/>
              <w:left w:val="single" w:color="auto" w:sz="4" w:space="0"/>
              <w:bottom w:val="single" w:color="auto" w:sz="4" w:space="0"/>
              <w:right w:val="single" w:color="auto" w:sz="4" w:space="0"/>
            </w:tcBorders>
            <w:vAlign w:val="center"/>
          </w:tcPr>
          <w:p w14:paraId="39D65D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进口产品说明</w:t>
            </w:r>
          </w:p>
        </w:tc>
        <w:tc>
          <w:tcPr>
            <w:tcW w:w="7539" w:type="dxa"/>
            <w:tcBorders>
              <w:top w:val="single" w:color="auto" w:sz="4" w:space="0"/>
              <w:left w:val="single" w:color="auto" w:sz="4" w:space="0"/>
              <w:bottom w:val="single" w:color="auto" w:sz="4" w:space="0"/>
              <w:right w:val="single" w:color="auto" w:sz="4" w:space="0"/>
            </w:tcBorders>
            <w:vAlign w:val="center"/>
          </w:tcPr>
          <w:p w14:paraId="5BAF1766">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z w:val="21"/>
                <w:szCs w:val="21"/>
                <w:highlight w:val="none"/>
              </w:rPr>
              <w:t>本分标货物不接受进口产品（即通过中国海关报关验放进入中国境内且产自关境</w:t>
            </w:r>
            <w:r>
              <w:rPr>
                <w:rFonts w:hint="eastAsia" w:ascii="宋体" w:hAnsi="宋体" w:eastAsia="宋体" w:cs="宋体"/>
                <w:color w:val="auto"/>
                <w:spacing w:val="-1"/>
                <w:sz w:val="21"/>
                <w:szCs w:val="21"/>
                <w:highlight w:val="none"/>
              </w:rPr>
              <w:t>外的产品）参与</w:t>
            </w:r>
            <w:r>
              <w:rPr>
                <w:rFonts w:hint="eastAsia" w:ascii="宋体" w:hAnsi="宋体" w:cs="宋体"/>
                <w:color w:val="auto"/>
                <w:spacing w:val="-1"/>
                <w:sz w:val="21"/>
                <w:szCs w:val="21"/>
                <w:highlight w:val="none"/>
                <w:lang w:val="en-US" w:eastAsia="zh-CN"/>
              </w:rPr>
              <w:t>竞标</w:t>
            </w:r>
            <w:r>
              <w:rPr>
                <w:rFonts w:hint="eastAsia" w:ascii="宋体" w:hAnsi="宋体" w:eastAsia="宋体" w:cs="宋体"/>
                <w:color w:val="auto"/>
                <w:spacing w:val="-1"/>
                <w:sz w:val="21"/>
                <w:szCs w:val="21"/>
                <w:highlight w:val="none"/>
              </w:rPr>
              <w:t>，</w:t>
            </w:r>
            <w:r>
              <w:rPr>
                <w:rFonts w:hint="eastAsia" w:ascii="宋体" w:hAnsi="宋体" w:eastAsia="宋体" w:cs="宋体"/>
                <w:b/>
                <w:bCs/>
                <w:color w:val="auto"/>
                <w:spacing w:val="-1"/>
                <w:sz w:val="21"/>
                <w:szCs w:val="21"/>
                <w:highlight w:val="none"/>
              </w:rPr>
              <w:t>如有进口产品参与</w:t>
            </w:r>
            <w:r>
              <w:rPr>
                <w:rFonts w:hint="eastAsia" w:ascii="宋体" w:hAnsi="宋体" w:cs="宋体"/>
                <w:b/>
                <w:bCs/>
                <w:color w:val="auto"/>
                <w:spacing w:val="-1"/>
                <w:sz w:val="21"/>
                <w:szCs w:val="21"/>
                <w:highlight w:val="none"/>
                <w:lang w:val="en-US" w:eastAsia="zh-CN"/>
              </w:rPr>
              <w:t>竞标</w:t>
            </w:r>
            <w:r>
              <w:rPr>
                <w:rFonts w:hint="eastAsia" w:ascii="宋体" w:hAnsi="宋体" w:eastAsia="宋体" w:cs="宋体"/>
                <w:b/>
                <w:bCs/>
                <w:color w:val="auto"/>
                <w:spacing w:val="-1"/>
                <w:sz w:val="21"/>
                <w:szCs w:val="21"/>
                <w:highlight w:val="none"/>
              </w:rPr>
              <w:t>的</w:t>
            </w:r>
            <w:r>
              <w:rPr>
                <w:rFonts w:hint="eastAsia" w:ascii="宋体" w:hAnsi="宋体" w:eastAsia="宋体" w:cs="宋体"/>
                <w:b/>
                <w:bCs/>
                <w:color w:val="auto"/>
                <w:spacing w:val="-2"/>
                <w:sz w:val="21"/>
                <w:szCs w:val="21"/>
                <w:highlight w:val="none"/>
              </w:rPr>
              <w:t>作无效标处理</w:t>
            </w:r>
            <w:r>
              <w:rPr>
                <w:rFonts w:hint="eastAsia" w:ascii="宋体" w:hAnsi="宋体" w:eastAsia="宋体" w:cs="宋体"/>
                <w:color w:val="auto"/>
                <w:spacing w:val="-2"/>
                <w:sz w:val="21"/>
                <w:szCs w:val="21"/>
                <w:highlight w:val="none"/>
              </w:rPr>
              <w:t>。</w:t>
            </w:r>
          </w:p>
        </w:tc>
      </w:tr>
      <w:tr w14:paraId="2A131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52" w:type="dxa"/>
            <w:tcBorders>
              <w:top w:val="single" w:color="auto" w:sz="4" w:space="0"/>
              <w:left w:val="single" w:color="auto" w:sz="4" w:space="0"/>
              <w:bottom w:val="single" w:color="auto" w:sz="4" w:space="0"/>
              <w:right w:val="single" w:color="auto" w:sz="4" w:space="0"/>
            </w:tcBorders>
            <w:vAlign w:val="center"/>
          </w:tcPr>
          <w:p w14:paraId="550235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7539" w:type="dxa"/>
            <w:tcBorders>
              <w:top w:val="single" w:color="auto" w:sz="4" w:space="0"/>
              <w:left w:val="single" w:color="auto" w:sz="4" w:space="0"/>
              <w:bottom w:val="single" w:color="auto" w:sz="4" w:space="0"/>
              <w:right w:val="single" w:color="auto" w:sz="4" w:space="0"/>
            </w:tcBorders>
            <w:vAlign w:val="center"/>
          </w:tcPr>
          <w:p w14:paraId="5DDE7398">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auto"/>
              <w:rPr>
                <w:rFonts w:hint="eastAsia" w:ascii="宋体" w:hAnsi="宋体" w:eastAsia="宋体" w:cs="宋体"/>
                <w:b w:val="0"/>
                <w:bCs w:val="0"/>
                <w:color w:val="auto"/>
                <w:spacing w:val="-2"/>
                <w:sz w:val="21"/>
                <w:szCs w:val="21"/>
                <w:highlight w:val="none"/>
                <w:lang w:eastAsia="zh-CN"/>
              </w:rPr>
            </w:pPr>
            <w:r>
              <w:rPr>
                <w:rFonts w:hint="eastAsia" w:ascii="宋体" w:hAnsi="宋体" w:eastAsia="宋体" w:cs="宋体"/>
                <w:b/>
                <w:bCs/>
                <w:color w:val="auto"/>
                <w:spacing w:val="-2"/>
                <w:sz w:val="21"/>
                <w:szCs w:val="21"/>
                <w:highlight w:val="none"/>
                <w:lang w:eastAsia="zh-CN"/>
              </w:rPr>
              <w:t>1.</w:t>
            </w:r>
            <w:r>
              <w:rPr>
                <w:rFonts w:hint="eastAsia" w:ascii="宋体" w:hAnsi="宋体" w:cs="宋体"/>
                <w:b/>
                <w:bCs/>
                <w:color w:val="auto"/>
                <w:spacing w:val="-2"/>
                <w:sz w:val="21"/>
                <w:szCs w:val="21"/>
                <w:highlight w:val="none"/>
                <w:lang w:val="en-US" w:eastAsia="zh-CN"/>
              </w:rPr>
              <w:t>竞标</w:t>
            </w:r>
            <w:r>
              <w:rPr>
                <w:rFonts w:hint="eastAsia" w:ascii="宋体" w:hAnsi="宋体" w:eastAsia="宋体" w:cs="宋体"/>
                <w:b/>
                <w:bCs/>
                <w:color w:val="auto"/>
                <w:spacing w:val="-2"/>
                <w:sz w:val="21"/>
                <w:szCs w:val="21"/>
                <w:highlight w:val="none"/>
                <w:lang w:eastAsia="zh-CN"/>
              </w:rPr>
              <w:t>产品属医疗器械产品的提供该设备、配附件（如有）、耗材（如有）有效的医疗器械注册证并加盖</w:t>
            </w:r>
            <w:r>
              <w:rPr>
                <w:rFonts w:hint="eastAsia" w:ascii="宋体" w:hAnsi="宋体" w:cs="宋体"/>
                <w:b/>
                <w:bCs/>
                <w:color w:val="auto"/>
                <w:spacing w:val="-2"/>
                <w:sz w:val="21"/>
                <w:szCs w:val="21"/>
                <w:highlight w:val="none"/>
                <w:lang w:eastAsia="zh-CN"/>
              </w:rPr>
              <w:t>竞标人</w:t>
            </w:r>
            <w:r>
              <w:rPr>
                <w:rFonts w:hint="eastAsia" w:ascii="宋体" w:hAnsi="宋体" w:eastAsia="宋体" w:cs="宋体"/>
                <w:b/>
                <w:bCs/>
                <w:color w:val="auto"/>
                <w:spacing w:val="-2"/>
                <w:sz w:val="21"/>
                <w:szCs w:val="21"/>
                <w:highlight w:val="none"/>
                <w:lang w:eastAsia="zh-CN"/>
              </w:rPr>
              <w:t>公章，否则按无效</w:t>
            </w:r>
            <w:r>
              <w:rPr>
                <w:rFonts w:hint="eastAsia" w:ascii="宋体" w:hAnsi="宋体" w:cs="宋体"/>
                <w:b/>
                <w:bCs/>
                <w:color w:val="auto"/>
                <w:spacing w:val="-2"/>
                <w:sz w:val="21"/>
                <w:szCs w:val="21"/>
                <w:highlight w:val="none"/>
                <w:lang w:val="en-US" w:eastAsia="zh-CN"/>
              </w:rPr>
              <w:t>响应</w:t>
            </w:r>
            <w:r>
              <w:rPr>
                <w:rFonts w:hint="eastAsia" w:ascii="宋体" w:hAnsi="宋体" w:eastAsia="宋体" w:cs="宋体"/>
                <w:b/>
                <w:bCs/>
                <w:color w:val="auto"/>
                <w:spacing w:val="-2"/>
                <w:sz w:val="21"/>
                <w:szCs w:val="21"/>
                <w:highlight w:val="none"/>
                <w:lang w:eastAsia="zh-CN"/>
              </w:rPr>
              <w:t>处理。</w:t>
            </w:r>
          </w:p>
          <w:p w14:paraId="6A477F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kern w:val="2"/>
                <w:sz w:val="21"/>
                <w:szCs w:val="21"/>
                <w:highlight w:val="none"/>
                <w:lang w:val="en-US" w:eastAsia="zh-CN" w:bidi="ar-SA"/>
              </w:rPr>
              <w:t>2.</w:t>
            </w:r>
            <w:r>
              <w:rPr>
                <w:rFonts w:hint="eastAsia" w:ascii="宋体" w:hAnsi="宋体" w:eastAsia="宋体" w:cs="宋体"/>
                <w:color w:val="auto"/>
                <w:spacing w:val="-2"/>
                <w:sz w:val="21"/>
                <w:szCs w:val="21"/>
                <w:highlight w:val="none"/>
                <w:lang w:eastAsia="zh-CN"/>
              </w:rPr>
              <w:t>为保证项目顺利实施，</w:t>
            </w:r>
            <w:r>
              <w:rPr>
                <w:rFonts w:hint="eastAsia" w:ascii="宋体" w:hAnsi="宋体" w:cs="宋体"/>
                <w:color w:val="auto"/>
                <w:spacing w:val="-2"/>
                <w:sz w:val="21"/>
                <w:szCs w:val="21"/>
                <w:highlight w:val="none"/>
                <w:lang w:eastAsia="zh-CN"/>
              </w:rPr>
              <w:t>竞标人</w:t>
            </w:r>
            <w:r>
              <w:rPr>
                <w:rFonts w:hint="eastAsia" w:ascii="宋体" w:hAnsi="宋体" w:eastAsia="宋体" w:cs="宋体"/>
                <w:color w:val="auto"/>
                <w:spacing w:val="-2"/>
                <w:sz w:val="21"/>
                <w:szCs w:val="21"/>
                <w:highlight w:val="none"/>
                <w:lang w:eastAsia="zh-CN"/>
              </w:rPr>
              <w:t>可根据自身情况在</w:t>
            </w:r>
            <w:r>
              <w:rPr>
                <w:rFonts w:hint="eastAsia" w:ascii="宋体" w:hAnsi="宋体" w:cs="宋体"/>
                <w:color w:val="auto"/>
                <w:spacing w:val="-2"/>
                <w:sz w:val="21"/>
                <w:szCs w:val="21"/>
                <w:highlight w:val="none"/>
                <w:lang w:val="en-US" w:eastAsia="zh-CN"/>
              </w:rPr>
              <w:t>响应</w:t>
            </w:r>
            <w:r>
              <w:rPr>
                <w:rFonts w:hint="eastAsia" w:ascii="宋体" w:hAnsi="宋体" w:eastAsia="宋体" w:cs="宋体"/>
                <w:color w:val="auto"/>
                <w:spacing w:val="-2"/>
                <w:sz w:val="21"/>
                <w:szCs w:val="21"/>
                <w:highlight w:val="none"/>
                <w:lang w:eastAsia="zh-CN"/>
              </w:rPr>
              <w:t>文件中提供售后服务方案等内容。</w:t>
            </w:r>
          </w:p>
          <w:p w14:paraId="150133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0" w:firstLineChars="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3.供货要求：签订合同时需提供①生产厂家出具的供货证明或②代理商出具的供货证明及生产厂家出具给代理商的授权书。</w:t>
            </w:r>
          </w:p>
        </w:tc>
      </w:tr>
    </w:tbl>
    <w:p w14:paraId="06CB281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lang w:val="en-US" w:eastAsia="zh-CN"/>
        </w:rPr>
        <w:sectPr>
          <w:pgSz w:w="11910" w:h="16840"/>
          <w:pgMar w:top="1134" w:right="1134" w:bottom="1134" w:left="1134" w:header="850" w:footer="567" w:gutter="0"/>
          <w:cols w:space="720" w:num="1"/>
          <w:docGrid w:linePitch="286" w:charSpace="0"/>
        </w:sectPr>
      </w:pPr>
    </w:p>
    <w:p w14:paraId="09BC1B2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02分标：</w:t>
      </w:r>
    </w:p>
    <w:tbl>
      <w:tblPr>
        <w:tblStyle w:val="22"/>
        <w:tblW w:w="97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6"/>
        <w:gridCol w:w="1144"/>
        <w:gridCol w:w="659"/>
        <w:gridCol w:w="777"/>
        <w:gridCol w:w="6497"/>
      </w:tblGrid>
      <w:tr w14:paraId="32FB3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736" w:type="dxa"/>
            <w:vAlign w:val="center"/>
          </w:tcPr>
          <w:p w14:paraId="07BD375D">
            <w:pPr>
              <w:widowControl/>
              <w:spacing w:line="360" w:lineRule="auto"/>
              <w:jc w:val="center"/>
              <w:rPr>
                <w:rFonts w:ascii="宋体" w:hAnsi="宋体" w:cs="宋体"/>
                <w:color w:val="auto"/>
                <w:szCs w:val="21"/>
                <w:highlight w:val="none"/>
              </w:rPr>
            </w:pPr>
            <w:r>
              <w:rPr>
                <w:rFonts w:hint="eastAsia" w:ascii="宋体" w:hAnsi="宋体" w:cs="宋体"/>
                <w:b/>
                <w:color w:val="auto"/>
                <w:kern w:val="0"/>
                <w:szCs w:val="21"/>
                <w:highlight w:val="none"/>
              </w:rPr>
              <w:t>序号</w:t>
            </w:r>
          </w:p>
        </w:tc>
        <w:tc>
          <w:tcPr>
            <w:tcW w:w="1539" w:type="dxa"/>
            <w:vAlign w:val="center"/>
          </w:tcPr>
          <w:p w14:paraId="3196BE97">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标的的名称</w:t>
            </w:r>
          </w:p>
        </w:tc>
        <w:tc>
          <w:tcPr>
            <w:tcW w:w="787" w:type="dxa"/>
            <w:vAlign w:val="center"/>
          </w:tcPr>
          <w:p w14:paraId="0DF96FE3">
            <w:pPr>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所属行业</w:t>
            </w:r>
          </w:p>
        </w:tc>
        <w:tc>
          <w:tcPr>
            <w:tcW w:w="970" w:type="dxa"/>
            <w:vAlign w:val="center"/>
          </w:tcPr>
          <w:p w14:paraId="71ED9F28">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数量及单位</w:t>
            </w:r>
          </w:p>
        </w:tc>
        <w:tc>
          <w:tcPr>
            <w:tcW w:w="5671" w:type="dxa"/>
            <w:vAlign w:val="center"/>
          </w:tcPr>
          <w:p w14:paraId="670141A2">
            <w:pPr>
              <w:widowControl/>
              <w:spacing w:line="360" w:lineRule="auto"/>
              <w:jc w:val="center"/>
              <w:rPr>
                <w:rFonts w:ascii="宋体" w:hAnsi="宋体" w:cs="宋体"/>
                <w:color w:val="auto"/>
                <w:szCs w:val="21"/>
                <w:highlight w:val="none"/>
              </w:rPr>
            </w:pPr>
            <w:r>
              <w:rPr>
                <w:rFonts w:hint="eastAsia" w:ascii="宋体" w:hAnsi="宋体" w:cs="宋体"/>
                <w:b/>
                <w:color w:val="auto"/>
                <w:kern w:val="0"/>
                <w:szCs w:val="21"/>
                <w:highlight w:val="none"/>
              </w:rPr>
              <w:t>技术要求</w:t>
            </w:r>
          </w:p>
        </w:tc>
      </w:tr>
      <w:tr w14:paraId="3A059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36" w:type="dxa"/>
            <w:vAlign w:val="center"/>
          </w:tcPr>
          <w:p w14:paraId="0A6F85EC">
            <w:pPr>
              <w:widowControl/>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539" w:type="dxa"/>
            <w:vAlign w:val="center"/>
          </w:tcPr>
          <w:p w14:paraId="6F5D3CD9">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心电图采集设备</w:t>
            </w:r>
          </w:p>
        </w:tc>
        <w:tc>
          <w:tcPr>
            <w:tcW w:w="787" w:type="dxa"/>
            <w:vAlign w:val="center"/>
          </w:tcPr>
          <w:p w14:paraId="1DF1E30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工业</w:t>
            </w:r>
          </w:p>
        </w:tc>
        <w:tc>
          <w:tcPr>
            <w:tcW w:w="970" w:type="dxa"/>
            <w:vAlign w:val="center"/>
          </w:tcPr>
          <w:p w14:paraId="437CA285">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26台</w:t>
            </w:r>
          </w:p>
        </w:tc>
        <w:tc>
          <w:tcPr>
            <w:tcW w:w="5671" w:type="dxa"/>
            <w:vAlign w:val="center"/>
          </w:tcPr>
          <w:p w14:paraId="494976F0">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kern w:val="0"/>
                <w:szCs w:val="21"/>
                <w:highlight w:val="none"/>
              </w:rPr>
              <w:t>硬件参数</w:t>
            </w:r>
          </w:p>
          <w:p w14:paraId="5BA877E7">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V1-V6导联一体化定位，穿戴便携，可通过简单定位标线完成设备穿戴，简化医疗工作者操作时间，适合基层医疗工作者向上级医院上传心电数据； （</w:t>
            </w:r>
            <w:r>
              <w:rPr>
                <w:rFonts w:hint="eastAsia" w:ascii="宋体" w:hAnsi="宋体" w:cs="宋体"/>
                <w:color w:val="auto"/>
                <w:sz w:val="21"/>
                <w:szCs w:val="21"/>
                <w:highlight w:val="none"/>
                <w:lang w:val="en-US" w:eastAsia="zh-CN"/>
              </w:rPr>
              <w:t>响应文件中</w:t>
            </w:r>
            <w:r>
              <w:rPr>
                <w:rFonts w:hint="eastAsia" w:ascii="宋体" w:hAnsi="宋体" w:cs="宋体"/>
                <w:color w:val="auto"/>
                <w:sz w:val="21"/>
                <w:szCs w:val="21"/>
                <w:highlight w:val="none"/>
              </w:rPr>
              <w:t>提供证明文件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不限于产品技术白皮书，软件功能界面截图、注册证、检测报告、厂家的说明文件等</w:t>
            </w:r>
            <w:r>
              <w:rPr>
                <w:rFonts w:hint="eastAsia" w:ascii="宋体" w:hAnsi="宋体" w:cs="宋体"/>
                <w:color w:val="auto"/>
                <w:sz w:val="21"/>
                <w:szCs w:val="21"/>
                <w:highlight w:val="none"/>
              </w:rPr>
              <w:t>）</w:t>
            </w:r>
          </w:p>
          <w:p w14:paraId="57293CE0">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1.1.2采样通道：12导联；（</w:t>
            </w:r>
            <w:r>
              <w:rPr>
                <w:rFonts w:hint="eastAsia" w:ascii="宋体" w:hAnsi="宋体" w:cs="宋体"/>
                <w:color w:val="auto"/>
                <w:sz w:val="21"/>
                <w:szCs w:val="21"/>
                <w:highlight w:val="none"/>
                <w:lang w:val="en-US" w:eastAsia="zh-CN"/>
              </w:rPr>
              <w:t>响应文件中</w:t>
            </w:r>
            <w:r>
              <w:rPr>
                <w:rFonts w:hint="eastAsia" w:ascii="宋体" w:hAnsi="宋体" w:cs="宋体"/>
                <w:color w:val="auto"/>
                <w:sz w:val="21"/>
                <w:szCs w:val="21"/>
                <w:highlight w:val="none"/>
              </w:rPr>
              <w:t>提供证明文件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不限于产品技术白皮书、注册证、检测报告、厂家的说明文件等</w:t>
            </w:r>
            <w:r>
              <w:rPr>
                <w:rFonts w:hint="eastAsia" w:ascii="宋体" w:hAnsi="宋体" w:cs="宋体"/>
                <w:color w:val="auto"/>
                <w:sz w:val="21"/>
                <w:szCs w:val="21"/>
                <w:highlight w:val="none"/>
              </w:rPr>
              <w:t>）</w:t>
            </w:r>
          </w:p>
          <w:p w14:paraId="79AFB486">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1.1.3采样精度：≥16位；</w:t>
            </w:r>
          </w:p>
          <w:p w14:paraId="2DCA1971">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1.1.4事件记录：可采集静息心电图；</w:t>
            </w:r>
          </w:p>
          <w:p w14:paraId="368E7A46">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1.1.5动态输入范围：≥10mV（峰-谷值）；</w:t>
            </w:r>
          </w:p>
          <w:p w14:paraId="0B1272D5">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1.1.6输入阻抗：≥10MΩ；</w:t>
            </w:r>
          </w:p>
          <w:p w14:paraId="66FD3174">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1.1.7共模抑制比：至少90dB；（</w:t>
            </w:r>
            <w:r>
              <w:rPr>
                <w:rFonts w:hint="eastAsia" w:ascii="宋体" w:hAnsi="宋体" w:cs="宋体"/>
                <w:color w:val="auto"/>
                <w:sz w:val="21"/>
                <w:szCs w:val="21"/>
                <w:highlight w:val="none"/>
                <w:lang w:val="en-US" w:eastAsia="zh-CN"/>
              </w:rPr>
              <w:t>响应文件中</w:t>
            </w:r>
            <w:r>
              <w:rPr>
                <w:rFonts w:hint="eastAsia" w:ascii="宋体" w:hAnsi="宋体" w:cs="宋体"/>
                <w:color w:val="auto"/>
                <w:sz w:val="21"/>
                <w:szCs w:val="21"/>
                <w:highlight w:val="none"/>
              </w:rPr>
              <w:t>提供证明文件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不限于产品技术白皮书、注册证、检测报告、厂家的说明文件等</w:t>
            </w:r>
            <w:r>
              <w:rPr>
                <w:rFonts w:hint="eastAsia" w:ascii="宋体" w:hAnsi="宋体" w:cs="宋体"/>
                <w:color w:val="auto"/>
                <w:sz w:val="21"/>
                <w:szCs w:val="21"/>
                <w:highlight w:val="none"/>
              </w:rPr>
              <w:t>）</w:t>
            </w:r>
          </w:p>
          <w:p w14:paraId="5AC54888">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1.1.8频率响应：0.05Hz～150Hz。</w:t>
            </w:r>
          </w:p>
          <w:p w14:paraId="658EB4BF">
            <w:pPr>
              <w:pStyle w:val="20"/>
              <w:widowControl/>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1.2服务器、数据存储、信息安全</w:t>
            </w:r>
          </w:p>
          <w:p w14:paraId="11A46817">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（1）数据存储及备份方式：云服务器、云数据库；</w:t>
            </w:r>
          </w:p>
          <w:p w14:paraId="0DC17C60">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（2）安全防护：云防火墙、云审计系统；</w:t>
            </w:r>
          </w:p>
        </w:tc>
      </w:tr>
      <w:tr w14:paraId="69849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36" w:type="dxa"/>
            <w:vAlign w:val="center"/>
          </w:tcPr>
          <w:p w14:paraId="718B262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39" w:type="dxa"/>
            <w:vAlign w:val="center"/>
          </w:tcPr>
          <w:p w14:paraId="34E4D1A0">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监测诊断中心系统软件</w:t>
            </w:r>
          </w:p>
        </w:tc>
        <w:tc>
          <w:tcPr>
            <w:tcW w:w="787" w:type="dxa"/>
            <w:vAlign w:val="center"/>
          </w:tcPr>
          <w:p w14:paraId="54C03CA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软件和信息技术服务业</w:t>
            </w:r>
          </w:p>
        </w:tc>
        <w:tc>
          <w:tcPr>
            <w:tcW w:w="970" w:type="dxa"/>
            <w:vAlign w:val="center"/>
          </w:tcPr>
          <w:p w14:paraId="2F2AF6AA">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1套</w:t>
            </w:r>
          </w:p>
        </w:tc>
        <w:tc>
          <w:tcPr>
            <w:tcW w:w="5671" w:type="dxa"/>
            <w:vAlign w:val="center"/>
          </w:tcPr>
          <w:p w14:paraId="1B9325EF">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1.1信息安全：须通过信息系统安全等级保护三级认证；（</w:t>
            </w:r>
            <w:r>
              <w:rPr>
                <w:rFonts w:hint="eastAsia" w:ascii="宋体" w:hAnsi="宋体" w:cs="宋体"/>
                <w:color w:val="auto"/>
                <w:sz w:val="21"/>
                <w:szCs w:val="21"/>
                <w:highlight w:val="none"/>
                <w:lang w:val="en-US" w:eastAsia="zh-CN"/>
              </w:rPr>
              <w:t>响应文件中</w:t>
            </w:r>
            <w:r>
              <w:rPr>
                <w:rFonts w:hint="eastAsia" w:ascii="宋体" w:hAnsi="宋体" w:cs="宋体"/>
                <w:color w:val="auto"/>
                <w:sz w:val="21"/>
                <w:szCs w:val="21"/>
                <w:highlight w:val="none"/>
              </w:rPr>
              <w:t>提供</w:t>
            </w:r>
            <w:r>
              <w:rPr>
                <w:rFonts w:hint="eastAsia" w:ascii="宋体" w:hAnsi="宋体" w:cs="宋体"/>
                <w:color w:val="auto"/>
                <w:sz w:val="21"/>
                <w:szCs w:val="21"/>
                <w:highlight w:val="none"/>
                <w:lang w:val="en-US" w:eastAsia="zh-CN"/>
              </w:rPr>
              <w:t>等保三级认证证书</w:t>
            </w:r>
            <w:r>
              <w:rPr>
                <w:rFonts w:hint="eastAsia" w:ascii="宋体" w:hAnsi="宋体" w:cs="宋体"/>
                <w:color w:val="auto"/>
                <w:sz w:val="21"/>
                <w:szCs w:val="21"/>
                <w:highlight w:val="none"/>
              </w:rPr>
              <w:t>）</w:t>
            </w:r>
          </w:p>
          <w:p w14:paraId="3FB2E712">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1.2数据看板：以图形化方式展示心电数量、质量、地图等看板数据；</w:t>
            </w:r>
          </w:p>
          <w:p w14:paraId="42053543">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1.3心电危险分级管理：按普通、预警、危急分类管理心电危急值；</w:t>
            </w:r>
          </w:p>
          <w:p w14:paraId="1DA23FA0">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1.4患者基本信息：姓名、性别、年龄、联系电话等；</w:t>
            </w:r>
          </w:p>
          <w:p w14:paraId="5CC6AD39">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1.5患者管理：支持扫描身份证录入患者信息，患者可分类管理；</w:t>
            </w:r>
          </w:p>
          <w:p w14:paraId="05C9EF96">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1.6症状记录：患者身体症状、病史，支持模板与手动录入；</w:t>
            </w:r>
          </w:p>
          <w:p w14:paraId="00165607">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1.7历史数据对比：静息心电判读软件支持对比分析，可与同患者的历史心电图进行对比，同步滑动对比分析；</w:t>
            </w:r>
          </w:p>
          <w:p w14:paraId="5769CE5C">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1.8特征参数：平均心率、QRS 宽度、QRS电轴、PR间期、QT/QTc、RV5/SV1、RV5+SV1；</w:t>
            </w:r>
          </w:p>
          <w:p w14:paraId="74A49D0E">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1.9导联反接智能识别、修正：支持智能识别导联反接情况，可修正数据；（</w:t>
            </w:r>
            <w:r>
              <w:rPr>
                <w:rFonts w:hint="eastAsia" w:ascii="宋体" w:hAnsi="宋体" w:cs="宋体"/>
                <w:color w:val="auto"/>
                <w:sz w:val="21"/>
                <w:szCs w:val="21"/>
                <w:highlight w:val="none"/>
                <w:lang w:val="en-US" w:eastAsia="zh-CN"/>
              </w:rPr>
              <w:t>响应文件中</w:t>
            </w:r>
            <w:r>
              <w:rPr>
                <w:rFonts w:hint="eastAsia" w:ascii="宋体" w:hAnsi="宋体" w:cs="宋体"/>
                <w:color w:val="auto"/>
                <w:sz w:val="21"/>
                <w:szCs w:val="21"/>
                <w:highlight w:val="none"/>
              </w:rPr>
              <w:t>提供证明文件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不限于产品技术白皮书，软件功能界面截图、注册证、检测报告、厂家的说明文件等</w:t>
            </w:r>
            <w:r>
              <w:rPr>
                <w:rFonts w:hint="eastAsia" w:ascii="宋体" w:hAnsi="宋体" w:cs="宋体"/>
                <w:color w:val="auto"/>
                <w:sz w:val="21"/>
                <w:szCs w:val="21"/>
                <w:highlight w:val="none"/>
              </w:rPr>
              <w:t>）</w:t>
            </w:r>
          </w:p>
          <w:p w14:paraId="78E97BE4">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1.10诊断流程：心电数据可分评估、审核两步完成诊断，并支持质控功能；</w:t>
            </w:r>
          </w:p>
          <w:p w14:paraId="5F920B5A">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1.11心电诊断资源共享机制：需保证心电诊断任务可及时由诊断医生完成审核，并签发报告，须具备心电诊断资源共享、诊断任务协同保障机制；（</w:t>
            </w:r>
            <w:r>
              <w:rPr>
                <w:rFonts w:hint="eastAsia" w:ascii="宋体" w:hAnsi="宋体" w:cs="宋体"/>
                <w:color w:val="auto"/>
                <w:sz w:val="21"/>
                <w:szCs w:val="21"/>
                <w:highlight w:val="none"/>
                <w:lang w:val="en-US" w:eastAsia="zh-CN"/>
              </w:rPr>
              <w:t>响应文件中</w:t>
            </w:r>
            <w:r>
              <w:rPr>
                <w:rFonts w:hint="eastAsia" w:ascii="宋体" w:hAnsi="宋体" w:cs="宋体"/>
                <w:color w:val="auto"/>
                <w:sz w:val="21"/>
                <w:szCs w:val="21"/>
                <w:highlight w:val="none"/>
              </w:rPr>
              <w:t>提供证明文件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不限于产品技术白皮书，软件功能界面截图、注册证、检测报告、厂家的说明文件等</w:t>
            </w:r>
            <w:r>
              <w:rPr>
                <w:rFonts w:hint="eastAsia" w:ascii="宋体" w:hAnsi="宋体" w:cs="宋体"/>
                <w:color w:val="auto"/>
                <w:sz w:val="21"/>
                <w:szCs w:val="21"/>
                <w:highlight w:val="none"/>
              </w:rPr>
              <w:t>）</w:t>
            </w:r>
          </w:p>
          <w:p w14:paraId="01C31AA1">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1.12危急值处置管理系统：危急值产生时可通知上级医院快速响应，具有超时提醒功能；</w:t>
            </w:r>
          </w:p>
          <w:p w14:paraId="4A0FBD08">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1.13预警值提醒系统：具有心电预警值提醒功能；</w:t>
            </w:r>
          </w:p>
          <w:p w14:paraId="75EFEEF6">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1.14设备管理功能：可扫码快速分发设备，登记设备流向，分配使用权限，可形成设备管理电子档案；</w:t>
            </w:r>
          </w:p>
          <w:p w14:paraId="61415E01">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1.15院外监测：患者可在院外自主采集、上传心电数据，患者可实时接收心电报告及危急值；</w:t>
            </w:r>
          </w:p>
          <w:p w14:paraId="04648133">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1.16抽检质控：可对诊断准确性进行评价。</w:t>
            </w:r>
          </w:p>
          <w:p w14:paraId="5380B361">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1.17可自定义诊断任务优先级。</w:t>
            </w:r>
          </w:p>
          <w:p w14:paraId="550B7F62">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1.18支持多账号登录：多个医生账号同时登录应用</w:t>
            </w:r>
          </w:p>
          <w:p w14:paraId="1042B72B">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1.19自动核查诊断结果：提醒诊断医生诊断结果可能存在差异。</w:t>
            </w:r>
          </w:p>
          <w:p w14:paraId="068E7189">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1.20病例收藏：可收藏重要、典型病例供诊断医生快速回顾</w:t>
            </w:r>
          </w:p>
          <w:p w14:paraId="47076FCA">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1.21具备心电波形叠加功能：方便医生分析心电数据</w:t>
            </w:r>
          </w:p>
          <w:p w14:paraId="037A46B4">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1.22患者病历信息记录：诊断医生可多次记录患者病历信息</w:t>
            </w:r>
          </w:p>
          <w:p w14:paraId="50A1AAF4">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1.23基层医生入网审核：可扫码快速审核基层医生入网资格</w:t>
            </w:r>
          </w:p>
          <w:p w14:paraId="0245929D">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1.24快捷登录：支持扫码、验证码、本机号码一键、账号密码等方式快捷安全的登录系统；</w:t>
            </w:r>
          </w:p>
          <w:p w14:paraId="2636F49F">
            <w:pPr>
              <w:pStyle w:val="20"/>
              <w:widowControl/>
              <w:spacing w:line="360" w:lineRule="auto"/>
              <w:ind w:firstLine="420" w:firstLineChars="200"/>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1.25基层医生可通过微信小程序采集上传心电数据，查看心电报告；</w:t>
            </w:r>
          </w:p>
          <w:p w14:paraId="52EEC964">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1.26提供远程后台24小时心电读图服务，5分钟后院内不读图，自动转后台读图，提供不少于5000份读图服务</w:t>
            </w:r>
            <w:r>
              <w:rPr>
                <w:rFonts w:hint="eastAsia" w:ascii="宋体" w:hAnsi="宋体" w:cs="宋体"/>
                <w:color w:val="auto"/>
                <w:sz w:val="21"/>
                <w:szCs w:val="21"/>
                <w:highlight w:val="none"/>
                <w:shd w:val="clear" w:color="auto" w:fill="FFFFFF"/>
                <w:lang w:eastAsia="zh-CN"/>
              </w:rPr>
              <w:t>，超过</w:t>
            </w:r>
            <w:r>
              <w:rPr>
                <w:rFonts w:hint="eastAsia" w:ascii="宋体" w:hAnsi="宋体" w:cs="宋体"/>
                <w:color w:val="auto"/>
                <w:sz w:val="21"/>
                <w:szCs w:val="21"/>
                <w:highlight w:val="none"/>
                <w:shd w:val="clear" w:color="auto" w:fill="FFFFFF"/>
                <w:lang w:val="en-US" w:eastAsia="zh-CN"/>
              </w:rPr>
              <w:t>5000份读图</w:t>
            </w:r>
            <w:r>
              <w:rPr>
                <w:rFonts w:hint="eastAsia" w:ascii="宋体" w:hAnsi="宋体" w:cs="宋体"/>
                <w:color w:val="auto"/>
                <w:sz w:val="21"/>
                <w:szCs w:val="21"/>
                <w:highlight w:val="none"/>
                <w:shd w:val="clear" w:color="auto" w:fill="FFFFFF"/>
                <w:lang w:eastAsia="zh-CN"/>
              </w:rPr>
              <w:t>后成交供应商按每份不</w:t>
            </w:r>
            <w:r>
              <w:rPr>
                <w:rFonts w:hint="eastAsia" w:ascii="宋体" w:hAnsi="宋体" w:cs="宋体"/>
                <w:color w:val="auto"/>
                <w:sz w:val="21"/>
                <w:szCs w:val="21"/>
                <w:highlight w:val="none"/>
                <w:shd w:val="clear" w:color="auto" w:fill="FFFFFF"/>
                <w:lang w:val="en-US" w:eastAsia="zh-CN"/>
              </w:rPr>
              <w:t>得</w:t>
            </w:r>
            <w:r>
              <w:rPr>
                <w:rFonts w:hint="eastAsia" w:ascii="宋体" w:hAnsi="宋体" w:cs="宋体"/>
                <w:color w:val="auto"/>
                <w:sz w:val="21"/>
                <w:szCs w:val="21"/>
                <w:highlight w:val="none"/>
                <w:shd w:val="clear" w:color="auto" w:fill="FFFFFF"/>
                <w:lang w:eastAsia="zh-CN"/>
              </w:rPr>
              <w:t>高于10元人民币收取</w:t>
            </w:r>
            <w:r>
              <w:rPr>
                <w:rFonts w:hint="eastAsia" w:ascii="宋体" w:hAnsi="宋体" w:cs="宋体"/>
                <w:color w:val="auto"/>
                <w:sz w:val="21"/>
                <w:szCs w:val="21"/>
                <w:highlight w:val="none"/>
                <w:shd w:val="clear" w:color="auto" w:fill="FFFFFF"/>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响应文件中</w:t>
            </w:r>
            <w:r>
              <w:rPr>
                <w:rFonts w:hint="eastAsia" w:ascii="宋体" w:hAnsi="宋体" w:cs="宋体"/>
                <w:color w:val="auto"/>
                <w:sz w:val="21"/>
                <w:szCs w:val="21"/>
                <w:highlight w:val="none"/>
              </w:rPr>
              <w:t>提供证明文件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不限于产品技术白皮书，软件功能界面截图、注册证、检测报告、厂家的说明文件等</w:t>
            </w:r>
            <w:r>
              <w:rPr>
                <w:rFonts w:hint="eastAsia" w:ascii="宋体" w:hAnsi="宋体" w:cs="宋体"/>
                <w:color w:val="auto"/>
                <w:sz w:val="21"/>
                <w:szCs w:val="21"/>
                <w:highlight w:val="none"/>
              </w:rPr>
              <w:t>）</w:t>
            </w:r>
          </w:p>
          <w:p w14:paraId="187ED393">
            <w:pPr>
              <w:pStyle w:val="20"/>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1.27心电数据可上报胸痛中心总部。</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响应文件中</w:t>
            </w:r>
            <w:r>
              <w:rPr>
                <w:rFonts w:hint="eastAsia" w:ascii="宋体" w:hAnsi="宋体" w:cs="宋体"/>
                <w:color w:val="auto"/>
                <w:sz w:val="21"/>
                <w:szCs w:val="21"/>
                <w:highlight w:val="none"/>
              </w:rPr>
              <w:t>提供证明文件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不限于产品技术白皮书，软件功能界面截图、注册证、检测报告、厂家的说明文件等</w:t>
            </w:r>
            <w:r>
              <w:rPr>
                <w:rFonts w:hint="eastAsia" w:ascii="宋体" w:hAnsi="宋体" w:cs="宋体"/>
                <w:color w:val="auto"/>
                <w:sz w:val="21"/>
                <w:szCs w:val="21"/>
                <w:highlight w:val="none"/>
              </w:rPr>
              <w:t>）</w:t>
            </w:r>
          </w:p>
        </w:tc>
      </w:tr>
      <w:tr w14:paraId="75AB2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36" w:type="dxa"/>
            <w:vAlign w:val="center"/>
          </w:tcPr>
          <w:p w14:paraId="262D806E">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539" w:type="dxa"/>
            <w:vAlign w:val="center"/>
          </w:tcPr>
          <w:p w14:paraId="49EAACC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十二导联心电图机</w:t>
            </w:r>
          </w:p>
        </w:tc>
        <w:tc>
          <w:tcPr>
            <w:tcW w:w="787" w:type="dxa"/>
            <w:vAlign w:val="center"/>
          </w:tcPr>
          <w:p w14:paraId="440667B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工业</w:t>
            </w:r>
          </w:p>
        </w:tc>
        <w:tc>
          <w:tcPr>
            <w:tcW w:w="970" w:type="dxa"/>
            <w:vAlign w:val="center"/>
          </w:tcPr>
          <w:p w14:paraId="6EB49EA4">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13台</w:t>
            </w:r>
          </w:p>
        </w:tc>
        <w:tc>
          <w:tcPr>
            <w:tcW w:w="5671" w:type="dxa"/>
            <w:vAlign w:val="center"/>
          </w:tcPr>
          <w:p w14:paraId="047FBC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1、具备12导联心电同步采集功能</w:t>
            </w:r>
          </w:p>
          <w:p w14:paraId="4934CB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2、显示屏≥10英寸，支持全屏多点触控。</w:t>
            </w:r>
          </w:p>
          <w:p w14:paraId="34254D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3、共模抑制比：≥135dB</w:t>
            </w:r>
          </w:p>
          <w:p w14:paraId="6E44A7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4、频率响应：0.01z~350Hz，-3dB。</w:t>
            </w:r>
          </w:p>
          <w:p w14:paraId="07045A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5、耐极化电压：≥±900mV（±5%）</w:t>
            </w:r>
          </w:p>
          <w:p w14:paraId="169F13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6、输入阻抗：≥100MΩ</w:t>
            </w:r>
          </w:p>
          <w:p w14:paraId="7F430B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7、灵敏度/增益：（1.25 mm/mV，2.5 mm/mV，5 mm/mV，10 mm/mV，20 mm/mV, 10/5 mm/mV，AGC）±5%。</w:t>
            </w:r>
          </w:p>
          <w:p w14:paraId="0CB392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8、时间常数：≥5s。</w:t>
            </w:r>
          </w:p>
          <w:p w14:paraId="42519A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9、心电波形采样率：≥64,000 Hz，每节律导联；</w:t>
            </w:r>
          </w:p>
          <w:p w14:paraId="13D5C7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10、具有起搏检测功能，起搏采样率：≥64,000Hz，每节律导联。</w:t>
            </w:r>
          </w:p>
          <w:p w14:paraId="34C290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11、机器需轻巧便携，重量≤1.5kg。</w:t>
            </w:r>
          </w:p>
          <w:p w14:paraId="35964D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12、内置储存≥32GB，具有SD卡、U盘扩展存储功能:</w:t>
            </w:r>
          </w:p>
          <w:p w14:paraId="1414A5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13、具备直流电源，内置可充电锂离子电池，额定容量≥50Wh，额定电压≥15V，充足后可正常工作时间≥8小时。</w:t>
            </w:r>
          </w:p>
          <w:p w14:paraId="6531BE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14、支持3x3、6+3、9x1、3x4+1R、6x2+1R、12x1等心电波形显示。</w:t>
            </w:r>
          </w:p>
          <w:p w14:paraId="505169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15、支持波形预览和报告预览；可USB外接打印机或WIFI连接打印机，通过A4纸打印心电波形和报告。</w:t>
            </w:r>
          </w:p>
          <w:p w14:paraId="234FF9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16、主机自带无线传输功能：蓝牙4.2，无线Wi-Fi支持2.4GHz/5GHz双频段。</w:t>
            </w:r>
          </w:p>
          <w:p w14:paraId="39CDDF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17、主机自带4G移动通信功能：内置eSIM卡和标准SIM卡。</w:t>
            </w:r>
          </w:p>
          <w:p w14:paraId="17D4AA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18、支持NFC近场通信，内置具有红外条码扫描功能</w:t>
            </w:r>
          </w:p>
          <w:p w14:paraId="2BA645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19、支持药物试验，心向量，心率变异，心室晚电位等高级功能。</w:t>
            </w:r>
          </w:p>
          <w:p w14:paraId="0CD59D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20、支持病人数据同屏对比。</w:t>
            </w:r>
          </w:p>
          <w:p w14:paraId="532AD4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21、支持病人信息加密显示。</w:t>
            </w:r>
          </w:p>
          <w:p w14:paraId="498B67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22、支持导联接错提醒功能，具备导联脱落提示，异常心率预警；</w:t>
            </w:r>
          </w:p>
          <w:p w14:paraId="60CDF2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23、支持采集波形质量颜色指示；可辅助判断心电波形质量，待波形稳定后，机器可自动触发采集，支持采集过程中出现干扰自动重采、分析、存储、上传、打印。</w:t>
            </w:r>
          </w:p>
          <w:p w14:paraId="3CBF3D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24、支持多种节律采集方式如：实时采集、单节律采样、多节律采样等，支持节律导联自定义选择。</w:t>
            </w:r>
          </w:p>
          <w:p w14:paraId="625F90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25、具备重分析、重新采样、切换报告格式；</w:t>
            </w:r>
          </w:p>
          <w:p w14:paraId="2E3294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26、支持PDF、SCP、FDA-XML、DICOM、JPG、BMP等格式输出。可对接医院HIS、电子病历等系统，满足医院信息化需求。</w:t>
            </w:r>
          </w:p>
          <w:p w14:paraId="106411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27、配套心电数据管理系统软件，实现心电设备及数据的管理，互联互通。</w:t>
            </w:r>
          </w:p>
          <w:p w14:paraId="35330FE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配置清单</w:t>
            </w:r>
          </w:p>
          <w:tbl>
            <w:tblPr>
              <w:tblStyle w:val="22"/>
              <w:tblW w:w="0" w:type="auto"/>
              <w:tblInd w:w="21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24"/>
              <w:gridCol w:w="2658"/>
              <w:gridCol w:w="917"/>
              <w:gridCol w:w="1169"/>
            </w:tblGrid>
            <w:tr w14:paraId="747C8C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1024" w:type="dxa"/>
                  <w:tcBorders>
                    <w:top w:val="double" w:color="auto" w:sz="4" w:space="0"/>
                  </w:tcBorders>
                  <w:noWrap/>
                  <w:vAlign w:val="center"/>
                </w:tcPr>
                <w:p w14:paraId="51F324D0">
                  <w:pPr>
                    <w:spacing w:line="360" w:lineRule="exact"/>
                    <w:ind w:firstLine="105" w:firstLineChars="50"/>
                    <w:rPr>
                      <w:rFonts w:ascii="宋体" w:hAnsi="宋体"/>
                      <w:bCs/>
                      <w:color w:val="auto"/>
                      <w:szCs w:val="21"/>
                      <w:highlight w:val="none"/>
                    </w:rPr>
                  </w:pPr>
                  <w:r>
                    <w:rPr>
                      <w:rFonts w:hint="eastAsia" w:ascii="宋体" w:hAnsi="宋体"/>
                      <w:bCs/>
                      <w:color w:val="auto"/>
                      <w:szCs w:val="21"/>
                      <w:highlight w:val="none"/>
                    </w:rPr>
                    <w:t>序号</w:t>
                  </w:r>
                </w:p>
              </w:tc>
              <w:tc>
                <w:tcPr>
                  <w:tcW w:w="2658" w:type="dxa"/>
                  <w:tcBorders>
                    <w:top w:val="double" w:color="auto" w:sz="4" w:space="0"/>
                  </w:tcBorders>
                  <w:noWrap/>
                  <w:vAlign w:val="center"/>
                </w:tcPr>
                <w:p w14:paraId="0125EF20">
                  <w:pPr>
                    <w:spacing w:line="360" w:lineRule="exact"/>
                    <w:jc w:val="center"/>
                    <w:rPr>
                      <w:rFonts w:ascii="宋体" w:hAnsi="宋体"/>
                      <w:bCs/>
                      <w:color w:val="auto"/>
                      <w:szCs w:val="21"/>
                      <w:highlight w:val="none"/>
                    </w:rPr>
                  </w:pPr>
                  <w:r>
                    <w:rPr>
                      <w:rFonts w:hint="eastAsia" w:ascii="宋体" w:hAnsi="宋体"/>
                      <w:bCs/>
                      <w:color w:val="auto"/>
                      <w:szCs w:val="21"/>
                      <w:highlight w:val="none"/>
                    </w:rPr>
                    <w:t>项目名称</w:t>
                  </w:r>
                </w:p>
              </w:tc>
              <w:tc>
                <w:tcPr>
                  <w:tcW w:w="917" w:type="dxa"/>
                  <w:tcBorders>
                    <w:top w:val="double" w:color="auto" w:sz="4" w:space="0"/>
                  </w:tcBorders>
                  <w:noWrap/>
                  <w:vAlign w:val="center"/>
                </w:tcPr>
                <w:p w14:paraId="60954794">
                  <w:pPr>
                    <w:spacing w:line="360" w:lineRule="exact"/>
                    <w:jc w:val="center"/>
                    <w:rPr>
                      <w:rFonts w:ascii="宋体" w:hAnsi="宋体"/>
                      <w:bCs/>
                      <w:color w:val="auto"/>
                      <w:szCs w:val="21"/>
                      <w:highlight w:val="none"/>
                    </w:rPr>
                  </w:pPr>
                  <w:r>
                    <w:rPr>
                      <w:rFonts w:hint="eastAsia" w:ascii="宋体" w:hAnsi="宋体"/>
                      <w:bCs/>
                      <w:color w:val="auto"/>
                      <w:szCs w:val="21"/>
                      <w:highlight w:val="none"/>
                    </w:rPr>
                    <w:t>数量</w:t>
                  </w:r>
                </w:p>
              </w:tc>
              <w:tc>
                <w:tcPr>
                  <w:tcW w:w="1169" w:type="dxa"/>
                  <w:tcBorders>
                    <w:top w:val="double" w:color="auto" w:sz="4" w:space="0"/>
                  </w:tcBorders>
                  <w:noWrap/>
                  <w:vAlign w:val="center"/>
                </w:tcPr>
                <w:p w14:paraId="55620231">
                  <w:pPr>
                    <w:spacing w:line="360" w:lineRule="exact"/>
                    <w:jc w:val="center"/>
                    <w:rPr>
                      <w:rFonts w:ascii="宋体" w:hAnsi="宋体"/>
                      <w:bCs/>
                      <w:color w:val="auto"/>
                      <w:szCs w:val="21"/>
                      <w:highlight w:val="none"/>
                    </w:rPr>
                  </w:pPr>
                  <w:r>
                    <w:rPr>
                      <w:rFonts w:hint="eastAsia" w:ascii="宋体" w:hAnsi="宋体"/>
                      <w:bCs/>
                      <w:color w:val="auto"/>
                      <w:szCs w:val="21"/>
                      <w:highlight w:val="none"/>
                    </w:rPr>
                    <w:t>单位</w:t>
                  </w:r>
                </w:p>
              </w:tc>
            </w:tr>
            <w:tr w14:paraId="2502B6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24" w:type="dxa"/>
                  <w:noWrap/>
                  <w:vAlign w:val="center"/>
                </w:tcPr>
                <w:p w14:paraId="6AA564FF">
                  <w:pPr>
                    <w:spacing w:line="360" w:lineRule="exact"/>
                    <w:jc w:val="center"/>
                    <w:rPr>
                      <w:rFonts w:ascii="宋体" w:hAnsi="宋体"/>
                      <w:bCs/>
                      <w:color w:val="auto"/>
                      <w:szCs w:val="21"/>
                      <w:highlight w:val="none"/>
                    </w:rPr>
                  </w:pPr>
                  <w:r>
                    <w:rPr>
                      <w:rFonts w:ascii="宋体" w:hAnsi="宋体"/>
                      <w:bCs/>
                      <w:color w:val="auto"/>
                      <w:szCs w:val="21"/>
                      <w:highlight w:val="none"/>
                    </w:rPr>
                    <w:t>1</w:t>
                  </w:r>
                </w:p>
              </w:tc>
              <w:tc>
                <w:tcPr>
                  <w:tcW w:w="2658" w:type="dxa"/>
                  <w:noWrap/>
                  <w:vAlign w:val="center"/>
                </w:tcPr>
                <w:p w14:paraId="276ADB7C">
                  <w:pPr>
                    <w:spacing w:line="360" w:lineRule="exact"/>
                    <w:jc w:val="center"/>
                    <w:rPr>
                      <w:rFonts w:ascii="宋体" w:hAnsi="宋体"/>
                      <w:bCs/>
                      <w:color w:val="auto"/>
                      <w:szCs w:val="21"/>
                      <w:highlight w:val="none"/>
                    </w:rPr>
                  </w:pPr>
                  <w:r>
                    <w:rPr>
                      <w:rFonts w:hint="eastAsia" w:ascii="宋体" w:hAnsi="宋体"/>
                      <w:bCs/>
                      <w:color w:val="auto"/>
                      <w:szCs w:val="21"/>
                      <w:highlight w:val="none"/>
                    </w:rPr>
                    <w:t>主机</w:t>
                  </w:r>
                </w:p>
              </w:tc>
              <w:tc>
                <w:tcPr>
                  <w:tcW w:w="917" w:type="dxa"/>
                  <w:noWrap/>
                  <w:vAlign w:val="center"/>
                </w:tcPr>
                <w:p w14:paraId="3612824D">
                  <w:pPr>
                    <w:spacing w:line="360" w:lineRule="exact"/>
                    <w:jc w:val="center"/>
                    <w:rPr>
                      <w:rFonts w:ascii="宋体" w:hAnsi="宋体"/>
                      <w:bCs/>
                      <w:color w:val="auto"/>
                      <w:szCs w:val="21"/>
                      <w:highlight w:val="none"/>
                    </w:rPr>
                  </w:pPr>
                  <w:r>
                    <w:rPr>
                      <w:rFonts w:ascii="宋体" w:hAnsi="宋体"/>
                      <w:bCs/>
                      <w:color w:val="auto"/>
                      <w:szCs w:val="21"/>
                      <w:highlight w:val="none"/>
                    </w:rPr>
                    <w:t>1</w:t>
                  </w:r>
                </w:p>
              </w:tc>
              <w:tc>
                <w:tcPr>
                  <w:tcW w:w="1169" w:type="dxa"/>
                  <w:noWrap/>
                  <w:vAlign w:val="center"/>
                </w:tcPr>
                <w:p w14:paraId="6618E4AE">
                  <w:pPr>
                    <w:spacing w:line="360" w:lineRule="exact"/>
                    <w:jc w:val="center"/>
                    <w:rPr>
                      <w:rFonts w:ascii="宋体" w:hAnsi="宋体"/>
                      <w:bCs/>
                      <w:color w:val="auto"/>
                      <w:szCs w:val="21"/>
                      <w:highlight w:val="none"/>
                    </w:rPr>
                  </w:pPr>
                  <w:r>
                    <w:rPr>
                      <w:rFonts w:hint="eastAsia" w:ascii="宋体" w:hAnsi="宋体"/>
                      <w:bCs/>
                      <w:color w:val="auto"/>
                      <w:szCs w:val="21"/>
                      <w:highlight w:val="none"/>
                    </w:rPr>
                    <w:t>台</w:t>
                  </w:r>
                </w:p>
              </w:tc>
            </w:tr>
            <w:tr w14:paraId="3F9B44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24" w:type="dxa"/>
                  <w:noWrap/>
                  <w:vAlign w:val="center"/>
                </w:tcPr>
                <w:p w14:paraId="0C56A637">
                  <w:pPr>
                    <w:spacing w:line="360" w:lineRule="exact"/>
                    <w:jc w:val="center"/>
                    <w:rPr>
                      <w:rFonts w:ascii="宋体" w:hAnsi="宋体"/>
                      <w:bCs/>
                      <w:color w:val="auto"/>
                      <w:szCs w:val="21"/>
                      <w:highlight w:val="none"/>
                    </w:rPr>
                  </w:pPr>
                  <w:r>
                    <w:rPr>
                      <w:rFonts w:ascii="宋体" w:hAnsi="宋体"/>
                      <w:bCs/>
                      <w:color w:val="auto"/>
                      <w:szCs w:val="21"/>
                      <w:highlight w:val="none"/>
                    </w:rPr>
                    <w:t>2</w:t>
                  </w:r>
                </w:p>
              </w:tc>
              <w:tc>
                <w:tcPr>
                  <w:tcW w:w="2658" w:type="dxa"/>
                  <w:noWrap/>
                  <w:vAlign w:val="center"/>
                </w:tcPr>
                <w:p w14:paraId="3AD63793">
                  <w:pPr>
                    <w:spacing w:line="360" w:lineRule="exact"/>
                    <w:jc w:val="center"/>
                    <w:rPr>
                      <w:rFonts w:ascii="宋体" w:hAnsi="宋体"/>
                      <w:bCs/>
                      <w:color w:val="auto"/>
                      <w:szCs w:val="21"/>
                      <w:highlight w:val="none"/>
                    </w:rPr>
                  </w:pPr>
                  <w:r>
                    <w:rPr>
                      <w:rFonts w:hint="eastAsia" w:ascii="宋体" w:hAnsi="宋体"/>
                      <w:bCs/>
                      <w:color w:val="auto"/>
                      <w:szCs w:val="21"/>
                      <w:highlight w:val="none"/>
                    </w:rPr>
                    <w:t>心电导联线</w:t>
                  </w:r>
                </w:p>
              </w:tc>
              <w:tc>
                <w:tcPr>
                  <w:tcW w:w="917" w:type="dxa"/>
                  <w:noWrap/>
                  <w:vAlign w:val="center"/>
                </w:tcPr>
                <w:p w14:paraId="2CE3F8CC">
                  <w:pPr>
                    <w:spacing w:line="360" w:lineRule="exact"/>
                    <w:jc w:val="center"/>
                    <w:rPr>
                      <w:rFonts w:ascii="宋体" w:hAnsi="宋体"/>
                      <w:bCs/>
                      <w:color w:val="auto"/>
                      <w:szCs w:val="21"/>
                      <w:highlight w:val="none"/>
                    </w:rPr>
                  </w:pPr>
                  <w:r>
                    <w:rPr>
                      <w:rFonts w:ascii="宋体" w:hAnsi="宋体"/>
                      <w:bCs/>
                      <w:color w:val="auto"/>
                      <w:szCs w:val="21"/>
                      <w:highlight w:val="none"/>
                    </w:rPr>
                    <w:t>1</w:t>
                  </w:r>
                </w:p>
              </w:tc>
              <w:tc>
                <w:tcPr>
                  <w:tcW w:w="1169" w:type="dxa"/>
                  <w:noWrap/>
                  <w:vAlign w:val="center"/>
                </w:tcPr>
                <w:p w14:paraId="528CF797">
                  <w:pPr>
                    <w:spacing w:line="360" w:lineRule="exact"/>
                    <w:jc w:val="center"/>
                    <w:rPr>
                      <w:rFonts w:ascii="宋体" w:hAnsi="宋体"/>
                      <w:bCs/>
                      <w:color w:val="auto"/>
                      <w:szCs w:val="21"/>
                      <w:highlight w:val="none"/>
                    </w:rPr>
                  </w:pPr>
                  <w:r>
                    <w:rPr>
                      <w:rFonts w:hint="eastAsia" w:ascii="宋体" w:hAnsi="宋体"/>
                      <w:bCs/>
                      <w:color w:val="auto"/>
                      <w:szCs w:val="21"/>
                      <w:highlight w:val="none"/>
                    </w:rPr>
                    <w:t>根</w:t>
                  </w:r>
                </w:p>
              </w:tc>
            </w:tr>
            <w:tr w14:paraId="3A30C6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24" w:type="dxa"/>
                  <w:noWrap/>
                  <w:vAlign w:val="center"/>
                </w:tcPr>
                <w:p w14:paraId="129E5D31">
                  <w:pPr>
                    <w:spacing w:line="360" w:lineRule="exact"/>
                    <w:jc w:val="center"/>
                    <w:rPr>
                      <w:rFonts w:ascii="宋体" w:hAnsi="宋体"/>
                      <w:bCs/>
                      <w:color w:val="auto"/>
                      <w:szCs w:val="21"/>
                      <w:highlight w:val="none"/>
                    </w:rPr>
                  </w:pPr>
                  <w:r>
                    <w:rPr>
                      <w:rFonts w:ascii="宋体" w:hAnsi="宋体"/>
                      <w:bCs/>
                      <w:color w:val="auto"/>
                      <w:szCs w:val="21"/>
                      <w:highlight w:val="none"/>
                    </w:rPr>
                    <w:t>3</w:t>
                  </w:r>
                </w:p>
              </w:tc>
              <w:tc>
                <w:tcPr>
                  <w:tcW w:w="2658" w:type="dxa"/>
                  <w:noWrap/>
                  <w:vAlign w:val="center"/>
                </w:tcPr>
                <w:p w14:paraId="5D31A670">
                  <w:pPr>
                    <w:spacing w:line="360" w:lineRule="exact"/>
                    <w:jc w:val="center"/>
                    <w:rPr>
                      <w:rFonts w:ascii="宋体" w:hAnsi="宋体"/>
                      <w:bCs/>
                      <w:color w:val="auto"/>
                      <w:szCs w:val="21"/>
                      <w:highlight w:val="none"/>
                    </w:rPr>
                  </w:pPr>
                  <w:r>
                    <w:rPr>
                      <w:rFonts w:hint="eastAsia" w:ascii="宋体" w:hAnsi="宋体"/>
                      <w:bCs/>
                      <w:color w:val="auto"/>
                      <w:szCs w:val="21"/>
                      <w:highlight w:val="none"/>
                    </w:rPr>
                    <w:t>胸电极</w:t>
                  </w:r>
                </w:p>
              </w:tc>
              <w:tc>
                <w:tcPr>
                  <w:tcW w:w="917" w:type="dxa"/>
                  <w:noWrap/>
                  <w:vAlign w:val="center"/>
                </w:tcPr>
                <w:p w14:paraId="5FF425B4">
                  <w:pPr>
                    <w:spacing w:line="360" w:lineRule="exact"/>
                    <w:jc w:val="center"/>
                    <w:rPr>
                      <w:rFonts w:ascii="宋体" w:hAnsi="宋体"/>
                      <w:bCs/>
                      <w:color w:val="auto"/>
                      <w:szCs w:val="21"/>
                      <w:highlight w:val="none"/>
                    </w:rPr>
                  </w:pPr>
                  <w:r>
                    <w:rPr>
                      <w:rFonts w:ascii="宋体" w:hAnsi="宋体"/>
                      <w:bCs/>
                      <w:color w:val="auto"/>
                      <w:szCs w:val="21"/>
                      <w:highlight w:val="none"/>
                    </w:rPr>
                    <w:t>1</w:t>
                  </w:r>
                </w:p>
              </w:tc>
              <w:tc>
                <w:tcPr>
                  <w:tcW w:w="1169" w:type="dxa"/>
                  <w:noWrap/>
                  <w:vAlign w:val="center"/>
                </w:tcPr>
                <w:p w14:paraId="669B8BCD">
                  <w:pPr>
                    <w:spacing w:line="360" w:lineRule="exact"/>
                    <w:jc w:val="center"/>
                    <w:rPr>
                      <w:rFonts w:ascii="宋体" w:hAnsi="宋体"/>
                      <w:bCs/>
                      <w:color w:val="auto"/>
                      <w:szCs w:val="21"/>
                      <w:highlight w:val="none"/>
                    </w:rPr>
                  </w:pPr>
                  <w:r>
                    <w:rPr>
                      <w:rFonts w:hint="eastAsia" w:ascii="宋体" w:hAnsi="宋体"/>
                      <w:bCs/>
                      <w:color w:val="auto"/>
                      <w:szCs w:val="21"/>
                      <w:highlight w:val="none"/>
                    </w:rPr>
                    <w:t>盒（</w:t>
                  </w:r>
                  <w:r>
                    <w:rPr>
                      <w:rFonts w:ascii="宋体" w:hAnsi="宋体"/>
                      <w:bCs/>
                      <w:color w:val="auto"/>
                      <w:szCs w:val="21"/>
                      <w:highlight w:val="none"/>
                    </w:rPr>
                    <w:t>6</w:t>
                  </w:r>
                  <w:r>
                    <w:rPr>
                      <w:rFonts w:hint="eastAsia" w:ascii="宋体" w:hAnsi="宋体"/>
                      <w:bCs/>
                      <w:color w:val="auto"/>
                      <w:szCs w:val="21"/>
                      <w:highlight w:val="none"/>
                    </w:rPr>
                    <w:t>只）</w:t>
                  </w:r>
                </w:p>
              </w:tc>
            </w:tr>
            <w:tr w14:paraId="7BD27F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24" w:type="dxa"/>
                  <w:noWrap/>
                  <w:vAlign w:val="center"/>
                </w:tcPr>
                <w:p w14:paraId="495EA8CA">
                  <w:pPr>
                    <w:spacing w:line="360" w:lineRule="exact"/>
                    <w:jc w:val="center"/>
                    <w:rPr>
                      <w:rFonts w:ascii="宋体" w:hAnsi="宋体"/>
                      <w:bCs/>
                      <w:color w:val="auto"/>
                      <w:szCs w:val="21"/>
                      <w:highlight w:val="none"/>
                    </w:rPr>
                  </w:pPr>
                  <w:r>
                    <w:rPr>
                      <w:rFonts w:ascii="宋体" w:hAnsi="宋体"/>
                      <w:bCs/>
                      <w:color w:val="auto"/>
                      <w:szCs w:val="21"/>
                      <w:highlight w:val="none"/>
                    </w:rPr>
                    <w:t>4</w:t>
                  </w:r>
                </w:p>
              </w:tc>
              <w:tc>
                <w:tcPr>
                  <w:tcW w:w="2658" w:type="dxa"/>
                  <w:noWrap/>
                  <w:vAlign w:val="center"/>
                </w:tcPr>
                <w:p w14:paraId="1322B1FF">
                  <w:pPr>
                    <w:spacing w:line="360" w:lineRule="exact"/>
                    <w:jc w:val="center"/>
                    <w:rPr>
                      <w:rFonts w:ascii="宋体" w:hAnsi="宋体"/>
                      <w:bCs/>
                      <w:color w:val="auto"/>
                      <w:szCs w:val="21"/>
                      <w:highlight w:val="none"/>
                    </w:rPr>
                  </w:pPr>
                  <w:r>
                    <w:rPr>
                      <w:rFonts w:hint="eastAsia" w:ascii="宋体" w:hAnsi="宋体"/>
                      <w:bCs/>
                      <w:color w:val="auto"/>
                      <w:szCs w:val="21"/>
                      <w:highlight w:val="none"/>
                    </w:rPr>
                    <w:t>肢电极</w:t>
                  </w:r>
                </w:p>
              </w:tc>
              <w:tc>
                <w:tcPr>
                  <w:tcW w:w="917" w:type="dxa"/>
                  <w:noWrap/>
                  <w:vAlign w:val="center"/>
                </w:tcPr>
                <w:p w14:paraId="3F3E4D5B">
                  <w:pPr>
                    <w:spacing w:line="360" w:lineRule="exact"/>
                    <w:jc w:val="center"/>
                    <w:rPr>
                      <w:rFonts w:ascii="宋体" w:hAnsi="宋体"/>
                      <w:bCs/>
                      <w:color w:val="auto"/>
                      <w:szCs w:val="21"/>
                      <w:highlight w:val="none"/>
                    </w:rPr>
                  </w:pPr>
                  <w:r>
                    <w:rPr>
                      <w:rFonts w:ascii="宋体" w:hAnsi="宋体"/>
                      <w:bCs/>
                      <w:color w:val="auto"/>
                      <w:szCs w:val="21"/>
                      <w:highlight w:val="none"/>
                    </w:rPr>
                    <w:t>1</w:t>
                  </w:r>
                </w:p>
              </w:tc>
              <w:tc>
                <w:tcPr>
                  <w:tcW w:w="1169" w:type="dxa"/>
                  <w:noWrap/>
                  <w:vAlign w:val="center"/>
                </w:tcPr>
                <w:p w14:paraId="0DCA8FCB">
                  <w:pPr>
                    <w:spacing w:line="360" w:lineRule="exact"/>
                    <w:jc w:val="center"/>
                    <w:rPr>
                      <w:rFonts w:ascii="宋体" w:hAnsi="宋体"/>
                      <w:bCs/>
                      <w:color w:val="auto"/>
                      <w:szCs w:val="21"/>
                      <w:highlight w:val="none"/>
                    </w:rPr>
                  </w:pPr>
                  <w:r>
                    <w:rPr>
                      <w:rFonts w:hint="eastAsia" w:ascii="宋体" w:hAnsi="宋体"/>
                      <w:bCs/>
                      <w:color w:val="auto"/>
                      <w:szCs w:val="21"/>
                      <w:highlight w:val="none"/>
                    </w:rPr>
                    <w:t>盒（</w:t>
                  </w:r>
                  <w:r>
                    <w:rPr>
                      <w:rFonts w:ascii="宋体" w:hAnsi="宋体"/>
                      <w:bCs/>
                      <w:color w:val="auto"/>
                      <w:szCs w:val="21"/>
                      <w:highlight w:val="none"/>
                    </w:rPr>
                    <w:t>4</w:t>
                  </w:r>
                  <w:r>
                    <w:rPr>
                      <w:rFonts w:hint="eastAsia" w:ascii="宋体" w:hAnsi="宋体"/>
                      <w:bCs/>
                      <w:color w:val="auto"/>
                      <w:szCs w:val="21"/>
                      <w:highlight w:val="none"/>
                    </w:rPr>
                    <w:t>只）</w:t>
                  </w:r>
                </w:p>
              </w:tc>
            </w:tr>
            <w:tr w14:paraId="1B7FAF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24" w:type="dxa"/>
                  <w:noWrap/>
                  <w:vAlign w:val="center"/>
                </w:tcPr>
                <w:p w14:paraId="1E2F254B">
                  <w:pPr>
                    <w:spacing w:line="360" w:lineRule="exact"/>
                    <w:jc w:val="center"/>
                    <w:rPr>
                      <w:rFonts w:ascii="宋体" w:hAnsi="宋体"/>
                      <w:bCs/>
                      <w:color w:val="auto"/>
                      <w:szCs w:val="21"/>
                      <w:highlight w:val="none"/>
                    </w:rPr>
                  </w:pPr>
                  <w:r>
                    <w:rPr>
                      <w:rFonts w:hint="eastAsia" w:ascii="宋体" w:hAnsi="宋体"/>
                      <w:bCs/>
                      <w:color w:val="auto"/>
                      <w:szCs w:val="21"/>
                      <w:highlight w:val="none"/>
                    </w:rPr>
                    <w:t>5</w:t>
                  </w:r>
                </w:p>
              </w:tc>
              <w:tc>
                <w:tcPr>
                  <w:tcW w:w="2658" w:type="dxa"/>
                  <w:noWrap/>
                  <w:vAlign w:val="center"/>
                </w:tcPr>
                <w:p w14:paraId="511666F1">
                  <w:pPr>
                    <w:spacing w:line="360" w:lineRule="exact"/>
                    <w:jc w:val="center"/>
                    <w:rPr>
                      <w:rFonts w:ascii="宋体" w:hAnsi="宋体"/>
                      <w:bCs/>
                      <w:color w:val="auto"/>
                      <w:szCs w:val="21"/>
                      <w:highlight w:val="none"/>
                    </w:rPr>
                  </w:pPr>
                  <w:r>
                    <w:rPr>
                      <w:rFonts w:hint="eastAsia" w:ascii="宋体" w:hAnsi="宋体"/>
                      <w:bCs/>
                      <w:color w:val="auto"/>
                      <w:szCs w:val="21"/>
                      <w:highlight w:val="none"/>
                    </w:rPr>
                    <w:t>电源线</w:t>
                  </w:r>
                </w:p>
              </w:tc>
              <w:tc>
                <w:tcPr>
                  <w:tcW w:w="917" w:type="dxa"/>
                  <w:noWrap/>
                  <w:vAlign w:val="center"/>
                </w:tcPr>
                <w:p w14:paraId="40F8625C">
                  <w:pPr>
                    <w:spacing w:line="360" w:lineRule="exact"/>
                    <w:jc w:val="center"/>
                    <w:rPr>
                      <w:rFonts w:ascii="宋体" w:hAnsi="宋体"/>
                      <w:bCs/>
                      <w:color w:val="auto"/>
                      <w:szCs w:val="21"/>
                      <w:highlight w:val="none"/>
                    </w:rPr>
                  </w:pPr>
                  <w:r>
                    <w:rPr>
                      <w:rFonts w:ascii="宋体" w:hAnsi="宋体"/>
                      <w:bCs/>
                      <w:color w:val="auto"/>
                      <w:szCs w:val="21"/>
                      <w:highlight w:val="none"/>
                    </w:rPr>
                    <w:t>1</w:t>
                  </w:r>
                </w:p>
              </w:tc>
              <w:tc>
                <w:tcPr>
                  <w:tcW w:w="1169" w:type="dxa"/>
                  <w:noWrap/>
                  <w:vAlign w:val="center"/>
                </w:tcPr>
                <w:p w14:paraId="33882B1F">
                  <w:pPr>
                    <w:spacing w:line="360" w:lineRule="exact"/>
                    <w:jc w:val="center"/>
                    <w:rPr>
                      <w:rFonts w:ascii="宋体" w:hAnsi="宋体"/>
                      <w:bCs/>
                      <w:color w:val="auto"/>
                      <w:szCs w:val="21"/>
                      <w:highlight w:val="none"/>
                    </w:rPr>
                  </w:pPr>
                  <w:r>
                    <w:rPr>
                      <w:rFonts w:hint="eastAsia" w:ascii="宋体" w:hAnsi="宋体"/>
                      <w:bCs/>
                      <w:color w:val="auto"/>
                      <w:szCs w:val="21"/>
                      <w:highlight w:val="none"/>
                    </w:rPr>
                    <w:t>根</w:t>
                  </w:r>
                </w:p>
              </w:tc>
            </w:tr>
            <w:tr w14:paraId="5D147B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24" w:type="dxa"/>
                  <w:noWrap/>
                  <w:vAlign w:val="center"/>
                </w:tcPr>
                <w:p w14:paraId="27BF2CFE">
                  <w:pPr>
                    <w:spacing w:line="360" w:lineRule="exact"/>
                    <w:jc w:val="center"/>
                    <w:rPr>
                      <w:rFonts w:ascii="宋体" w:hAnsi="宋体"/>
                      <w:bCs/>
                      <w:color w:val="auto"/>
                      <w:szCs w:val="21"/>
                      <w:highlight w:val="none"/>
                    </w:rPr>
                  </w:pPr>
                  <w:r>
                    <w:rPr>
                      <w:rFonts w:hint="eastAsia" w:ascii="宋体" w:hAnsi="宋体"/>
                      <w:bCs/>
                      <w:color w:val="auto"/>
                      <w:szCs w:val="21"/>
                      <w:highlight w:val="none"/>
                    </w:rPr>
                    <w:t>6</w:t>
                  </w:r>
                </w:p>
              </w:tc>
              <w:tc>
                <w:tcPr>
                  <w:tcW w:w="2658" w:type="dxa"/>
                  <w:noWrap/>
                  <w:vAlign w:val="center"/>
                </w:tcPr>
                <w:p w14:paraId="4ED869A7">
                  <w:pPr>
                    <w:spacing w:line="360" w:lineRule="exact"/>
                    <w:jc w:val="center"/>
                    <w:rPr>
                      <w:rFonts w:ascii="宋体" w:hAnsi="宋体"/>
                      <w:bCs/>
                      <w:color w:val="auto"/>
                      <w:szCs w:val="21"/>
                      <w:highlight w:val="none"/>
                    </w:rPr>
                  </w:pPr>
                  <w:r>
                    <w:rPr>
                      <w:rFonts w:hint="eastAsia" w:ascii="宋体" w:hAnsi="宋体"/>
                      <w:bCs/>
                      <w:color w:val="auto"/>
                      <w:szCs w:val="21"/>
                      <w:highlight w:val="none"/>
                    </w:rPr>
                    <w:t>电源适配器</w:t>
                  </w:r>
                </w:p>
              </w:tc>
              <w:tc>
                <w:tcPr>
                  <w:tcW w:w="917" w:type="dxa"/>
                  <w:noWrap/>
                  <w:vAlign w:val="center"/>
                </w:tcPr>
                <w:p w14:paraId="20115CE6">
                  <w:pPr>
                    <w:spacing w:line="360" w:lineRule="exact"/>
                    <w:jc w:val="center"/>
                    <w:rPr>
                      <w:rFonts w:ascii="宋体" w:hAnsi="宋体"/>
                      <w:bCs/>
                      <w:color w:val="auto"/>
                      <w:szCs w:val="21"/>
                      <w:highlight w:val="none"/>
                    </w:rPr>
                  </w:pPr>
                  <w:r>
                    <w:rPr>
                      <w:rFonts w:ascii="宋体" w:hAnsi="宋体"/>
                      <w:bCs/>
                      <w:color w:val="auto"/>
                      <w:szCs w:val="21"/>
                      <w:highlight w:val="none"/>
                    </w:rPr>
                    <w:t>1</w:t>
                  </w:r>
                </w:p>
              </w:tc>
              <w:tc>
                <w:tcPr>
                  <w:tcW w:w="1169" w:type="dxa"/>
                  <w:noWrap/>
                  <w:vAlign w:val="center"/>
                </w:tcPr>
                <w:p w14:paraId="3D1F9139">
                  <w:pPr>
                    <w:spacing w:line="360" w:lineRule="exact"/>
                    <w:jc w:val="center"/>
                    <w:rPr>
                      <w:rFonts w:ascii="宋体" w:hAnsi="宋体"/>
                      <w:bCs/>
                      <w:color w:val="auto"/>
                      <w:szCs w:val="21"/>
                      <w:highlight w:val="none"/>
                    </w:rPr>
                  </w:pPr>
                  <w:r>
                    <w:rPr>
                      <w:rFonts w:hint="eastAsia" w:ascii="宋体" w:hAnsi="宋体"/>
                      <w:bCs/>
                      <w:color w:val="auto"/>
                      <w:szCs w:val="21"/>
                      <w:highlight w:val="none"/>
                    </w:rPr>
                    <w:t>个</w:t>
                  </w:r>
                </w:p>
              </w:tc>
            </w:tr>
            <w:tr w14:paraId="69755A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24" w:type="dxa"/>
                  <w:noWrap/>
                  <w:vAlign w:val="center"/>
                </w:tcPr>
                <w:p w14:paraId="2186836B">
                  <w:pPr>
                    <w:spacing w:line="360" w:lineRule="exact"/>
                    <w:jc w:val="center"/>
                    <w:rPr>
                      <w:rFonts w:ascii="宋体" w:hAnsi="宋体"/>
                      <w:bCs/>
                      <w:color w:val="auto"/>
                      <w:szCs w:val="21"/>
                      <w:highlight w:val="none"/>
                    </w:rPr>
                  </w:pPr>
                  <w:r>
                    <w:rPr>
                      <w:rFonts w:hint="eastAsia" w:ascii="宋体" w:hAnsi="宋体"/>
                      <w:bCs/>
                      <w:color w:val="auto"/>
                      <w:szCs w:val="21"/>
                      <w:highlight w:val="none"/>
                    </w:rPr>
                    <w:t>7</w:t>
                  </w:r>
                </w:p>
              </w:tc>
              <w:tc>
                <w:tcPr>
                  <w:tcW w:w="2658" w:type="dxa"/>
                  <w:noWrap/>
                  <w:vAlign w:val="center"/>
                </w:tcPr>
                <w:p w14:paraId="5F874A43">
                  <w:pPr>
                    <w:spacing w:line="360" w:lineRule="exact"/>
                    <w:jc w:val="center"/>
                    <w:rPr>
                      <w:rFonts w:ascii="宋体" w:hAnsi="宋体"/>
                      <w:bCs/>
                      <w:color w:val="auto"/>
                      <w:szCs w:val="21"/>
                      <w:highlight w:val="none"/>
                    </w:rPr>
                  </w:pPr>
                  <w:r>
                    <w:rPr>
                      <w:rFonts w:hint="eastAsia" w:ascii="宋体" w:hAnsi="宋体"/>
                      <w:bCs/>
                      <w:color w:val="auto"/>
                      <w:szCs w:val="21"/>
                      <w:highlight w:val="none"/>
                    </w:rPr>
                    <w:t>锂电池</w:t>
                  </w:r>
                </w:p>
              </w:tc>
              <w:tc>
                <w:tcPr>
                  <w:tcW w:w="917" w:type="dxa"/>
                  <w:noWrap/>
                  <w:vAlign w:val="center"/>
                </w:tcPr>
                <w:p w14:paraId="168FB009">
                  <w:pPr>
                    <w:spacing w:line="360" w:lineRule="exact"/>
                    <w:jc w:val="center"/>
                    <w:rPr>
                      <w:rFonts w:ascii="宋体" w:hAnsi="宋体"/>
                      <w:bCs/>
                      <w:color w:val="auto"/>
                      <w:szCs w:val="21"/>
                      <w:highlight w:val="none"/>
                    </w:rPr>
                  </w:pPr>
                  <w:r>
                    <w:rPr>
                      <w:rFonts w:hint="eastAsia" w:ascii="宋体" w:hAnsi="宋体"/>
                      <w:bCs/>
                      <w:color w:val="auto"/>
                      <w:szCs w:val="21"/>
                      <w:highlight w:val="none"/>
                    </w:rPr>
                    <w:t>1</w:t>
                  </w:r>
                </w:p>
              </w:tc>
              <w:tc>
                <w:tcPr>
                  <w:tcW w:w="1169" w:type="dxa"/>
                  <w:noWrap/>
                  <w:vAlign w:val="center"/>
                </w:tcPr>
                <w:p w14:paraId="12197877">
                  <w:pPr>
                    <w:spacing w:line="360" w:lineRule="exact"/>
                    <w:jc w:val="center"/>
                    <w:rPr>
                      <w:rFonts w:ascii="宋体" w:hAnsi="宋体"/>
                      <w:bCs/>
                      <w:color w:val="auto"/>
                      <w:szCs w:val="21"/>
                      <w:highlight w:val="none"/>
                    </w:rPr>
                  </w:pPr>
                  <w:r>
                    <w:rPr>
                      <w:rFonts w:hint="eastAsia" w:ascii="宋体" w:hAnsi="宋体"/>
                      <w:bCs/>
                      <w:color w:val="auto"/>
                      <w:szCs w:val="21"/>
                      <w:highlight w:val="none"/>
                    </w:rPr>
                    <w:t>个</w:t>
                  </w:r>
                </w:p>
              </w:tc>
            </w:tr>
            <w:tr w14:paraId="6165F7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24" w:type="dxa"/>
                  <w:noWrap/>
                  <w:vAlign w:val="center"/>
                </w:tcPr>
                <w:p w14:paraId="3CB9E0E0">
                  <w:pPr>
                    <w:spacing w:line="360" w:lineRule="exact"/>
                    <w:jc w:val="center"/>
                    <w:rPr>
                      <w:rFonts w:ascii="宋体" w:hAnsi="宋体"/>
                      <w:bCs/>
                      <w:color w:val="auto"/>
                      <w:szCs w:val="21"/>
                      <w:highlight w:val="none"/>
                    </w:rPr>
                  </w:pPr>
                  <w:r>
                    <w:rPr>
                      <w:rFonts w:hint="eastAsia" w:ascii="宋体" w:hAnsi="宋体"/>
                      <w:bCs/>
                      <w:color w:val="auto"/>
                      <w:szCs w:val="21"/>
                      <w:highlight w:val="none"/>
                    </w:rPr>
                    <w:t>8</w:t>
                  </w:r>
                </w:p>
              </w:tc>
              <w:tc>
                <w:tcPr>
                  <w:tcW w:w="2658" w:type="dxa"/>
                  <w:noWrap/>
                  <w:vAlign w:val="center"/>
                </w:tcPr>
                <w:p w14:paraId="0E4DECF5">
                  <w:pPr>
                    <w:spacing w:line="360" w:lineRule="exact"/>
                    <w:jc w:val="center"/>
                    <w:rPr>
                      <w:rFonts w:ascii="宋体" w:hAnsi="宋体"/>
                      <w:bCs/>
                      <w:color w:val="auto"/>
                      <w:szCs w:val="21"/>
                      <w:highlight w:val="none"/>
                    </w:rPr>
                  </w:pPr>
                  <w:r>
                    <w:rPr>
                      <w:rFonts w:hint="eastAsia" w:ascii="宋体" w:hAnsi="宋体"/>
                      <w:bCs/>
                      <w:color w:val="auto"/>
                      <w:szCs w:val="21"/>
                      <w:highlight w:val="none"/>
                    </w:rPr>
                    <w:t>台车</w:t>
                  </w:r>
                </w:p>
              </w:tc>
              <w:tc>
                <w:tcPr>
                  <w:tcW w:w="917" w:type="dxa"/>
                  <w:noWrap/>
                  <w:vAlign w:val="center"/>
                </w:tcPr>
                <w:p w14:paraId="22135C06">
                  <w:pPr>
                    <w:spacing w:line="360" w:lineRule="exact"/>
                    <w:jc w:val="center"/>
                    <w:rPr>
                      <w:rFonts w:ascii="宋体" w:hAnsi="宋体"/>
                      <w:bCs/>
                      <w:color w:val="auto"/>
                      <w:szCs w:val="21"/>
                      <w:highlight w:val="none"/>
                    </w:rPr>
                  </w:pPr>
                  <w:r>
                    <w:rPr>
                      <w:rFonts w:hint="eastAsia" w:ascii="宋体" w:hAnsi="宋体"/>
                      <w:bCs/>
                      <w:color w:val="auto"/>
                      <w:szCs w:val="21"/>
                      <w:highlight w:val="none"/>
                    </w:rPr>
                    <w:t>1</w:t>
                  </w:r>
                </w:p>
              </w:tc>
              <w:tc>
                <w:tcPr>
                  <w:tcW w:w="1169" w:type="dxa"/>
                  <w:noWrap/>
                  <w:vAlign w:val="center"/>
                </w:tcPr>
                <w:p w14:paraId="6DD34C0A">
                  <w:pPr>
                    <w:spacing w:line="360" w:lineRule="exact"/>
                    <w:jc w:val="center"/>
                    <w:rPr>
                      <w:rFonts w:ascii="宋体" w:hAnsi="宋体"/>
                      <w:bCs/>
                      <w:color w:val="auto"/>
                      <w:szCs w:val="21"/>
                      <w:highlight w:val="none"/>
                    </w:rPr>
                  </w:pPr>
                  <w:r>
                    <w:rPr>
                      <w:rFonts w:hint="eastAsia" w:ascii="宋体" w:hAnsi="宋体"/>
                      <w:bCs/>
                      <w:color w:val="auto"/>
                      <w:szCs w:val="21"/>
                      <w:highlight w:val="none"/>
                    </w:rPr>
                    <w:t>台</w:t>
                  </w:r>
                </w:p>
              </w:tc>
            </w:tr>
            <w:tr w14:paraId="41E040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24" w:type="dxa"/>
                  <w:noWrap/>
                  <w:vAlign w:val="center"/>
                </w:tcPr>
                <w:p w14:paraId="44129F18">
                  <w:pPr>
                    <w:spacing w:line="360" w:lineRule="exact"/>
                    <w:jc w:val="center"/>
                    <w:rPr>
                      <w:rFonts w:ascii="宋体" w:hAnsi="宋体"/>
                      <w:bCs/>
                      <w:color w:val="auto"/>
                      <w:szCs w:val="21"/>
                      <w:highlight w:val="none"/>
                    </w:rPr>
                  </w:pPr>
                  <w:r>
                    <w:rPr>
                      <w:rFonts w:hint="eastAsia" w:ascii="宋体" w:hAnsi="宋体"/>
                      <w:bCs/>
                      <w:color w:val="auto"/>
                      <w:szCs w:val="21"/>
                      <w:highlight w:val="none"/>
                    </w:rPr>
                    <w:t>9</w:t>
                  </w:r>
                </w:p>
              </w:tc>
              <w:tc>
                <w:tcPr>
                  <w:tcW w:w="2658" w:type="dxa"/>
                  <w:noWrap/>
                  <w:vAlign w:val="center"/>
                </w:tcPr>
                <w:p w14:paraId="1B582317">
                  <w:pPr>
                    <w:spacing w:line="360" w:lineRule="exact"/>
                    <w:jc w:val="center"/>
                    <w:rPr>
                      <w:rFonts w:ascii="宋体" w:hAnsi="宋体"/>
                      <w:bCs/>
                      <w:color w:val="auto"/>
                      <w:szCs w:val="21"/>
                      <w:highlight w:val="none"/>
                    </w:rPr>
                  </w:pPr>
                  <w:r>
                    <w:rPr>
                      <w:rFonts w:hint="eastAsia" w:ascii="宋体" w:hAnsi="宋体"/>
                      <w:bCs/>
                      <w:color w:val="auto"/>
                      <w:szCs w:val="21"/>
                      <w:highlight w:val="none"/>
                    </w:rPr>
                    <w:t>产品说明书</w:t>
                  </w:r>
                </w:p>
              </w:tc>
              <w:tc>
                <w:tcPr>
                  <w:tcW w:w="917" w:type="dxa"/>
                  <w:noWrap/>
                  <w:vAlign w:val="center"/>
                </w:tcPr>
                <w:p w14:paraId="5811FDE0">
                  <w:pPr>
                    <w:spacing w:line="360" w:lineRule="exact"/>
                    <w:jc w:val="center"/>
                    <w:rPr>
                      <w:rFonts w:ascii="宋体" w:hAnsi="宋体"/>
                      <w:bCs/>
                      <w:color w:val="auto"/>
                      <w:szCs w:val="21"/>
                      <w:highlight w:val="none"/>
                    </w:rPr>
                  </w:pPr>
                  <w:r>
                    <w:rPr>
                      <w:rFonts w:ascii="宋体" w:hAnsi="宋体"/>
                      <w:bCs/>
                      <w:color w:val="auto"/>
                      <w:szCs w:val="21"/>
                      <w:highlight w:val="none"/>
                    </w:rPr>
                    <w:t>1</w:t>
                  </w:r>
                </w:p>
              </w:tc>
              <w:tc>
                <w:tcPr>
                  <w:tcW w:w="1169" w:type="dxa"/>
                  <w:noWrap/>
                  <w:vAlign w:val="center"/>
                </w:tcPr>
                <w:p w14:paraId="7044B264">
                  <w:pPr>
                    <w:spacing w:line="360" w:lineRule="exact"/>
                    <w:jc w:val="center"/>
                    <w:rPr>
                      <w:rFonts w:ascii="宋体" w:hAnsi="宋体"/>
                      <w:bCs/>
                      <w:color w:val="auto"/>
                      <w:szCs w:val="21"/>
                      <w:highlight w:val="none"/>
                    </w:rPr>
                  </w:pPr>
                  <w:r>
                    <w:rPr>
                      <w:rFonts w:hint="eastAsia" w:ascii="宋体" w:hAnsi="宋体"/>
                      <w:bCs/>
                      <w:color w:val="auto"/>
                      <w:szCs w:val="21"/>
                      <w:highlight w:val="none"/>
                    </w:rPr>
                    <w:t>份</w:t>
                  </w:r>
                </w:p>
              </w:tc>
            </w:tr>
          </w:tbl>
          <w:p w14:paraId="45532691">
            <w:pPr>
              <w:spacing w:line="360" w:lineRule="auto"/>
              <w:rPr>
                <w:rFonts w:ascii="宋体" w:hAnsi="宋体" w:cs="宋体"/>
                <w:color w:val="auto"/>
                <w:kern w:val="0"/>
                <w:szCs w:val="21"/>
                <w:highlight w:val="none"/>
              </w:rPr>
            </w:pPr>
          </w:p>
        </w:tc>
      </w:tr>
      <w:tr w14:paraId="09EA9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36" w:type="dxa"/>
            <w:vAlign w:val="center"/>
          </w:tcPr>
          <w:p w14:paraId="7061A93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539" w:type="dxa"/>
            <w:vAlign w:val="center"/>
          </w:tcPr>
          <w:p w14:paraId="1BE81401">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十八导联心电图机</w:t>
            </w:r>
          </w:p>
        </w:tc>
        <w:tc>
          <w:tcPr>
            <w:tcW w:w="787" w:type="dxa"/>
            <w:vAlign w:val="center"/>
          </w:tcPr>
          <w:p w14:paraId="17DDFAB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工业</w:t>
            </w:r>
          </w:p>
        </w:tc>
        <w:tc>
          <w:tcPr>
            <w:tcW w:w="970" w:type="dxa"/>
            <w:vAlign w:val="center"/>
          </w:tcPr>
          <w:p w14:paraId="7644DA93">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2台</w:t>
            </w:r>
          </w:p>
        </w:tc>
        <w:tc>
          <w:tcPr>
            <w:tcW w:w="5671" w:type="dxa"/>
            <w:vAlign w:val="center"/>
          </w:tcPr>
          <w:p w14:paraId="29FDB8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1、具备12导联、18导联心电同步采集功能</w:t>
            </w:r>
          </w:p>
          <w:p w14:paraId="1D2E0D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2、显示屏≥10英寸，支持全屏多点触控。</w:t>
            </w:r>
          </w:p>
          <w:p w14:paraId="1F1314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3、共模抑制比：≥135dB</w:t>
            </w:r>
          </w:p>
          <w:p w14:paraId="6B3DBD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4、频率响应：0.01z~350Hz，-3dB。</w:t>
            </w:r>
          </w:p>
          <w:p w14:paraId="0FC81F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5、耐极化电压：≥±900mV（±5%）</w:t>
            </w:r>
          </w:p>
          <w:p w14:paraId="777A2B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6、输入阻抗：≥100MΩ</w:t>
            </w:r>
          </w:p>
          <w:p w14:paraId="27E515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7、灵敏度/增益：（1.25 mm/mV，2.5 mm/mV，5 mm/mV，10 mm/mV，20 mm/mV, 10/5 mm/mV，AGC）±5%。</w:t>
            </w:r>
          </w:p>
          <w:p w14:paraId="772236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8、时间常数：≥5s。</w:t>
            </w:r>
          </w:p>
          <w:p w14:paraId="43ECC9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9、心电波形采样率：≥64,000 Hz，每节律导联；</w:t>
            </w:r>
          </w:p>
          <w:p w14:paraId="509FEB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10、具有起搏检测功能，起搏采样率：≥64,000Hz，每节律导联。</w:t>
            </w:r>
          </w:p>
          <w:p w14:paraId="04DB7B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11、机器需轻巧便携，重量≤2kg。</w:t>
            </w:r>
          </w:p>
          <w:p w14:paraId="120820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12、内置储存≥32GB，具有SD卡、U盘扩展存储功能:</w:t>
            </w:r>
          </w:p>
          <w:p w14:paraId="442176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13、具备直流电源，内置可充电锂离子电池，额定容量≥50Wh，额定电压≥15V，充足后可正常工作时间≥8小时。</w:t>
            </w:r>
          </w:p>
          <w:p w14:paraId="6B8AAA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14、支持3x3、6+3、9x1、3x4+1R、6x2+1R、12x1、3x5+1R、6+9、15x1、6x3+1R、18x1心电波形显示和打印。</w:t>
            </w:r>
          </w:p>
          <w:p w14:paraId="2EF3E0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15、支持波形预览和报告预览；可USB外接打印机或WIFI连接打印机，通过A4纸打印心电波形和报告。</w:t>
            </w:r>
          </w:p>
          <w:p w14:paraId="10E475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16、主机自带无线传输功能：蓝牙4.2，无线Wi-Fi支持2.4GHz/5GHz双频段。</w:t>
            </w:r>
          </w:p>
          <w:p w14:paraId="50B45C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17、主机自带4G移动通信功能：内置eSIM卡和标准SIM卡。</w:t>
            </w:r>
          </w:p>
          <w:p w14:paraId="145716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18、支持NFC近场通信，内置具有红外条码扫描功能</w:t>
            </w:r>
          </w:p>
          <w:p w14:paraId="05D9AA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19、支持药物试验，心向量，心率变异，心室晚电位等高级功能。</w:t>
            </w:r>
          </w:p>
          <w:p w14:paraId="54AB32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20、支持病人数据同屏对比。</w:t>
            </w:r>
          </w:p>
          <w:p w14:paraId="0C0CBF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21、支持病人信息加密显示。</w:t>
            </w:r>
          </w:p>
          <w:p w14:paraId="5BEF6F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22、支持导联接错提醒功能，具备导联脱落提示，异常心率预警；</w:t>
            </w:r>
          </w:p>
          <w:p w14:paraId="3BE543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23、支持采集波形质量颜色指示；可辅助判断心电波形质量，待波形稳定后，机器可自动触发采集，支持采集过程中出现干扰自动重采、分析、存储、上传、打印。</w:t>
            </w:r>
          </w:p>
          <w:p w14:paraId="2DBAD3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24、具备一键开启起搏检查，标识起搏信号</w:t>
            </w:r>
          </w:p>
          <w:p w14:paraId="7437B6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25、支持多种节律采集方式如：实时采集、单节律采样、多节律采样等，支持节律导联自定义选择。</w:t>
            </w:r>
          </w:p>
          <w:p w14:paraId="503022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26、支持12导联、18导联模式快速切换。</w:t>
            </w:r>
          </w:p>
          <w:p w14:paraId="6C647C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27、具备重分析、重新采样、切换报告格式；</w:t>
            </w:r>
          </w:p>
          <w:p w14:paraId="72F5BD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28、支持PDF、SCP、FDA-XML、DICOM、JPG、BMP等格式输出。可对接医院HIS、电子病历等系统，满足医院信息化需求。</w:t>
            </w:r>
          </w:p>
          <w:p w14:paraId="152AE5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29、配套心电数据管理系统软件，实现心电设备及数据的管理，互联互通。</w:t>
            </w:r>
          </w:p>
          <w:p w14:paraId="5430F2E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配置清单</w:t>
            </w:r>
          </w:p>
          <w:tbl>
            <w:tblPr>
              <w:tblStyle w:val="22"/>
              <w:tblW w:w="0" w:type="auto"/>
              <w:tblInd w:w="21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37"/>
              <w:gridCol w:w="2700"/>
              <w:gridCol w:w="1040"/>
              <w:gridCol w:w="1360"/>
            </w:tblGrid>
            <w:tr w14:paraId="32D31C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37" w:type="dxa"/>
                  <w:tcBorders>
                    <w:top w:val="double" w:color="auto" w:sz="4" w:space="0"/>
                  </w:tcBorders>
                  <w:noWrap/>
                  <w:vAlign w:val="center"/>
                </w:tcPr>
                <w:p w14:paraId="6D2A398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2700" w:type="dxa"/>
                  <w:tcBorders>
                    <w:top w:val="double" w:color="auto" w:sz="4" w:space="0"/>
                  </w:tcBorders>
                  <w:noWrap/>
                  <w:vAlign w:val="center"/>
                </w:tcPr>
                <w:p w14:paraId="7190BCD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项目名称</w:t>
                  </w:r>
                </w:p>
              </w:tc>
              <w:tc>
                <w:tcPr>
                  <w:tcW w:w="1040" w:type="dxa"/>
                  <w:tcBorders>
                    <w:top w:val="double" w:color="auto" w:sz="4" w:space="0"/>
                  </w:tcBorders>
                  <w:noWrap/>
                  <w:vAlign w:val="center"/>
                </w:tcPr>
                <w:p w14:paraId="636BDCD6">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数量</w:t>
                  </w:r>
                </w:p>
              </w:tc>
              <w:tc>
                <w:tcPr>
                  <w:tcW w:w="1360" w:type="dxa"/>
                  <w:tcBorders>
                    <w:top w:val="double" w:color="auto" w:sz="4" w:space="0"/>
                  </w:tcBorders>
                  <w:noWrap/>
                  <w:vAlign w:val="center"/>
                </w:tcPr>
                <w:p w14:paraId="03055CB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单位</w:t>
                  </w:r>
                </w:p>
              </w:tc>
            </w:tr>
            <w:tr w14:paraId="2D3DC3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37" w:type="dxa"/>
                  <w:noWrap/>
                  <w:vAlign w:val="center"/>
                </w:tcPr>
                <w:p w14:paraId="2B6BDDE1">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700" w:type="dxa"/>
                  <w:noWrap/>
                  <w:vAlign w:val="center"/>
                </w:tcPr>
                <w:p w14:paraId="235D154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主机</w:t>
                  </w:r>
                </w:p>
              </w:tc>
              <w:tc>
                <w:tcPr>
                  <w:tcW w:w="1040" w:type="dxa"/>
                  <w:noWrap/>
                  <w:vAlign w:val="center"/>
                </w:tcPr>
                <w:p w14:paraId="3771684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360" w:type="dxa"/>
                  <w:noWrap/>
                  <w:vAlign w:val="center"/>
                </w:tcPr>
                <w:p w14:paraId="3D77AD0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台</w:t>
                  </w:r>
                </w:p>
              </w:tc>
            </w:tr>
            <w:tr w14:paraId="70DABC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37" w:type="dxa"/>
                  <w:noWrap/>
                  <w:vAlign w:val="center"/>
                </w:tcPr>
                <w:p w14:paraId="43B576D1">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2700" w:type="dxa"/>
                  <w:noWrap/>
                  <w:vAlign w:val="center"/>
                </w:tcPr>
                <w:p w14:paraId="007B5CC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采集盒</w:t>
                  </w:r>
                </w:p>
              </w:tc>
              <w:tc>
                <w:tcPr>
                  <w:tcW w:w="1040" w:type="dxa"/>
                  <w:noWrap/>
                  <w:vAlign w:val="center"/>
                </w:tcPr>
                <w:p w14:paraId="6541619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360" w:type="dxa"/>
                  <w:noWrap/>
                  <w:vAlign w:val="center"/>
                </w:tcPr>
                <w:p w14:paraId="5A3A6F4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个</w:t>
                  </w:r>
                </w:p>
              </w:tc>
            </w:tr>
            <w:tr w14:paraId="1625D4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37" w:type="dxa"/>
                  <w:noWrap/>
                  <w:vAlign w:val="center"/>
                </w:tcPr>
                <w:p w14:paraId="6F5CC35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2700" w:type="dxa"/>
                  <w:noWrap/>
                  <w:vAlign w:val="center"/>
                </w:tcPr>
                <w:p w14:paraId="3FBD8BF6">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心电导联线</w:t>
                  </w:r>
                </w:p>
              </w:tc>
              <w:tc>
                <w:tcPr>
                  <w:tcW w:w="1040" w:type="dxa"/>
                  <w:noWrap/>
                  <w:vAlign w:val="center"/>
                </w:tcPr>
                <w:p w14:paraId="77872D2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360" w:type="dxa"/>
                  <w:noWrap/>
                  <w:vAlign w:val="center"/>
                </w:tcPr>
                <w:p w14:paraId="4EE8C49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套</w:t>
                  </w:r>
                </w:p>
              </w:tc>
            </w:tr>
            <w:tr w14:paraId="0ECB00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37" w:type="dxa"/>
                  <w:noWrap/>
                  <w:vAlign w:val="center"/>
                </w:tcPr>
                <w:p w14:paraId="72DBCD2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2700" w:type="dxa"/>
                  <w:noWrap/>
                  <w:vAlign w:val="center"/>
                </w:tcPr>
                <w:p w14:paraId="31DED30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香蕉头转扣式电极转换线</w:t>
                  </w:r>
                </w:p>
              </w:tc>
              <w:tc>
                <w:tcPr>
                  <w:tcW w:w="1040" w:type="dxa"/>
                  <w:noWrap/>
                  <w:vAlign w:val="center"/>
                </w:tcPr>
                <w:p w14:paraId="6E0A3F2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360" w:type="dxa"/>
                  <w:noWrap/>
                  <w:vAlign w:val="center"/>
                </w:tcPr>
                <w:p w14:paraId="13AAA1F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根</w:t>
                  </w:r>
                </w:p>
              </w:tc>
            </w:tr>
            <w:tr w14:paraId="0770E5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37" w:type="dxa"/>
                  <w:noWrap/>
                  <w:vAlign w:val="center"/>
                </w:tcPr>
                <w:p w14:paraId="072B06B8">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2700" w:type="dxa"/>
                  <w:noWrap/>
                  <w:vAlign w:val="center"/>
                </w:tcPr>
                <w:p w14:paraId="1A54311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成人一次性电极片</w:t>
                  </w:r>
                </w:p>
              </w:tc>
              <w:tc>
                <w:tcPr>
                  <w:tcW w:w="1040" w:type="dxa"/>
                  <w:noWrap/>
                  <w:vAlign w:val="center"/>
                </w:tcPr>
                <w:p w14:paraId="6D58618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360" w:type="dxa"/>
                  <w:noWrap/>
                  <w:vAlign w:val="center"/>
                </w:tcPr>
                <w:p w14:paraId="4907E8F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包</w:t>
                  </w:r>
                </w:p>
              </w:tc>
            </w:tr>
            <w:tr w14:paraId="60A9F3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37" w:type="dxa"/>
                  <w:noWrap/>
                  <w:vAlign w:val="center"/>
                </w:tcPr>
                <w:p w14:paraId="384689E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2700" w:type="dxa"/>
                  <w:noWrap/>
                  <w:vAlign w:val="center"/>
                </w:tcPr>
                <w:p w14:paraId="7E4B463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胸电极</w:t>
                  </w:r>
                </w:p>
              </w:tc>
              <w:tc>
                <w:tcPr>
                  <w:tcW w:w="1040" w:type="dxa"/>
                  <w:noWrap/>
                  <w:vAlign w:val="center"/>
                </w:tcPr>
                <w:p w14:paraId="181B1387">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360" w:type="dxa"/>
                  <w:noWrap/>
                  <w:vAlign w:val="center"/>
                </w:tcPr>
                <w:p w14:paraId="7FF5E19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盒（6只）</w:t>
                  </w:r>
                </w:p>
              </w:tc>
            </w:tr>
            <w:tr w14:paraId="3BB4D0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37" w:type="dxa"/>
                  <w:noWrap/>
                  <w:vAlign w:val="center"/>
                </w:tcPr>
                <w:p w14:paraId="5D481158">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2700" w:type="dxa"/>
                  <w:noWrap/>
                  <w:vAlign w:val="center"/>
                </w:tcPr>
                <w:p w14:paraId="5ADE16B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肢电极</w:t>
                  </w:r>
                </w:p>
              </w:tc>
              <w:tc>
                <w:tcPr>
                  <w:tcW w:w="1040" w:type="dxa"/>
                  <w:noWrap/>
                  <w:vAlign w:val="center"/>
                </w:tcPr>
                <w:p w14:paraId="03A83F3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360" w:type="dxa"/>
                  <w:noWrap/>
                  <w:vAlign w:val="center"/>
                </w:tcPr>
                <w:p w14:paraId="57FC48DC">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盒（4只）</w:t>
                  </w:r>
                </w:p>
              </w:tc>
            </w:tr>
            <w:tr w14:paraId="3E90DB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37" w:type="dxa"/>
                  <w:noWrap/>
                  <w:vAlign w:val="center"/>
                </w:tcPr>
                <w:p w14:paraId="5DEE6E1C">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2700" w:type="dxa"/>
                  <w:noWrap/>
                  <w:vAlign w:val="center"/>
                </w:tcPr>
                <w:p w14:paraId="6CA9EA1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电源线</w:t>
                  </w:r>
                </w:p>
              </w:tc>
              <w:tc>
                <w:tcPr>
                  <w:tcW w:w="1040" w:type="dxa"/>
                  <w:noWrap/>
                  <w:vAlign w:val="center"/>
                </w:tcPr>
                <w:p w14:paraId="085E55B4">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360" w:type="dxa"/>
                  <w:noWrap/>
                  <w:vAlign w:val="center"/>
                </w:tcPr>
                <w:p w14:paraId="4E927C1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根</w:t>
                  </w:r>
                </w:p>
              </w:tc>
            </w:tr>
            <w:tr w14:paraId="1A8B8B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37" w:type="dxa"/>
                  <w:noWrap/>
                  <w:vAlign w:val="center"/>
                </w:tcPr>
                <w:p w14:paraId="6A4102E8">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2700" w:type="dxa"/>
                  <w:noWrap/>
                  <w:vAlign w:val="center"/>
                </w:tcPr>
                <w:p w14:paraId="76ABABC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电源适配器</w:t>
                  </w:r>
                </w:p>
              </w:tc>
              <w:tc>
                <w:tcPr>
                  <w:tcW w:w="1040" w:type="dxa"/>
                  <w:noWrap/>
                  <w:vAlign w:val="center"/>
                </w:tcPr>
                <w:p w14:paraId="39C8FDF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360" w:type="dxa"/>
                  <w:noWrap/>
                  <w:vAlign w:val="center"/>
                </w:tcPr>
                <w:p w14:paraId="00103614">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个</w:t>
                  </w:r>
                </w:p>
              </w:tc>
            </w:tr>
            <w:tr w14:paraId="174B6D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37" w:type="dxa"/>
                  <w:noWrap/>
                  <w:vAlign w:val="center"/>
                </w:tcPr>
                <w:p w14:paraId="3BDBA45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700" w:type="dxa"/>
                  <w:noWrap/>
                  <w:vAlign w:val="center"/>
                </w:tcPr>
                <w:p w14:paraId="1F43C1A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锂电池</w:t>
                  </w:r>
                </w:p>
              </w:tc>
              <w:tc>
                <w:tcPr>
                  <w:tcW w:w="1040" w:type="dxa"/>
                  <w:noWrap/>
                  <w:vAlign w:val="center"/>
                </w:tcPr>
                <w:p w14:paraId="40BFA501">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360" w:type="dxa"/>
                  <w:noWrap/>
                  <w:vAlign w:val="center"/>
                </w:tcPr>
                <w:p w14:paraId="67AAF04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个</w:t>
                  </w:r>
                </w:p>
              </w:tc>
            </w:tr>
            <w:tr w14:paraId="389B9B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37" w:type="dxa"/>
                  <w:noWrap/>
                  <w:vAlign w:val="center"/>
                </w:tcPr>
                <w:p w14:paraId="581AF2FC">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11</w:t>
                  </w:r>
                </w:p>
              </w:tc>
              <w:tc>
                <w:tcPr>
                  <w:tcW w:w="2700" w:type="dxa"/>
                  <w:noWrap/>
                  <w:vAlign w:val="center"/>
                </w:tcPr>
                <w:p w14:paraId="38D2EE9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台车</w:t>
                  </w:r>
                </w:p>
              </w:tc>
              <w:tc>
                <w:tcPr>
                  <w:tcW w:w="1040" w:type="dxa"/>
                  <w:noWrap/>
                  <w:vAlign w:val="center"/>
                </w:tcPr>
                <w:p w14:paraId="53CB9D7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360" w:type="dxa"/>
                  <w:noWrap/>
                  <w:vAlign w:val="center"/>
                </w:tcPr>
                <w:p w14:paraId="5FFE0B6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台</w:t>
                  </w:r>
                </w:p>
              </w:tc>
            </w:tr>
            <w:tr w14:paraId="6AFBBC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37" w:type="dxa"/>
                  <w:noWrap/>
                  <w:vAlign w:val="center"/>
                </w:tcPr>
                <w:p w14:paraId="6BAACC58">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2700" w:type="dxa"/>
                  <w:noWrap/>
                  <w:vAlign w:val="center"/>
                </w:tcPr>
                <w:p w14:paraId="3C8B831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产品说明书</w:t>
                  </w:r>
                </w:p>
              </w:tc>
              <w:tc>
                <w:tcPr>
                  <w:tcW w:w="1040" w:type="dxa"/>
                  <w:noWrap/>
                  <w:vAlign w:val="center"/>
                </w:tcPr>
                <w:p w14:paraId="6DBAA46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360" w:type="dxa"/>
                  <w:noWrap/>
                  <w:vAlign w:val="center"/>
                </w:tcPr>
                <w:p w14:paraId="228E8C71">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份</w:t>
                  </w:r>
                </w:p>
              </w:tc>
            </w:tr>
          </w:tbl>
          <w:p w14:paraId="53D88C99">
            <w:pPr>
              <w:spacing w:line="360" w:lineRule="auto"/>
              <w:rPr>
                <w:rFonts w:ascii="宋体" w:hAnsi="宋体" w:cs="宋体"/>
                <w:color w:val="auto"/>
                <w:szCs w:val="21"/>
                <w:highlight w:val="none"/>
              </w:rPr>
            </w:pPr>
          </w:p>
        </w:tc>
      </w:tr>
    </w:tbl>
    <w:p w14:paraId="30BBE475">
      <w:pPr>
        <w:rPr>
          <w:rFonts w:ascii="宋体" w:hAnsi="宋体" w:cs="宋体"/>
          <w:color w:val="auto"/>
          <w:highlight w:val="none"/>
        </w:rPr>
      </w:pPr>
    </w:p>
    <w:p w14:paraId="2D228DAB">
      <w:pPr>
        <w:pStyle w:val="18"/>
        <w:rPr>
          <w:color w:val="auto"/>
          <w:highlight w:val="none"/>
        </w:rPr>
      </w:pPr>
    </w:p>
    <w:tbl>
      <w:tblPr>
        <w:tblStyle w:val="22"/>
        <w:tblW w:w="9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19"/>
        <w:gridCol w:w="7539"/>
      </w:tblGrid>
      <w:tr w14:paraId="2EBC2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8" w:type="dxa"/>
            <w:gridSpan w:val="2"/>
            <w:tcBorders>
              <w:top w:val="single" w:color="auto" w:sz="4" w:space="0"/>
              <w:left w:val="single" w:color="auto" w:sz="4" w:space="0"/>
              <w:bottom w:val="single" w:color="auto" w:sz="4" w:space="0"/>
              <w:right w:val="single" w:color="auto" w:sz="4" w:space="0"/>
            </w:tcBorders>
          </w:tcPr>
          <w:p w14:paraId="217EA79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b/>
                <w:color w:val="auto"/>
                <w:szCs w:val="21"/>
                <w:highlight w:val="none"/>
              </w:rPr>
              <w:t>▲一、商务要求</w:t>
            </w:r>
          </w:p>
        </w:tc>
      </w:tr>
      <w:tr w14:paraId="76EAE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vAlign w:val="center"/>
          </w:tcPr>
          <w:p w14:paraId="0B80F32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报价要求</w:t>
            </w:r>
          </w:p>
        </w:tc>
        <w:tc>
          <w:tcPr>
            <w:tcW w:w="7539" w:type="dxa"/>
            <w:tcBorders>
              <w:top w:val="single" w:color="auto" w:sz="4" w:space="0"/>
              <w:left w:val="single" w:color="auto" w:sz="4" w:space="0"/>
              <w:bottom w:val="single" w:color="auto" w:sz="4" w:space="0"/>
              <w:right w:val="single" w:color="auto" w:sz="4" w:space="0"/>
            </w:tcBorders>
            <w:vAlign w:val="center"/>
          </w:tcPr>
          <w:p w14:paraId="6CA241BC">
            <w:pPr>
              <w:pStyle w:val="63"/>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cs="宋体"/>
                <w:color w:val="auto"/>
                <w:spacing w:val="-2"/>
                <w:sz w:val="21"/>
                <w:szCs w:val="21"/>
                <w:highlight w:val="none"/>
                <w:lang w:val="en-US" w:eastAsia="zh-CN"/>
              </w:rPr>
              <w:t>竞标</w:t>
            </w:r>
            <w:r>
              <w:rPr>
                <w:rFonts w:hint="eastAsia" w:ascii="宋体" w:hAnsi="宋体" w:eastAsia="宋体" w:cs="宋体"/>
                <w:color w:val="auto"/>
                <w:spacing w:val="-2"/>
                <w:sz w:val="21"/>
                <w:szCs w:val="21"/>
                <w:highlight w:val="none"/>
              </w:rPr>
              <w:t>报价为采购人指定地点的现场交货价，包括：</w:t>
            </w:r>
          </w:p>
          <w:p w14:paraId="2A02E924">
            <w:pPr>
              <w:pStyle w:val="63"/>
              <w:keepNext w:val="0"/>
              <w:keepLines w:val="0"/>
              <w:pageBreakBefore w:val="0"/>
              <w:widowControl w:val="0"/>
              <w:kinsoku/>
              <w:wordWrap/>
              <w:overflowPunct/>
              <w:topLinePunct w:val="0"/>
              <w:autoSpaceDE/>
              <w:autoSpaceDN/>
              <w:bidi w:val="0"/>
              <w:adjustRightInd/>
              <w:snapToGrid/>
              <w:spacing w:line="360" w:lineRule="auto"/>
              <w:ind w:left="0" w:right="0" w:firstLine="7"/>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（1）货物的价格：包括货款、杂配件、安装调试费、验收费，信息系统接</w:t>
            </w:r>
            <w:r>
              <w:rPr>
                <w:rFonts w:hint="eastAsia" w:ascii="宋体" w:hAnsi="宋体" w:eastAsia="宋体" w:cs="宋体"/>
                <w:color w:val="auto"/>
                <w:spacing w:val="-12"/>
                <w:sz w:val="21"/>
                <w:szCs w:val="21"/>
                <w:highlight w:val="none"/>
              </w:rPr>
              <w:t>入费；</w:t>
            </w:r>
          </w:p>
          <w:p w14:paraId="3042F9D3">
            <w:pPr>
              <w:pStyle w:val="63"/>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（2）货物的标准附件、备品备件、专用工具的价格。</w:t>
            </w:r>
          </w:p>
          <w:p w14:paraId="5D279500">
            <w:pPr>
              <w:pStyle w:val="63"/>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（3）运输、装卸、调试、培训、技术支持、</w:t>
            </w:r>
            <w:r>
              <w:rPr>
                <w:rFonts w:hint="eastAsia" w:ascii="宋体" w:hAnsi="宋体" w:eastAsia="宋体" w:cs="宋体"/>
                <w:color w:val="auto"/>
                <w:spacing w:val="-2"/>
                <w:sz w:val="21"/>
                <w:szCs w:val="21"/>
                <w:highlight w:val="none"/>
              </w:rPr>
              <w:t>售后服务费。</w:t>
            </w:r>
          </w:p>
          <w:p w14:paraId="53FE61C0">
            <w:pPr>
              <w:pStyle w:val="63"/>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（4）采购代理服务费、保险费和各项税金。</w:t>
            </w:r>
          </w:p>
          <w:p w14:paraId="4B3C43B6">
            <w:pPr>
              <w:pStyle w:val="63"/>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5）接入医院HIS系统及相关端口开发费用。</w:t>
            </w:r>
          </w:p>
          <w:p w14:paraId="763CF14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color w:val="auto"/>
                <w:szCs w:val="21"/>
                <w:highlight w:val="none"/>
              </w:rPr>
            </w:pPr>
            <w:r>
              <w:rPr>
                <w:rFonts w:hint="eastAsia" w:ascii="宋体" w:hAnsi="宋体" w:eastAsia="宋体" w:cs="宋体"/>
                <w:color w:val="auto"/>
                <w:spacing w:val="-3"/>
                <w:sz w:val="21"/>
                <w:szCs w:val="21"/>
                <w:highlight w:val="none"/>
              </w:rPr>
              <w:t>注：</w:t>
            </w:r>
            <w:r>
              <w:rPr>
                <w:rFonts w:hint="eastAsia" w:ascii="宋体" w:hAnsi="宋体" w:cs="宋体"/>
                <w:color w:val="auto"/>
                <w:spacing w:val="-3"/>
                <w:sz w:val="21"/>
                <w:szCs w:val="21"/>
                <w:highlight w:val="none"/>
                <w:lang w:eastAsia="zh-CN"/>
              </w:rPr>
              <w:t>竞标人</w:t>
            </w:r>
            <w:r>
              <w:rPr>
                <w:rFonts w:hint="eastAsia" w:ascii="宋体" w:hAnsi="宋体" w:eastAsia="宋体" w:cs="宋体"/>
                <w:color w:val="auto"/>
                <w:spacing w:val="-3"/>
                <w:sz w:val="21"/>
                <w:szCs w:val="21"/>
                <w:highlight w:val="none"/>
              </w:rPr>
              <w:t>自行考虑完成项目所需的辅材、杂配件等数量，</w:t>
            </w:r>
            <w:r>
              <w:rPr>
                <w:rFonts w:hint="eastAsia" w:ascii="宋体" w:hAnsi="宋体" w:cs="宋体"/>
                <w:color w:val="auto"/>
                <w:spacing w:val="-3"/>
                <w:sz w:val="21"/>
                <w:szCs w:val="21"/>
                <w:highlight w:val="none"/>
                <w:lang w:val="en-US" w:eastAsia="zh-CN"/>
              </w:rPr>
              <w:t>竞</w:t>
            </w:r>
            <w:r>
              <w:rPr>
                <w:rFonts w:hint="eastAsia" w:ascii="宋体" w:hAnsi="宋体" w:eastAsia="宋体" w:cs="宋体"/>
                <w:color w:val="auto"/>
                <w:spacing w:val="-3"/>
                <w:sz w:val="21"/>
                <w:szCs w:val="21"/>
                <w:highlight w:val="none"/>
              </w:rPr>
              <w:t>标报价中应包</w:t>
            </w:r>
            <w:r>
              <w:rPr>
                <w:rFonts w:hint="eastAsia" w:ascii="宋体" w:hAnsi="宋体" w:eastAsia="宋体" w:cs="宋体"/>
                <w:color w:val="auto"/>
                <w:sz w:val="21"/>
                <w:szCs w:val="21"/>
                <w:highlight w:val="none"/>
              </w:rPr>
              <w:t>含全部内容，</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后采购人不再另行支付额</w:t>
            </w:r>
            <w:r>
              <w:rPr>
                <w:rFonts w:hint="eastAsia" w:ascii="宋体" w:hAnsi="宋体" w:eastAsia="宋体" w:cs="宋体"/>
                <w:color w:val="auto"/>
                <w:spacing w:val="-1"/>
                <w:sz w:val="21"/>
                <w:szCs w:val="21"/>
                <w:highlight w:val="none"/>
              </w:rPr>
              <w:t>外费用。</w:t>
            </w:r>
          </w:p>
        </w:tc>
      </w:tr>
      <w:tr w14:paraId="24015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vAlign w:val="center"/>
          </w:tcPr>
          <w:p w14:paraId="3923E59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交</w:t>
            </w:r>
            <w:r>
              <w:rPr>
                <w:rFonts w:hint="eastAsia" w:ascii="宋体" w:hAnsi="宋体" w:eastAsia="宋体" w:cs="宋体"/>
                <w:color w:val="auto"/>
                <w:kern w:val="0"/>
                <w:szCs w:val="21"/>
                <w:highlight w:val="none"/>
                <w:lang w:val="en-US" w:eastAsia="zh-CN"/>
              </w:rPr>
              <w:t>付时间</w:t>
            </w:r>
            <w:r>
              <w:rPr>
                <w:rFonts w:hint="eastAsia" w:ascii="宋体" w:hAnsi="宋体" w:eastAsia="宋体" w:cs="宋体"/>
                <w:color w:val="auto"/>
                <w:szCs w:val="21"/>
                <w:highlight w:val="none"/>
              </w:rPr>
              <w:t>和地点</w:t>
            </w:r>
          </w:p>
        </w:tc>
        <w:tc>
          <w:tcPr>
            <w:tcW w:w="7539" w:type="dxa"/>
            <w:tcBorders>
              <w:top w:val="single" w:color="auto" w:sz="4" w:space="0"/>
              <w:left w:val="single" w:color="auto" w:sz="4" w:space="0"/>
              <w:bottom w:val="single" w:color="auto" w:sz="4" w:space="0"/>
              <w:right w:val="single" w:color="auto" w:sz="4" w:space="0"/>
            </w:tcBorders>
            <w:vAlign w:val="center"/>
          </w:tcPr>
          <w:p w14:paraId="6DC89F3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交付时间：</w:t>
            </w:r>
            <w:r>
              <w:rPr>
                <w:rFonts w:hint="eastAsia" w:ascii="宋体" w:hAnsi="宋体" w:cs="宋体"/>
                <w:bCs/>
                <w:color w:val="auto"/>
                <w:szCs w:val="21"/>
                <w:highlight w:val="none"/>
                <w:lang w:eastAsia="zh-CN"/>
              </w:rPr>
              <w:t>签订合同后30个工作日内，贺州市中医医院使用现场交货。</w:t>
            </w:r>
          </w:p>
          <w:p w14:paraId="4A32E854">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bCs/>
                <w:color w:val="auto"/>
                <w:szCs w:val="21"/>
                <w:highlight w:val="none"/>
              </w:rPr>
              <w:t>地点：采购人指定地点。</w:t>
            </w:r>
          </w:p>
        </w:tc>
      </w:tr>
      <w:tr w14:paraId="61A0D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vAlign w:val="center"/>
          </w:tcPr>
          <w:p w14:paraId="40FA2D47">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合同签订时间</w:t>
            </w:r>
          </w:p>
        </w:tc>
        <w:tc>
          <w:tcPr>
            <w:tcW w:w="7539" w:type="dxa"/>
            <w:tcBorders>
              <w:top w:val="single" w:color="auto" w:sz="4" w:space="0"/>
              <w:left w:val="single" w:color="auto" w:sz="4" w:space="0"/>
              <w:bottom w:val="single" w:color="auto" w:sz="4" w:space="0"/>
              <w:right w:val="single" w:color="auto" w:sz="4" w:space="0"/>
            </w:tcBorders>
            <w:vAlign w:val="center"/>
          </w:tcPr>
          <w:p w14:paraId="68577430">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采购人应当尽量缩短采购合同签订时间，原则上不得晚于成交（成交）通知书发放之日起25日。采购人因不可抗力原因延迟签订合同的，应当自不可抗力事由消除之日起5个工作日内完成合同签订事宜，鼓励采购人通过完善内部流程进一步缩短合同签订期限。</w:t>
            </w:r>
          </w:p>
        </w:tc>
      </w:tr>
      <w:tr w14:paraId="3E34E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vAlign w:val="center"/>
          </w:tcPr>
          <w:p w14:paraId="52E5B7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Cs w:val="21"/>
                <w:highlight w:val="none"/>
                <w:lang w:val="en-US" w:eastAsia="zh-CN"/>
              </w:rPr>
            </w:pPr>
          </w:p>
          <w:p w14:paraId="3F1CB135">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付款方式 </w:t>
            </w:r>
          </w:p>
          <w:p w14:paraId="5922E4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highlight w:val="none"/>
                <w:lang w:eastAsia="zh-CN"/>
              </w:rPr>
            </w:pPr>
          </w:p>
        </w:tc>
        <w:tc>
          <w:tcPr>
            <w:tcW w:w="7539" w:type="dxa"/>
            <w:tcBorders>
              <w:top w:val="single" w:color="auto" w:sz="4" w:space="0"/>
              <w:left w:val="single" w:color="auto" w:sz="4" w:space="0"/>
              <w:bottom w:val="single" w:color="auto" w:sz="4" w:space="0"/>
              <w:right w:val="single" w:color="auto" w:sz="4" w:space="0"/>
            </w:tcBorders>
            <w:vAlign w:val="center"/>
          </w:tcPr>
          <w:p w14:paraId="365BD089">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1.货物安装完成经验收合格后支付至合同总额的</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0%，2.</w:t>
            </w:r>
            <w:r>
              <w:rPr>
                <w:rFonts w:hint="eastAsia" w:ascii="宋体" w:hAnsi="宋体" w:cs="宋体"/>
                <w:b w:val="0"/>
                <w:bCs/>
                <w:color w:val="auto"/>
                <w:szCs w:val="21"/>
                <w:highlight w:val="none"/>
                <w:lang w:val="en-US" w:eastAsia="zh-CN"/>
              </w:rPr>
              <w:t>设备验收合格半年后</w:t>
            </w:r>
            <w:r>
              <w:rPr>
                <w:rFonts w:hint="eastAsia" w:ascii="宋体" w:hAnsi="宋体" w:cs="宋体"/>
                <w:b w:val="0"/>
                <w:bCs/>
                <w:color w:val="auto"/>
                <w:szCs w:val="21"/>
                <w:highlight w:val="none"/>
              </w:rPr>
              <w:t>支付至合同总额的</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rPr>
              <w:t>0%</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第二年度支付剩余20%尾款。</w:t>
            </w:r>
          </w:p>
          <w:p w14:paraId="62078C08">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color w:val="auto"/>
                <w:szCs w:val="21"/>
                <w:highlight w:val="none"/>
              </w:rPr>
            </w:pPr>
            <w:r>
              <w:rPr>
                <w:rFonts w:hint="eastAsia" w:ascii="宋体" w:hAnsi="宋体" w:cs="宋体"/>
                <w:b w:val="0"/>
                <w:bCs/>
                <w:color w:val="auto"/>
                <w:szCs w:val="21"/>
                <w:highlight w:val="none"/>
              </w:rPr>
              <w:t>采购人收到发票后10个工作日内支付资金</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验收时间在项目完成后5个工作日内验收。(使用财政专项资金，按财政批准同意支付时间为准)</w:t>
            </w:r>
          </w:p>
        </w:tc>
      </w:tr>
      <w:tr w14:paraId="2B144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2319" w:type="dxa"/>
            <w:tcBorders>
              <w:top w:val="single" w:color="auto" w:sz="4" w:space="0"/>
              <w:left w:val="single" w:color="auto" w:sz="4" w:space="0"/>
              <w:bottom w:val="single" w:color="auto" w:sz="4" w:space="0"/>
              <w:right w:val="single" w:color="auto" w:sz="4" w:space="0"/>
            </w:tcBorders>
            <w:vAlign w:val="center"/>
          </w:tcPr>
          <w:p w14:paraId="393382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p>
        </w:tc>
        <w:tc>
          <w:tcPr>
            <w:tcW w:w="7539" w:type="dxa"/>
            <w:tcBorders>
              <w:top w:val="single" w:color="auto" w:sz="4" w:space="0"/>
              <w:left w:val="single" w:color="auto" w:sz="4" w:space="0"/>
              <w:bottom w:val="single" w:color="auto" w:sz="4" w:space="0"/>
              <w:right w:val="single" w:color="auto" w:sz="4" w:space="0"/>
            </w:tcBorders>
            <w:vAlign w:val="center"/>
          </w:tcPr>
          <w:p w14:paraId="6F16952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eastAsia="宋体" w:cs="宋体"/>
                <w:b w:val="0"/>
                <w:bCs w:val="0"/>
                <w:color w:val="auto"/>
                <w:highlight w:val="none"/>
              </w:rPr>
              <w:t>按国家有关产品“三包”规定执行“三包”，质保期不得少于</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年</w:t>
            </w:r>
          </w:p>
        </w:tc>
      </w:tr>
      <w:tr w14:paraId="445F1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vAlign w:val="center"/>
          </w:tcPr>
          <w:p w14:paraId="0F8F7E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售后服务及培训要求</w:t>
            </w:r>
          </w:p>
        </w:tc>
        <w:tc>
          <w:tcPr>
            <w:tcW w:w="7539" w:type="dxa"/>
            <w:tcBorders>
              <w:top w:val="single" w:color="auto" w:sz="4" w:space="0"/>
              <w:left w:val="single" w:color="auto" w:sz="4" w:space="0"/>
              <w:bottom w:val="single" w:color="auto" w:sz="4" w:space="0"/>
              <w:right w:val="single" w:color="auto" w:sz="4" w:space="0"/>
            </w:tcBorders>
            <w:vAlign w:val="center"/>
          </w:tcPr>
          <w:p w14:paraId="3ED6BAE9">
            <w:pPr>
              <w:pStyle w:val="63"/>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auto"/>
                <w:highlight w:val="none"/>
              </w:rPr>
            </w:pPr>
            <w:r>
              <w:rPr>
                <w:rFonts w:hint="eastAsia" w:ascii="宋体" w:hAnsi="宋体" w:eastAsia="宋体" w:cs="宋体"/>
                <w:color w:val="auto"/>
                <w:spacing w:val="-2"/>
                <w:highlight w:val="none"/>
              </w:rPr>
              <w:t>售后服务费用包含在报价中，售后服务内容如下：</w:t>
            </w:r>
          </w:p>
          <w:p w14:paraId="1391F265">
            <w:pPr>
              <w:pStyle w:val="63"/>
              <w:keepNext w:val="0"/>
              <w:keepLines w:val="0"/>
              <w:pageBreakBefore w:val="0"/>
              <w:widowControl w:val="0"/>
              <w:kinsoku/>
              <w:wordWrap/>
              <w:overflowPunct/>
              <w:topLinePunct w:val="0"/>
              <w:autoSpaceDE/>
              <w:autoSpaceDN/>
              <w:bidi w:val="0"/>
              <w:adjustRightInd/>
              <w:snapToGrid/>
              <w:spacing w:line="360" w:lineRule="auto"/>
              <w:ind w:left="0" w:right="0" w:firstLine="7"/>
              <w:jc w:val="both"/>
              <w:textAlignment w:val="auto"/>
              <w:rPr>
                <w:rFonts w:hint="eastAsia" w:ascii="宋体" w:hAnsi="宋体" w:eastAsia="宋体" w:cs="宋体"/>
                <w:color w:val="auto"/>
                <w:highlight w:val="none"/>
              </w:rPr>
            </w:pPr>
            <w:r>
              <w:rPr>
                <w:rFonts w:hint="eastAsia" w:ascii="宋体" w:hAnsi="宋体" w:eastAsia="宋体" w:cs="宋体"/>
                <w:color w:val="auto"/>
                <w:spacing w:val="-1"/>
                <w:highlight w:val="none"/>
              </w:rPr>
              <w:t>（1）负责送货上门，</w:t>
            </w:r>
            <w:r>
              <w:rPr>
                <w:rFonts w:hint="eastAsia" w:cs="宋体"/>
                <w:color w:val="auto"/>
                <w:spacing w:val="-1"/>
                <w:highlight w:val="none"/>
                <w:lang w:eastAsia="zh-CN"/>
              </w:rPr>
              <w:t>成交供应商</w:t>
            </w:r>
            <w:r>
              <w:rPr>
                <w:rFonts w:hint="eastAsia" w:ascii="宋体" w:hAnsi="宋体" w:eastAsia="宋体" w:cs="宋体"/>
                <w:color w:val="auto"/>
                <w:spacing w:val="-1"/>
                <w:highlight w:val="none"/>
              </w:rPr>
              <w:t>安装调试至合</w:t>
            </w:r>
            <w:r>
              <w:rPr>
                <w:rFonts w:hint="eastAsia" w:ascii="宋体" w:hAnsi="宋体" w:eastAsia="宋体" w:cs="宋体"/>
                <w:color w:val="auto"/>
                <w:spacing w:val="-2"/>
                <w:highlight w:val="none"/>
              </w:rPr>
              <w:t>格，负责培训。配置至少</w:t>
            </w:r>
            <w:r>
              <w:rPr>
                <w:rFonts w:hint="eastAsia" w:ascii="宋体" w:hAnsi="宋体" w:eastAsia="宋体" w:cs="宋体"/>
                <w:color w:val="auto"/>
                <w:spacing w:val="-29"/>
                <w:highlight w:val="none"/>
              </w:rPr>
              <w:t xml:space="preserve"> </w:t>
            </w:r>
            <w:r>
              <w:rPr>
                <w:rFonts w:hint="eastAsia" w:ascii="宋体" w:hAnsi="宋体" w:eastAsia="宋体" w:cs="宋体"/>
                <w:color w:val="auto"/>
                <w:spacing w:val="-2"/>
                <w:highlight w:val="none"/>
              </w:rPr>
              <w:t>1</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2"/>
                <w:highlight w:val="none"/>
              </w:rPr>
              <w:t>名</w:t>
            </w:r>
            <w:r>
              <w:rPr>
                <w:rFonts w:hint="eastAsia" w:ascii="宋体" w:hAnsi="宋体" w:eastAsia="宋体" w:cs="宋体"/>
                <w:color w:val="auto"/>
                <w:spacing w:val="-2"/>
                <w:highlight w:val="none"/>
                <w:lang w:val="en-US" w:eastAsia="zh-CN"/>
              </w:rPr>
              <w:t>专业</w:t>
            </w:r>
            <w:r>
              <w:rPr>
                <w:rFonts w:hint="eastAsia" w:ascii="宋体" w:hAnsi="宋体" w:eastAsia="宋体" w:cs="宋体"/>
                <w:color w:val="auto"/>
                <w:spacing w:val="-3"/>
                <w:highlight w:val="none"/>
              </w:rPr>
              <w:t>技术人员，随时提供安装、调试或维修等服务。配置专业技术人员提供技术培训，包括设备日常操作、工作原理、注意事项、简单故障排除、维护保</w:t>
            </w:r>
            <w:r>
              <w:rPr>
                <w:rFonts w:hint="eastAsia" w:ascii="宋体" w:hAnsi="宋体" w:eastAsia="宋体" w:cs="宋体"/>
                <w:color w:val="auto"/>
                <w:spacing w:val="-7"/>
                <w:highlight w:val="none"/>
              </w:rPr>
              <w:t>养等方面的系统培训，保证使用人员正常操作设备的各种功能。时间、地点、</w:t>
            </w:r>
            <w:r>
              <w:rPr>
                <w:rFonts w:hint="eastAsia" w:ascii="宋体" w:hAnsi="宋体" w:eastAsia="宋体" w:cs="宋体"/>
                <w:color w:val="auto"/>
                <w:spacing w:val="-1"/>
                <w:highlight w:val="none"/>
              </w:rPr>
              <w:t>人员由采购人确定，提前通知</w:t>
            </w:r>
            <w:r>
              <w:rPr>
                <w:rFonts w:hint="eastAsia" w:cs="宋体"/>
                <w:color w:val="auto"/>
                <w:spacing w:val="-1"/>
                <w:highlight w:val="none"/>
                <w:lang w:eastAsia="zh-CN"/>
              </w:rPr>
              <w:t>成交供应商</w:t>
            </w:r>
            <w:r>
              <w:rPr>
                <w:rFonts w:hint="eastAsia" w:ascii="宋体" w:hAnsi="宋体" w:eastAsia="宋体" w:cs="宋体"/>
                <w:color w:val="auto"/>
                <w:spacing w:val="-1"/>
                <w:highlight w:val="none"/>
              </w:rPr>
              <w:t>安排</w:t>
            </w:r>
            <w:r>
              <w:rPr>
                <w:rFonts w:hint="eastAsia" w:ascii="宋体" w:hAnsi="宋体" w:eastAsia="宋体" w:cs="宋体"/>
                <w:color w:val="auto"/>
                <w:spacing w:val="-1"/>
                <w:highlight w:val="none"/>
                <w:lang w:val="en-US" w:eastAsia="zh-CN"/>
              </w:rPr>
              <w:t>技术人员</w:t>
            </w:r>
            <w:r>
              <w:rPr>
                <w:rFonts w:hint="eastAsia" w:ascii="宋体" w:hAnsi="宋体" w:eastAsia="宋体" w:cs="宋体"/>
                <w:color w:val="auto"/>
                <w:spacing w:val="-1"/>
                <w:highlight w:val="none"/>
              </w:rPr>
              <w:t>到场。</w:t>
            </w:r>
          </w:p>
          <w:p w14:paraId="38C65A07">
            <w:pPr>
              <w:pStyle w:val="63"/>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color w:val="auto"/>
                <w:highlight w:val="none"/>
              </w:rPr>
            </w:pPr>
            <w:r>
              <w:rPr>
                <w:rFonts w:hint="eastAsia" w:ascii="宋体" w:hAnsi="宋体" w:eastAsia="宋体" w:cs="宋体"/>
                <w:color w:val="auto"/>
                <w:spacing w:val="-1"/>
                <w:highlight w:val="none"/>
              </w:rPr>
              <w:t>（2）定期回访以及对设备维修、更换配件。</w:t>
            </w:r>
          </w:p>
          <w:p w14:paraId="40E3AEDF">
            <w:pPr>
              <w:pStyle w:val="63"/>
              <w:keepNext w:val="0"/>
              <w:keepLines w:val="0"/>
              <w:pageBreakBefore w:val="0"/>
              <w:widowControl w:val="0"/>
              <w:kinsoku/>
              <w:wordWrap/>
              <w:overflowPunct/>
              <w:topLinePunct w:val="0"/>
              <w:autoSpaceDE/>
              <w:autoSpaceDN/>
              <w:bidi w:val="0"/>
              <w:adjustRightInd/>
              <w:snapToGrid/>
              <w:spacing w:line="360" w:lineRule="auto"/>
              <w:ind w:left="0" w:right="0" w:firstLine="1"/>
              <w:jc w:val="both"/>
              <w:textAlignment w:val="auto"/>
              <w:rPr>
                <w:rFonts w:hint="eastAsia" w:ascii="宋体" w:hAnsi="宋体" w:eastAsia="宋体" w:cs="宋体"/>
                <w:color w:val="auto"/>
                <w:highlight w:val="none"/>
              </w:rPr>
            </w:pPr>
            <w:r>
              <w:rPr>
                <w:rFonts w:hint="eastAsia" w:ascii="宋体" w:hAnsi="宋体" w:eastAsia="宋体" w:cs="宋体"/>
                <w:color w:val="auto"/>
                <w:spacing w:val="-5"/>
                <w:highlight w:val="none"/>
              </w:rPr>
              <w:t>（3）</w:t>
            </w:r>
            <w:r>
              <w:rPr>
                <w:rFonts w:hint="eastAsia" w:cs="宋体"/>
                <w:color w:val="auto"/>
                <w:spacing w:val="-5"/>
                <w:highlight w:val="none"/>
                <w:lang w:eastAsia="zh-CN"/>
              </w:rPr>
              <w:t>成交供应商</w:t>
            </w:r>
            <w:r>
              <w:rPr>
                <w:rFonts w:hint="eastAsia" w:ascii="宋体" w:hAnsi="宋体" w:eastAsia="宋体" w:cs="宋体"/>
                <w:color w:val="auto"/>
                <w:spacing w:val="-5"/>
                <w:highlight w:val="none"/>
              </w:rPr>
              <w:t>应保证所供产品是全新的、未使用过的且是近</w:t>
            </w:r>
            <w:r>
              <w:rPr>
                <w:rFonts w:hint="eastAsia" w:ascii="宋体" w:hAnsi="宋体" w:eastAsia="宋体" w:cs="宋体"/>
                <w:color w:val="auto"/>
                <w:spacing w:val="-43"/>
                <w:highlight w:val="none"/>
              </w:rPr>
              <w:t xml:space="preserve"> </w:t>
            </w:r>
            <w:r>
              <w:rPr>
                <w:rFonts w:hint="eastAsia" w:ascii="宋体" w:hAnsi="宋体" w:eastAsia="宋体" w:cs="宋体"/>
                <w:color w:val="auto"/>
                <w:spacing w:val="-5"/>
                <w:highlight w:val="none"/>
              </w:rPr>
              <w:t>6</w:t>
            </w:r>
            <w:r>
              <w:rPr>
                <w:rFonts w:hint="eastAsia" w:ascii="宋体" w:hAnsi="宋体" w:eastAsia="宋体" w:cs="宋体"/>
                <w:color w:val="auto"/>
                <w:spacing w:val="-44"/>
                <w:highlight w:val="none"/>
              </w:rPr>
              <w:t xml:space="preserve"> </w:t>
            </w:r>
            <w:r>
              <w:rPr>
                <w:rFonts w:hint="eastAsia" w:ascii="宋体" w:hAnsi="宋体" w:eastAsia="宋体" w:cs="宋体"/>
                <w:color w:val="auto"/>
                <w:spacing w:val="-5"/>
                <w:highlight w:val="none"/>
              </w:rPr>
              <w:t>个月内生产的，</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并完全符合规定的质量、规格的要求。</w:t>
            </w:r>
          </w:p>
          <w:p w14:paraId="55B376C7">
            <w:pPr>
              <w:pStyle w:val="63"/>
              <w:keepNext w:val="0"/>
              <w:keepLines w:val="0"/>
              <w:pageBreakBefore w:val="0"/>
              <w:widowControl w:val="0"/>
              <w:kinsoku/>
              <w:wordWrap/>
              <w:overflowPunct/>
              <w:topLinePunct w:val="0"/>
              <w:autoSpaceDE/>
              <w:autoSpaceDN/>
              <w:bidi w:val="0"/>
              <w:adjustRightInd/>
              <w:snapToGrid/>
              <w:spacing w:line="360" w:lineRule="auto"/>
              <w:ind w:left="0" w:right="0" w:firstLine="6"/>
              <w:jc w:val="both"/>
              <w:textAlignment w:val="auto"/>
              <w:rPr>
                <w:rFonts w:hint="eastAsia" w:ascii="宋体" w:hAnsi="宋体" w:eastAsia="宋体" w:cs="宋体"/>
                <w:color w:val="auto"/>
                <w:highlight w:val="none"/>
              </w:rPr>
            </w:pPr>
            <w:r>
              <w:rPr>
                <w:rFonts w:hint="eastAsia" w:ascii="宋体" w:hAnsi="宋体" w:eastAsia="宋体" w:cs="宋体"/>
                <w:color w:val="auto"/>
                <w:spacing w:val="-3"/>
                <w:highlight w:val="none"/>
              </w:rPr>
              <w:t>（4）便于售后问题的处理，响应时间＜4</w:t>
            </w:r>
            <w:r>
              <w:rPr>
                <w:rFonts w:hint="eastAsia" w:ascii="宋体" w:hAnsi="宋体" w:eastAsia="宋体" w:cs="宋体"/>
                <w:color w:val="auto"/>
                <w:spacing w:val="-26"/>
                <w:highlight w:val="none"/>
              </w:rPr>
              <w:t xml:space="preserve"> </w:t>
            </w:r>
            <w:r>
              <w:rPr>
                <w:rFonts w:hint="eastAsia" w:ascii="宋体" w:hAnsi="宋体" w:eastAsia="宋体" w:cs="宋体"/>
                <w:color w:val="auto"/>
                <w:spacing w:val="-3"/>
                <w:highlight w:val="none"/>
              </w:rPr>
              <w:t>小时，接故障通知</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3"/>
                <w:highlight w:val="none"/>
              </w:rPr>
              <w:t>24</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3"/>
                <w:highlight w:val="none"/>
              </w:rPr>
              <w:t>小时内派</w:t>
            </w:r>
            <w:r>
              <w:rPr>
                <w:rFonts w:hint="eastAsia" w:ascii="宋体" w:hAnsi="宋体" w:eastAsia="宋体" w:cs="宋体"/>
                <w:color w:val="auto"/>
                <w:spacing w:val="-3"/>
                <w:highlight w:val="none"/>
                <w:lang w:val="en-US" w:eastAsia="zh-CN"/>
              </w:rPr>
              <w:t>专业</w:t>
            </w:r>
            <w:r>
              <w:rPr>
                <w:rFonts w:hint="eastAsia" w:ascii="宋体" w:hAnsi="宋体" w:eastAsia="宋体" w:cs="宋体"/>
                <w:color w:val="auto"/>
                <w:highlight w:val="none"/>
              </w:rPr>
              <w:t>技术人员并携带工器具到达现场提供技</w:t>
            </w:r>
            <w:r>
              <w:rPr>
                <w:rFonts w:hint="eastAsia" w:ascii="宋体" w:hAnsi="宋体" w:eastAsia="宋体" w:cs="宋体"/>
                <w:color w:val="auto"/>
                <w:spacing w:val="-1"/>
                <w:highlight w:val="none"/>
              </w:rPr>
              <w:t>术服务</w:t>
            </w:r>
            <w:r>
              <w:rPr>
                <w:rFonts w:hint="eastAsia" w:ascii="宋体" w:hAnsi="宋体" w:eastAsia="宋体" w:cs="宋体"/>
                <w:color w:val="auto"/>
                <w:spacing w:val="-1"/>
                <w:highlight w:val="none"/>
                <w:lang w:eastAsia="zh-CN"/>
              </w:rPr>
              <w:t>（心电图采集设备在基层医疗点安置，技术人员须到相应基层医疗点进行维修维护等工作）</w:t>
            </w:r>
            <w:r>
              <w:rPr>
                <w:rFonts w:hint="eastAsia" w:ascii="宋体" w:hAnsi="宋体" w:eastAsia="宋体" w:cs="宋体"/>
                <w:color w:val="auto"/>
                <w:spacing w:val="-1"/>
                <w:highlight w:val="none"/>
              </w:rPr>
              <w:t>。</w:t>
            </w:r>
          </w:p>
          <w:p w14:paraId="243D5EA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（5）成交供应商</w:t>
            </w:r>
            <w:r>
              <w:rPr>
                <w:rFonts w:hint="eastAsia" w:ascii="宋体" w:hAnsi="宋体" w:cs="宋体"/>
                <w:color w:val="auto"/>
                <w:highlight w:val="none"/>
                <w:lang w:val="en-US" w:eastAsia="zh-CN"/>
              </w:rPr>
              <w:t>必须</w:t>
            </w:r>
            <w:r>
              <w:rPr>
                <w:rFonts w:hint="eastAsia" w:ascii="宋体" w:hAnsi="宋体" w:cs="宋体"/>
                <w:color w:val="auto"/>
                <w:highlight w:val="none"/>
              </w:rPr>
              <w:t>在心电读图时对结果数据</w:t>
            </w:r>
            <w:r>
              <w:rPr>
                <w:rFonts w:hint="eastAsia" w:ascii="宋体" w:hAnsi="宋体" w:cs="宋体"/>
                <w:color w:val="auto"/>
                <w:highlight w:val="none"/>
                <w:lang w:val="en-US" w:eastAsia="zh-CN"/>
              </w:rPr>
              <w:t>确认</w:t>
            </w:r>
            <w:r>
              <w:rPr>
                <w:rFonts w:hint="eastAsia" w:ascii="宋体" w:hAnsi="宋体" w:cs="宋体"/>
                <w:color w:val="auto"/>
                <w:highlight w:val="none"/>
              </w:rPr>
              <w:t>负责法律责任。</w:t>
            </w:r>
          </w:p>
          <w:p w14:paraId="71711BB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（6）提供设备纸质版或电子版的操作规程和维护保养流程。</w:t>
            </w:r>
          </w:p>
          <w:p w14:paraId="01C56EB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（7）设备如属于政府部门有强制检定要求的，成交供应商应负责设备使用前的相关检定。</w:t>
            </w:r>
          </w:p>
          <w:p w14:paraId="319A32EB">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auto"/>
                <w:highlight w:val="none"/>
              </w:rPr>
            </w:pPr>
            <w:r>
              <w:rPr>
                <w:rFonts w:hint="eastAsia" w:ascii="宋体" w:hAnsi="宋体" w:cs="宋体"/>
                <w:color w:val="auto"/>
                <w:highlight w:val="none"/>
              </w:rPr>
              <w:t>（8）其余按厂家承诺。</w:t>
            </w:r>
          </w:p>
        </w:tc>
      </w:tr>
      <w:tr w14:paraId="64770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vAlign w:val="center"/>
          </w:tcPr>
          <w:p w14:paraId="7AD8E4A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验收标准</w:t>
            </w:r>
          </w:p>
          <w:p w14:paraId="5178326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7539" w:type="dxa"/>
            <w:tcBorders>
              <w:top w:val="single" w:color="auto" w:sz="4" w:space="0"/>
              <w:left w:val="single" w:color="auto" w:sz="4" w:space="0"/>
              <w:bottom w:val="single" w:color="auto" w:sz="4" w:space="0"/>
              <w:right w:val="single" w:color="auto" w:sz="4" w:space="0"/>
            </w:tcBorders>
            <w:vAlign w:val="center"/>
          </w:tcPr>
          <w:p w14:paraId="1B8941B0">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1"/>
                <w:sz w:val="21"/>
                <w:szCs w:val="21"/>
                <w:highlight w:val="none"/>
              </w:rPr>
              <w:t>1、验收标准：符合现行国家相关标准、行业标准、地</w:t>
            </w:r>
            <w:r>
              <w:rPr>
                <w:rFonts w:hint="eastAsia" w:ascii="宋体" w:hAnsi="宋体" w:eastAsia="宋体" w:cs="宋体"/>
                <w:color w:val="auto"/>
                <w:spacing w:val="-2"/>
                <w:sz w:val="21"/>
                <w:szCs w:val="21"/>
                <w:highlight w:val="none"/>
              </w:rPr>
              <w:t>方标准或者其他标准、规范</w:t>
            </w:r>
            <w:r>
              <w:rPr>
                <w:rFonts w:hint="eastAsia" w:ascii="宋体" w:hAnsi="宋体" w:eastAsia="宋体" w:cs="宋体"/>
                <w:color w:val="auto"/>
                <w:spacing w:val="-2"/>
                <w:sz w:val="21"/>
                <w:szCs w:val="21"/>
                <w:highlight w:val="none"/>
                <w:lang w:eastAsia="zh-CN"/>
              </w:rPr>
              <w:t>。</w:t>
            </w:r>
          </w:p>
          <w:p w14:paraId="41F27FFC">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2、</w:t>
            </w:r>
            <w:r>
              <w:rPr>
                <w:rFonts w:hint="eastAsia" w:ascii="宋体" w:hAnsi="宋体" w:cs="宋体"/>
                <w:color w:val="auto"/>
                <w:spacing w:val="-2"/>
                <w:sz w:val="21"/>
                <w:szCs w:val="21"/>
                <w:highlight w:val="none"/>
                <w:lang w:eastAsia="zh-CN"/>
              </w:rPr>
              <w:t>成交供应商</w:t>
            </w:r>
            <w:r>
              <w:rPr>
                <w:rFonts w:hint="eastAsia" w:ascii="宋体" w:hAnsi="宋体" w:eastAsia="宋体" w:cs="宋体"/>
                <w:color w:val="auto"/>
                <w:spacing w:val="-2"/>
                <w:sz w:val="21"/>
                <w:szCs w:val="21"/>
                <w:highlight w:val="none"/>
                <w:lang w:eastAsia="zh-CN"/>
              </w:rPr>
              <w:t>在货物交付验收时，由采购人对照</w:t>
            </w:r>
            <w:r>
              <w:rPr>
                <w:rFonts w:hint="eastAsia" w:ascii="宋体" w:hAnsi="宋体" w:cs="宋体"/>
                <w:color w:val="auto"/>
                <w:spacing w:val="-2"/>
                <w:sz w:val="21"/>
                <w:szCs w:val="21"/>
                <w:highlight w:val="none"/>
                <w:lang w:val="en-US" w:eastAsia="zh-CN"/>
              </w:rPr>
              <w:t>采购</w:t>
            </w:r>
            <w:r>
              <w:rPr>
                <w:rFonts w:hint="eastAsia" w:ascii="宋体" w:hAnsi="宋体" w:eastAsia="宋体" w:cs="宋体"/>
                <w:color w:val="auto"/>
                <w:spacing w:val="-2"/>
                <w:sz w:val="21"/>
                <w:szCs w:val="21"/>
                <w:highlight w:val="none"/>
                <w:lang w:eastAsia="zh-CN"/>
              </w:rPr>
              <w:t>文件的项目要求及技术需求，全面核对检验。如不符合</w:t>
            </w:r>
            <w:r>
              <w:rPr>
                <w:rFonts w:hint="eastAsia" w:ascii="宋体" w:hAnsi="宋体" w:cs="宋体"/>
                <w:color w:val="auto"/>
                <w:spacing w:val="-2"/>
                <w:sz w:val="21"/>
                <w:szCs w:val="21"/>
                <w:highlight w:val="none"/>
                <w:lang w:val="en-US" w:eastAsia="zh-CN"/>
              </w:rPr>
              <w:t>采购</w:t>
            </w:r>
            <w:r>
              <w:rPr>
                <w:rFonts w:hint="eastAsia" w:ascii="宋体" w:hAnsi="宋体" w:eastAsia="宋体" w:cs="宋体"/>
                <w:color w:val="auto"/>
                <w:spacing w:val="-2"/>
                <w:sz w:val="21"/>
                <w:szCs w:val="21"/>
                <w:highlight w:val="none"/>
                <w:lang w:eastAsia="zh-CN"/>
              </w:rPr>
              <w:t>文件的技术需求及要求以及提供虚假承诺的，按相关规定做违约处理，</w:t>
            </w:r>
            <w:r>
              <w:rPr>
                <w:rFonts w:hint="eastAsia" w:ascii="宋体" w:hAnsi="宋体" w:cs="宋体"/>
                <w:color w:val="auto"/>
                <w:spacing w:val="-2"/>
                <w:sz w:val="21"/>
                <w:szCs w:val="21"/>
                <w:highlight w:val="none"/>
                <w:lang w:eastAsia="zh-CN"/>
              </w:rPr>
              <w:t>成交供应商</w:t>
            </w:r>
            <w:r>
              <w:rPr>
                <w:rFonts w:hint="eastAsia" w:ascii="宋体" w:hAnsi="宋体" w:eastAsia="宋体" w:cs="宋体"/>
                <w:color w:val="auto"/>
                <w:spacing w:val="-2"/>
                <w:sz w:val="21"/>
                <w:szCs w:val="21"/>
                <w:highlight w:val="none"/>
                <w:lang w:eastAsia="zh-CN"/>
              </w:rPr>
              <w:t>承担所有责任和费用，采购人保留进一步追究责任的权利。</w:t>
            </w:r>
          </w:p>
          <w:p w14:paraId="475B367F">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3、验收时间</w:t>
            </w:r>
            <w:r>
              <w:rPr>
                <w:rFonts w:hint="eastAsia" w:ascii="宋体" w:hAnsi="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lang w:eastAsia="zh-CN"/>
              </w:rPr>
              <w:t>采购人收到</w:t>
            </w:r>
            <w:r>
              <w:rPr>
                <w:rFonts w:hint="eastAsia" w:ascii="宋体" w:hAnsi="宋体" w:cs="宋体"/>
                <w:color w:val="auto"/>
                <w:spacing w:val="-2"/>
                <w:sz w:val="21"/>
                <w:szCs w:val="21"/>
                <w:highlight w:val="none"/>
                <w:lang w:eastAsia="zh-CN"/>
              </w:rPr>
              <w:t>成交供应商</w:t>
            </w:r>
            <w:r>
              <w:rPr>
                <w:rFonts w:hint="eastAsia" w:ascii="宋体" w:hAnsi="宋体" w:eastAsia="宋体" w:cs="宋体"/>
                <w:color w:val="auto"/>
                <w:spacing w:val="-2"/>
                <w:sz w:val="21"/>
                <w:szCs w:val="21"/>
                <w:highlight w:val="none"/>
                <w:lang w:eastAsia="zh-CN"/>
              </w:rPr>
              <w:t>验收申请之日起</w:t>
            </w:r>
            <w:r>
              <w:rPr>
                <w:rFonts w:hint="eastAsia" w:ascii="宋体" w:hAnsi="宋体" w:eastAsia="宋体" w:cs="宋体"/>
                <w:color w:val="auto"/>
                <w:spacing w:val="-2"/>
                <w:sz w:val="21"/>
                <w:szCs w:val="21"/>
                <w:highlight w:val="none"/>
                <w:lang w:val="en-US" w:eastAsia="zh-CN"/>
              </w:rPr>
              <w:t>5</w:t>
            </w:r>
            <w:r>
              <w:rPr>
                <w:rFonts w:hint="eastAsia" w:ascii="宋体" w:hAnsi="宋体" w:eastAsia="宋体" w:cs="宋体"/>
                <w:color w:val="auto"/>
                <w:spacing w:val="-2"/>
                <w:sz w:val="21"/>
                <w:szCs w:val="21"/>
                <w:highlight w:val="none"/>
                <w:lang w:eastAsia="zh-CN"/>
              </w:rPr>
              <w:t>个工作日进行验收（如有特殊情况，按采购人指定的时间，另行验收）。</w:t>
            </w:r>
          </w:p>
          <w:p w14:paraId="33E4AB23">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4、验收地点：采购人指定交货地点。</w:t>
            </w:r>
          </w:p>
          <w:p w14:paraId="4E03B6FB">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5、验收方式：</w:t>
            </w:r>
          </w:p>
          <w:p w14:paraId="01BACCD6">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1）</w:t>
            </w:r>
            <w:r>
              <w:rPr>
                <w:rFonts w:hint="eastAsia" w:ascii="宋体" w:hAnsi="宋体" w:cs="宋体"/>
                <w:color w:val="auto"/>
                <w:spacing w:val="-2"/>
                <w:sz w:val="21"/>
                <w:szCs w:val="21"/>
                <w:highlight w:val="none"/>
                <w:lang w:eastAsia="zh-CN"/>
              </w:rPr>
              <w:t>成交供应商</w:t>
            </w:r>
            <w:r>
              <w:rPr>
                <w:rFonts w:hint="eastAsia" w:ascii="宋体" w:hAnsi="宋体" w:eastAsia="宋体" w:cs="宋体"/>
                <w:color w:val="auto"/>
                <w:spacing w:val="-2"/>
                <w:sz w:val="21"/>
                <w:szCs w:val="21"/>
                <w:highlight w:val="none"/>
                <w:lang w:eastAsia="zh-CN"/>
              </w:rPr>
              <w:t>完成货物安装调试和培训后，书面向采购人提交验收申请。</w:t>
            </w:r>
          </w:p>
          <w:p w14:paraId="2A7EC8EA">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2）采购人收到</w:t>
            </w:r>
            <w:r>
              <w:rPr>
                <w:rFonts w:hint="eastAsia" w:ascii="宋体" w:hAnsi="宋体" w:cs="宋体"/>
                <w:color w:val="auto"/>
                <w:spacing w:val="-2"/>
                <w:sz w:val="21"/>
                <w:szCs w:val="21"/>
                <w:highlight w:val="none"/>
                <w:lang w:eastAsia="zh-CN"/>
              </w:rPr>
              <w:t>成交供应商</w:t>
            </w:r>
            <w:r>
              <w:rPr>
                <w:rFonts w:hint="eastAsia" w:ascii="宋体" w:hAnsi="宋体" w:eastAsia="宋体" w:cs="宋体"/>
                <w:color w:val="auto"/>
                <w:spacing w:val="-2"/>
                <w:sz w:val="21"/>
                <w:szCs w:val="21"/>
                <w:highlight w:val="none"/>
                <w:lang w:eastAsia="zh-CN"/>
              </w:rPr>
              <w:t>验收申请之日起</w:t>
            </w:r>
            <w:r>
              <w:rPr>
                <w:rFonts w:hint="eastAsia" w:ascii="宋体" w:hAnsi="宋体" w:eastAsia="宋体" w:cs="宋体"/>
                <w:color w:val="auto"/>
                <w:spacing w:val="-2"/>
                <w:sz w:val="21"/>
                <w:szCs w:val="21"/>
                <w:highlight w:val="none"/>
                <w:lang w:val="en-US" w:eastAsia="zh-CN"/>
              </w:rPr>
              <w:t>5</w:t>
            </w:r>
            <w:r>
              <w:rPr>
                <w:rFonts w:hint="eastAsia" w:ascii="宋体" w:hAnsi="宋体" w:eastAsia="宋体" w:cs="宋体"/>
                <w:color w:val="auto"/>
                <w:spacing w:val="-2"/>
                <w:sz w:val="21"/>
                <w:szCs w:val="21"/>
                <w:highlight w:val="none"/>
                <w:lang w:eastAsia="zh-CN"/>
              </w:rPr>
              <w:t>个工作日进行验收（如有特殊情况，按采购人指定的时间，另行验收）。</w:t>
            </w:r>
          </w:p>
          <w:p w14:paraId="5FE84AFA">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3）本项目验收由验收小组按照采购合同约定对每一项技术和商务要求的履约情况进行确认，作为验收依据；</w:t>
            </w:r>
          </w:p>
          <w:p w14:paraId="32632B0A">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4）验收结束后，验收小组出具采购验收书，验收书应当包括每一项技术和商务要求的履约情况，并列明项目总体评价，由验收小组、采购人和</w:t>
            </w:r>
            <w:r>
              <w:rPr>
                <w:rFonts w:hint="eastAsia" w:ascii="宋体" w:hAnsi="宋体" w:cs="宋体"/>
                <w:color w:val="auto"/>
                <w:spacing w:val="-2"/>
                <w:sz w:val="21"/>
                <w:szCs w:val="21"/>
                <w:highlight w:val="none"/>
                <w:lang w:eastAsia="zh-CN"/>
              </w:rPr>
              <w:t>成交供应商</w:t>
            </w:r>
            <w:r>
              <w:rPr>
                <w:rFonts w:hint="eastAsia" w:ascii="宋体" w:hAnsi="宋体" w:eastAsia="宋体" w:cs="宋体"/>
                <w:color w:val="auto"/>
                <w:spacing w:val="-2"/>
                <w:sz w:val="21"/>
                <w:szCs w:val="21"/>
                <w:highlight w:val="none"/>
                <w:lang w:eastAsia="zh-CN"/>
              </w:rPr>
              <w:t>共同签署。</w:t>
            </w:r>
          </w:p>
          <w:p w14:paraId="77D1EA56">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5）验收过程中所产生的一切费用均由</w:t>
            </w:r>
            <w:r>
              <w:rPr>
                <w:rFonts w:hint="eastAsia" w:ascii="宋体" w:hAnsi="宋体" w:cs="宋体"/>
                <w:color w:val="auto"/>
                <w:spacing w:val="-2"/>
                <w:sz w:val="21"/>
                <w:szCs w:val="21"/>
                <w:highlight w:val="none"/>
                <w:lang w:eastAsia="zh-CN"/>
              </w:rPr>
              <w:t>成交供应商</w:t>
            </w:r>
            <w:r>
              <w:rPr>
                <w:rFonts w:hint="eastAsia" w:ascii="宋体" w:hAnsi="宋体" w:eastAsia="宋体" w:cs="宋体"/>
                <w:color w:val="auto"/>
                <w:spacing w:val="-2"/>
                <w:sz w:val="21"/>
                <w:szCs w:val="21"/>
                <w:highlight w:val="none"/>
                <w:lang w:eastAsia="zh-CN"/>
              </w:rPr>
              <w:t>承担。</w:t>
            </w:r>
          </w:p>
          <w:p w14:paraId="43401A01">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6）验收书一式肆份，双方各执两份。</w:t>
            </w:r>
          </w:p>
          <w:p w14:paraId="07FB938A">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7）验收结论不合格的，</w:t>
            </w:r>
            <w:r>
              <w:rPr>
                <w:rFonts w:hint="eastAsia" w:ascii="宋体" w:hAnsi="宋体" w:cs="宋体"/>
                <w:color w:val="auto"/>
                <w:spacing w:val="-2"/>
                <w:sz w:val="21"/>
                <w:szCs w:val="21"/>
                <w:highlight w:val="none"/>
                <w:lang w:eastAsia="zh-CN"/>
              </w:rPr>
              <w:t>成交供应商</w:t>
            </w:r>
            <w:r>
              <w:rPr>
                <w:rFonts w:hint="eastAsia" w:ascii="宋体" w:hAnsi="宋体" w:eastAsia="宋体" w:cs="宋体"/>
                <w:color w:val="auto"/>
                <w:spacing w:val="-2"/>
                <w:sz w:val="21"/>
                <w:szCs w:val="21"/>
                <w:highlight w:val="none"/>
                <w:lang w:eastAsia="zh-CN"/>
              </w:rPr>
              <w:t>应自收到验收书后</w:t>
            </w:r>
            <w:r>
              <w:rPr>
                <w:rFonts w:hint="eastAsia" w:ascii="宋体" w:hAnsi="宋体" w:eastAsia="宋体" w:cs="宋体"/>
                <w:color w:val="auto"/>
                <w:spacing w:val="-2"/>
                <w:sz w:val="21"/>
                <w:szCs w:val="21"/>
                <w:highlight w:val="none"/>
                <w:lang w:val="en-US" w:eastAsia="zh-CN"/>
              </w:rPr>
              <w:t>5</w:t>
            </w:r>
            <w:r>
              <w:rPr>
                <w:rFonts w:hint="eastAsia" w:ascii="宋体" w:hAnsi="宋体" w:eastAsia="宋体" w:cs="宋体"/>
                <w:color w:val="auto"/>
                <w:spacing w:val="-2"/>
                <w:sz w:val="21"/>
                <w:szCs w:val="21"/>
                <w:highlight w:val="none"/>
                <w:lang w:eastAsia="zh-CN"/>
              </w:rPr>
              <w:t>日内及时予以解决。经</w:t>
            </w:r>
            <w:r>
              <w:rPr>
                <w:rFonts w:hint="eastAsia" w:ascii="宋体" w:hAnsi="宋体" w:cs="宋体"/>
                <w:color w:val="auto"/>
                <w:spacing w:val="-2"/>
                <w:sz w:val="21"/>
                <w:szCs w:val="21"/>
                <w:highlight w:val="none"/>
                <w:lang w:eastAsia="zh-CN"/>
              </w:rPr>
              <w:t>成交供应商</w:t>
            </w:r>
            <w:r>
              <w:rPr>
                <w:rFonts w:hint="eastAsia" w:ascii="宋体" w:hAnsi="宋体" w:eastAsia="宋体" w:cs="宋体"/>
                <w:color w:val="auto"/>
                <w:spacing w:val="-2"/>
                <w:sz w:val="21"/>
                <w:szCs w:val="21"/>
                <w:highlight w:val="none"/>
                <w:lang w:eastAsia="zh-CN"/>
              </w:rPr>
              <w:t>对验收结论不合格的货物进行整改后，仍然达不到要求的，经双方协商，可按以下办法处理：</w:t>
            </w:r>
          </w:p>
          <w:p w14:paraId="062219FD">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（1）更换：由</w:t>
            </w:r>
            <w:r>
              <w:rPr>
                <w:rFonts w:hint="eastAsia" w:ascii="宋体" w:hAnsi="宋体" w:cs="宋体"/>
                <w:color w:val="auto"/>
                <w:spacing w:val="-2"/>
                <w:sz w:val="21"/>
                <w:szCs w:val="21"/>
                <w:highlight w:val="none"/>
                <w:lang w:eastAsia="zh-CN"/>
              </w:rPr>
              <w:t>成交供应商</w:t>
            </w:r>
            <w:r>
              <w:rPr>
                <w:rFonts w:hint="eastAsia" w:ascii="宋体" w:hAnsi="宋体" w:eastAsia="宋体" w:cs="宋体"/>
                <w:color w:val="auto"/>
                <w:spacing w:val="-2"/>
                <w:sz w:val="21"/>
                <w:szCs w:val="21"/>
                <w:highlight w:val="none"/>
                <w:lang w:eastAsia="zh-CN"/>
              </w:rPr>
              <w:t>承担所发生的全部费用；</w:t>
            </w:r>
          </w:p>
          <w:p w14:paraId="1B3F8438">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（2）退货处理：</w:t>
            </w:r>
            <w:r>
              <w:rPr>
                <w:rFonts w:hint="eastAsia" w:ascii="宋体" w:hAnsi="宋体" w:cs="宋体"/>
                <w:color w:val="auto"/>
                <w:spacing w:val="-2"/>
                <w:sz w:val="21"/>
                <w:szCs w:val="21"/>
                <w:highlight w:val="none"/>
                <w:lang w:eastAsia="zh-CN"/>
              </w:rPr>
              <w:t>成交供应商</w:t>
            </w:r>
            <w:r>
              <w:rPr>
                <w:rFonts w:hint="eastAsia" w:ascii="宋体" w:hAnsi="宋体" w:eastAsia="宋体" w:cs="宋体"/>
                <w:color w:val="auto"/>
                <w:spacing w:val="-2"/>
                <w:sz w:val="21"/>
                <w:szCs w:val="21"/>
                <w:highlight w:val="none"/>
                <w:lang w:eastAsia="zh-CN"/>
              </w:rPr>
              <w:t>应退还采购人支付的合同款，同时应承担与该货物相关的直接费用（运输、保险、检验、合同款利息及银行手续费等）。</w:t>
            </w:r>
          </w:p>
        </w:tc>
      </w:tr>
      <w:tr w14:paraId="753F9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vAlign w:val="center"/>
          </w:tcPr>
          <w:p w14:paraId="06E063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进口产品说明</w:t>
            </w:r>
          </w:p>
        </w:tc>
        <w:tc>
          <w:tcPr>
            <w:tcW w:w="7539" w:type="dxa"/>
            <w:tcBorders>
              <w:top w:val="single" w:color="auto" w:sz="4" w:space="0"/>
              <w:left w:val="single" w:color="auto" w:sz="4" w:space="0"/>
              <w:bottom w:val="single" w:color="auto" w:sz="4" w:space="0"/>
              <w:right w:val="single" w:color="auto" w:sz="4" w:space="0"/>
            </w:tcBorders>
            <w:vAlign w:val="center"/>
          </w:tcPr>
          <w:p w14:paraId="16504569">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z w:val="21"/>
                <w:szCs w:val="21"/>
                <w:highlight w:val="none"/>
              </w:rPr>
              <w:t>本分标货物不接受进口产品（即通过中国海关报关验放进入中国境内且产自关境</w:t>
            </w:r>
            <w:r>
              <w:rPr>
                <w:rFonts w:hint="eastAsia" w:ascii="宋体" w:hAnsi="宋体" w:eastAsia="宋体" w:cs="宋体"/>
                <w:color w:val="auto"/>
                <w:spacing w:val="-1"/>
                <w:sz w:val="21"/>
                <w:szCs w:val="21"/>
                <w:highlight w:val="none"/>
              </w:rPr>
              <w:t>外的产品）参与</w:t>
            </w:r>
            <w:r>
              <w:rPr>
                <w:rFonts w:hint="eastAsia" w:ascii="宋体" w:hAnsi="宋体" w:cs="宋体"/>
                <w:color w:val="auto"/>
                <w:spacing w:val="-1"/>
                <w:sz w:val="21"/>
                <w:szCs w:val="21"/>
                <w:highlight w:val="none"/>
                <w:lang w:val="en-US" w:eastAsia="zh-CN"/>
              </w:rPr>
              <w:t>竞标</w:t>
            </w:r>
            <w:r>
              <w:rPr>
                <w:rFonts w:hint="eastAsia" w:ascii="宋体" w:hAnsi="宋体" w:eastAsia="宋体" w:cs="宋体"/>
                <w:color w:val="auto"/>
                <w:spacing w:val="-1"/>
                <w:sz w:val="21"/>
                <w:szCs w:val="21"/>
                <w:highlight w:val="none"/>
              </w:rPr>
              <w:t>，</w:t>
            </w:r>
            <w:r>
              <w:rPr>
                <w:rFonts w:hint="eastAsia" w:ascii="宋体" w:hAnsi="宋体" w:eastAsia="宋体" w:cs="宋体"/>
                <w:b/>
                <w:bCs/>
                <w:color w:val="auto"/>
                <w:spacing w:val="-1"/>
                <w:sz w:val="21"/>
                <w:szCs w:val="21"/>
                <w:highlight w:val="none"/>
              </w:rPr>
              <w:t>如有进口产品参与</w:t>
            </w:r>
            <w:r>
              <w:rPr>
                <w:rFonts w:hint="eastAsia" w:ascii="宋体" w:hAnsi="宋体" w:cs="宋体"/>
                <w:b/>
                <w:bCs/>
                <w:color w:val="auto"/>
                <w:spacing w:val="-1"/>
                <w:sz w:val="21"/>
                <w:szCs w:val="21"/>
                <w:highlight w:val="none"/>
                <w:lang w:val="en-US" w:eastAsia="zh-CN"/>
              </w:rPr>
              <w:t>竞标</w:t>
            </w:r>
            <w:r>
              <w:rPr>
                <w:rFonts w:hint="eastAsia" w:ascii="宋体" w:hAnsi="宋体" w:eastAsia="宋体" w:cs="宋体"/>
                <w:b/>
                <w:bCs/>
                <w:color w:val="auto"/>
                <w:spacing w:val="-1"/>
                <w:sz w:val="21"/>
                <w:szCs w:val="21"/>
                <w:highlight w:val="none"/>
              </w:rPr>
              <w:t>的</w:t>
            </w:r>
            <w:r>
              <w:rPr>
                <w:rFonts w:hint="eastAsia" w:ascii="宋体" w:hAnsi="宋体" w:eastAsia="宋体" w:cs="宋体"/>
                <w:b/>
                <w:bCs/>
                <w:color w:val="auto"/>
                <w:spacing w:val="-2"/>
                <w:sz w:val="21"/>
                <w:szCs w:val="21"/>
                <w:highlight w:val="none"/>
              </w:rPr>
              <w:t>作无效标处理</w:t>
            </w:r>
            <w:r>
              <w:rPr>
                <w:rFonts w:hint="eastAsia" w:ascii="宋体" w:hAnsi="宋体" w:eastAsia="宋体" w:cs="宋体"/>
                <w:color w:val="auto"/>
                <w:spacing w:val="-2"/>
                <w:sz w:val="21"/>
                <w:szCs w:val="21"/>
                <w:highlight w:val="none"/>
              </w:rPr>
              <w:t>。</w:t>
            </w:r>
          </w:p>
        </w:tc>
      </w:tr>
      <w:tr w14:paraId="13813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vAlign w:val="center"/>
          </w:tcPr>
          <w:p w14:paraId="25F75D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7539" w:type="dxa"/>
            <w:tcBorders>
              <w:top w:val="single" w:color="auto" w:sz="4" w:space="0"/>
              <w:left w:val="single" w:color="auto" w:sz="4" w:space="0"/>
              <w:bottom w:val="single" w:color="auto" w:sz="4" w:space="0"/>
              <w:right w:val="single" w:color="auto" w:sz="4" w:space="0"/>
            </w:tcBorders>
            <w:vAlign w:val="center"/>
          </w:tcPr>
          <w:p w14:paraId="325B98CD">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auto"/>
              <w:rPr>
                <w:rFonts w:hint="eastAsia" w:ascii="宋体" w:hAnsi="宋体" w:eastAsia="宋体" w:cs="宋体"/>
                <w:b w:val="0"/>
                <w:bCs w:val="0"/>
                <w:color w:val="auto"/>
                <w:spacing w:val="-2"/>
                <w:sz w:val="21"/>
                <w:szCs w:val="21"/>
                <w:highlight w:val="none"/>
                <w:lang w:eastAsia="zh-CN"/>
              </w:rPr>
            </w:pPr>
            <w:r>
              <w:rPr>
                <w:rFonts w:hint="eastAsia" w:ascii="宋体" w:hAnsi="宋体" w:eastAsia="宋体" w:cs="宋体"/>
                <w:b/>
                <w:bCs/>
                <w:color w:val="auto"/>
                <w:spacing w:val="-2"/>
                <w:sz w:val="21"/>
                <w:szCs w:val="21"/>
                <w:highlight w:val="none"/>
                <w:lang w:eastAsia="zh-CN"/>
              </w:rPr>
              <w:t>1.</w:t>
            </w:r>
            <w:r>
              <w:rPr>
                <w:rFonts w:hint="eastAsia" w:ascii="宋体" w:hAnsi="宋体" w:cs="宋体"/>
                <w:b/>
                <w:bCs/>
                <w:color w:val="auto"/>
                <w:spacing w:val="-2"/>
                <w:sz w:val="21"/>
                <w:szCs w:val="21"/>
                <w:highlight w:val="none"/>
                <w:lang w:val="en-US" w:eastAsia="zh-CN"/>
              </w:rPr>
              <w:t>竞标</w:t>
            </w:r>
            <w:r>
              <w:rPr>
                <w:rFonts w:hint="eastAsia" w:ascii="宋体" w:hAnsi="宋体" w:eastAsia="宋体" w:cs="宋体"/>
                <w:b/>
                <w:bCs/>
                <w:color w:val="auto"/>
                <w:spacing w:val="-2"/>
                <w:sz w:val="21"/>
                <w:szCs w:val="21"/>
                <w:highlight w:val="none"/>
                <w:lang w:eastAsia="zh-CN"/>
              </w:rPr>
              <w:t>产品属医疗器械产品的提供该设备、配附件（如有）、耗材（如有）有效的医疗器械注册证并加盖</w:t>
            </w:r>
            <w:r>
              <w:rPr>
                <w:rFonts w:hint="eastAsia" w:ascii="宋体" w:hAnsi="宋体" w:cs="宋体"/>
                <w:b/>
                <w:bCs/>
                <w:color w:val="auto"/>
                <w:spacing w:val="-2"/>
                <w:sz w:val="21"/>
                <w:szCs w:val="21"/>
                <w:highlight w:val="none"/>
                <w:lang w:eastAsia="zh-CN"/>
              </w:rPr>
              <w:t>竞标人</w:t>
            </w:r>
            <w:r>
              <w:rPr>
                <w:rFonts w:hint="eastAsia" w:ascii="宋体" w:hAnsi="宋体" w:eastAsia="宋体" w:cs="宋体"/>
                <w:b/>
                <w:bCs/>
                <w:color w:val="auto"/>
                <w:spacing w:val="-2"/>
                <w:sz w:val="21"/>
                <w:szCs w:val="21"/>
                <w:highlight w:val="none"/>
                <w:lang w:eastAsia="zh-CN"/>
              </w:rPr>
              <w:t>公章，否则按无效</w:t>
            </w:r>
            <w:r>
              <w:rPr>
                <w:rFonts w:hint="eastAsia" w:ascii="宋体" w:hAnsi="宋体" w:cs="宋体"/>
                <w:b/>
                <w:bCs/>
                <w:color w:val="auto"/>
                <w:spacing w:val="-2"/>
                <w:sz w:val="21"/>
                <w:szCs w:val="21"/>
                <w:highlight w:val="none"/>
                <w:lang w:val="en-US" w:eastAsia="zh-CN"/>
              </w:rPr>
              <w:t>响应</w:t>
            </w:r>
            <w:r>
              <w:rPr>
                <w:rFonts w:hint="eastAsia" w:ascii="宋体" w:hAnsi="宋体" w:eastAsia="宋体" w:cs="宋体"/>
                <w:b/>
                <w:bCs/>
                <w:color w:val="auto"/>
                <w:spacing w:val="-2"/>
                <w:sz w:val="21"/>
                <w:szCs w:val="21"/>
                <w:highlight w:val="none"/>
                <w:lang w:eastAsia="zh-CN"/>
              </w:rPr>
              <w:t>处理。</w:t>
            </w:r>
          </w:p>
          <w:p w14:paraId="4C666CE5">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2.为保证项目顺利实施，</w:t>
            </w:r>
            <w:r>
              <w:rPr>
                <w:rFonts w:hint="eastAsia" w:ascii="宋体" w:hAnsi="宋体" w:cs="宋体"/>
                <w:color w:val="auto"/>
                <w:spacing w:val="-2"/>
                <w:sz w:val="21"/>
                <w:szCs w:val="21"/>
                <w:highlight w:val="none"/>
                <w:lang w:eastAsia="zh-CN"/>
              </w:rPr>
              <w:t>竞标人</w:t>
            </w:r>
            <w:r>
              <w:rPr>
                <w:rFonts w:hint="eastAsia" w:ascii="宋体" w:hAnsi="宋体" w:eastAsia="宋体" w:cs="宋体"/>
                <w:color w:val="auto"/>
                <w:spacing w:val="-2"/>
                <w:sz w:val="21"/>
                <w:szCs w:val="21"/>
                <w:highlight w:val="none"/>
                <w:lang w:eastAsia="zh-CN"/>
              </w:rPr>
              <w:t>可根据自身情况在</w:t>
            </w:r>
            <w:r>
              <w:rPr>
                <w:rFonts w:hint="eastAsia" w:ascii="宋体" w:hAnsi="宋体" w:cs="宋体"/>
                <w:color w:val="auto"/>
                <w:spacing w:val="-2"/>
                <w:sz w:val="21"/>
                <w:szCs w:val="21"/>
                <w:highlight w:val="none"/>
                <w:lang w:val="en-US" w:eastAsia="zh-CN"/>
              </w:rPr>
              <w:t>响应</w:t>
            </w:r>
            <w:r>
              <w:rPr>
                <w:rFonts w:hint="eastAsia" w:ascii="宋体" w:hAnsi="宋体" w:eastAsia="宋体" w:cs="宋体"/>
                <w:color w:val="auto"/>
                <w:spacing w:val="-2"/>
                <w:sz w:val="21"/>
                <w:szCs w:val="21"/>
                <w:highlight w:val="none"/>
                <w:lang w:eastAsia="zh-CN"/>
              </w:rPr>
              <w:t>文件中提供售后服务方案等内容。</w:t>
            </w:r>
          </w:p>
          <w:p w14:paraId="54AB1B07">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auto"/>
              <w:rPr>
                <w:rFonts w:hint="eastAsia"/>
                <w:color w:val="auto"/>
                <w:highlight w:val="none"/>
                <w:lang w:eastAsia="zh-CN"/>
              </w:rPr>
            </w:pPr>
            <w:r>
              <w:rPr>
                <w:rFonts w:hint="eastAsia" w:ascii="宋体" w:hAnsi="宋体" w:eastAsia="宋体" w:cs="宋体"/>
                <w:color w:val="auto"/>
                <w:spacing w:val="-2"/>
                <w:sz w:val="21"/>
                <w:szCs w:val="21"/>
                <w:highlight w:val="none"/>
                <w:lang w:eastAsia="zh-CN"/>
              </w:rPr>
              <w:t>3.供货要求：签订合同时需提供①生产厂家出具的供货证明或②代理商出具的供货证明及生产厂家出具给代理商的授权书。</w:t>
            </w:r>
          </w:p>
        </w:tc>
      </w:tr>
      <w:tr w14:paraId="0E5F4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19" w:type="dxa"/>
            <w:tcBorders>
              <w:top w:val="single" w:color="auto" w:sz="4" w:space="0"/>
              <w:left w:val="single" w:color="auto" w:sz="4" w:space="0"/>
              <w:bottom w:val="single" w:color="auto" w:sz="4" w:space="0"/>
              <w:right w:val="single" w:color="auto" w:sz="4" w:space="0"/>
            </w:tcBorders>
            <w:vAlign w:val="center"/>
          </w:tcPr>
          <w:p w14:paraId="10D858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核心产品</w:t>
            </w:r>
          </w:p>
        </w:tc>
        <w:tc>
          <w:tcPr>
            <w:tcW w:w="7539" w:type="dxa"/>
            <w:tcBorders>
              <w:top w:val="single" w:color="auto" w:sz="4" w:space="0"/>
              <w:left w:val="single" w:color="auto" w:sz="4" w:space="0"/>
              <w:bottom w:val="single" w:color="auto" w:sz="4" w:space="0"/>
              <w:right w:val="single" w:color="auto" w:sz="4" w:space="0"/>
            </w:tcBorders>
            <w:shd w:val="clear" w:color="auto" w:fill="auto"/>
            <w:vAlign w:val="center"/>
          </w:tcPr>
          <w:p w14:paraId="79963CFF">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本</w:t>
            </w:r>
            <w:r>
              <w:rPr>
                <w:rFonts w:hint="eastAsia" w:ascii="宋体" w:hAnsi="宋体" w:eastAsia="宋体" w:cs="宋体"/>
                <w:b/>
                <w:bCs/>
                <w:color w:val="auto"/>
                <w:kern w:val="0"/>
                <w:sz w:val="21"/>
                <w:szCs w:val="21"/>
                <w:highlight w:val="none"/>
                <w:lang w:val="en-US" w:eastAsia="zh-CN" w:bidi="ar"/>
              </w:rPr>
              <w:t>分标</w:t>
            </w:r>
            <w:r>
              <w:rPr>
                <w:rFonts w:hint="eastAsia" w:ascii="宋体" w:hAnsi="宋体" w:eastAsia="宋体" w:cs="宋体"/>
                <w:b/>
                <w:bCs/>
                <w:color w:val="auto"/>
                <w:kern w:val="0"/>
                <w:sz w:val="21"/>
                <w:szCs w:val="21"/>
                <w:highlight w:val="none"/>
                <w:lang w:bidi="ar"/>
              </w:rPr>
              <w:t>核心产品为第</w:t>
            </w:r>
            <w:r>
              <w:rPr>
                <w:rFonts w:hint="eastAsia" w:ascii="宋体" w:hAnsi="宋体" w:eastAsia="宋体" w:cs="宋体"/>
                <w:b/>
                <w:bCs/>
                <w:color w:val="auto"/>
                <w:kern w:val="0"/>
                <w:sz w:val="21"/>
                <w:szCs w:val="21"/>
                <w:highlight w:val="none"/>
                <w:u w:val="single"/>
                <w:lang w:val="en-US" w:eastAsia="zh-CN" w:bidi="ar"/>
              </w:rPr>
              <w:t>3</w:t>
            </w:r>
            <w:r>
              <w:rPr>
                <w:rFonts w:hint="eastAsia" w:ascii="宋体" w:hAnsi="宋体" w:eastAsia="宋体" w:cs="宋体"/>
                <w:b/>
                <w:bCs/>
                <w:color w:val="auto"/>
                <w:kern w:val="0"/>
                <w:sz w:val="21"/>
                <w:szCs w:val="21"/>
                <w:highlight w:val="none"/>
                <w:lang w:bidi="ar"/>
              </w:rPr>
              <w:t>项“十二导联心电图机”。</w:t>
            </w:r>
          </w:p>
        </w:tc>
      </w:tr>
    </w:tbl>
    <w:p w14:paraId="67952C4F">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宋体" w:hAnsi="宋体" w:cs="宋体"/>
          <w:color w:val="auto"/>
          <w:highlight w:val="none"/>
        </w:rPr>
      </w:pPr>
      <w:r>
        <w:rPr>
          <w:rFonts w:hint="eastAsia" w:ascii="宋体" w:hAnsi="宋体" w:cs="宋体"/>
          <w:color w:val="auto"/>
          <w:sz w:val="20"/>
          <w:szCs w:val="20"/>
          <w:highlight w:val="none"/>
        </w:rPr>
        <w:br w:type="page"/>
      </w:r>
      <w:bookmarkStart w:id="29" w:name="_Toc22279"/>
      <w:r>
        <w:rPr>
          <w:rFonts w:hint="eastAsia" w:ascii="宋体" w:hAnsi="宋体" w:cs="宋体"/>
          <w:color w:val="auto"/>
          <w:highlight w:val="none"/>
        </w:rPr>
        <w:t xml:space="preserve">第四章 </w:t>
      </w:r>
      <w:bookmarkStart w:id="30" w:name="_Hlk68601507"/>
      <w:r>
        <w:rPr>
          <w:rFonts w:hint="eastAsia" w:ascii="宋体" w:hAnsi="宋体" w:cs="宋体"/>
          <w:color w:val="auto"/>
          <w:highlight w:val="none"/>
        </w:rPr>
        <w:t>评审程序和评定成交的标准</w:t>
      </w:r>
      <w:bookmarkEnd w:id="29"/>
      <w:bookmarkEnd w:id="30"/>
    </w:p>
    <w:p w14:paraId="5937C6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rPr>
        <w:t>一、评审程序</w:t>
      </w:r>
    </w:p>
    <w:p w14:paraId="200BA620">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ascii="宋体" w:hAnsi="宋体" w:cs="宋体"/>
          <w:b/>
          <w:bCs/>
          <w:color w:val="auto"/>
          <w:sz w:val="24"/>
          <w:highlight w:val="none"/>
        </w:rPr>
      </w:pPr>
      <w:r>
        <w:rPr>
          <w:rFonts w:hint="eastAsia" w:ascii="宋体" w:hAnsi="宋体" w:cs="宋体"/>
          <w:b/>
          <w:bCs/>
          <w:color w:val="auto"/>
          <w:sz w:val="24"/>
          <w:highlight w:val="none"/>
        </w:rPr>
        <w:t>1.确认谈判文件</w:t>
      </w:r>
    </w:p>
    <w:p w14:paraId="11A52FFC">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由谈判小组确认谈判文件。</w:t>
      </w:r>
    </w:p>
    <w:p w14:paraId="7898C33F">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ascii="宋体" w:hAnsi="宋体" w:cs="宋体"/>
          <w:b/>
          <w:bCs/>
          <w:color w:val="auto"/>
          <w:sz w:val="24"/>
          <w:highlight w:val="none"/>
        </w:rPr>
      </w:pPr>
      <w:r>
        <w:rPr>
          <w:rFonts w:hint="eastAsia" w:ascii="宋体" w:hAnsi="宋体" w:cs="宋体"/>
          <w:b/>
          <w:bCs/>
          <w:color w:val="auto"/>
          <w:sz w:val="24"/>
          <w:highlight w:val="none"/>
        </w:rPr>
        <w:t>2.资格审查</w:t>
      </w:r>
    </w:p>
    <w:p w14:paraId="414A8F5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2.1响应文件开启后，谈判小组依法对供应商的资格证明文件进行审查。</w:t>
      </w:r>
    </w:p>
    <w:p w14:paraId="7997B4C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highlight w:val="none"/>
        </w:rPr>
        <w:t>www.ccgp.gov.cn</w:t>
      </w:r>
      <w:r>
        <w:rPr>
          <w:rFonts w:hint="eastAsia" w:ascii="宋体" w:hAnsi="宋体" w:cs="宋体"/>
          <w:color w:val="auto"/>
          <w:highlight w:val="none"/>
        </w:rPr>
        <w:fldChar w:fldCharType="end"/>
      </w:r>
      <w:r>
        <w:rPr>
          <w:rFonts w:hint="eastAsia" w:ascii="宋体" w:hAnsi="宋体" w:cs="宋体"/>
          <w:color w:val="auto"/>
          <w:szCs w:val="21"/>
          <w:highlight w:val="none"/>
        </w:rPr>
        <w:t>）</w:t>
      </w:r>
    </w:p>
    <w:p w14:paraId="7DCE3F8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628EFD4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（3）查询记录和证据留存方式：将查询网站中的查询记录截图并作为评审资料保存。</w:t>
      </w:r>
    </w:p>
    <w:p w14:paraId="4EBB525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（4）信用信息使用规则：信用信息使用规则：根据财政部《关于在政府采购活动中查询及使用信用记录有关问题的通知》（财库〔2016〕125号）的规定，对在“信用中国”网站(www.creditchina.gov.cn)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02F0AF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2.2资格审查标准为本谈判文件中载明对供应商资格要求的条件。本项目资格审查采用合格制，凡符合谈判文件规定的供应商资格要求的供应商均通过资格审查。</w:t>
      </w:r>
    </w:p>
    <w:p w14:paraId="6D579BC9">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2.3 供应商有下列情形之一的，资格审查不通过，其响应文件按无效响应处理：</w:t>
      </w:r>
    </w:p>
    <w:p w14:paraId="45FBF7D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（1）不具备谈判文件中规定的资格要求的；</w:t>
      </w:r>
    </w:p>
    <w:p w14:paraId="435908A6">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both"/>
        <w:textAlignment w:val="auto"/>
        <w:rPr>
          <w:rFonts w:ascii="宋体" w:hAnsi="宋体" w:cs="宋体"/>
          <w:color w:val="auto"/>
          <w:szCs w:val="21"/>
          <w:highlight w:val="none"/>
        </w:rPr>
      </w:pPr>
      <w:r>
        <w:rPr>
          <w:rFonts w:hint="eastAsia" w:ascii="宋体" w:hAnsi="宋体" w:cs="宋体"/>
          <w:color w:val="auto"/>
          <w:szCs w:val="21"/>
          <w:highlight w:val="none"/>
        </w:rPr>
        <w:t>（2）响应文件中的资格证明文件缺少任一项“供应商须知前附表”资格证明文件规定的“必须提供”的文件资料的；</w:t>
      </w:r>
    </w:p>
    <w:p w14:paraId="571F3D77">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both"/>
        <w:textAlignment w:val="auto"/>
        <w:rPr>
          <w:rFonts w:ascii="宋体" w:hAnsi="宋体" w:cs="宋体"/>
          <w:color w:val="auto"/>
          <w:szCs w:val="21"/>
          <w:highlight w:val="none"/>
        </w:rPr>
      </w:pPr>
      <w:r>
        <w:rPr>
          <w:rFonts w:hint="eastAsia" w:ascii="宋体" w:hAnsi="宋体" w:cs="宋体"/>
          <w:color w:val="auto"/>
          <w:szCs w:val="21"/>
          <w:highlight w:val="none"/>
        </w:rPr>
        <w:t>（3）响应文件中的资格证明文件出现任一项不符合“供应商须知前附表”资格证明文件规定的“必须提供”的文件资料要求或者无效的；</w:t>
      </w:r>
    </w:p>
    <w:p w14:paraId="4A0C18C3">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7016E41D">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2.4通过资格审查的合格供应商不足3家（本章3.7条规定除外）的，不得进入符合性审查环节，应当重新开展采购活动。</w:t>
      </w:r>
    </w:p>
    <w:p w14:paraId="6A415497">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ascii="宋体" w:hAnsi="宋体" w:cs="宋体"/>
          <w:b/>
          <w:bCs/>
          <w:color w:val="auto"/>
          <w:sz w:val="24"/>
          <w:highlight w:val="none"/>
        </w:rPr>
      </w:pPr>
      <w:r>
        <w:rPr>
          <w:rFonts w:hint="eastAsia" w:ascii="宋体" w:hAnsi="宋体" w:cs="宋体"/>
          <w:b/>
          <w:bCs/>
          <w:color w:val="auto"/>
          <w:sz w:val="24"/>
          <w:highlight w:val="none"/>
        </w:rPr>
        <w:t>3.符合性审查</w:t>
      </w:r>
    </w:p>
    <w:p w14:paraId="1ECB4FA1">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3.1由谈判小组对资格审查的合格的供应商的响应文件进行竞标报价、商务、技术等实质性要求符合性审查，以确定其是否满足谈判文件的实质性要求。</w:t>
      </w:r>
    </w:p>
    <w:p w14:paraId="7052A62E">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D29661">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pacing w:val="-6"/>
          <w:szCs w:val="21"/>
          <w:highlight w:val="none"/>
        </w:rPr>
      </w:pPr>
      <w:r>
        <w:rPr>
          <w:rFonts w:hint="eastAsia" w:ascii="宋体" w:hAnsi="宋体" w:cs="宋体"/>
          <w:color w:val="auto"/>
          <w:szCs w:val="21"/>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w:t>
      </w:r>
      <w:r>
        <w:rPr>
          <w:rFonts w:hint="eastAsia" w:ascii="宋体" w:hAnsi="宋体" w:cs="宋体"/>
          <w:color w:val="auto"/>
          <w:highlight w:val="none"/>
        </w:rPr>
        <w:t>有利于采购人</w:t>
      </w:r>
      <w:r>
        <w:rPr>
          <w:rFonts w:hint="eastAsia" w:ascii="宋体" w:hAnsi="宋体" w:cs="宋体"/>
          <w:color w:val="auto"/>
          <w:szCs w:val="21"/>
          <w:highlight w:val="none"/>
        </w:rPr>
        <w:t>的原则由谈判小组进行判定。供应商的澄清、说明或者更正必须由法定代表人或者其委托代理人签字或者加盖供应商公章。</w:t>
      </w:r>
    </w:p>
    <w:p w14:paraId="64F0D1F3">
      <w:pPr>
        <w:keepNext w:val="0"/>
        <w:keepLines w:val="0"/>
        <w:pageBreakBefore w:val="0"/>
        <w:widowControl w:val="0"/>
        <w:kinsoku/>
        <w:wordWrap/>
        <w:overflowPunct/>
        <w:topLinePunct w:val="0"/>
        <w:autoSpaceDE/>
        <w:autoSpaceDN/>
        <w:bidi w:val="0"/>
        <w:adjustRightInd/>
        <w:spacing w:line="360" w:lineRule="auto"/>
        <w:ind w:firstLine="396" w:firstLineChars="200"/>
        <w:jc w:val="both"/>
        <w:textAlignment w:val="auto"/>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7663A188">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636FC936">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3AD0B96">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DB12D36">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67FCB23A">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2ABC8094">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3.5商务技术报价评审</w:t>
      </w:r>
    </w:p>
    <w:p w14:paraId="21C6573E">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14:paraId="2E7DCAD1">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（1）商务技术评审</w:t>
      </w:r>
    </w:p>
    <w:p w14:paraId="782F85AE">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1）响应文件未按谈判文件要求签署、盖章的；</w:t>
      </w:r>
    </w:p>
    <w:p w14:paraId="4B7A52D0">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1A4678CB">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3）提交的竞标保证金无效的或者未按照谈判文件的规定提交竞标保证金；</w:t>
      </w:r>
    </w:p>
    <w:p w14:paraId="71624C5D">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4）响应文件中的报价商务技术文件出现任一项不符合“供应商须知前附表”中“必须提供”或者“委托时必须提供”文件资料要求的规定或者提供的报价商务技术文件无效。</w:t>
      </w:r>
    </w:p>
    <w:p w14:paraId="1FB7470D">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5）商务条款中标“▲”的条款发生负偏离或者允许负偏离的条款数超过“供应商须知前附表”规定项数的；</w:t>
      </w:r>
    </w:p>
    <w:p w14:paraId="59EFFFA4">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6）未对竞标有效期作出响应或者响应文件承诺的竞标有效期不满足谈判文件要求；</w:t>
      </w:r>
    </w:p>
    <w:p w14:paraId="2DB30346">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7）响应文件的实质性内容未使用中文表述、使用计量单位不符合谈判文件要求的；</w:t>
      </w:r>
    </w:p>
    <w:p w14:paraId="5F9EE046">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8）响应文件中的文件资料因填写不齐全或者内容虚假或者出现其他情形而导致被谈判小组认定无效的；</w:t>
      </w:r>
    </w:p>
    <w:p w14:paraId="51287435">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9）响应文件含有采购人不能接受的附加条件的；</w:t>
      </w:r>
    </w:p>
    <w:p w14:paraId="55550984">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10）属于“供应商须知正文”第7.5条的情形的；</w:t>
      </w:r>
    </w:p>
    <w:p w14:paraId="03C7B9FA">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11）技术要求中标“▲”的条款发生负偏离或允许负偏离的条款数超过“供应商须知前附表”规定项数的；</w:t>
      </w:r>
    </w:p>
    <w:p w14:paraId="1C91788A">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12）虚假竞标，或者出现其他情形而导致被谈判小组认定无效的；</w:t>
      </w:r>
    </w:p>
    <w:p w14:paraId="4275AA67">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13）</w:t>
      </w:r>
      <w:bookmarkStart w:id="31"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31"/>
    </w:p>
    <w:p w14:paraId="01A87A30">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14）响应文件标注的项目名称或者项目编号与谈判文件标注的项目名称或者项目编号不一致的；</w:t>
      </w:r>
    </w:p>
    <w:p w14:paraId="497FA84B">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b/>
          <w:color w:val="auto"/>
          <w:szCs w:val="21"/>
          <w:highlight w:val="none"/>
        </w:rPr>
        <w:t>谈判文件明确不允许分包，响应文件拟分包的；</w:t>
      </w:r>
    </w:p>
    <w:p w14:paraId="0D4CADFB">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16）未响应谈判文件实质性要求；</w:t>
      </w:r>
    </w:p>
    <w:p w14:paraId="2467F338">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17）法律、法规和谈判文件规定的其他无效情形。</w:t>
      </w:r>
    </w:p>
    <w:p w14:paraId="14035EDB">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（2）报价评审</w:t>
      </w:r>
    </w:p>
    <w:p w14:paraId="45497EC5">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1）响应文件未提供“供应商须知前附表” 报价商务技术文件中规定的“竞标报价表”的；</w:t>
      </w:r>
    </w:p>
    <w:p w14:paraId="1A5906E8">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2）未采用人民币报价或者未按照谈判文件标明的币种报价的；</w:t>
      </w:r>
    </w:p>
    <w:p w14:paraId="296FD1DE">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的；供应商未就所竞标分标的单项内容作唯一报价的；供应商未就所竞标分标的全部内容作完整唯一总价报价的；供应商响应文件中存在有选择、有条件报价的（谈判文件允许有备选方案或者其他约定的除外）；</w:t>
      </w:r>
    </w:p>
    <w:p w14:paraId="631F788E">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 xml:space="preserve">4）最后报价超过所竞标分标规定的采购预算金额或者最高限价的（如本项目公布了最高限价）； </w:t>
      </w:r>
    </w:p>
    <w:p w14:paraId="16735F72">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5）修正后的报价，供应商不确认的；或者经供应商确认修正后的最后报价超过所竞标分标规定的采购预算金额或者最高限价（如本项目公布了最高限价）；</w:t>
      </w:r>
    </w:p>
    <w:p w14:paraId="61537537">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6）响应文件响应的标的数量及单位与竞争性谈判采购文件要求实质性不一致的。</w:t>
      </w:r>
    </w:p>
    <w:p w14:paraId="263919F4">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3.6谈判小组对响应文件进行评审，未实质性响应谈判文件的响应文件按无效响应处理。谈判小组应当将资格和符合性不通过的情况告知有关供应商。谈判小组从符合谈判文件规定的相应资格条件的供应商名单中确定不少于3家的供应商参加谈判。</w:t>
      </w:r>
    </w:p>
    <w:p w14:paraId="30DA122E">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3.7公开招标的货物、服务采购项目，招标过程中提交投标文件或者经评审实质性响应招标文件要求的供应商只有两家时，采购人、采购代理机构按照《政府采购非招标采购方式管理办法》（财政部74号令）第四条经本级财政部门批准后可以与该两家供应商进行竞争性谈判采购。</w:t>
      </w:r>
    </w:p>
    <w:p w14:paraId="1B41755F">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3.8通过符合性审查的合格供应商不足3家的，不得进入谈判环节，应当重新开展采购活动。</w:t>
      </w:r>
    </w:p>
    <w:p w14:paraId="64DC6200">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ascii="宋体" w:hAnsi="宋体" w:cs="宋体"/>
          <w:b/>
          <w:bCs/>
          <w:color w:val="auto"/>
          <w:sz w:val="24"/>
          <w:highlight w:val="none"/>
        </w:rPr>
      </w:pPr>
      <w:r>
        <w:rPr>
          <w:rFonts w:hint="eastAsia" w:ascii="宋体" w:hAnsi="宋体" w:cs="宋体"/>
          <w:b/>
          <w:bCs/>
          <w:color w:val="auto"/>
          <w:sz w:val="24"/>
          <w:highlight w:val="none"/>
        </w:rPr>
        <w:t>4.谈判程序</w:t>
      </w:r>
    </w:p>
    <w:p w14:paraId="7D29D470">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4.1谈判小组按照“供应商须知前附表”第26条确定的</w:t>
      </w:r>
      <w:r>
        <w:rPr>
          <w:rFonts w:hint="eastAsia" w:ascii="宋体" w:hAnsi="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14:paraId="7A8A4480">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67418DDB">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4.3对谈判文件作出的实质性变动是谈判文件的有效组成部分，谈判小组应当及时以电子谈判记录形式同时通知所有参加谈判的供应商。</w:t>
      </w:r>
    </w:p>
    <w:p w14:paraId="58D00AFF">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4.4供应商必须按照谈判文件的变动情况和谈判小组的要求以电子回函的形式重新提交响应文件，并由其法定代表人或者委托代理人签字或者加盖供应商公章。由委托代理人签字的，</w:t>
      </w:r>
      <w:r>
        <w:rPr>
          <w:rFonts w:hint="eastAsia" w:ascii="宋体" w:hAnsi="宋体" w:cs="宋体"/>
          <w:bCs/>
          <w:color w:val="auto"/>
          <w:szCs w:val="21"/>
          <w:highlight w:val="none"/>
        </w:rPr>
        <w:t>若委托代理人不是响应文件中授权的委托代理人时，必须同时出示有效的授权委托书原件</w:t>
      </w:r>
      <w:r>
        <w:rPr>
          <w:rFonts w:hint="eastAsia" w:ascii="宋体" w:hAnsi="宋体" w:cs="宋体"/>
          <w:color w:val="auto"/>
          <w:szCs w:val="21"/>
          <w:highlight w:val="none"/>
        </w:rPr>
        <w:t>。供应商为自然人的，必须由本人签字并附身份证明。参加谈判的供应商未在规定时间内以电子回函的形式重新提交响应文件的，视同退出谈判，其响应文件按无效响应处理。</w:t>
      </w:r>
    </w:p>
    <w:p w14:paraId="0083038E">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4.5谈判中，谈判的任何一方不得透露与谈判有关的其他供应商的技术资料、价格和其他信息。</w:t>
      </w:r>
    </w:p>
    <w:p w14:paraId="6C04A0AC">
      <w:pPr>
        <w:keepNext w:val="0"/>
        <w:keepLines w:val="0"/>
        <w:pageBreakBefore w:val="0"/>
        <w:widowControl w:val="0"/>
        <w:tabs>
          <w:tab w:val="left" w:pos="2835"/>
        </w:tabs>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4.6对谈判过程提交的响应文件进行有效性、完整性和响应程度审查，通过审查的合格供应商不足3家的，采购人或者采购代理机构应当重新开展采购活动。</w:t>
      </w:r>
    </w:p>
    <w:p w14:paraId="497252F3">
      <w:pPr>
        <w:keepNext w:val="0"/>
        <w:keepLines w:val="0"/>
        <w:pageBreakBefore w:val="0"/>
        <w:widowControl w:val="0"/>
        <w:tabs>
          <w:tab w:val="left" w:pos="2835"/>
        </w:tabs>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4.7谈判小组在评审过程中认为供应商的报价明显低于通过符合性审查的其他供应商的报价的，有可能影响产品质量或者不能诚信履约的，应当要求其在评标现场合理的时间内提供书面说明，必要时提交相关证明材料。供应商不能证明其报价合理性的，谈判小组应当将其作为无效报价处理。</w:t>
      </w:r>
    </w:p>
    <w:p w14:paraId="470829DF">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ascii="宋体" w:hAnsi="宋体" w:cs="宋体"/>
          <w:b/>
          <w:bCs/>
          <w:color w:val="auto"/>
          <w:sz w:val="24"/>
          <w:highlight w:val="none"/>
        </w:rPr>
      </w:pPr>
      <w:r>
        <w:rPr>
          <w:rFonts w:hint="eastAsia" w:ascii="宋体" w:hAnsi="宋体" w:cs="宋体"/>
          <w:b/>
          <w:bCs/>
          <w:color w:val="auto"/>
          <w:sz w:val="24"/>
          <w:highlight w:val="none"/>
        </w:rPr>
        <w:t>5.最后报价</w:t>
      </w:r>
    </w:p>
    <w:p w14:paraId="23DD517B">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5.1谈判文件能够详细列明采购标的的技术、服务要求的，谈判结束后，谈判小组应当要求所有继续参加谈判的供应商在规定时间内以电子文件形式提交最后报价，提交最后报价的供应商不得少于3家，除本章第3.7条外，否则必须重新采购。</w:t>
      </w:r>
    </w:p>
    <w:p w14:paraId="6D128D4D">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以电子文件形式提交最后报价。</w:t>
      </w:r>
    </w:p>
    <w:p w14:paraId="1BFC9F4F">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5.3最后报价是供应商响应文件的有效组成部分。</w:t>
      </w:r>
    </w:p>
    <w:p w14:paraId="19E9D11C">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5.4已经提交响应文件的供应商，在提交最后报价之前，可以根据谈判情况退出谈判。采购人、采购代理机构将退还退出谈判的供应商的保证金。</w:t>
      </w:r>
    </w:p>
    <w:p w14:paraId="1FEF08E5">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5.5供应商未在规定时间内提交最后报价的，视为退出谈判，其响应文件按无效响应处理。</w:t>
      </w:r>
    </w:p>
    <w:p w14:paraId="5DDC2472">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5.6谈判小组收齐某一分标最后报价后或达到规定时间后统一开启，谈判小组对最后报价进行有效性、完整性和响应程度的审查。</w:t>
      </w:r>
    </w:p>
    <w:p w14:paraId="27762B4C">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 xml:space="preserve">5.7响应文件首次及最后报价出现前后不一致的，按照本章第3.4条的规定修正。 </w:t>
      </w:r>
    </w:p>
    <w:p w14:paraId="4978DD5F">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5.8经供应商确认修正后的最后报价作为评审及签订合同的依据。</w:t>
      </w:r>
    </w:p>
    <w:p w14:paraId="61481AB1">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5.9供应商出现最后报价按无效响应处理或者响应文件按无效响应处理时</w:t>
      </w:r>
      <w:r>
        <w:rPr>
          <w:rFonts w:hint="eastAsia" w:ascii="宋体" w:hAnsi="宋体" w:cs="宋体"/>
          <w:color w:val="auto"/>
          <w:sz w:val="22"/>
          <w:szCs w:val="22"/>
          <w:highlight w:val="none"/>
        </w:rPr>
        <w:t>，谈判小组应当告知有关供应商</w:t>
      </w:r>
      <w:r>
        <w:rPr>
          <w:rFonts w:hint="eastAsia" w:ascii="宋体" w:hAnsi="宋体" w:cs="宋体"/>
          <w:color w:val="auto"/>
          <w:szCs w:val="21"/>
          <w:highlight w:val="none"/>
        </w:rPr>
        <w:t>。</w:t>
      </w:r>
    </w:p>
    <w:p w14:paraId="6873D806">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5.10最后报价结束后，谈判小组不得再与供应商进行任何形式的商谈。</w:t>
      </w:r>
    </w:p>
    <w:p w14:paraId="0EE2B14C">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ascii="宋体" w:hAnsi="宋体" w:cs="宋体"/>
          <w:b/>
          <w:bCs/>
          <w:color w:val="auto"/>
          <w:sz w:val="24"/>
          <w:highlight w:val="none"/>
        </w:rPr>
      </w:pPr>
      <w:r>
        <w:rPr>
          <w:rFonts w:hint="eastAsia" w:ascii="宋体" w:hAnsi="宋体" w:cs="宋体"/>
          <w:b/>
          <w:bCs/>
          <w:color w:val="auto"/>
          <w:sz w:val="24"/>
          <w:highlight w:val="none"/>
        </w:rPr>
        <w:t>6.最后报价政府采购政策性扣除</w:t>
      </w:r>
    </w:p>
    <w:p w14:paraId="7F8F62D6">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6.1评标价为供应商的最后报价进行政策性扣除后的价格，评标价只是作为评审时使用。最终成交供应商的成交金额等于最后报价（如有修正，以确认修正后的最后报价为准）。</w:t>
      </w:r>
    </w:p>
    <w:p w14:paraId="59441207">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6.2政策性扣除计算方法。</w:t>
      </w:r>
    </w:p>
    <w:p w14:paraId="0020F646">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根据《政府采购促进中小企业发展管理办法》的规定，供应商属于《政府采购促进中小企业发展管理办法》规定的小微企业的，对竞标报价给予20%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最后报价×（1 - 扣除比例）。</w:t>
      </w:r>
    </w:p>
    <w:p w14:paraId="6354F117">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A526719">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highlight w:val="none"/>
        </w:rPr>
      </w:pPr>
      <w:r>
        <w:rPr>
          <w:rFonts w:hint="eastAsia" w:ascii="宋体" w:hAnsi="宋体" w:cs="宋体"/>
          <w:color w:val="auto"/>
          <w:szCs w:val="21"/>
          <w:highlight w:val="none"/>
        </w:rPr>
        <w:t>6.4按照《关于促进残疾人就业政府采购政策的通知》（财库〔2017〕141号）的规定，残疾人福利性单位视同小型、微型企业，享受预留份额、评审中价格扣除等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11BC987">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6.5除上述情况外，评标价＝最后报价。</w:t>
      </w:r>
    </w:p>
    <w:p w14:paraId="56485CD7">
      <w:pPr>
        <w:spacing w:line="360" w:lineRule="auto"/>
        <w:ind w:firstLine="420" w:firstLineChars="200"/>
        <w:rPr>
          <w:rFonts w:ascii="宋体" w:hAnsi="宋体" w:cs="宋体"/>
          <w:color w:val="auto"/>
          <w:highlight w:val="none"/>
        </w:rPr>
      </w:pPr>
    </w:p>
    <w:p w14:paraId="070E47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rPr>
        <w:t>二、评定成交的标准</w:t>
      </w:r>
    </w:p>
    <w:p w14:paraId="65D7944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7.成交候选人推荐原则</w:t>
      </w:r>
    </w:p>
    <w:p w14:paraId="2A3A1F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谈判小组应当从质量和服务均能满足谈判文件实质性响应要求的供应商中，按照评标价由低到高的顺序提出3名以上成交候选人（评标价相同时，按照最后报价由低到高顺序依次推荐；最后报价相同时，由谈判小组按“供应商须知前附表”第26条规定的顺序推荐）,并编写评审报告。</w:t>
      </w:r>
    </w:p>
    <w:p w14:paraId="41AE962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highlight w:val="none"/>
          <w:lang w:val="en-US" w:eastAsia="zh-CN"/>
        </w:rPr>
      </w:pPr>
      <w:r>
        <w:rPr>
          <w:rFonts w:hint="eastAsia" w:ascii="宋体" w:hAnsi="宋体" w:cs="宋体"/>
          <w:b/>
          <w:bCs/>
          <w:color w:val="auto"/>
          <w:sz w:val="24"/>
          <w:highlight w:val="none"/>
          <w:lang w:val="en-US" w:eastAsia="zh-CN"/>
        </w:rPr>
        <w:t>8.确定成交供应商</w:t>
      </w:r>
    </w:p>
    <w:p w14:paraId="064A7E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highlight w:val="none"/>
          <w:lang w:val="en-US" w:eastAsia="zh-CN"/>
        </w:rPr>
        <w:sectPr>
          <w:pgSz w:w="11910" w:h="16840"/>
          <w:pgMar w:top="1134" w:right="1134" w:bottom="1134" w:left="1134" w:header="850" w:footer="567" w:gutter="0"/>
          <w:cols w:space="720" w:num="1"/>
          <w:docGrid w:linePitch="286" w:charSpace="0"/>
        </w:sectPr>
      </w:pPr>
      <w:r>
        <w:rPr>
          <w:rFonts w:hint="eastAsia" w:ascii="宋体" w:hAnsi="宋体" w:cs="宋体"/>
          <w:color w:val="auto"/>
          <w:highlight w:val="none"/>
          <w:lang w:val="en-US" w:eastAsia="zh-CN"/>
        </w:rPr>
        <w:t>本项目采购人授权谈判小组直接确定成交供应商，谈判小组从评审报告提出的成交候选人中，根据质量和服务均能满足采购文件实质性响应要求且最后报价最低的原则确定成交供应商。</w:t>
      </w:r>
    </w:p>
    <w:p w14:paraId="52B1DE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p>
    <w:p w14:paraId="01E4AE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p>
    <w:p w14:paraId="5BF856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p>
    <w:p w14:paraId="706234A5">
      <w:pPr>
        <w:rPr>
          <w:rFonts w:ascii="宋体" w:hAnsi="宋体" w:cs="宋体"/>
          <w:color w:val="auto"/>
          <w:highlight w:val="none"/>
        </w:rPr>
      </w:pPr>
    </w:p>
    <w:p w14:paraId="04246895">
      <w:pPr>
        <w:rPr>
          <w:rFonts w:ascii="宋体" w:hAnsi="宋体" w:cs="宋体"/>
          <w:color w:val="auto"/>
          <w:highlight w:val="none"/>
        </w:rPr>
      </w:pPr>
    </w:p>
    <w:p w14:paraId="32D56ED7">
      <w:pPr>
        <w:rPr>
          <w:rFonts w:ascii="宋体" w:hAnsi="宋体" w:cs="宋体"/>
          <w:color w:val="auto"/>
          <w:highlight w:val="none"/>
        </w:rPr>
      </w:pPr>
    </w:p>
    <w:p w14:paraId="207C126C">
      <w:pPr>
        <w:rPr>
          <w:rFonts w:ascii="宋体" w:hAnsi="宋体" w:cs="宋体"/>
          <w:color w:val="auto"/>
          <w:highlight w:val="none"/>
        </w:rPr>
      </w:pPr>
    </w:p>
    <w:p w14:paraId="1ED5EB7D">
      <w:pPr>
        <w:rPr>
          <w:rFonts w:ascii="宋体" w:hAnsi="宋体" w:cs="宋体"/>
          <w:color w:val="auto"/>
          <w:highlight w:val="none"/>
        </w:rPr>
      </w:pPr>
    </w:p>
    <w:p w14:paraId="3924F6C4">
      <w:pPr>
        <w:rPr>
          <w:rFonts w:ascii="宋体" w:hAnsi="宋体" w:cs="宋体"/>
          <w:color w:val="auto"/>
          <w:highlight w:val="none"/>
        </w:rPr>
      </w:pPr>
    </w:p>
    <w:p w14:paraId="094A77CB">
      <w:pPr>
        <w:rPr>
          <w:rFonts w:ascii="宋体" w:hAnsi="宋体" w:cs="宋体"/>
          <w:color w:val="auto"/>
          <w:highlight w:val="none"/>
        </w:rPr>
      </w:pPr>
    </w:p>
    <w:p w14:paraId="6C8E978B">
      <w:pPr>
        <w:rPr>
          <w:rFonts w:ascii="宋体" w:hAnsi="宋体" w:cs="宋体"/>
          <w:color w:val="auto"/>
          <w:highlight w:val="none"/>
        </w:rPr>
      </w:pPr>
    </w:p>
    <w:p w14:paraId="02DC4402">
      <w:pPr>
        <w:rPr>
          <w:rFonts w:ascii="宋体" w:hAnsi="宋体" w:cs="宋体"/>
          <w:color w:val="auto"/>
          <w:highlight w:val="none"/>
        </w:rPr>
      </w:pPr>
    </w:p>
    <w:p w14:paraId="08492BC4">
      <w:pPr>
        <w:rPr>
          <w:rFonts w:ascii="宋体" w:hAnsi="宋体" w:cs="宋体"/>
          <w:color w:val="auto"/>
          <w:highlight w:val="none"/>
        </w:rPr>
      </w:pPr>
    </w:p>
    <w:p w14:paraId="78A65BF4">
      <w:pPr>
        <w:rPr>
          <w:rFonts w:ascii="宋体" w:hAnsi="宋体" w:cs="宋体"/>
          <w:color w:val="auto"/>
          <w:highlight w:val="none"/>
        </w:rPr>
      </w:pPr>
    </w:p>
    <w:p w14:paraId="557C795B">
      <w:pPr>
        <w:rPr>
          <w:rFonts w:ascii="宋体" w:hAnsi="宋体" w:cs="宋体"/>
          <w:color w:val="auto"/>
          <w:highlight w:val="none"/>
        </w:rPr>
      </w:pPr>
    </w:p>
    <w:p w14:paraId="3743BCC0">
      <w:pPr>
        <w:rPr>
          <w:rFonts w:ascii="宋体" w:hAnsi="宋体" w:cs="宋体"/>
          <w:color w:val="auto"/>
          <w:highlight w:val="none"/>
        </w:rPr>
      </w:pPr>
    </w:p>
    <w:p w14:paraId="74EDBD93">
      <w:pPr>
        <w:rPr>
          <w:rFonts w:ascii="宋体" w:hAnsi="宋体" w:cs="宋体"/>
          <w:color w:val="auto"/>
          <w:highlight w:val="none"/>
        </w:rPr>
      </w:pPr>
    </w:p>
    <w:p w14:paraId="71959372">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宋体" w:hAnsi="宋体" w:cs="宋体"/>
          <w:color w:val="auto"/>
          <w:highlight w:val="none"/>
        </w:rPr>
      </w:pPr>
      <w:bookmarkStart w:id="32" w:name="_Toc13208"/>
      <w:r>
        <w:rPr>
          <w:rFonts w:hint="eastAsia" w:ascii="宋体" w:hAnsi="宋体" w:cs="宋体"/>
          <w:color w:val="auto"/>
          <w:highlight w:val="none"/>
        </w:rPr>
        <w:t>第五章 响应文件格式</w:t>
      </w:r>
      <w:bookmarkEnd w:id="32"/>
    </w:p>
    <w:p w14:paraId="115A30E2">
      <w:pPr>
        <w:spacing w:line="240" w:lineRule="atLeast"/>
        <w:rPr>
          <w:rFonts w:ascii="宋体" w:hAnsi="宋体" w:cs="宋体"/>
          <w:b/>
          <w:color w:val="auto"/>
          <w:sz w:val="32"/>
          <w:szCs w:val="32"/>
          <w:highlight w:val="none"/>
        </w:rPr>
      </w:pPr>
    </w:p>
    <w:p w14:paraId="12E6F5B7">
      <w:pPr>
        <w:spacing w:line="240" w:lineRule="atLeast"/>
        <w:rPr>
          <w:rFonts w:ascii="宋体" w:hAnsi="宋体" w:cs="宋体"/>
          <w:b/>
          <w:color w:val="auto"/>
          <w:sz w:val="32"/>
          <w:szCs w:val="32"/>
          <w:highlight w:val="none"/>
        </w:rPr>
      </w:pPr>
    </w:p>
    <w:p w14:paraId="621F087B">
      <w:pPr>
        <w:spacing w:line="240" w:lineRule="atLeast"/>
        <w:rPr>
          <w:rFonts w:ascii="宋体" w:hAnsi="宋体" w:cs="宋体"/>
          <w:b/>
          <w:color w:val="auto"/>
          <w:sz w:val="32"/>
          <w:szCs w:val="32"/>
          <w:highlight w:val="none"/>
        </w:rPr>
      </w:pPr>
    </w:p>
    <w:p w14:paraId="52C453A1">
      <w:pPr>
        <w:spacing w:line="240" w:lineRule="atLeast"/>
        <w:rPr>
          <w:rFonts w:ascii="宋体" w:hAnsi="宋体" w:cs="宋体"/>
          <w:b/>
          <w:color w:val="auto"/>
          <w:sz w:val="32"/>
          <w:szCs w:val="32"/>
          <w:highlight w:val="none"/>
        </w:rPr>
      </w:pPr>
    </w:p>
    <w:p w14:paraId="37AAB1F0">
      <w:pPr>
        <w:spacing w:line="240" w:lineRule="atLeast"/>
        <w:rPr>
          <w:rFonts w:ascii="宋体" w:hAnsi="宋体" w:cs="宋体"/>
          <w:b/>
          <w:color w:val="auto"/>
          <w:sz w:val="32"/>
          <w:szCs w:val="32"/>
          <w:highlight w:val="none"/>
        </w:rPr>
      </w:pPr>
    </w:p>
    <w:p w14:paraId="1853B8B7">
      <w:pPr>
        <w:spacing w:line="240" w:lineRule="atLeast"/>
        <w:rPr>
          <w:rFonts w:ascii="宋体" w:hAnsi="宋体" w:cs="宋体"/>
          <w:b/>
          <w:color w:val="auto"/>
          <w:sz w:val="32"/>
          <w:szCs w:val="32"/>
          <w:highlight w:val="none"/>
        </w:rPr>
      </w:pPr>
    </w:p>
    <w:p w14:paraId="1E3C7716">
      <w:pPr>
        <w:spacing w:line="240" w:lineRule="atLeast"/>
        <w:rPr>
          <w:rFonts w:ascii="宋体" w:hAnsi="宋体" w:cs="宋体"/>
          <w:b/>
          <w:color w:val="auto"/>
          <w:sz w:val="32"/>
          <w:szCs w:val="32"/>
          <w:highlight w:val="none"/>
        </w:rPr>
      </w:pPr>
    </w:p>
    <w:p w14:paraId="2668CBCA">
      <w:pPr>
        <w:spacing w:line="240" w:lineRule="atLeast"/>
        <w:rPr>
          <w:rFonts w:ascii="宋体" w:hAnsi="宋体" w:cs="宋体"/>
          <w:b/>
          <w:color w:val="auto"/>
          <w:sz w:val="32"/>
          <w:szCs w:val="32"/>
          <w:highlight w:val="none"/>
        </w:rPr>
      </w:pPr>
    </w:p>
    <w:p w14:paraId="65FE93C7">
      <w:pPr>
        <w:spacing w:line="240" w:lineRule="atLeast"/>
        <w:rPr>
          <w:rFonts w:ascii="宋体" w:hAnsi="宋体" w:cs="宋体"/>
          <w:b/>
          <w:color w:val="auto"/>
          <w:sz w:val="32"/>
          <w:szCs w:val="32"/>
          <w:highlight w:val="none"/>
        </w:rPr>
      </w:pPr>
    </w:p>
    <w:p w14:paraId="09372D2A">
      <w:pPr>
        <w:spacing w:line="240" w:lineRule="atLeast"/>
        <w:rPr>
          <w:rFonts w:ascii="宋体" w:hAnsi="宋体" w:cs="宋体"/>
          <w:b/>
          <w:color w:val="auto"/>
          <w:sz w:val="32"/>
          <w:szCs w:val="32"/>
          <w:highlight w:val="none"/>
        </w:rPr>
      </w:pPr>
    </w:p>
    <w:p w14:paraId="2ABB0C70">
      <w:pPr>
        <w:spacing w:line="240" w:lineRule="atLeast"/>
        <w:rPr>
          <w:rFonts w:ascii="宋体" w:hAnsi="宋体" w:cs="宋体"/>
          <w:b/>
          <w:color w:val="auto"/>
          <w:sz w:val="32"/>
          <w:szCs w:val="32"/>
          <w:highlight w:val="none"/>
        </w:rPr>
      </w:pPr>
    </w:p>
    <w:p w14:paraId="0BC9C031">
      <w:pPr>
        <w:spacing w:line="240" w:lineRule="atLeast"/>
        <w:rPr>
          <w:rFonts w:ascii="宋体" w:hAnsi="宋体" w:cs="宋体"/>
          <w:b/>
          <w:color w:val="auto"/>
          <w:sz w:val="32"/>
          <w:szCs w:val="32"/>
          <w:highlight w:val="none"/>
        </w:rPr>
      </w:pPr>
    </w:p>
    <w:p w14:paraId="4D5B72B0">
      <w:pPr>
        <w:spacing w:line="240" w:lineRule="atLeast"/>
        <w:rPr>
          <w:rFonts w:ascii="宋体" w:hAnsi="宋体" w:cs="宋体"/>
          <w:b/>
          <w:color w:val="auto"/>
          <w:sz w:val="32"/>
          <w:szCs w:val="32"/>
          <w:highlight w:val="none"/>
        </w:rPr>
      </w:pPr>
    </w:p>
    <w:p w14:paraId="77DB8523">
      <w:pPr>
        <w:spacing w:line="240" w:lineRule="atLeast"/>
        <w:rPr>
          <w:rFonts w:ascii="宋体" w:hAnsi="宋体" w:cs="宋体"/>
          <w:b/>
          <w:color w:val="auto"/>
          <w:sz w:val="32"/>
          <w:szCs w:val="32"/>
          <w:highlight w:val="none"/>
        </w:rPr>
      </w:pPr>
    </w:p>
    <w:p w14:paraId="3F44FEE6">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ascii="宋体" w:hAnsi="宋体" w:cs="宋体"/>
          <w:b/>
          <w:bCs/>
          <w:color w:val="auto"/>
          <w:sz w:val="24"/>
          <w:highlight w:val="none"/>
        </w:rPr>
      </w:pPr>
    </w:p>
    <w:p w14:paraId="56ADFAAE">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ascii="宋体" w:hAnsi="宋体" w:cs="宋体"/>
          <w:b/>
          <w:bCs/>
          <w:color w:val="auto"/>
          <w:sz w:val="24"/>
          <w:highlight w:val="none"/>
        </w:rPr>
      </w:pPr>
    </w:p>
    <w:p w14:paraId="483239B0">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宋体" w:hAnsi="宋体" w:cs="宋体"/>
          <w:b/>
          <w:bCs/>
          <w:color w:val="auto"/>
          <w:sz w:val="32"/>
          <w:szCs w:val="32"/>
          <w:highlight w:val="none"/>
        </w:rPr>
      </w:pPr>
    </w:p>
    <w:p w14:paraId="1189CBEC">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宋体" w:hAnsi="宋体" w:cs="宋体"/>
          <w:b/>
          <w:color w:val="auto"/>
          <w:sz w:val="32"/>
          <w:szCs w:val="32"/>
          <w:highlight w:val="none"/>
        </w:rPr>
      </w:pPr>
      <w:bookmarkStart w:id="33" w:name="_Toc71365382"/>
      <w:bookmarkStart w:id="34" w:name="_Toc71366060"/>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一、资格证明文件格式</w:t>
      </w:r>
      <w:bookmarkEnd w:id="33"/>
      <w:bookmarkEnd w:id="34"/>
    </w:p>
    <w:p w14:paraId="24D3AAD1">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p>
    <w:p w14:paraId="5872DE43">
      <w:pPr>
        <w:snapToGrid w:val="0"/>
        <w:spacing w:before="120" w:beforeLines="50" w:after="50"/>
        <w:rPr>
          <w:rFonts w:ascii="宋体" w:hAnsi="宋体" w:cs="宋体"/>
          <w:bCs/>
          <w:color w:val="auto"/>
          <w:sz w:val="32"/>
          <w:szCs w:val="20"/>
          <w:highlight w:val="none"/>
        </w:rPr>
      </w:pPr>
    </w:p>
    <w:p w14:paraId="41CB83C5">
      <w:pPr>
        <w:snapToGrid w:val="0"/>
        <w:spacing w:before="120" w:beforeLines="50" w:after="50"/>
        <w:jc w:val="center"/>
        <w:rPr>
          <w:rFonts w:ascii="宋体" w:hAnsi="宋体" w:cs="宋体"/>
          <w:bCs/>
          <w:color w:val="auto"/>
          <w:sz w:val="44"/>
          <w:szCs w:val="44"/>
          <w:highlight w:val="none"/>
        </w:rPr>
      </w:pPr>
    </w:p>
    <w:p w14:paraId="2535BC97">
      <w:pPr>
        <w:snapToGrid w:val="0"/>
        <w:spacing w:line="360" w:lineRule="auto"/>
        <w:jc w:val="center"/>
        <w:rPr>
          <w:rFonts w:ascii="宋体" w:hAnsi="宋体" w:cs="宋体"/>
          <w:bCs/>
          <w:color w:val="auto"/>
          <w:sz w:val="84"/>
          <w:szCs w:val="84"/>
          <w:highlight w:val="none"/>
        </w:rPr>
      </w:pPr>
      <w:r>
        <w:rPr>
          <w:rFonts w:hint="eastAsia" w:ascii="宋体" w:hAnsi="宋体" w:cs="宋体"/>
          <w:bCs/>
          <w:color w:val="auto"/>
          <w:sz w:val="84"/>
          <w:szCs w:val="84"/>
          <w:highlight w:val="none"/>
        </w:rPr>
        <w:t>响  应  文  件</w:t>
      </w:r>
    </w:p>
    <w:p w14:paraId="5DF61DD2">
      <w:pPr>
        <w:snapToGrid w:val="0"/>
        <w:spacing w:before="120" w:beforeLines="50" w:after="50"/>
        <w:rPr>
          <w:rFonts w:ascii="宋体" w:hAnsi="宋体" w:cs="宋体"/>
          <w:color w:val="auto"/>
          <w:sz w:val="24"/>
          <w:szCs w:val="20"/>
          <w:highlight w:val="none"/>
        </w:rPr>
      </w:pPr>
    </w:p>
    <w:p w14:paraId="6E0135D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bCs/>
          <w:color w:val="auto"/>
          <w:sz w:val="32"/>
          <w:szCs w:val="32"/>
          <w:highlight w:val="none"/>
        </w:rPr>
      </w:pPr>
      <w:r>
        <w:rPr>
          <w:rFonts w:hint="eastAsia" w:ascii="宋体" w:hAnsi="宋体" w:cs="宋体"/>
          <w:bCs/>
          <w:color w:val="auto"/>
          <w:sz w:val="32"/>
          <w:szCs w:val="32"/>
          <w:highlight w:val="none"/>
        </w:rPr>
        <w:t>资  格  证  明  文  件</w:t>
      </w:r>
    </w:p>
    <w:p w14:paraId="29262F9D">
      <w:pPr>
        <w:snapToGrid w:val="0"/>
        <w:spacing w:before="120" w:beforeLines="50" w:after="50"/>
        <w:rPr>
          <w:rFonts w:ascii="宋体" w:hAnsi="宋体" w:cs="宋体"/>
          <w:bCs/>
          <w:color w:val="auto"/>
          <w:sz w:val="24"/>
          <w:szCs w:val="20"/>
          <w:highlight w:val="none"/>
        </w:rPr>
      </w:pPr>
    </w:p>
    <w:p w14:paraId="28176F59">
      <w:pPr>
        <w:snapToGrid w:val="0"/>
        <w:spacing w:before="120" w:beforeLines="50" w:after="50"/>
        <w:rPr>
          <w:rFonts w:ascii="宋体" w:hAnsi="宋体" w:cs="宋体"/>
          <w:bCs/>
          <w:color w:val="auto"/>
          <w:sz w:val="24"/>
          <w:szCs w:val="20"/>
          <w:highlight w:val="none"/>
        </w:rPr>
      </w:pPr>
    </w:p>
    <w:p w14:paraId="5151AA87">
      <w:pPr>
        <w:snapToGrid w:val="0"/>
        <w:spacing w:before="120" w:beforeLines="50" w:after="50"/>
        <w:rPr>
          <w:rFonts w:ascii="宋体" w:hAnsi="宋体" w:cs="宋体"/>
          <w:bCs/>
          <w:color w:val="auto"/>
          <w:sz w:val="24"/>
          <w:szCs w:val="20"/>
          <w:highlight w:val="none"/>
        </w:rPr>
      </w:pPr>
    </w:p>
    <w:p w14:paraId="666CE540">
      <w:pPr>
        <w:snapToGrid w:val="0"/>
        <w:spacing w:before="120" w:beforeLines="50" w:after="50"/>
        <w:rPr>
          <w:rFonts w:ascii="宋体" w:hAnsi="宋体" w:cs="宋体"/>
          <w:bCs/>
          <w:color w:val="auto"/>
          <w:sz w:val="24"/>
          <w:szCs w:val="20"/>
          <w:highlight w:val="none"/>
        </w:rPr>
      </w:pPr>
    </w:p>
    <w:p w14:paraId="6618AAF3">
      <w:pPr>
        <w:snapToGrid w:val="0"/>
        <w:spacing w:before="120" w:beforeLines="50" w:after="50"/>
        <w:rPr>
          <w:rFonts w:ascii="宋体" w:hAnsi="宋体" w:cs="宋体"/>
          <w:bCs/>
          <w:color w:val="auto"/>
          <w:sz w:val="24"/>
          <w:szCs w:val="20"/>
          <w:highlight w:val="none"/>
        </w:rPr>
      </w:pPr>
    </w:p>
    <w:p w14:paraId="02BF083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项目名称：</w:t>
      </w:r>
    </w:p>
    <w:p w14:paraId="746F6D5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bCs/>
          <w:color w:val="auto"/>
          <w:szCs w:val="21"/>
          <w:highlight w:val="none"/>
        </w:rPr>
      </w:pPr>
    </w:p>
    <w:p w14:paraId="1532713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项目编号：</w:t>
      </w:r>
    </w:p>
    <w:p w14:paraId="5859457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bCs/>
          <w:color w:val="auto"/>
          <w:szCs w:val="21"/>
          <w:highlight w:val="none"/>
        </w:rPr>
      </w:pPr>
    </w:p>
    <w:p w14:paraId="54F226E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所竞分标（如有）：</w:t>
      </w:r>
    </w:p>
    <w:p w14:paraId="56357AA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bCs/>
          <w:color w:val="auto"/>
          <w:szCs w:val="21"/>
          <w:highlight w:val="none"/>
        </w:rPr>
      </w:pPr>
    </w:p>
    <w:p w14:paraId="4504539B">
      <w:pPr>
        <w:pStyle w:val="6"/>
        <w:keepNext w:val="0"/>
        <w:keepLines w:val="0"/>
        <w:pageBreakBefore w:val="0"/>
        <w:widowControl w:val="0"/>
        <w:kinsoku/>
        <w:wordWrap/>
        <w:overflowPunct/>
        <w:topLinePunct w:val="0"/>
        <w:autoSpaceDE/>
        <w:autoSpaceDN/>
        <w:bidi w:val="0"/>
        <w:adjustRightInd/>
        <w:snapToGrid w:val="0"/>
        <w:spacing w:line="360" w:lineRule="auto"/>
        <w:ind w:firstLineChars="200"/>
        <w:textAlignment w:val="auto"/>
        <w:rPr>
          <w:rFonts w:ascii="宋体" w:hAnsi="宋体" w:cs="宋体"/>
          <w:bCs/>
          <w:color w:val="auto"/>
          <w:sz w:val="32"/>
          <w:szCs w:val="32"/>
          <w:highlight w:val="none"/>
        </w:rPr>
      </w:pPr>
      <w:r>
        <w:rPr>
          <w:rFonts w:hint="eastAsia" w:ascii="宋体" w:hAnsi="宋体" w:cs="宋体"/>
          <w:bCs/>
          <w:color w:val="auto"/>
          <w:szCs w:val="21"/>
          <w:highlight w:val="none"/>
        </w:rPr>
        <w:t>供应商名称：</w:t>
      </w:r>
    </w:p>
    <w:p w14:paraId="446077B6">
      <w:pPr>
        <w:snapToGrid w:val="0"/>
        <w:spacing w:before="120" w:beforeLines="50" w:after="50"/>
        <w:ind w:firstLine="640" w:firstLineChars="200"/>
        <w:rPr>
          <w:rFonts w:ascii="宋体" w:hAnsi="宋体" w:cs="宋体"/>
          <w:bCs/>
          <w:color w:val="auto"/>
          <w:sz w:val="32"/>
          <w:szCs w:val="32"/>
          <w:highlight w:val="none"/>
        </w:rPr>
      </w:pPr>
    </w:p>
    <w:p w14:paraId="1E1D201A">
      <w:pPr>
        <w:pStyle w:val="6"/>
        <w:snapToGrid w:val="0"/>
        <w:spacing w:before="50" w:after="50"/>
        <w:ind w:firstLine="720" w:firstLineChars="225"/>
        <w:rPr>
          <w:rFonts w:ascii="宋体" w:hAnsi="宋体" w:cs="宋体"/>
          <w:bCs/>
          <w:color w:val="auto"/>
          <w:sz w:val="32"/>
          <w:szCs w:val="32"/>
          <w:highlight w:val="none"/>
        </w:rPr>
      </w:pPr>
    </w:p>
    <w:p w14:paraId="1EAED4F7">
      <w:pPr>
        <w:pStyle w:val="6"/>
        <w:snapToGrid w:val="0"/>
        <w:spacing w:before="50" w:after="50"/>
        <w:ind w:firstLine="1280" w:firstLineChars="400"/>
        <w:rPr>
          <w:rFonts w:ascii="宋体" w:hAnsi="宋体" w:cs="宋体"/>
          <w:bCs/>
          <w:color w:val="auto"/>
          <w:sz w:val="32"/>
          <w:szCs w:val="32"/>
          <w:highlight w:val="none"/>
        </w:rPr>
      </w:pPr>
    </w:p>
    <w:p w14:paraId="10A5ECB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color w:val="auto"/>
          <w:sz w:val="32"/>
          <w:szCs w:val="32"/>
          <w:highlight w:val="none"/>
        </w:rPr>
      </w:pPr>
      <w:r>
        <w:rPr>
          <w:rFonts w:hint="eastAsia" w:ascii="宋体" w:hAnsi="宋体" w:cs="宋体"/>
          <w:color w:val="auto"/>
          <w:szCs w:val="21"/>
          <w:highlight w:val="none"/>
        </w:rPr>
        <w:t>年    月    日</w:t>
      </w:r>
    </w:p>
    <w:p w14:paraId="06187D99">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2.资格文件目录</w:t>
      </w:r>
    </w:p>
    <w:p w14:paraId="75B930CF">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ascii="宋体" w:hAnsi="宋体" w:cs="宋体"/>
          <w:color w:val="auto"/>
          <w:sz w:val="32"/>
          <w:szCs w:val="32"/>
          <w:highlight w:val="none"/>
        </w:rPr>
      </w:pPr>
      <w:r>
        <w:rPr>
          <w:rFonts w:hint="eastAsia" w:ascii="宋体" w:hAnsi="宋体" w:cs="宋体"/>
          <w:color w:val="auto"/>
          <w:szCs w:val="21"/>
          <w:highlight w:val="none"/>
        </w:rPr>
        <w:t>根据谈判文件规定及供应商提供的材料自行编写目录（部分格式后附）。</w:t>
      </w:r>
    </w:p>
    <w:p w14:paraId="63A5921F">
      <w:pPr>
        <w:snapToGrid w:val="0"/>
        <w:spacing w:before="120" w:beforeLines="50" w:after="50" w:line="360" w:lineRule="auto"/>
        <w:rPr>
          <w:rFonts w:ascii="宋体" w:hAnsi="宋体" w:cs="宋体"/>
          <w:color w:val="auto"/>
          <w:sz w:val="24"/>
          <w:szCs w:val="20"/>
          <w:highlight w:val="none"/>
        </w:rPr>
      </w:pPr>
    </w:p>
    <w:p w14:paraId="68286044">
      <w:pPr>
        <w:spacing w:line="360" w:lineRule="auto"/>
        <w:rPr>
          <w:rFonts w:ascii="宋体" w:hAnsi="宋体" w:cs="宋体"/>
          <w:color w:val="auto"/>
          <w:szCs w:val="21"/>
          <w:highlight w:val="none"/>
        </w:rPr>
      </w:pPr>
    </w:p>
    <w:p w14:paraId="500A12F6">
      <w:pPr>
        <w:spacing w:line="360" w:lineRule="auto"/>
        <w:rPr>
          <w:rFonts w:ascii="宋体" w:hAnsi="宋体" w:cs="宋体"/>
          <w:color w:val="auto"/>
          <w:szCs w:val="21"/>
          <w:highlight w:val="none"/>
        </w:rPr>
      </w:pPr>
    </w:p>
    <w:p w14:paraId="7815433A">
      <w:pPr>
        <w:spacing w:line="360" w:lineRule="auto"/>
        <w:rPr>
          <w:rFonts w:ascii="宋体" w:hAnsi="宋体" w:cs="宋体"/>
          <w:color w:val="auto"/>
          <w:szCs w:val="21"/>
          <w:highlight w:val="none"/>
        </w:rPr>
      </w:pPr>
    </w:p>
    <w:p w14:paraId="22570EC4">
      <w:pPr>
        <w:spacing w:line="360" w:lineRule="auto"/>
        <w:rPr>
          <w:rFonts w:ascii="宋体" w:hAnsi="宋体" w:cs="宋体"/>
          <w:color w:val="auto"/>
          <w:szCs w:val="21"/>
          <w:highlight w:val="none"/>
        </w:rPr>
      </w:pPr>
    </w:p>
    <w:p w14:paraId="0F4C6E7C">
      <w:pPr>
        <w:spacing w:line="300" w:lineRule="auto"/>
        <w:rPr>
          <w:rFonts w:ascii="宋体" w:hAnsi="宋体" w:cs="宋体"/>
          <w:color w:val="auto"/>
          <w:szCs w:val="21"/>
          <w:highlight w:val="none"/>
        </w:rPr>
      </w:pPr>
    </w:p>
    <w:p w14:paraId="28D22ECF">
      <w:pPr>
        <w:spacing w:line="300" w:lineRule="auto"/>
        <w:rPr>
          <w:rFonts w:ascii="宋体" w:hAnsi="宋体" w:cs="宋体"/>
          <w:color w:val="auto"/>
          <w:szCs w:val="21"/>
          <w:highlight w:val="none"/>
        </w:rPr>
      </w:pPr>
    </w:p>
    <w:p w14:paraId="46E4E947">
      <w:pPr>
        <w:spacing w:line="300" w:lineRule="auto"/>
        <w:rPr>
          <w:rFonts w:ascii="宋体" w:hAnsi="宋体" w:cs="宋体"/>
          <w:color w:val="auto"/>
          <w:szCs w:val="21"/>
          <w:highlight w:val="none"/>
        </w:rPr>
      </w:pPr>
    </w:p>
    <w:p w14:paraId="03738E1F">
      <w:pPr>
        <w:spacing w:line="300" w:lineRule="auto"/>
        <w:rPr>
          <w:rFonts w:ascii="宋体" w:hAnsi="宋体" w:cs="宋体"/>
          <w:color w:val="auto"/>
          <w:szCs w:val="21"/>
          <w:highlight w:val="none"/>
        </w:rPr>
      </w:pPr>
    </w:p>
    <w:p w14:paraId="3724471C">
      <w:pPr>
        <w:spacing w:line="300" w:lineRule="auto"/>
        <w:rPr>
          <w:rFonts w:ascii="宋体" w:hAnsi="宋体" w:cs="宋体"/>
          <w:color w:val="auto"/>
          <w:szCs w:val="21"/>
          <w:highlight w:val="none"/>
        </w:rPr>
      </w:pPr>
    </w:p>
    <w:p w14:paraId="77138C66">
      <w:pPr>
        <w:spacing w:line="300" w:lineRule="auto"/>
        <w:rPr>
          <w:rFonts w:ascii="宋体" w:hAnsi="宋体" w:cs="宋体"/>
          <w:color w:val="auto"/>
          <w:szCs w:val="21"/>
          <w:highlight w:val="none"/>
        </w:rPr>
      </w:pPr>
    </w:p>
    <w:p w14:paraId="5C11C015">
      <w:pPr>
        <w:spacing w:line="300" w:lineRule="auto"/>
        <w:rPr>
          <w:rFonts w:ascii="宋体" w:hAnsi="宋体" w:cs="宋体"/>
          <w:color w:val="auto"/>
          <w:szCs w:val="21"/>
          <w:highlight w:val="none"/>
        </w:rPr>
      </w:pPr>
    </w:p>
    <w:p w14:paraId="7DD3857E">
      <w:pPr>
        <w:spacing w:line="300" w:lineRule="auto"/>
        <w:rPr>
          <w:rFonts w:ascii="宋体" w:hAnsi="宋体" w:cs="宋体"/>
          <w:color w:val="auto"/>
          <w:szCs w:val="21"/>
          <w:highlight w:val="none"/>
        </w:rPr>
      </w:pPr>
    </w:p>
    <w:p w14:paraId="1D575B16">
      <w:pPr>
        <w:spacing w:line="300" w:lineRule="auto"/>
        <w:rPr>
          <w:rFonts w:ascii="宋体" w:hAnsi="宋体" w:cs="宋体"/>
          <w:color w:val="auto"/>
          <w:szCs w:val="21"/>
          <w:highlight w:val="none"/>
        </w:rPr>
      </w:pPr>
    </w:p>
    <w:p w14:paraId="047EBEDE">
      <w:pPr>
        <w:spacing w:line="300" w:lineRule="auto"/>
        <w:rPr>
          <w:rFonts w:ascii="宋体" w:hAnsi="宋体" w:cs="宋体"/>
          <w:color w:val="auto"/>
          <w:szCs w:val="21"/>
          <w:highlight w:val="none"/>
        </w:rPr>
      </w:pPr>
    </w:p>
    <w:p w14:paraId="480974F1">
      <w:pPr>
        <w:spacing w:line="300" w:lineRule="auto"/>
        <w:rPr>
          <w:rFonts w:ascii="宋体" w:hAnsi="宋体" w:cs="宋体"/>
          <w:color w:val="auto"/>
          <w:szCs w:val="21"/>
          <w:highlight w:val="none"/>
        </w:rPr>
      </w:pPr>
    </w:p>
    <w:p w14:paraId="216621B8">
      <w:pPr>
        <w:spacing w:line="320" w:lineRule="exact"/>
        <w:jc w:val="left"/>
        <w:rPr>
          <w:rFonts w:ascii="宋体" w:hAnsi="宋体" w:cs="宋体"/>
          <w:color w:val="auto"/>
          <w:szCs w:val="21"/>
          <w:highlight w:val="none"/>
        </w:rPr>
      </w:pPr>
    </w:p>
    <w:p w14:paraId="43C429DA">
      <w:pPr>
        <w:snapToGrid w:val="0"/>
        <w:spacing w:line="520" w:lineRule="exact"/>
        <w:jc w:val="center"/>
        <w:rPr>
          <w:rFonts w:hint="eastAsia" w:ascii="宋体" w:hAnsi="宋体" w:cs="宋体"/>
          <w:b/>
          <w:color w:val="auto"/>
          <w:sz w:val="32"/>
          <w:szCs w:val="32"/>
          <w:highlight w:val="none"/>
        </w:rPr>
        <w:sectPr>
          <w:pgSz w:w="11910" w:h="16840"/>
          <w:pgMar w:top="1134" w:right="1134" w:bottom="1134" w:left="1134" w:header="850" w:footer="567" w:gutter="0"/>
          <w:cols w:space="720" w:num="1"/>
          <w:docGrid w:linePitch="286" w:charSpace="0"/>
        </w:sectPr>
      </w:pPr>
      <w:r>
        <w:rPr>
          <w:rFonts w:hint="eastAsia" w:ascii="宋体" w:hAnsi="宋体" w:cs="宋体"/>
          <w:b/>
          <w:color w:val="auto"/>
          <w:sz w:val="32"/>
          <w:szCs w:val="32"/>
          <w:highlight w:val="none"/>
        </w:rPr>
        <w:br w:type="page"/>
      </w:r>
    </w:p>
    <w:p w14:paraId="73724C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贺州市政府采购供应商信用承诺函（格式）</w:t>
      </w:r>
    </w:p>
    <w:p w14:paraId="5DB740F3">
      <w:pPr>
        <w:jc w:val="left"/>
        <w:rPr>
          <w:rFonts w:hint="eastAsia" w:ascii="仿宋_GB2312" w:hAnsi="仿宋_GB2312" w:eastAsia="仿宋_GB2312" w:cs="仿宋_GB2312"/>
          <w:color w:val="auto"/>
          <w:kern w:val="2"/>
          <w:sz w:val="32"/>
          <w:szCs w:val="32"/>
          <w:highlight w:val="none"/>
          <w:lang w:val="en-US" w:eastAsia="zh-CN" w:bidi="ar-SA"/>
        </w:rPr>
      </w:pPr>
    </w:p>
    <w:p w14:paraId="2C97A8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致(采购人或采购代理机构):</w:t>
      </w:r>
    </w:p>
    <w:p w14:paraId="2C1ADA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供应商名称:</w:t>
      </w:r>
    </w:p>
    <w:p w14:paraId="417199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统一社会信用代码:</w:t>
      </w:r>
    </w:p>
    <w:p w14:paraId="0DF238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供应商地址:</w:t>
      </w:r>
    </w:p>
    <w:p w14:paraId="03D41B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1FA6D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1.我单位具有符合采购文件资格要求独立承担民事责任的能力。</w:t>
      </w:r>
    </w:p>
    <w:p w14:paraId="76B28D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2.我单位具有符合采购文件资格要求的财务状况报告。</w:t>
      </w:r>
    </w:p>
    <w:p w14:paraId="340053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3.我单位具有符合采购文件资格要求的依法缴纳税收和社会保障记录的良好记录。</w:t>
      </w:r>
    </w:p>
    <w:p w14:paraId="0CC35B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4.我单位具有符合采购文件资格要求履行合同所必需的设备和专业技术能力。</w:t>
      </w:r>
    </w:p>
    <w:p w14:paraId="02BBB9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5.参加政府采购活动前三年内，在经营活动中没有重大违法记录。</w:t>
      </w:r>
    </w:p>
    <w:p w14:paraId="24A57A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若我单位承诺不实，自愿承担提供虚假材料谋取中标、成交的法律责任。</w:t>
      </w:r>
    </w:p>
    <w:p w14:paraId="1F8412F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p>
    <w:p w14:paraId="07BCDE7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p>
    <w:p w14:paraId="4211AD7C">
      <w:pPr>
        <w:spacing w:line="360" w:lineRule="auto"/>
        <w:ind w:right="480"/>
        <w:contextualSpacing/>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w:t>
      </w:r>
    </w:p>
    <w:p w14:paraId="62CCD06F">
      <w:pPr>
        <w:spacing w:line="360" w:lineRule="auto"/>
        <w:ind w:right="480" w:firstLine="2940" w:firstLineChars="14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供应商（盖公章 ）： </w:t>
      </w:r>
    </w:p>
    <w:p w14:paraId="18A06C0C">
      <w:pPr>
        <w:spacing w:line="360" w:lineRule="auto"/>
        <w:ind w:right="480" w:firstLine="4620" w:firstLineChars="2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1A43BE0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p>
    <w:p w14:paraId="2002717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注:1.供应商须在投标(响应)文件中按此模板提供承诺函，未提供视为未实质性响应招标(采购)文件要求，按无效投标(响应)处理。</w:t>
      </w:r>
    </w:p>
    <w:p w14:paraId="676307A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
          <w:sz w:val="21"/>
          <w:szCs w:val="21"/>
          <w:highlight w:val="none"/>
          <w:lang w:val="en-US" w:eastAsia="zh-CN" w:bidi="ar-SA"/>
        </w:rPr>
        <w:t>2.供应商的法定代表人(其他组织的为负责人)或者授权代表的签名或盖章应真实、有效，如由授权代表签名或盖章的，应提供“法定代表人授权书”。</w:t>
      </w:r>
    </w:p>
    <w:p w14:paraId="1F36F3F5">
      <w:pPr>
        <w:snapToGrid w:val="0"/>
        <w:spacing w:line="520" w:lineRule="exact"/>
        <w:jc w:val="center"/>
        <w:rPr>
          <w:rFonts w:hint="eastAsia" w:ascii="宋体" w:hAnsi="宋体" w:cs="宋体"/>
          <w:b/>
          <w:color w:val="auto"/>
          <w:sz w:val="32"/>
          <w:szCs w:val="32"/>
          <w:highlight w:val="none"/>
        </w:rPr>
        <w:sectPr>
          <w:pgSz w:w="11910" w:h="16840"/>
          <w:pgMar w:top="1134" w:right="1134" w:bottom="1134" w:left="1134" w:header="850" w:footer="567" w:gutter="0"/>
          <w:cols w:space="720" w:num="1"/>
          <w:docGrid w:linePitch="286" w:charSpace="0"/>
        </w:sectPr>
      </w:pPr>
    </w:p>
    <w:p w14:paraId="4B766312">
      <w:pPr>
        <w:snapToGrid w:val="0"/>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14:paraId="7020F045">
      <w:pPr>
        <w:snapToGrid w:val="0"/>
        <w:spacing w:line="520" w:lineRule="exact"/>
        <w:jc w:val="center"/>
        <w:rPr>
          <w:rFonts w:ascii="宋体" w:hAnsi="宋体" w:cs="宋体"/>
          <w:b/>
          <w:color w:val="auto"/>
          <w:sz w:val="32"/>
          <w:szCs w:val="32"/>
          <w:highlight w:val="none"/>
        </w:rPr>
      </w:pPr>
    </w:p>
    <w:p w14:paraId="67DF1DE3">
      <w:pPr>
        <w:snapToGrid w:val="0"/>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5432E122">
      <w:pPr>
        <w:snapToGrid w:val="0"/>
        <w:spacing w:before="50" w:after="120" w:afterLines="50"/>
        <w:jc w:val="center"/>
        <w:rPr>
          <w:rFonts w:ascii="宋体" w:hAnsi="宋体" w:cs="宋体"/>
          <w:b/>
          <w:color w:val="auto"/>
          <w:sz w:val="32"/>
          <w:szCs w:val="32"/>
          <w:highlight w:val="none"/>
        </w:rPr>
      </w:pPr>
    </w:p>
    <w:tbl>
      <w:tblPr>
        <w:tblStyle w:val="22"/>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E1D2BEC">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1016B7">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04F65C">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787B24">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9EA076B">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90CC070">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5F5EA15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A16C83">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E6235F">
            <w:pPr>
              <w:widowControl/>
              <w:spacing w:line="520" w:lineRule="exact"/>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B432B7">
            <w:pPr>
              <w:widowControl/>
              <w:spacing w:line="520" w:lineRule="exact"/>
              <w:jc w:val="center"/>
              <w:rPr>
                <w:rFonts w:ascii="宋体" w:hAnsi="宋体" w:cs="宋体"/>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FFA552">
            <w:pPr>
              <w:widowControl/>
              <w:spacing w:line="520" w:lineRule="exact"/>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CED7E8">
            <w:pPr>
              <w:widowControl/>
              <w:spacing w:line="520" w:lineRule="exact"/>
              <w:jc w:val="center"/>
              <w:rPr>
                <w:rFonts w:ascii="宋体" w:hAnsi="宋体" w:cs="宋体"/>
                <w:color w:val="auto"/>
                <w:kern w:val="0"/>
                <w:szCs w:val="21"/>
                <w:highlight w:val="none"/>
              </w:rPr>
            </w:pPr>
          </w:p>
        </w:tc>
      </w:tr>
      <w:tr w14:paraId="47F838B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368B71">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E25FEC">
            <w:pPr>
              <w:widowControl/>
              <w:spacing w:line="520" w:lineRule="exact"/>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2C58D2">
            <w:pPr>
              <w:widowControl/>
              <w:spacing w:line="520" w:lineRule="exact"/>
              <w:jc w:val="center"/>
              <w:rPr>
                <w:rFonts w:ascii="宋体" w:hAnsi="宋体" w:cs="宋体"/>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37DFF9">
            <w:pPr>
              <w:widowControl/>
              <w:spacing w:line="520" w:lineRule="exact"/>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ADB545">
            <w:pPr>
              <w:widowControl/>
              <w:spacing w:line="520" w:lineRule="exact"/>
              <w:jc w:val="center"/>
              <w:rPr>
                <w:rFonts w:ascii="宋体" w:hAnsi="宋体" w:cs="宋体"/>
                <w:color w:val="auto"/>
                <w:kern w:val="0"/>
                <w:szCs w:val="21"/>
                <w:highlight w:val="none"/>
              </w:rPr>
            </w:pPr>
          </w:p>
        </w:tc>
      </w:tr>
      <w:tr w14:paraId="57294C5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A3FFD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3EF523">
            <w:pPr>
              <w:widowControl/>
              <w:spacing w:line="520" w:lineRule="exact"/>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2232FE">
            <w:pPr>
              <w:widowControl/>
              <w:spacing w:line="520" w:lineRule="exact"/>
              <w:jc w:val="center"/>
              <w:rPr>
                <w:rFonts w:ascii="宋体" w:hAnsi="宋体" w:cs="宋体"/>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CE2B32">
            <w:pPr>
              <w:widowControl/>
              <w:spacing w:line="520" w:lineRule="exact"/>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F79DFD">
            <w:pPr>
              <w:widowControl/>
              <w:spacing w:line="520" w:lineRule="exact"/>
              <w:jc w:val="center"/>
              <w:rPr>
                <w:rFonts w:ascii="宋体" w:hAnsi="宋体" w:cs="宋体"/>
                <w:color w:val="auto"/>
                <w:kern w:val="0"/>
                <w:szCs w:val="21"/>
                <w:highlight w:val="none"/>
              </w:rPr>
            </w:pPr>
          </w:p>
        </w:tc>
      </w:tr>
      <w:tr w14:paraId="3BD1AE5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ADB216">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8C395E">
            <w:pPr>
              <w:widowControl/>
              <w:spacing w:line="520" w:lineRule="exact"/>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D4DC9F">
            <w:pPr>
              <w:widowControl/>
              <w:spacing w:line="520" w:lineRule="exact"/>
              <w:jc w:val="center"/>
              <w:rPr>
                <w:rFonts w:ascii="宋体" w:hAnsi="宋体" w:cs="宋体"/>
                <w:color w:val="auto"/>
                <w:kern w:val="0"/>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B77C3F">
            <w:pPr>
              <w:widowControl/>
              <w:spacing w:line="520" w:lineRule="exact"/>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9E557A">
            <w:pPr>
              <w:widowControl/>
              <w:spacing w:line="520" w:lineRule="exact"/>
              <w:jc w:val="center"/>
              <w:rPr>
                <w:rFonts w:ascii="宋体" w:hAnsi="宋体" w:cs="宋体"/>
                <w:color w:val="auto"/>
                <w:kern w:val="0"/>
                <w:szCs w:val="21"/>
                <w:highlight w:val="none"/>
              </w:rPr>
            </w:pPr>
          </w:p>
        </w:tc>
      </w:tr>
    </w:tbl>
    <w:p w14:paraId="1FCA2D45">
      <w:pPr>
        <w:spacing w:line="520" w:lineRule="exact"/>
        <w:contextualSpacing/>
        <w:rPr>
          <w:rFonts w:ascii="宋体" w:hAnsi="宋体" w:cs="宋体"/>
          <w:color w:val="auto"/>
          <w:szCs w:val="21"/>
          <w:highlight w:val="none"/>
        </w:rPr>
      </w:pPr>
      <w:r>
        <w:rPr>
          <w:rFonts w:hint="eastAsia" w:ascii="宋体" w:hAnsi="宋体" w:cs="宋体"/>
          <w:color w:val="auto"/>
          <w:szCs w:val="21"/>
          <w:highlight w:val="none"/>
        </w:rPr>
        <w:t>注：</w:t>
      </w:r>
    </w:p>
    <w:p w14:paraId="78A82EE6">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E9B59E1">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36867798">
      <w:pPr>
        <w:spacing w:line="520" w:lineRule="exact"/>
        <w:ind w:firstLine="420" w:firstLineChars="200"/>
        <w:contextualSpacing/>
        <w:rPr>
          <w:rFonts w:ascii="宋体" w:hAnsi="宋体" w:cs="宋体"/>
          <w:color w:val="auto"/>
          <w:sz w:val="24"/>
          <w:highlight w:val="none"/>
        </w:rPr>
      </w:pPr>
      <w:r>
        <w:rPr>
          <w:rFonts w:hint="eastAsia" w:ascii="宋体" w:hAnsi="宋体" w:cs="宋体"/>
          <w:color w:val="auto"/>
          <w:szCs w:val="21"/>
          <w:highlight w:val="none"/>
        </w:rPr>
        <w:t>3.供应商不存在直接控股股东的，则填“无”。</w:t>
      </w:r>
    </w:p>
    <w:p w14:paraId="3689D2B2">
      <w:pPr>
        <w:spacing w:line="360" w:lineRule="auto"/>
        <w:ind w:firstLine="420" w:firstLineChars="200"/>
        <w:contextualSpacing/>
        <w:jc w:val="left"/>
        <w:rPr>
          <w:rFonts w:ascii="宋体" w:hAnsi="宋体" w:cs="宋体"/>
          <w:color w:val="auto"/>
          <w:szCs w:val="21"/>
          <w:highlight w:val="none"/>
        </w:rPr>
      </w:pPr>
    </w:p>
    <w:p w14:paraId="4FE036AE">
      <w:pPr>
        <w:spacing w:line="360" w:lineRule="auto"/>
        <w:ind w:firstLine="560" w:firstLineChars="200"/>
        <w:contextualSpacing/>
        <w:jc w:val="left"/>
        <w:rPr>
          <w:rFonts w:ascii="宋体" w:hAnsi="宋体" w:cs="宋体"/>
          <w:color w:val="auto"/>
          <w:sz w:val="28"/>
          <w:szCs w:val="28"/>
          <w:highlight w:val="none"/>
        </w:rPr>
      </w:pPr>
    </w:p>
    <w:p w14:paraId="3225985E">
      <w:pPr>
        <w:spacing w:line="520" w:lineRule="exact"/>
        <w:ind w:right="482"/>
        <w:contextualSpacing/>
        <w:jc w:val="center"/>
        <w:rPr>
          <w:rFonts w:ascii="宋体" w:hAnsi="宋体" w:cs="宋体"/>
          <w:color w:val="auto"/>
          <w:szCs w:val="21"/>
          <w:highlight w:val="none"/>
          <w:u w:val="single"/>
        </w:rPr>
      </w:pPr>
      <w:r>
        <w:rPr>
          <w:rFonts w:hint="eastAsia" w:ascii="宋体" w:hAnsi="宋体" w:cs="宋体"/>
          <w:color w:val="auto"/>
          <w:sz w:val="24"/>
          <w:highlight w:val="none"/>
        </w:rPr>
        <w:t xml:space="preserve">                           </w:t>
      </w:r>
      <w:r>
        <w:rPr>
          <w:rFonts w:hint="eastAsia" w:ascii="宋体" w:hAnsi="宋体" w:cs="宋体"/>
          <w:color w:val="auto"/>
          <w:szCs w:val="21"/>
          <w:highlight w:val="none"/>
        </w:rPr>
        <w:t>法定代表人或者委托代理人签字：</w:t>
      </w:r>
    </w:p>
    <w:p w14:paraId="43E6F770">
      <w:pPr>
        <w:spacing w:line="520" w:lineRule="exact"/>
        <w:ind w:right="482" w:firstLine="4620" w:firstLineChars="2200"/>
        <w:contextualSpacing/>
        <w:rPr>
          <w:rFonts w:ascii="宋体" w:hAnsi="宋体" w:cs="宋体"/>
          <w:color w:val="auto"/>
          <w:szCs w:val="21"/>
          <w:highlight w:val="none"/>
          <w:u w:val="single"/>
        </w:rPr>
      </w:pPr>
      <w:r>
        <w:rPr>
          <w:rFonts w:hint="eastAsia" w:ascii="宋体" w:hAnsi="宋体" w:cs="宋体"/>
          <w:color w:val="auto"/>
          <w:szCs w:val="21"/>
          <w:highlight w:val="none"/>
        </w:rPr>
        <w:t xml:space="preserve">供应商（盖公章 ）： </w:t>
      </w:r>
    </w:p>
    <w:p w14:paraId="31A50192">
      <w:pPr>
        <w:spacing w:line="520" w:lineRule="exact"/>
        <w:ind w:right="482" w:firstLine="4620" w:firstLineChars="2200"/>
        <w:contextualSpacing/>
        <w:rPr>
          <w:rFonts w:ascii="宋体" w:hAnsi="宋体" w:cs="宋体"/>
          <w:color w:val="auto"/>
          <w:szCs w:val="21"/>
          <w:highlight w:val="none"/>
        </w:rPr>
      </w:pPr>
      <w:r>
        <w:rPr>
          <w:rFonts w:hint="eastAsia" w:ascii="宋体" w:hAnsi="宋体" w:cs="宋体"/>
          <w:color w:val="auto"/>
          <w:szCs w:val="21"/>
          <w:highlight w:val="none"/>
        </w:rPr>
        <w:t>日期：   年    月    日</w:t>
      </w:r>
    </w:p>
    <w:p w14:paraId="460AB645">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0504B85B">
      <w:pPr>
        <w:snapToGrid w:val="0"/>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7C5C24AE">
      <w:pPr>
        <w:snapToGrid w:val="0"/>
        <w:jc w:val="center"/>
        <w:rPr>
          <w:rFonts w:ascii="宋体" w:hAnsi="宋体" w:cs="宋体"/>
          <w:b/>
          <w:color w:val="auto"/>
          <w:sz w:val="32"/>
          <w:szCs w:val="32"/>
          <w:highlight w:val="none"/>
        </w:rPr>
      </w:pPr>
    </w:p>
    <w:tbl>
      <w:tblPr>
        <w:tblStyle w:val="22"/>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AC81148">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1011AB8">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184244B">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62F5B1B">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9F3EBA2">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5D385C2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1B736A">
            <w:pPr>
              <w:widowControl/>
              <w:wordWrap w:val="0"/>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C79D8D">
            <w:pPr>
              <w:widowControl/>
              <w:wordWrap w:val="0"/>
              <w:spacing w:line="520" w:lineRule="exact"/>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E783F2">
            <w:pPr>
              <w:widowControl/>
              <w:wordWrap w:val="0"/>
              <w:spacing w:line="520" w:lineRule="exact"/>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531E7D">
            <w:pPr>
              <w:widowControl/>
              <w:wordWrap w:val="0"/>
              <w:spacing w:line="520" w:lineRule="exact"/>
              <w:jc w:val="center"/>
              <w:rPr>
                <w:rFonts w:ascii="宋体" w:hAnsi="宋体" w:cs="宋体"/>
                <w:color w:val="auto"/>
                <w:kern w:val="0"/>
                <w:szCs w:val="21"/>
                <w:highlight w:val="none"/>
              </w:rPr>
            </w:pPr>
          </w:p>
        </w:tc>
      </w:tr>
      <w:tr w14:paraId="120DC9A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89F2F7">
            <w:pPr>
              <w:widowControl/>
              <w:wordWrap w:val="0"/>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4F7409">
            <w:pPr>
              <w:widowControl/>
              <w:wordWrap w:val="0"/>
              <w:spacing w:line="520" w:lineRule="exact"/>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942D85">
            <w:pPr>
              <w:widowControl/>
              <w:wordWrap w:val="0"/>
              <w:spacing w:line="520" w:lineRule="exact"/>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ABF7AA">
            <w:pPr>
              <w:widowControl/>
              <w:wordWrap w:val="0"/>
              <w:spacing w:line="520" w:lineRule="exact"/>
              <w:jc w:val="center"/>
              <w:rPr>
                <w:rFonts w:ascii="宋体" w:hAnsi="宋体" w:cs="宋体"/>
                <w:color w:val="auto"/>
                <w:kern w:val="0"/>
                <w:szCs w:val="21"/>
                <w:highlight w:val="none"/>
              </w:rPr>
            </w:pPr>
          </w:p>
        </w:tc>
      </w:tr>
      <w:tr w14:paraId="6214B68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FF74A8">
            <w:pPr>
              <w:widowControl/>
              <w:wordWrap w:val="0"/>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363FCE">
            <w:pPr>
              <w:widowControl/>
              <w:wordWrap w:val="0"/>
              <w:spacing w:line="520" w:lineRule="exact"/>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655617">
            <w:pPr>
              <w:widowControl/>
              <w:wordWrap w:val="0"/>
              <w:spacing w:line="520" w:lineRule="exact"/>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D2C890">
            <w:pPr>
              <w:widowControl/>
              <w:wordWrap w:val="0"/>
              <w:spacing w:line="520" w:lineRule="exact"/>
              <w:jc w:val="center"/>
              <w:rPr>
                <w:rFonts w:ascii="宋体" w:hAnsi="宋体" w:cs="宋体"/>
                <w:color w:val="auto"/>
                <w:kern w:val="0"/>
                <w:szCs w:val="21"/>
                <w:highlight w:val="none"/>
              </w:rPr>
            </w:pPr>
          </w:p>
        </w:tc>
      </w:tr>
      <w:tr w14:paraId="09FBD64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3EF2BC">
            <w:pPr>
              <w:widowControl/>
              <w:wordWrap w:val="0"/>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0029D7">
            <w:pPr>
              <w:widowControl/>
              <w:wordWrap w:val="0"/>
              <w:spacing w:line="520" w:lineRule="exact"/>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B27DA5">
            <w:pPr>
              <w:widowControl/>
              <w:wordWrap w:val="0"/>
              <w:spacing w:line="520" w:lineRule="exact"/>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0D02F5">
            <w:pPr>
              <w:widowControl/>
              <w:wordWrap w:val="0"/>
              <w:spacing w:line="520" w:lineRule="exact"/>
              <w:jc w:val="center"/>
              <w:rPr>
                <w:rFonts w:ascii="宋体" w:hAnsi="宋体" w:cs="宋体"/>
                <w:color w:val="auto"/>
                <w:kern w:val="0"/>
                <w:szCs w:val="21"/>
                <w:highlight w:val="none"/>
              </w:rPr>
            </w:pPr>
          </w:p>
        </w:tc>
      </w:tr>
    </w:tbl>
    <w:p w14:paraId="0B689434">
      <w:pPr>
        <w:spacing w:line="520" w:lineRule="exact"/>
        <w:contextualSpacing/>
        <w:rPr>
          <w:rFonts w:ascii="宋体" w:hAnsi="宋体" w:cs="宋体"/>
          <w:color w:val="auto"/>
          <w:szCs w:val="21"/>
          <w:highlight w:val="none"/>
        </w:rPr>
      </w:pPr>
      <w:r>
        <w:rPr>
          <w:rFonts w:hint="eastAsia" w:ascii="宋体" w:hAnsi="宋体" w:cs="宋体"/>
          <w:color w:val="auto"/>
          <w:szCs w:val="21"/>
          <w:highlight w:val="none"/>
        </w:rPr>
        <w:t>注：</w:t>
      </w:r>
    </w:p>
    <w:p w14:paraId="0741F92F">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65AE2E85">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795F1F1E">
      <w:pPr>
        <w:spacing w:line="520" w:lineRule="exact"/>
        <w:ind w:firstLine="420" w:firstLineChars="200"/>
        <w:contextualSpacing/>
        <w:rPr>
          <w:rFonts w:ascii="宋体" w:hAnsi="宋体" w:cs="宋体"/>
          <w:color w:val="auto"/>
          <w:sz w:val="24"/>
          <w:highlight w:val="none"/>
        </w:rPr>
      </w:pPr>
      <w:r>
        <w:rPr>
          <w:rFonts w:hint="eastAsia" w:ascii="宋体" w:hAnsi="宋体" w:cs="宋体"/>
          <w:color w:val="auto"/>
          <w:szCs w:val="21"/>
          <w:highlight w:val="none"/>
        </w:rPr>
        <w:t>3.供应商不存在直接管理关系的，则填“无”。</w:t>
      </w:r>
    </w:p>
    <w:p w14:paraId="2429DDF5">
      <w:pPr>
        <w:spacing w:line="360" w:lineRule="auto"/>
        <w:contextualSpacing/>
        <w:jc w:val="left"/>
        <w:rPr>
          <w:rFonts w:ascii="宋体" w:hAnsi="宋体" w:cs="宋体"/>
          <w:color w:val="auto"/>
          <w:sz w:val="28"/>
          <w:szCs w:val="28"/>
          <w:highlight w:val="none"/>
        </w:rPr>
      </w:pPr>
    </w:p>
    <w:p w14:paraId="0FDE2CE8">
      <w:pPr>
        <w:spacing w:line="360" w:lineRule="auto"/>
        <w:contextualSpacing/>
        <w:jc w:val="left"/>
        <w:rPr>
          <w:rFonts w:ascii="宋体" w:hAnsi="宋体" w:cs="宋体"/>
          <w:color w:val="auto"/>
          <w:sz w:val="28"/>
          <w:szCs w:val="28"/>
          <w:highlight w:val="none"/>
        </w:rPr>
      </w:pPr>
    </w:p>
    <w:p w14:paraId="14B6E56F">
      <w:pPr>
        <w:spacing w:line="360" w:lineRule="auto"/>
        <w:contextualSpacing/>
        <w:jc w:val="left"/>
        <w:rPr>
          <w:rFonts w:ascii="宋体" w:hAnsi="宋体" w:cs="宋体"/>
          <w:color w:val="auto"/>
          <w:sz w:val="28"/>
          <w:szCs w:val="28"/>
          <w:highlight w:val="none"/>
        </w:rPr>
      </w:pPr>
    </w:p>
    <w:p w14:paraId="1FC760D3">
      <w:pPr>
        <w:spacing w:line="360" w:lineRule="auto"/>
        <w:contextualSpacing/>
        <w:jc w:val="left"/>
        <w:rPr>
          <w:rFonts w:ascii="宋体" w:hAnsi="宋体" w:cs="宋体"/>
          <w:color w:val="auto"/>
          <w:sz w:val="28"/>
          <w:szCs w:val="28"/>
          <w:highlight w:val="none"/>
        </w:rPr>
      </w:pPr>
    </w:p>
    <w:p w14:paraId="3885C168">
      <w:pPr>
        <w:spacing w:line="360" w:lineRule="auto"/>
        <w:contextualSpacing/>
        <w:jc w:val="left"/>
        <w:rPr>
          <w:rFonts w:ascii="宋体" w:hAnsi="宋体" w:cs="宋体"/>
          <w:color w:val="auto"/>
          <w:sz w:val="28"/>
          <w:szCs w:val="28"/>
          <w:highlight w:val="none"/>
        </w:rPr>
      </w:pPr>
    </w:p>
    <w:p w14:paraId="2574C254">
      <w:pPr>
        <w:spacing w:line="360" w:lineRule="auto"/>
        <w:contextualSpacing/>
        <w:jc w:val="left"/>
        <w:rPr>
          <w:rFonts w:ascii="宋体" w:hAnsi="宋体" w:cs="宋体"/>
          <w:color w:val="auto"/>
          <w:sz w:val="28"/>
          <w:szCs w:val="28"/>
          <w:highlight w:val="none"/>
        </w:rPr>
      </w:pPr>
    </w:p>
    <w:p w14:paraId="7491CF8E">
      <w:pPr>
        <w:spacing w:line="520" w:lineRule="exact"/>
        <w:contextualSpacing/>
        <w:jc w:val="center"/>
        <w:rPr>
          <w:rFonts w:ascii="宋体" w:hAnsi="宋体" w:cs="宋体"/>
          <w:color w:val="auto"/>
          <w:szCs w:val="21"/>
          <w:highlight w:val="none"/>
          <w:u w:val="single"/>
        </w:rPr>
      </w:pPr>
      <w:r>
        <w:rPr>
          <w:rFonts w:hint="eastAsia" w:ascii="宋体" w:hAnsi="宋体" w:cs="宋体"/>
          <w:color w:val="auto"/>
          <w:szCs w:val="21"/>
          <w:highlight w:val="none"/>
        </w:rPr>
        <w:t xml:space="preserve">                    法定代表人或者委托代理人签字：</w:t>
      </w:r>
    </w:p>
    <w:p w14:paraId="0CAE3C45">
      <w:pPr>
        <w:spacing w:line="520" w:lineRule="exact"/>
        <w:ind w:firstLine="4305" w:firstLineChars="2050"/>
        <w:contextualSpacing/>
        <w:rPr>
          <w:rFonts w:ascii="宋体" w:hAnsi="宋体" w:cs="宋体"/>
          <w:color w:val="auto"/>
          <w:szCs w:val="21"/>
          <w:highlight w:val="none"/>
        </w:rPr>
      </w:pPr>
      <w:r>
        <w:rPr>
          <w:rFonts w:hint="eastAsia" w:ascii="宋体" w:hAnsi="宋体" w:cs="宋体"/>
          <w:color w:val="auto"/>
          <w:szCs w:val="21"/>
          <w:highlight w:val="none"/>
        </w:rPr>
        <w:t>供应商（盖公章）：</w:t>
      </w:r>
    </w:p>
    <w:p w14:paraId="799D75D7">
      <w:pPr>
        <w:spacing w:line="520" w:lineRule="exact"/>
        <w:ind w:firstLine="210" w:firstLineChars="100"/>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63A46B5E">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竞标声明</w:t>
      </w:r>
    </w:p>
    <w:p w14:paraId="6DF0B926">
      <w:pPr>
        <w:spacing w:line="320" w:lineRule="exact"/>
        <w:jc w:val="center"/>
        <w:rPr>
          <w:rFonts w:ascii="宋体" w:hAnsi="宋体" w:cs="宋体"/>
          <w:color w:val="auto"/>
          <w:sz w:val="24"/>
          <w:szCs w:val="20"/>
          <w:highlight w:val="none"/>
        </w:rPr>
      </w:pPr>
    </w:p>
    <w:p w14:paraId="3E60EBB0">
      <w:pPr>
        <w:spacing w:line="520" w:lineRule="exact"/>
        <w:contextualSpacing/>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64FD540A">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p>
    <w:p w14:paraId="35973D1F">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14:paraId="737C9293">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5AB3A14C">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2.我方不是为本次采购项目提供整体设计、规范编制或者项目管理、监理、检测等服务的供应商。</w:t>
      </w:r>
    </w:p>
    <w:p w14:paraId="2059727A">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3.在此，我方宣布同意如下：</w:t>
      </w:r>
    </w:p>
    <w:p w14:paraId="2E51AA73">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（1）将按谈判文件的约定履行合同责任和义务；</w:t>
      </w:r>
    </w:p>
    <w:p w14:paraId="1EB5903E">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（2）已详细审查全部谈判文件，包括补遗文件（如有）；</w:t>
      </w:r>
    </w:p>
    <w:p w14:paraId="7BD87F87">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（3）同意提供按照贵方可能要求的与谈判有关的一切数据或者资料；</w:t>
      </w:r>
    </w:p>
    <w:p w14:paraId="22E2BBB5">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（4）响应谈判文件规定的竞标有效期。</w:t>
      </w:r>
    </w:p>
    <w:p w14:paraId="5470C54C">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7DE896DA">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2F6D0894">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7D6F958C">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38B90AAC">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4D10ACE5">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3155FA8D">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（6）法律、行政法规规定的其他条件。</w:t>
      </w:r>
    </w:p>
    <w:p w14:paraId="7E282169">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2B5F8A1">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0A954F2">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27AA10C2">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p>
    <w:p w14:paraId="3FF424C6">
      <w:pPr>
        <w:pStyle w:val="13"/>
        <w:spacing w:line="520" w:lineRule="exact"/>
        <w:ind w:firstLine="420" w:firstLineChars="200"/>
        <w:contextualSpacing/>
        <w:rPr>
          <w:rFonts w:hAnsi="宋体" w:cs="宋体"/>
          <w:color w:val="auto"/>
          <w:sz w:val="21"/>
          <w:highlight w:val="none"/>
          <w:u w:val="single"/>
        </w:rPr>
      </w:pPr>
      <w:r>
        <w:rPr>
          <w:rFonts w:hint="eastAsia" w:hAnsi="宋体" w:cs="宋体"/>
          <w:color w:val="auto"/>
          <w:sz w:val="21"/>
          <w:highlight w:val="none"/>
        </w:rPr>
        <w:t>7.与本谈判有关的一切正式往来信函请寄：邮政编号：</w:t>
      </w:r>
    </w:p>
    <w:p w14:paraId="22E2C0BE">
      <w:pPr>
        <w:pStyle w:val="13"/>
        <w:spacing w:line="520" w:lineRule="exact"/>
        <w:ind w:firstLine="420" w:firstLineChars="200"/>
        <w:contextualSpacing/>
        <w:rPr>
          <w:rFonts w:hAnsi="宋体" w:cs="宋体"/>
          <w:color w:val="auto"/>
          <w:sz w:val="21"/>
          <w:highlight w:val="none"/>
        </w:rPr>
      </w:pPr>
      <w:r>
        <w:rPr>
          <w:rFonts w:hint="eastAsia" w:hAnsi="宋体" w:cs="宋体"/>
          <w:color w:val="auto"/>
          <w:sz w:val="21"/>
          <w:highlight w:val="none"/>
        </w:rPr>
        <w:t>电话/传真： 电子函件：</w:t>
      </w:r>
    </w:p>
    <w:p w14:paraId="05816CFE">
      <w:pPr>
        <w:pStyle w:val="12"/>
        <w:tabs>
          <w:tab w:val="left" w:pos="939"/>
        </w:tabs>
        <w:spacing w:line="52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开户银行：  帐号/行号：</w:t>
      </w:r>
    </w:p>
    <w:p w14:paraId="47ECC077">
      <w:pPr>
        <w:pStyle w:val="12"/>
        <w:tabs>
          <w:tab w:val="left" w:pos="939"/>
        </w:tabs>
        <w:spacing w:line="52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8.以上事项如有虚假或者隐瞒，我方愿意承担一切后果，并不再寻求任何旨在减轻或者免除法律责任的辩解。</w:t>
      </w:r>
    </w:p>
    <w:p w14:paraId="5C5AE8F4">
      <w:pPr>
        <w:pStyle w:val="12"/>
        <w:tabs>
          <w:tab w:val="left" w:pos="939"/>
        </w:tabs>
        <w:spacing w:line="52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09C0C1E7">
      <w:pPr>
        <w:spacing w:line="520" w:lineRule="exact"/>
        <w:ind w:firstLine="422" w:firstLineChars="200"/>
        <w:contextualSpacing/>
        <w:rPr>
          <w:rFonts w:ascii="宋体" w:hAnsi="宋体" w:cs="宋体"/>
          <w:b/>
          <w:color w:val="auto"/>
          <w:szCs w:val="21"/>
          <w:highlight w:val="none"/>
        </w:rPr>
      </w:pPr>
      <w:r>
        <w:rPr>
          <w:rFonts w:hint="eastAsia" w:ascii="宋体" w:hAnsi="宋体" w:cs="宋体"/>
          <w:b/>
          <w:color w:val="auto"/>
          <w:szCs w:val="21"/>
          <w:highlight w:val="none"/>
        </w:rPr>
        <w:t>注：如为联合体竞标，盖章处须加盖联合体各方公章并由联合体各方法定代表人分别签署，否则响应文件按无效响应处理。</w:t>
      </w:r>
    </w:p>
    <w:p w14:paraId="0C0AF524">
      <w:pPr>
        <w:spacing w:line="520" w:lineRule="exact"/>
        <w:contextualSpacing/>
        <w:jc w:val="left"/>
        <w:rPr>
          <w:rFonts w:ascii="宋体" w:hAnsi="宋体" w:cs="宋体"/>
          <w:color w:val="auto"/>
          <w:szCs w:val="21"/>
          <w:highlight w:val="none"/>
        </w:rPr>
      </w:pPr>
    </w:p>
    <w:p w14:paraId="2F4CB4FF">
      <w:pPr>
        <w:spacing w:line="520" w:lineRule="exact"/>
        <w:ind w:firstLine="3780" w:firstLineChars="1800"/>
        <w:contextualSpacing/>
        <w:rPr>
          <w:rFonts w:ascii="宋体" w:hAnsi="宋体" w:cs="宋体"/>
          <w:color w:val="auto"/>
          <w:szCs w:val="21"/>
          <w:highlight w:val="none"/>
        </w:rPr>
      </w:pPr>
      <w:r>
        <w:rPr>
          <w:rFonts w:hint="eastAsia" w:ascii="宋体" w:hAnsi="宋体" w:cs="宋体"/>
          <w:color w:val="auto"/>
          <w:szCs w:val="21"/>
          <w:highlight w:val="none"/>
        </w:rPr>
        <w:t>法定代表人（签字或者盖章）：</w:t>
      </w:r>
    </w:p>
    <w:p w14:paraId="603C5A99">
      <w:pPr>
        <w:spacing w:line="520" w:lineRule="exact"/>
        <w:ind w:firstLine="3780" w:firstLineChars="1800"/>
        <w:contextualSpacing/>
        <w:rPr>
          <w:rFonts w:ascii="宋体" w:hAnsi="宋体" w:cs="宋体"/>
          <w:color w:val="auto"/>
          <w:szCs w:val="21"/>
          <w:highlight w:val="none"/>
          <w:u w:val="single"/>
        </w:rPr>
      </w:pPr>
      <w:r>
        <w:rPr>
          <w:rFonts w:hint="eastAsia" w:ascii="宋体" w:hAnsi="宋体" w:cs="宋体"/>
          <w:color w:val="auto"/>
          <w:szCs w:val="21"/>
          <w:highlight w:val="none"/>
        </w:rPr>
        <w:t>供应商（盖公章）：</w:t>
      </w:r>
    </w:p>
    <w:p w14:paraId="5B299602">
      <w:pPr>
        <w:spacing w:line="520" w:lineRule="exact"/>
        <w:ind w:firstLine="210" w:firstLineChars="100"/>
        <w:contextualSpacing/>
        <w:jc w:val="center"/>
        <w:rPr>
          <w:rFonts w:hint="eastAsia" w:ascii="宋体" w:hAnsi="宋体" w:cs="宋体"/>
          <w:color w:val="auto"/>
          <w:szCs w:val="21"/>
          <w:highlight w:val="none"/>
        </w:rPr>
        <w:sectPr>
          <w:pgSz w:w="11910" w:h="16840"/>
          <w:pgMar w:top="1134" w:right="1134" w:bottom="1134" w:left="1134" w:header="850" w:footer="567" w:gutter="0"/>
          <w:cols w:space="720" w:num="1"/>
          <w:docGrid w:linePitch="286" w:charSpace="0"/>
        </w:sectPr>
      </w:pPr>
      <w:r>
        <w:rPr>
          <w:rFonts w:hint="eastAsia" w:ascii="宋体" w:hAnsi="宋体" w:cs="宋体"/>
          <w:color w:val="auto"/>
          <w:szCs w:val="21"/>
          <w:highlight w:val="none"/>
        </w:rPr>
        <w:t xml:space="preserve">日期：  年    月    日 </w:t>
      </w:r>
    </w:p>
    <w:p w14:paraId="503ABD67">
      <w:pPr>
        <w:spacing w:line="520" w:lineRule="exact"/>
        <w:rPr>
          <w:rFonts w:ascii="宋体" w:hAnsi="宋体" w:cs="宋体"/>
          <w:color w:val="auto"/>
          <w:sz w:val="32"/>
          <w:szCs w:val="32"/>
          <w:highlight w:val="none"/>
        </w:rPr>
      </w:pPr>
      <w:r>
        <w:rPr>
          <w:rFonts w:hint="eastAsia" w:ascii="宋体" w:hAnsi="宋体" w:cs="宋体"/>
          <w:b/>
          <w:bCs/>
          <w:color w:val="auto"/>
          <w:sz w:val="32"/>
          <w:szCs w:val="32"/>
          <w:highlight w:val="none"/>
        </w:rPr>
        <w:t>其他文书、文件格式</w:t>
      </w:r>
    </w:p>
    <w:p w14:paraId="2CBAB7AD">
      <w:pPr>
        <w:adjustRightInd w:val="0"/>
        <w:snapToGrid w:val="0"/>
        <w:spacing w:line="520" w:lineRule="exact"/>
        <w:jc w:val="center"/>
        <w:rPr>
          <w:rFonts w:ascii="宋体" w:hAnsi="宋体" w:cs="宋体"/>
          <w:bCs/>
          <w:color w:val="auto"/>
          <w:sz w:val="44"/>
          <w:szCs w:val="44"/>
          <w:highlight w:val="none"/>
        </w:rPr>
      </w:pPr>
      <w:bookmarkStart w:id="35" w:name="_Toc71365383"/>
      <w:bookmarkStart w:id="36" w:name="_Toc71366061"/>
      <w:r>
        <w:rPr>
          <w:rFonts w:hint="eastAsia" w:ascii="宋体" w:hAnsi="宋体" w:cs="宋体"/>
          <w:bCs/>
          <w:color w:val="auto"/>
          <w:sz w:val="32"/>
          <w:szCs w:val="32"/>
          <w:highlight w:val="none"/>
        </w:rPr>
        <w:t>中小企业声明函（货物）</w:t>
      </w:r>
      <w:bookmarkEnd w:id="35"/>
      <w:bookmarkEnd w:id="36"/>
    </w:p>
    <w:p w14:paraId="53779F28">
      <w:pPr>
        <w:rPr>
          <w:rFonts w:ascii="宋体" w:hAnsi="宋体" w:cs="宋体"/>
          <w:color w:val="auto"/>
          <w:highlight w:val="none"/>
        </w:rPr>
      </w:pPr>
    </w:p>
    <w:p w14:paraId="67D980E6">
      <w:pPr>
        <w:pStyle w:val="10"/>
        <w:spacing w:after="0"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采购活动，提供的货物全部由符合政策要求的中小企业制造。相关企业（含联合体中的中小企业、签订分包意向协议的中小企业）的具体情况如下：</w:t>
      </w:r>
    </w:p>
    <w:p w14:paraId="2E17530D">
      <w:pPr>
        <w:tabs>
          <w:tab w:val="left" w:pos="1384"/>
          <w:tab w:val="left" w:pos="4562"/>
          <w:tab w:val="left" w:pos="6803"/>
        </w:tabs>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，从业人员人，营业收入为万元，资产总额为万元，属于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30ED3F9E">
      <w:pPr>
        <w:tabs>
          <w:tab w:val="left" w:pos="1065"/>
          <w:tab w:val="left" w:pos="6477"/>
        </w:tabs>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，从业人员人，营业收入为万元，资产总额为万元，属于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0E6474FF">
      <w:pPr>
        <w:pStyle w:val="10"/>
        <w:spacing w:after="0"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 xml:space="preserve">…… </w:t>
      </w:r>
    </w:p>
    <w:p w14:paraId="18F29033">
      <w:pPr>
        <w:pStyle w:val="10"/>
        <w:spacing w:after="0"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12C0A134">
      <w:pPr>
        <w:pStyle w:val="10"/>
        <w:spacing w:after="0"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1ED16A41">
      <w:pPr>
        <w:pStyle w:val="10"/>
        <w:spacing w:after="0" w:line="360" w:lineRule="auto"/>
        <w:ind w:left="3960" w:right="1808"/>
        <w:contextualSpacing/>
        <w:rPr>
          <w:rFonts w:ascii="宋体" w:hAnsi="宋体" w:cs="宋体"/>
          <w:color w:val="auto"/>
          <w:sz w:val="24"/>
          <w:highlight w:val="none"/>
        </w:rPr>
      </w:pPr>
    </w:p>
    <w:p w14:paraId="2479BD58">
      <w:pPr>
        <w:pStyle w:val="10"/>
        <w:spacing w:after="0" w:line="360" w:lineRule="auto"/>
        <w:ind w:left="3960" w:right="1808"/>
        <w:contextualSpacing/>
        <w:rPr>
          <w:rFonts w:ascii="宋体" w:hAnsi="宋体" w:cs="宋体"/>
          <w:color w:val="auto"/>
          <w:highlight w:val="none"/>
        </w:rPr>
      </w:pPr>
      <w:r>
        <w:rPr>
          <w:rFonts w:hint="eastAsia" w:ascii="宋体" w:hAnsi="宋体" w:cs="宋体"/>
          <w:color w:val="auto"/>
          <w:highlight w:val="none"/>
        </w:rPr>
        <w:t xml:space="preserve">供应商（盖公章）：      </w:t>
      </w:r>
    </w:p>
    <w:p w14:paraId="4EB7811A">
      <w:pPr>
        <w:pStyle w:val="10"/>
        <w:spacing w:after="0" w:line="360" w:lineRule="auto"/>
        <w:ind w:left="3960" w:right="1808"/>
        <w:contextualSpacing/>
        <w:rPr>
          <w:rFonts w:ascii="宋体" w:hAnsi="宋体" w:cs="宋体"/>
          <w:color w:val="auto"/>
          <w:highlight w:val="none"/>
        </w:rPr>
      </w:pPr>
      <w:r>
        <w:rPr>
          <w:rFonts w:hint="eastAsia" w:ascii="宋体" w:hAnsi="宋体" w:cs="宋体"/>
          <w:color w:val="auto"/>
          <w:highlight w:val="none"/>
        </w:rPr>
        <w:t>日期：   年   月   日</w:t>
      </w:r>
    </w:p>
    <w:p w14:paraId="5737D142">
      <w:pPr>
        <w:spacing w:line="520" w:lineRule="exact"/>
        <w:ind w:firstLine="420" w:firstLineChars="200"/>
        <w:contextualSpacing/>
        <w:rPr>
          <w:rFonts w:ascii="宋体" w:hAnsi="宋体" w:cs="宋体"/>
          <w:color w:val="auto"/>
          <w:sz w:val="24"/>
          <w:highlight w:val="none"/>
        </w:rPr>
      </w:pPr>
      <w:r>
        <w:rPr>
          <w:rFonts w:hint="eastAsia" w:ascii="宋体" w:hAnsi="宋体" w:cs="宋体"/>
          <w:color w:val="auto"/>
          <w:sz w:val="21"/>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37EDD71">
      <w:pPr>
        <w:spacing w:line="360" w:lineRule="auto"/>
        <w:contextualSpacing/>
        <w:jc w:val="center"/>
        <w:rPr>
          <w:rFonts w:ascii="宋体" w:hAnsi="宋体" w:cs="宋体"/>
          <w:color w:val="auto"/>
          <w:sz w:val="24"/>
          <w:highlight w:val="none"/>
        </w:rPr>
      </w:pPr>
    </w:p>
    <w:p w14:paraId="5499AECC">
      <w:pPr>
        <w:spacing w:line="360" w:lineRule="auto"/>
        <w:contextualSpacing/>
        <w:jc w:val="center"/>
        <w:rPr>
          <w:rFonts w:ascii="宋体" w:hAnsi="宋体" w:cs="宋体"/>
          <w:color w:val="auto"/>
          <w:sz w:val="24"/>
          <w:highlight w:val="none"/>
        </w:rPr>
      </w:pPr>
    </w:p>
    <w:p w14:paraId="212B8139">
      <w:pPr>
        <w:pStyle w:val="13"/>
        <w:spacing w:line="520" w:lineRule="exact"/>
        <w:jc w:val="left"/>
        <w:rPr>
          <w:rFonts w:hAnsi="宋体" w:cs="宋体"/>
          <w:color w:val="auto"/>
          <w:sz w:val="32"/>
          <w:szCs w:val="32"/>
          <w:highlight w:val="none"/>
        </w:rPr>
      </w:pPr>
      <w:r>
        <w:rPr>
          <w:rFonts w:hint="eastAsia" w:hAnsi="宋体" w:cs="宋体"/>
          <w:color w:val="auto"/>
          <w:sz w:val="32"/>
          <w:szCs w:val="32"/>
          <w:highlight w:val="none"/>
        </w:rPr>
        <w:br w:type="page"/>
      </w:r>
      <w:r>
        <w:rPr>
          <w:rFonts w:hint="eastAsia" w:hAnsi="宋体" w:cs="宋体"/>
          <w:color w:val="auto"/>
          <w:sz w:val="32"/>
          <w:szCs w:val="32"/>
          <w:highlight w:val="none"/>
        </w:rPr>
        <w:t>附：</w:t>
      </w:r>
    </w:p>
    <w:p w14:paraId="67220D7E">
      <w:pPr>
        <w:spacing w:line="520" w:lineRule="exact"/>
        <w:jc w:val="center"/>
        <w:rPr>
          <w:rFonts w:ascii="宋体" w:hAnsi="宋体" w:cs="宋体"/>
          <w:color w:val="auto"/>
          <w:sz w:val="44"/>
          <w:szCs w:val="44"/>
          <w:highlight w:val="none"/>
        </w:rPr>
      </w:pPr>
      <w:r>
        <w:rPr>
          <w:rFonts w:hint="eastAsia" w:ascii="宋体" w:hAnsi="宋体" w:cs="宋体"/>
          <w:color w:val="auto"/>
          <w:sz w:val="32"/>
          <w:szCs w:val="32"/>
          <w:highlight w:val="none"/>
        </w:rPr>
        <w:t>中小微企业划型标准</w:t>
      </w:r>
    </w:p>
    <w:tbl>
      <w:tblPr>
        <w:tblStyle w:val="22"/>
        <w:tblpPr w:leftFromText="180" w:rightFromText="180" w:vertAnchor="text" w:horzAnchor="page" w:tblpX="1224" w:tblpY="251"/>
        <w:tblOverlap w:val="never"/>
        <w:tblW w:w="9663" w:type="dxa"/>
        <w:tblInd w:w="0" w:type="dxa"/>
        <w:tblLayout w:type="fixed"/>
        <w:tblCellMar>
          <w:top w:w="0" w:type="dxa"/>
          <w:left w:w="108" w:type="dxa"/>
          <w:bottom w:w="0" w:type="dxa"/>
          <w:right w:w="108" w:type="dxa"/>
        </w:tblCellMar>
      </w:tblPr>
      <w:tblGrid>
        <w:gridCol w:w="1688"/>
        <w:gridCol w:w="1512"/>
        <w:gridCol w:w="1225"/>
        <w:gridCol w:w="2014"/>
        <w:gridCol w:w="1611"/>
        <w:gridCol w:w="1613"/>
      </w:tblGrid>
      <w:tr w14:paraId="75CFD901">
        <w:tblPrEx>
          <w:tblCellMar>
            <w:top w:w="0" w:type="dxa"/>
            <w:left w:w="108" w:type="dxa"/>
            <w:bottom w:w="0" w:type="dxa"/>
            <w:right w:w="108" w:type="dxa"/>
          </w:tblCellMar>
        </w:tblPrEx>
        <w:trPr>
          <w:trHeight w:val="285" w:hRule="atLeast"/>
        </w:trPr>
        <w:tc>
          <w:tcPr>
            <w:tcW w:w="1688" w:type="dxa"/>
            <w:tcBorders>
              <w:top w:val="single" w:color="auto" w:sz="4" w:space="0"/>
              <w:left w:val="single" w:color="auto" w:sz="4" w:space="0"/>
              <w:bottom w:val="single" w:color="auto" w:sz="4" w:space="0"/>
              <w:right w:val="single" w:color="auto" w:sz="4" w:space="0"/>
            </w:tcBorders>
            <w:vAlign w:val="center"/>
          </w:tcPr>
          <w:p w14:paraId="73BC2552">
            <w:pPr>
              <w:widowControl/>
              <w:spacing w:line="5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行业名称</w:t>
            </w:r>
          </w:p>
        </w:tc>
        <w:tc>
          <w:tcPr>
            <w:tcW w:w="1512" w:type="dxa"/>
            <w:tcBorders>
              <w:top w:val="single" w:color="auto" w:sz="4" w:space="0"/>
              <w:left w:val="nil"/>
              <w:bottom w:val="single" w:color="auto" w:sz="4" w:space="0"/>
              <w:right w:val="single" w:color="auto" w:sz="4" w:space="0"/>
            </w:tcBorders>
            <w:vAlign w:val="center"/>
          </w:tcPr>
          <w:p w14:paraId="5B3DCD29">
            <w:pPr>
              <w:widowControl/>
              <w:spacing w:line="5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指标名称</w:t>
            </w:r>
          </w:p>
        </w:tc>
        <w:tc>
          <w:tcPr>
            <w:tcW w:w="1225" w:type="dxa"/>
            <w:tcBorders>
              <w:top w:val="single" w:color="auto" w:sz="4" w:space="0"/>
              <w:left w:val="nil"/>
              <w:bottom w:val="single" w:color="auto" w:sz="4" w:space="0"/>
              <w:right w:val="single" w:color="auto" w:sz="4" w:space="0"/>
            </w:tcBorders>
            <w:vAlign w:val="center"/>
          </w:tcPr>
          <w:p w14:paraId="1BA86468">
            <w:pPr>
              <w:widowControl/>
              <w:spacing w:line="5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计量单位</w:t>
            </w:r>
          </w:p>
        </w:tc>
        <w:tc>
          <w:tcPr>
            <w:tcW w:w="2014" w:type="dxa"/>
            <w:tcBorders>
              <w:top w:val="single" w:color="auto" w:sz="4" w:space="0"/>
              <w:left w:val="nil"/>
              <w:bottom w:val="single" w:color="auto" w:sz="4" w:space="0"/>
              <w:right w:val="single" w:color="auto" w:sz="4" w:space="0"/>
            </w:tcBorders>
            <w:vAlign w:val="center"/>
          </w:tcPr>
          <w:p w14:paraId="0E98C772">
            <w:pPr>
              <w:widowControl/>
              <w:spacing w:line="5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中型</w:t>
            </w:r>
          </w:p>
        </w:tc>
        <w:tc>
          <w:tcPr>
            <w:tcW w:w="1611" w:type="dxa"/>
            <w:tcBorders>
              <w:top w:val="single" w:color="auto" w:sz="4" w:space="0"/>
              <w:left w:val="nil"/>
              <w:bottom w:val="single" w:color="auto" w:sz="4" w:space="0"/>
              <w:right w:val="single" w:color="auto" w:sz="4" w:space="0"/>
            </w:tcBorders>
            <w:vAlign w:val="center"/>
          </w:tcPr>
          <w:p w14:paraId="15DF0E18">
            <w:pPr>
              <w:widowControl/>
              <w:spacing w:line="5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小型</w:t>
            </w:r>
          </w:p>
        </w:tc>
        <w:tc>
          <w:tcPr>
            <w:tcW w:w="1613" w:type="dxa"/>
            <w:tcBorders>
              <w:top w:val="single" w:color="auto" w:sz="4" w:space="0"/>
              <w:left w:val="nil"/>
              <w:bottom w:val="single" w:color="auto" w:sz="4" w:space="0"/>
              <w:right w:val="single" w:color="auto" w:sz="4" w:space="0"/>
            </w:tcBorders>
            <w:vAlign w:val="center"/>
          </w:tcPr>
          <w:p w14:paraId="3F198C0B">
            <w:pPr>
              <w:widowControl/>
              <w:spacing w:line="5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微型</w:t>
            </w:r>
          </w:p>
        </w:tc>
      </w:tr>
      <w:tr w14:paraId="155DC18D">
        <w:tblPrEx>
          <w:tblCellMar>
            <w:top w:w="0" w:type="dxa"/>
            <w:left w:w="108" w:type="dxa"/>
            <w:bottom w:w="0" w:type="dxa"/>
            <w:right w:w="108" w:type="dxa"/>
          </w:tblCellMar>
        </w:tblPrEx>
        <w:trPr>
          <w:trHeight w:val="225" w:hRule="atLeast"/>
        </w:trPr>
        <w:tc>
          <w:tcPr>
            <w:tcW w:w="1688" w:type="dxa"/>
            <w:tcBorders>
              <w:top w:val="nil"/>
              <w:left w:val="single" w:color="auto" w:sz="4" w:space="0"/>
              <w:bottom w:val="single" w:color="auto" w:sz="4" w:space="0"/>
              <w:right w:val="single" w:color="auto" w:sz="4" w:space="0"/>
            </w:tcBorders>
            <w:vAlign w:val="center"/>
          </w:tcPr>
          <w:p w14:paraId="3C249526">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农、林、牧、渔</w:t>
            </w:r>
          </w:p>
        </w:tc>
        <w:tc>
          <w:tcPr>
            <w:tcW w:w="1512" w:type="dxa"/>
            <w:tcBorders>
              <w:top w:val="nil"/>
              <w:left w:val="nil"/>
              <w:bottom w:val="single" w:color="auto" w:sz="4" w:space="0"/>
              <w:right w:val="single" w:color="auto" w:sz="4" w:space="0"/>
            </w:tcBorders>
            <w:vAlign w:val="center"/>
          </w:tcPr>
          <w:p w14:paraId="2141724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25" w:type="dxa"/>
            <w:tcBorders>
              <w:top w:val="nil"/>
              <w:left w:val="nil"/>
              <w:bottom w:val="single" w:color="auto" w:sz="4" w:space="0"/>
              <w:right w:val="single" w:color="auto" w:sz="4" w:space="0"/>
            </w:tcBorders>
            <w:vAlign w:val="center"/>
          </w:tcPr>
          <w:p w14:paraId="1DE8A75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14" w:type="dxa"/>
            <w:tcBorders>
              <w:top w:val="nil"/>
              <w:left w:val="nil"/>
              <w:bottom w:val="single" w:color="auto" w:sz="4" w:space="0"/>
              <w:right w:val="single" w:color="auto" w:sz="4" w:space="0"/>
            </w:tcBorders>
            <w:vAlign w:val="center"/>
          </w:tcPr>
          <w:p w14:paraId="64E81E1B">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11" w:type="dxa"/>
            <w:tcBorders>
              <w:top w:val="nil"/>
              <w:left w:val="nil"/>
              <w:bottom w:val="single" w:color="auto" w:sz="4" w:space="0"/>
              <w:right w:val="single" w:color="auto" w:sz="4" w:space="0"/>
            </w:tcBorders>
            <w:vAlign w:val="center"/>
          </w:tcPr>
          <w:p w14:paraId="268EDB66">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50≤Y＜500</w:t>
            </w:r>
          </w:p>
        </w:tc>
        <w:tc>
          <w:tcPr>
            <w:tcW w:w="1613" w:type="dxa"/>
            <w:tcBorders>
              <w:top w:val="nil"/>
              <w:left w:val="nil"/>
              <w:bottom w:val="single" w:color="auto" w:sz="4" w:space="0"/>
              <w:right w:val="single" w:color="auto" w:sz="4" w:space="0"/>
            </w:tcBorders>
            <w:vAlign w:val="center"/>
          </w:tcPr>
          <w:p w14:paraId="43B2C7FA">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0194FEE1">
        <w:tblPrEx>
          <w:tblCellMar>
            <w:top w:w="0" w:type="dxa"/>
            <w:left w:w="108" w:type="dxa"/>
            <w:bottom w:w="0" w:type="dxa"/>
            <w:right w:w="108" w:type="dxa"/>
          </w:tblCellMar>
        </w:tblPrEx>
        <w:trPr>
          <w:trHeight w:val="225" w:hRule="atLeast"/>
        </w:trPr>
        <w:tc>
          <w:tcPr>
            <w:tcW w:w="1688" w:type="dxa"/>
            <w:vMerge w:val="restart"/>
            <w:tcBorders>
              <w:top w:val="nil"/>
              <w:left w:val="single" w:color="auto" w:sz="4" w:space="0"/>
              <w:bottom w:val="single" w:color="auto" w:sz="4" w:space="0"/>
              <w:right w:val="single" w:color="auto" w:sz="4" w:space="0"/>
            </w:tcBorders>
            <w:vAlign w:val="center"/>
          </w:tcPr>
          <w:p w14:paraId="642D7A67">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工业</w:t>
            </w:r>
          </w:p>
        </w:tc>
        <w:tc>
          <w:tcPr>
            <w:tcW w:w="1512" w:type="dxa"/>
            <w:tcBorders>
              <w:top w:val="nil"/>
              <w:left w:val="nil"/>
              <w:bottom w:val="single" w:color="auto" w:sz="4" w:space="0"/>
              <w:right w:val="single" w:color="auto" w:sz="4" w:space="0"/>
            </w:tcBorders>
            <w:vAlign w:val="center"/>
          </w:tcPr>
          <w:p w14:paraId="06E53F5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25" w:type="dxa"/>
            <w:tcBorders>
              <w:top w:val="nil"/>
              <w:left w:val="nil"/>
              <w:bottom w:val="single" w:color="auto" w:sz="4" w:space="0"/>
              <w:right w:val="single" w:color="auto" w:sz="4" w:space="0"/>
            </w:tcBorders>
            <w:vAlign w:val="center"/>
          </w:tcPr>
          <w:p w14:paraId="18CFDA7A">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2014" w:type="dxa"/>
            <w:tcBorders>
              <w:top w:val="nil"/>
              <w:left w:val="nil"/>
              <w:bottom w:val="single" w:color="auto" w:sz="4" w:space="0"/>
              <w:right w:val="single" w:color="auto" w:sz="4" w:space="0"/>
            </w:tcBorders>
            <w:vAlign w:val="center"/>
          </w:tcPr>
          <w:p w14:paraId="0C63F93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11" w:type="dxa"/>
            <w:tcBorders>
              <w:top w:val="nil"/>
              <w:left w:val="nil"/>
              <w:bottom w:val="single" w:color="auto" w:sz="4" w:space="0"/>
              <w:right w:val="single" w:color="auto" w:sz="4" w:space="0"/>
            </w:tcBorders>
            <w:vAlign w:val="center"/>
          </w:tcPr>
          <w:p w14:paraId="47D60FE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613" w:type="dxa"/>
            <w:tcBorders>
              <w:top w:val="nil"/>
              <w:left w:val="nil"/>
              <w:bottom w:val="single" w:color="auto" w:sz="4" w:space="0"/>
              <w:right w:val="single" w:color="auto" w:sz="4" w:space="0"/>
            </w:tcBorders>
            <w:vAlign w:val="center"/>
          </w:tcPr>
          <w:p w14:paraId="30F7C5A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672EC362">
        <w:tblPrEx>
          <w:tblCellMar>
            <w:top w:w="0" w:type="dxa"/>
            <w:left w:w="108" w:type="dxa"/>
            <w:bottom w:w="0" w:type="dxa"/>
            <w:right w:w="108" w:type="dxa"/>
          </w:tblCellMar>
        </w:tblPrEx>
        <w:trPr>
          <w:trHeight w:val="225" w:hRule="atLeast"/>
        </w:trPr>
        <w:tc>
          <w:tcPr>
            <w:tcW w:w="1688" w:type="dxa"/>
            <w:vMerge w:val="continue"/>
            <w:tcBorders>
              <w:top w:val="nil"/>
              <w:left w:val="single" w:color="auto" w:sz="4" w:space="0"/>
              <w:bottom w:val="single" w:color="auto" w:sz="4" w:space="0"/>
              <w:right w:val="single" w:color="auto" w:sz="4" w:space="0"/>
            </w:tcBorders>
            <w:vAlign w:val="center"/>
          </w:tcPr>
          <w:p w14:paraId="6EE2C9FA">
            <w:pPr>
              <w:widowControl/>
              <w:spacing w:line="520" w:lineRule="exact"/>
              <w:jc w:val="center"/>
              <w:rPr>
                <w:rFonts w:ascii="宋体" w:hAnsi="宋体" w:cs="宋体"/>
                <w:b/>
                <w:bCs/>
                <w:color w:val="auto"/>
                <w:kern w:val="0"/>
                <w:szCs w:val="21"/>
                <w:highlight w:val="none"/>
              </w:rPr>
            </w:pPr>
          </w:p>
        </w:tc>
        <w:tc>
          <w:tcPr>
            <w:tcW w:w="1512" w:type="dxa"/>
            <w:tcBorders>
              <w:top w:val="nil"/>
              <w:left w:val="nil"/>
              <w:bottom w:val="single" w:color="auto" w:sz="4" w:space="0"/>
              <w:right w:val="single" w:color="auto" w:sz="4" w:space="0"/>
            </w:tcBorders>
            <w:vAlign w:val="center"/>
          </w:tcPr>
          <w:p w14:paraId="60D285A0">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25" w:type="dxa"/>
            <w:tcBorders>
              <w:top w:val="nil"/>
              <w:left w:val="nil"/>
              <w:bottom w:val="single" w:color="auto" w:sz="4" w:space="0"/>
              <w:right w:val="single" w:color="auto" w:sz="4" w:space="0"/>
            </w:tcBorders>
            <w:vAlign w:val="center"/>
          </w:tcPr>
          <w:p w14:paraId="2CD9A01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14" w:type="dxa"/>
            <w:tcBorders>
              <w:top w:val="nil"/>
              <w:left w:val="nil"/>
              <w:bottom w:val="single" w:color="auto" w:sz="4" w:space="0"/>
              <w:right w:val="single" w:color="auto" w:sz="4" w:space="0"/>
            </w:tcBorders>
            <w:vAlign w:val="center"/>
          </w:tcPr>
          <w:p w14:paraId="32C21183">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611" w:type="dxa"/>
            <w:tcBorders>
              <w:top w:val="nil"/>
              <w:left w:val="nil"/>
              <w:bottom w:val="single" w:color="auto" w:sz="4" w:space="0"/>
              <w:right w:val="single" w:color="auto" w:sz="4" w:space="0"/>
            </w:tcBorders>
            <w:vAlign w:val="center"/>
          </w:tcPr>
          <w:p w14:paraId="07BA62E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613" w:type="dxa"/>
            <w:tcBorders>
              <w:top w:val="nil"/>
              <w:left w:val="nil"/>
              <w:bottom w:val="single" w:color="auto" w:sz="4" w:space="0"/>
              <w:right w:val="single" w:color="auto" w:sz="4" w:space="0"/>
            </w:tcBorders>
            <w:vAlign w:val="center"/>
          </w:tcPr>
          <w:p w14:paraId="4EF33D16">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27291F0E">
        <w:tblPrEx>
          <w:tblCellMar>
            <w:top w:w="0" w:type="dxa"/>
            <w:left w:w="108" w:type="dxa"/>
            <w:bottom w:w="0" w:type="dxa"/>
            <w:right w:w="108" w:type="dxa"/>
          </w:tblCellMar>
        </w:tblPrEx>
        <w:trPr>
          <w:trHeight w:val="225" w:hRule="atLeast"/>
        </w:trPr>
        <w:tc>
          <w:tcPr>
            <w:tcW w:w="1688" w:type="dxa"/>
            <w:vMerge w:val="restart"/>
            <w:tcBorders>
              <w:top w:val="nil"/>
              <w:left w:val="single" w:color="auto" w:sz="4" w:space="0"/>
              <w:bottom w:val="single" w:color="auto" w:sz="4" w:space="0"/>
              <w:right w:val="single" w:color="auto" w:sz="4" w:space="0"/>
            </w:tcBorders>
            <w:vAlign w:val="center"/>
          </w:tcPr>
          <w:p w14:paraId="6B97E56E">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建筑业</w:t>
            </w:r>
          </w:p>
        </w:tc>
        <w:tc>
          <w:tcPr>
            <w:tcW w:w="1512" w:type="dxa"/>
            <w:tcBorders>
              <w:top w:val="nil"/>
              <w:left w:val="nil"/>
              <w:bottom w:val="single" w:color="auto" w:sz="4" w:space="0"/>
              <w:right w:val="single" w:color="auto" w:sz="4" w:space="0"/>
            </w:tcBorders>
            <w:vAlign w:val="center"/>
          </w:tcPr>
          <w:p w14:paraId="413DE326">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25" w:type="dxa"/>
            <w:tcBorders>
              <w:top w:val="nil"/>
              <w:left w:val="nil"/>
              <w:bottom w:val="single" w:color="auto" w:sz="4" w:space="0"/>
              <w:right w:val="single" w:color="auto" w:sz="4" w:space="0"/>
            </w:tcBorders>
            <w:vAlign w:val="center"/>
          </w:tcPr>
          <w:p w14:paraId="41F25E20">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14" w:type="dxa"/>
            <w:tcBorders>
              <w:top w:val="nil"/>
              <w:left w:val="nil"/>
              <w:bottom w:val="single" w:color="auto" w:sz="4" w:space="0"/>
              <w:right w:val="single" w:color="auto" w:sz="4" w:space="0"/>
            </w:tcBorders>
            <w:vAlign w:val="center"/>
          </w:tcPr>
          <w:p w14:paraId="38F6090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611" w:type="dxa"/>
            <w:tcBorders>
              <w:top w:val="nil"/>
              <w:left w:val="nil"/>
              <w:bottom w:val="single" w:color="auto" w:sz="4" w:space="0"/>
              <w:right w:val="single" w:color="auto" w:sz="4" w:space="0"/>
            </w:tcBorders>
            <w:vAlign w:val="center"/>
          </w:tcPr>
          <w:p w14:paraId="6886CFB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613" w:type="dxa"/>
            <w:tcBorders>
              <w:top w:val="nil"/>
              <w:left w:val="nil"/>
              <w:bottom w:val="single" w:color="auto" w:sz="4" w:space="0"/>
              <w:right w:val="single" w:color="auto" w:sz="4" w:space="0"/>
            </w:tcBorders>
            <w:vAlign w:val="center"/>
          </w:tcPr>
          <w:p w14:paraId="4A74048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7B8210B4">
        <w:tblPrEx>
          <w:tblCellMar>
            <w:top w:w="0" w:type="dxa"/>
            <w:left w:w="108" w:type="dxa"/>
            <w:bottom w:w="0" w:type="dxa"/>
            <w:right w:w="108" w:type="dxa"/>
          </w:tblCellMar>
        </w:tblPrEx>
        <w:trPr>
          <w:trHeight w:val="225" w:hRule="atLeast"/>
        </w:trPr>
        <w:tc>
          <w:tcPr>
            <w:tcW w:w="1688" w:type="dxa"/>
            <w:vMerge w:val="continue"/>
            <w:tcBorders>
              <w:top w:val="nil"/>
              <w:left w:val="single" w:color="auto" w:sz="4" w:space="0"/>
              <w:bottom w:val="single" w:color="auto" w:sz="4" w:space="0"/>
              <w:right w:val="single" w:color="auto" w:sz="4" w:space="0"/>
            </w:tcBorders>
            <w:vAlign w:val="center"/>
          </w:tcPr>
          <w:p w14:paraId="1B8E96E5">
            <w:pPr>
              <w:widowControl/>
              <w:spacing w:line="520" w:lineRule="exact"/>
              <w:jc w:val="center"/>
              <w:rPr>
                <w:rFonts w:ascii="宋体" w:hAnsi="宋体" w:cs="宋体"/>
                <w:b/>
                <w:bCs/>
                <w:color w:val="auto"/>
                <w:kern w:val="0"/>
                <w:szCs w:val="21"/>
                <w:highlight w:val="none"/>
              </w:rPr>
            </w:pPr>
          </w:p>
        </w:tc>
        <w:tc>
          <w:tcPr>
            <w:tcW w:w="1512" w:type="dxa"/>
            <w:tcBorders>
              <w:top w:val="nil"/>
              <w:left w:val="nil"/>
              <w:bottom w:val="single" w:color="auto" w:sz="4" w:space="0"/>
              <w:right w:val="single" w:color="auto" w:sz="4" w:space="0"/>
            </w:tcBorders>
            <w:vAlign w:val="center"/>
          </w:tcPr>
          <w:p w14:paraId="02B6B423">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25" w:type="dxa"/>
            <w:tcBorders>
              <w:top w:val="nil"/>
              <w:left w:val="nil"/>
              <w:bottom w:val="single" w:color="auto" w:sz="4" w:space="0"/>
              <w:right w:val="single" w:color="auto" w:sz="4" w:space="0"/>
            </w:tcBorders>
            <w:vAlign w:val="center"/>
          </w:tcPr>
          <w:p w14:paraId="67142E81">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14" w:type="dxa"/>
            <w:tcBorders>
              <w:top w:val="nil"/>
              <w:left w:val="nil"/>
              <w:bottom w:val="single" w:color="auto" w:sz="4" w:space="0"/>
              <w:right w:val="single" w:color="auto" w:sz="4" w:space="0"/>
            </w:tcBorders>
            <w:vAlign w:val="center"/>
          </w:tcPr>
          <w:p w14:paraId="4A9BDA65">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611" w:type="dxa"/>
            <w:tcBorders>
              <w:top w:val="nil"/>
              <w:left w:val="nil"/>
              <w:bottom w:val="single" w:color="auto" w:sz="4" w:space="0"/>
              <w:right w:val="single" w:color="auto" w:sz="4" w:space="0"/>
            </w:tcBorders>
            <w:vAlign w:val="center"/>
          </w:tcPr>
          <w:p w14:paraId="14853E16">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613" w:type="dxa"/>
            <w:tcBorders>
              <w:top w:val="nil"/>
              <w:left w:val="nil"/>
              <w:bottom w:val="single" w:color="auto" w:sz="4" w:space="0"/>
              <w:right w:val="single" w:color="auto" w:sz="4" w:space="0"/>
            </w:tcBorders>
            <w:vAlign w:val="center"/>
          </w:tcPr>
          <w:p w14:paraId="0E048F85">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4C9B025D">
        <w:tblPrEx>
          <w:tblCellMar>
            <w:top w:w="0" w:type="dxa"/>
            <w:left w:w="108" w:type="dxa"/>
            <w:bottom w:w="0" w:type="dxa"/>
            <w:right w:w="108" w:type="dxa"/>
          </w:tblCellMar>
        </w:tblPrEx>
        <w:trPr>
          <w:trHeight w:val="225" w:hRule="atLeast"/>
        </w:trPr>
        <w:tc>
          <w:tcPr>
            <w:tcW w:w="1688" w:type="dxa"/>
            <w:vMerge w:val="restart"/>
            <w:tcBorders>
              <w:top w:val="nil"/>
              <w:left w:val="single" w:color="auto" w:sz="4" w:space="0"/>
              <w:bottom w:val="single" w:color="auto" w:sz="4" w:space="0"/>
              <w:right w:val="single" w:color="auto" w:sz="4" w:space="0"/>
            </w:tcBorders>
            <w:vAlign w:val="center"/>
          </w:tcPr>
          <w:p w14:paraId="3E95BBAE">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批发业</w:t>
            </w:r>
          </w:p>
        </w:tc>
        <w:tc>
          <w:tcPr>
            <w:tcW w:w="1512" w:type="dxa"/>
            <w:tcBorders>
              <w:top w:val="nil"/>
              <w:left w:val="nil"/>
              <w:bottom w:val="single" w:color="auto" w:sz="4" w:space="0"/>
              <w:right w:val="single" w:color="auto" w:sz="4" w:space="0"/>
            </w:tcBorders>
            <w:vAlign w:val="center"/>
          </w:tcPr>
          <w:p w14:paraId="3118E1E0">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25" w:type="dxa"/>
            <w:tcBorders>
              <w:top w:val="nil"/>
              <w:left w:val="nil"/>
              <w:bottom w:val="single" w:color="auto" w:sz="4" w:space="0"/>
              <w:right w:val="single" w:color="auto" w:sz="4" w:space="0"/>
            </w:tcBorders>
            <w:vAlign w:val="center"/>
          </w:tcPr>
          <w:p w14:paraId="4ED930BA">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2014" w:type="dxa"/>
            <w:tcBorders>
              <w:top w:val="nil"/>
              <w:left w:val="nil"/>
              <w:bottom w:val="single" w:color="auto" w:sz="4" w:space="0"/>
              <w:right w:val="single" w:color="auto" w:sz="4" w:space="0"/>
            </w:tcBorders>
            <w:vAlign w:val="center"/>
          </w:tcPr>
          <w:p w14:paraId="49DE59F1">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611" w:type="dxa"/>
            <w:tcBorders>
              <w:top w:val="nil"/>
              <w:left w:val="nil"/>
              <w:bottom w:val="single" w:color="auto" w:sz="4" w:space="0"/>
              <w:right w:val="single" w:color="auto" w:sz="4" w:space="0"/>
            </w:tcBorders>
            <w:vAlign w:val="center"/>
          </w:tcPr>
          <w:p w14:paraId="591291C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5≤X＜20</w:t>
            </w:r>
          </w:p>
        </w:tc>
        <w:tc>
          <w:tcPr>
            <w:tcW w:w="1613" w:type="dxa"/>
            <w:tcBorders>
              <w:top w:val="nil"/>
              <w:left w:val="nil"/>
              <w:bottom w:val="single" w:color="auto" w:sz="4" w:space="0"/>
              <w:right w:val="single" w:color="auto" w:sz="4" w:space="0"/>
            </w:tcBorders>
            <w:vAlign w:val="center"/>
          </w:tcPr>
          <w:p w14:paraId="33FBE86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50CF5DA4">
        <w:tblPrEx>
          <w:tblCellMar>
            <w:top w:w="0" w:type="dxa"/>
            <w:left w:w="108" w:type="dxa"/>
            <w:bottom w:w="0" w:type="dxa"/>
            <w:right w:w="108" w:type="dxa"/>
          </w:tblCellMar>
        </w:tblPrEx>
        <w:trPr>
          <w:trHeight w:val="225" w:hRule="atLeast"/>
        </w:trPr>
        <w:tc>
          <w:tcPr>
            <w:tcW w:w="1688" w:type="dxa"/>
            <w:vMerge w:val="continue"/>
            <w:tcBorders>
              <w:top w:val="nil"/>
              <w:left w:val="single" w:color="auto" w:sz="4" w:space="0"/>
              <w:bottom w:val="single" w:color="auto" w:sz="4" w:space="0"/>
              <w:right w:val="single" w:color="auto" w:sz="4" w:space="0"/>
            </w:tcBorders>
            <w:vAlign w:val="center"/>
          </w:tcPr>
          <w:p w14:paraId="4D0B0C50">
            <w:pPr>
              <w:widowControl/>
              <w:spacing w:line="520" w:lineRule="exact"/>
              <w:jc w:val="center"/>
              <w:rPr>
                <w:rFonts w:ascii="宋体" w:hAnsi="宋体" w:cs="宋体"/>
                <w:b/>
                <w:bCs/>
                <w:color w:val="auto"/>
                <w:kern w:val="0"/>
                <w:szCs w:val="21"/>
                <w:highlight w:val="none"/>
              </w:rPr>
            </w:pPr>
          </w:p>
        </w:tc>
        <w:tc>
          <w:tcPr>
            <w:tcW w:w="1512" w:type="dxa"/>
            <w:tcBorders>
              <w:top w:val="nil"/>
              <w:left w:val="nil"/>
              <w:bottom w:val="single" w:color="auto" w:sz="4" w:space="0"/>
              <w:right w:val="single" w:color="auto" w:sz="4" w:space="0"/>
            </w:tcBorders>
            <w:vAlign w:val="center"/>
          </w:tcPr>
          <w:p w14:paraId="2DCB72E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25" w:type="dxa"/>
            <w:tcBorders>
              <w:top w:val="nil"/>
              <w:left w:val="nil"/>
              <w:bottom w:val="single" w:color="auto" w:sz="4" w:space="0"/>
              <w:right w:val="single" w:color="auto" w:sz="4" w:space="0"/>
            </w:tcBorders>
            <w:vAlign w:val="center"/>
          </w:tcPr>
          <w:p w14:paraId="25CDBAED">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14" w:type="dxa"/>
            <w:tcBorders>
              <w:top w:val="nil"/>
              <w:left w:val="nil"/>
              <w:bottom w:val="single" w:color="auto" w:sz="4" w:space="0"/>
              <w:right w:val="single" w:color="auto" w:sz="4" w:space="0"/>
            </w:tcBorders>
            <w:vAlign w:val="center"/>
          </w:tcPr>
          <w:p w14:paraId="16EE08B4">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611" w:type="dxa"/>
            <w:tcBorders>
              <w:top w:val="nil"/>
              <w:left w:val="nil"/>
              <w:bottom w:val="single" w:color="auto" w:sz="4" w:space="0"/>
              <w:right w:val="single" w:color="auto" w:sz="4" w:space="0"/>
            </w:tcBorders>
            <w:vAlign w:val="center"/>
          </w:tcPr>
          <w:p w14:paraId="037E1935">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613" w:type="dxa"/>
            <w:tcBorders>
              <w:top w:val="nil"/>
              <w:left w:val="nil"/>
              <w:bottom w:val="single" w:color="auto" w:sz="4" w:space="0"/>
              <w:right w:val="single" w:color="auto" w:sz="4" w:space="0"/>
            </w:tcBorders>
            <w:vAlign w:val="center"/>
          </w:tcPr>
          <w:p w14:paraId="04C14F40">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068C1069">
        <w:tblPrEx>
          <w:tblCellMar>
            <w:top w:w="0" w:type="dxa"/>
            <w:left w:w="108" w:type="dxa"/>
            <w:bottom w:w="0" w:type="dxa"/>
            <w:right w:w="108" w:type="dxa"/>
          </w:tblCellMar>
        </w:tblPrEx>
        <w:trPr>
          <w:trHeight w:val="225" w:hRule="atLeast"/>
        </w:trPr>
        <w:tc>
          <w:tcPr>
            <w:tcW w:w="1688" w:type="dxa"/>
            <w:vMerge w:val="restart"/>
            <w:tcBorders>
              <w:top w:val="nil"/>
              <w:left w:val="single" w:color="auto" w:sz="4" w:space="0"/>
              <w:bottom w:val="single" w:color="auto" w:sz="4" w:space="0"/>
              <w:right w:val="single" w:color="auto" w:sz="4" w:space="0"/>
            </w:tcBorders>
            <w:vAlign w:val="center"/>
          </w:tcPr>
          <w:p w14:paraId="1B94558F">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零售业</w:t>
            </w:r>
          </w:p>
        </w:tc>
        <w:tc>
          <w:tcPr>
            <w:tcW w:w="1512" w:type="dxa"/>
            <w:tcBorders>
              <w:top w:val="nil"/>
              <w:left w:val="nil"/>
              <w:bottom w:val="single" w:color="auto" w:sz="4" w:space="0"/>
              <w:right w:val="single" w:color="auto" w:sz="4" w:space="0"/>
            </w:tcBorders>
            <w:vAlign w:val="center"/>
          </w:tcPr>
          <w:p w14:paraId="2B60E136">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25" w:type="dxa"/>
            <w:tcBorders>
              <w:top w:val="nil"/>
              <w:left w:val="nil"/>
              <w:bottom w:val="single" w:color="auto" w:sz="4" w:space="0"/>
              <w:right w:val="single" w:color="auto" w:sz="4" w:space="0"/>
            </w:tcBorders>
            <w:vAlign w:val="center"/>
          </w:tcPr>
          <w:p w14:paraId="7FA91DF4">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2014" w:type="dxa"/>
            <w:tcBorders>
              <w:top w:val="nil"/>
              <w:left w:val="nil"/>
              <w:bottom w:val="single" w:color="auto" w:sz="4" w:space="0"/>
              <w:right w:val="single" w:color="auto" w:sz="4" w:space="0"/>
            </w:tcBorders>
            <w:vAlign w:val="center"/>
          </w:tcPr>
          <w:p w14:paraId="481C75DD">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611" w:type="dxa"/>
            <w:tcBorders>
              <w:top w:val="nil"/>
              <w:left w:val="nil"/>
              <w:bottom w:val="single" w:color="auto" w:sz="4" w:space="0"/>
              <w:right w:val="single" w:color="auto" w:sz="4" w:space="0"/>
            </w:tcBorders>
            <w:vAlign w:val="center"/>
          </w:tcPr>
          <w:p w14:paraId="325AD7A5">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10≤X＜50</w:t>
            </w:r>
          </w:p>
        </w:tc>
        <w:tc>
          <w:tcPr>
            <w:tcW w:w="1613" w:type="dxa"/>
            <w:tcBorders>
              <w:top w:val="nil"/>
              <w:left w:val="nil"/>
              <w:bottom w:val="single" w:color="auto" w:sz="4" w:space="0"/>
              <w:right w:val="single" w:color="auto" w:sz="4" w:space="0"/>
            </w:tcBorders>
            <w:vAlign w:val="center"/>
          </w:tcPr>
          <w:p w14:paraId="2B62280B">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5297BB38">
        <w:tblPrEx>
          <w:tblCellMar>
            <w:top w:w="0" w:type="dxa"/>
            <w:left w:w="108" w:type="dxa"/>
            <w:bottom w:w="0" w:type="dxa"/>
            <w:right w:w="108" w:type="dxa"/>
          </w:tblCellMar>
        </w:tblPrEx>
        <w:trPr>
          <w:trHeight w:val="225" w:hRule="atLeast"/>
        </w:trPr>
        <w:tc>
          <w:tcPr>
            <w:tcW w:w="1688" w:type="dxa"/>
            <w:vMerge w:val="continue"/>
            <w:tcBorders>
              <w:top w:val="nil"/>
              <w:left w:val="single" w:color="auto" w:sz="4" w:space="0"/>
              <w:bottom w:val="single" w:color="auto" w:sz="4" w:space="0"/>
              <w:right w:val="single" w:color="auto" w:sz="4" w:space="0"/>
            </w:tcBorders>
            <w:vAlign w:val="center"/>
          </w:tcPr>
          <w:p w14:paraId="1C9D6045">
            <w:pPr>
              <w:widowControl/>
              <w:spacing w:line="520" w:lineRule="exact"/>
              <w:jc w:val="center"/>
              <w:rPr>
                <w:rFonts w:ascii="宋体" w:hAnsi="宋体" w:cs="宋体"/>
                <w:b/>
                <w:bCs/>
                <w:color w:val="auto"/>
                <w:kern w:val="0"/>
                <w:szCs w:val="21"/>
                <w:highlight w:val="none"/>
              </w:rPr>
            </w:pPr>
          </w:p>
        </w:tc>
        <w:tc>
          <w:tcPr>
            <w:tcW w:w="1512" w:type="dxa"/>
            <w:tcBorders>
              <w:top w:val="nil"/>
              <w:left w:val="nil"/>
              <w:bottom w:val="single" w:color="auto" w:sz="4" w:space="0"/>
              <w:right w:val="single" w:color="auto" w:sz="4" w:space="0"/>
            </w:tcBorders>
            <w:vAlign w:val="center"/>
          </w:tcPr>
          <w:p w14:paraId="7FA8BAF4">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25" w:type="dxa"/>
            <w:tcBorders>
              <w:top w:val="nil"/>
              <w:left w:val="nil"/>
              <w:bottom w:val="single" w:color="auto" w:sz="4" w:space="0"/>
              <w:right w:val="single" w:color="auto" w:sz="4" w:space="0"/>
            </w:tcBorders>
            <w:vAlign w:val="center"/>
          </w:tcPr>
          <w:p w14:paraId="6EC2D610">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14" w:type="dxa"/>
            <w:tcBorders>
              <w:top w:val="nil"/>
              <w:left w:val="nil"/>
              <w:bottom w:val="single" w:color="auto" w:sz="4" w:space="0"/>
              <w:right w:val="single" w:color="auto" w:sz="4" w:space="0"/>
            </w:tcBorders>
            <w:vAlign w:val="center"/>
          </w:tcPr>
          <w:p w14:paraId="546E9974">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11" w:type="dxa"/>
            <w:tcBorders>
              <w:top w:val="nil"/>
              <w:left w:val="nil"/>
              <w:bottom w:val="single" w:color="auto" w:sz="4" w:space="0"/>
              <w:right w:val="single" w:color="auto" w:sz="4" w:space="0"/>
            </w:tcBorders>
            <w:vAlign w:val="center"/>
          </w:tcPr>
          <w:p w14:paraId="7DB3FB8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613" w:type="dxa"/>
            <w:tcBorders>
              <w:top w:val="nil"/>
              <w:left w:val="nil"/>
              <w:bottom w:val="single" w:color="auto" w:sz="4" w:space="0"/>
              <w:right w:val="single" w:color="auto" w:sz="4" w:space="0"/>
            </w:tcBorders>
            <w:vAlign w:val="center"/>
          </w:tcPr>
          <w:p w14:paraId="7D150092">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5568AEAF">
        <w:tblPrEx>
          <w:tblCellMar>
            <w:top w:w="0" w:type="dxa"/>
            <w:left w:w="108" w:type="dxa"/>
            <w:bottom w:w="0" w:type="dxa"/>
            <w:right w:w="108" w:type="dxa"/>
          </w:tblCellMar>
        </w:tblPrEx>
        <w:trPr>
          <w:trHeight w:val="225" w:hRule="atLeast"/>
        </w:trPr>
        <w:tc>
          <w:tcPr>
            <w:tcW w:w="1688" w:type="dxa"/>
            <w:vMerge w:val="restart"/>
            <w:tcBorders>
              <w:top w:val="nil"/>
              <w:left w:val="single" w:color="auto" w:sz="4" w:space="0"/>
              <w:bottom w:val="single" w:color="auto" w:sz="4" w:space="0"/>
              <w:right w:val="single" w:color="auto" w:sz="4" w:space="0"/>
            </w:tcBorders>
            <w:vAlign w:val="center"/>
          </w:tcPr>
          <w:p w14:paraId="0319502D">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交通运输业</w:t>
            </w:r>
          </w:p>
        </w:tc>
        <w:tc>
          <w:tcPr>
            <w:tcW w:w="1512" w:type="dxa"/>
            <w:tcBorders>
              <w:top w:val="nil"/>
              <w:left w:val="nil"/>
              <w:bottom w:val="single" w:color="auto" w:sz="4" w:space="0"/>
              <w:right w:val="single" w:color="auto" w:sz="4" w:space="0"/>
            </w:tcBorders>
            <w:vAlign w:val="center"/>
          </w:tcPr>
          <w:p w14:paraId="17EF6B6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25" w:type="dxa"/>
            <w:tcBorders>
              <w:top w:val="nil"/>
              <w:left w:val="nil"/>
              <w:bottom w:val="single" w:color="auto" w:sz="4" w:space="0"/>
              <w:right w:val="single" w:color="auto" w:sz="4" w:space="0"/>
            </w:tcBorders>
            <w:vAlign w:val="center"/>
          </w:tcPr>
          <w:p w14:paraId="5789E7F3">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2014" w:type="dxa"/>
            <w:tcBorders>
              <w:top w:val="nil"/>
              <w:left w:val="nil"/>
              <w:bottom w:val="single" w:color="auto" w:sz="4" w:space="0"/>
              <w:right w:val="single" w:color="auto" w:sz="4" w:space="0"/>
            </w:tcBorders>
            <w:vAlign w:val="center"/>
          </w:tcPr>
          <w:p w14:paraId="26F74EC5">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11" w:type="dxa"/>
            <w:tcBorders>
              <w:top w:val="nil"/>
              <w:left w:val="nil"/>
              <w:bottom w:val="single" w:color="auto" w:sz="4" w:space="0"/>
              <w:right w:val="single" w:color="auto" w:sz="4" w:space="0"/>
            </w:tcBorders>
            <w:vAlign w:val="center"/>
          </w:tcPr>
          <w:p w14:paraId="1C9E192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613" w:type="dxa"/>
            <w:tcBorders>
              <w:top w:val="nil"/>
              <w:left w:val="nil"/>
              <w:bottom w:val="single" w:color="auto" w:sz="4" w:space="0"/>
              <w:right w:val="single" w:color="auto" w:sz="4" w:space="0"/>
            </w:tcBorders>
            <w:vAlign w:val="center"/>
          </w:tcPr>
          <w:p w14:paraId="6F0380E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16AA9F9C">
        <w:tblPrEx>
          <w:tblCellMar>
            <w:top w:w="0" w:type="dxa"/>
            <w:left w:w="108" w:type="dxa"/>
            <w:bottom w:w="0" w:type="dxa"/>
            <w:right w:w="108" w:type="dxa"/>
          </w:tblCellMar>
        </w:tblPrEx>
        <w:trPr>
          <w:trHeight w:val="225" w:hRule="atLeast"/>
        </w:trPr>
        <w:tc>
          <w:tcPr>
            <w:tcW w:w="1688" w:type="dxa"/>
            <w:vMerge w:val="continue"/>
            <w:tcBorders>
              <w:top w:val="nil"/>
              <w:left w:val="single" w:color="auto" w:sz="4" w:space="0"/>
              <w:bottom w:val="single" w:color="auto" w:sz="4" w:space="0"/>
              <w:right w:val="single" w:color="auto" w:sz="4" w:space="0"/>
            </w:tcBorders>
            <w:vAlign w:val="center"/>
          </w:tcPr>
          <w:p w14:paraId="07268F08">
            <w:pPr>
              <w:widowControl/>
              <w:spacing w:line="520" w:lineRule="exact"/>
              <w:jc w:val="center"/>
              <w:rPr>
                <w:rFonts w:ascii="宋体" w:hAnsi="宋体" w:cs="宋体"/>
                <w:b/>
                <w:bCs/>
                <w:color w:val="auto"/>
                <w:kern w:val="0"/>
                <w:szCs w:val="21"/>
                <w:highlight w:val="none"/>
              </w:rPr>
            </w:pPr>
          </w:p>
        </w:tc>
        <w:tc>
          <w:tcPr>
            <w:tcW w:w="1512" w:type="dxa"/>
            <w:tcBorders>
              <w:top w:val="nil"/>
              <w:left w:val="nil"/>
              <w:bottom w:val="single" w:color="auto" w:sz="4" w:space="0"/>
              <w:right w:val="single" w:color="auto" w:sz="4" w:space="0"/>
            </w:tcBorders>
            <w:vAlign w:val="center"/>
          </w:tcPr>
          <w:p w14:paraId="27D7E588">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25" w:type="dxa"/>
            <w:tcBorders>
              <w:top w:val="nil"/>
              <w:left w:val="nil"/>
              <w:bottom w:val="single" w:color="auto" w:sz="4" w:space="0"/>
              <w:right w:val="single" w:color="auto" w:sz="4" w:space="0"/>
            </w:tcBorders>
            <w:vAlign w:val="center"/>
          </w:tcPr>
          <w:p w14:paraId="7CC62F9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14" w:type="dxa"/>
            <w:tcBorders>
              <w:top w:val="nil"/>
              <w:left w:val="nil"/>
              <w:bottom w:val="single" w:color="auto" w:sz="4" w:space="0"/>
              <w:right w:val="single" w:color="auto" w:sz="4" w:space="0"/>
            </w:tcBorders>
            <w:vAlign w:val="center"/>
          </w:tcPr>
          <w:p w14:paraId="44C2BFD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611" w:type="dxa"/>
            <w:tcBorders>
              <w:top w:val="nil"/>
              <w:left w:val="nil"/>
              <w:bottom w:val="single" w:color="auto" w:sz="4" w:space="0"/>
              <w:right w:val="single" w:color="auto" w:sz="4" w:space="0"/>
            </w:tcBorders>
            <w:vAlign w:val="center"/>
          </w:tcPr>
          <w:p w14:paraId="676DC0CA">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613" w:type="dxa"/>
            <w:tcBorders>
              <w:top w:val="nil"/>
              <w:left w:val="nil"/>
              <w:bottom w:val="single" w:color="auto" w:sz="4" w:space="0"/>
              <w:right w:val="single" w:color="auto" w:sz="4" w:space="0"/>
            </w:tcBorders>
            <w:vAlign w:val="center"/>
          </w:tcPr>
          <w:p w14:paraId="2AFEC0E1">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7E562D5A">
        <w:tblPrEx>
          <w:tblCellMar>
            <w:top w:w="0" w:type="dxa"/>
            <w:left w:w="108" w:type="dxa"/>
            <w:bottom w:w="0" w:type="dxa"/>
            <w:right w:w="108" w:type="dxa"/>
          </w:tblCellMar>
        </w:tblPrEx>
        <w:trPr>
          <w:trHeight w:val="225" w:hRule="atLeast"/>
        </w:trPr>
        <w:tc>
          <w:tcPr>
            <w:tcW w:w="1688" w:type="dxa"/>
            <w:vMerge w:val="restart"/>
            <w:tcBorders>
              <w:top w:val="nil"/>
              <w:left w:val="single" w:color="auto" w:sz="4" w:space="0"/>
              <w:bottom w:val="single" w:color="auto" w:sz="4" w:space="0"/>
              <w:right w:val="single" w:color="auto" w:sz="4" w:space="0"/>
            </w:tcBorders>
            <w:vAlign w:val="center"/>
          </w:tcPr>
          <w:p w14:paraId="67CF0DDC">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仓储业</w:t>
            </w:r>
          </w:p>
        </w:tc>
        <w:tc>
          <w:tcPr>
            <w:tcW w:w="1512" w:type="dxa"/>
            <w:tcBorders>
              <w:top w:val="nil"/>
              <w:left w:val="nil"/>
              <w:bottom w:val="single" w:color="auto" w:sz="4" w:space="0"/>
              <w:right w:val="single" w:color="auto" w:sz="4" w:space="0"/>
            </w:tcBorders>
            <w:vAlign w:val="center"/>
          </w:tcPr>
          <w:p w14:paraId="5102251B">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25" w:type="dxa"/>
            <w:tcBorders>
              <w:top w:val="nil"/>
              <w:left w:val="nil"/>
              <w:bottom w:val="single" w:color="auto" w:sz="4" w:space="0"/>
              <w:right w:val="single" w:color="auto" w:sz="4" w:space="0"/>
            </w:tcBorders>
            <w:vAlign w:val="center"/>
          </w:tcPr>
          <w:p w14:paraId="7453DD98">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2014" w:type="dxa"/>
            <w:tcBorders>
              <w:top w:val="nil"/>
              <w:left w:val="nil"/>
              <w:bottom w:val="single" w:color="auto" w:sz="4" w:space="0"/>
              <w:right w:val="single" w:color="auto" w:sz="4" w:space="0"/>
            </w:tcBorders>
            <w:vAlign w:val="center"/>
          </w:tcPr>
          <w:p w14:paraId="7D6C191B">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611" w:type="dxa"/>
            <w:tcBorders>
              <w:top w:val="nil"/>
              <w:left w:val="nil"/>
              <w:bottom w:val="single" w:color="auto" w:sz="4" w:space="0"/>
              <w:right w:val="single" w:color="auto" w:sz="4" w:space="0"/>
            </w:tcBorders>
            <w:vAlign w:val="center"/>
          </w:tcPr>
          <w:p w14:paraId="74B10566">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20≤X＜100</w:t>
            </w:r>
          </w:p>
        </w:tc>
        <w:tc>
          <w:tcPr>
            <w:tcW w:w="1613" w:type="dxa"/>
            <w:tcBorders>
              <w:top w:val="nil"/>
              <w:left w:val="nil"/>
              <w:bottom w:val="single" w:color="auto" w:sz="4" w:space="0"/>
              <w:right w:val="single" w:color="auto" w:sz="4" w:space="0"/>
            </w:tcBorders>
            <w:vAlign w:val="center"/>
          </w:tcPr>
          <w:p w14:paraId="6A469C84">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12D8E07">
        <w:tblPrEx>
          <w:tblCellMar>
            <w:top w:w="0" w:type="dxa"/>
            <w:left w:w="108" w:type="dxa"/>
            <w:bottom w:w="0" w:type="dxa"/>
            <w:right w:w="108" w:type="dxa"/>
          </w:tblCellMar>
        </w:tblPrEx>
        <w:trPr>
          <w:trHeight w:val="225" w:hRule="atLeast"/>
        </w:trPr>
        <w:tc>
          <w:tcPr>
            <w:tcW w:w="1688" w:type="dxa"/>
            <w:vMerge w:val="continue"/>
            <w:tcBorders>
              <w:top w:val="nil"/>
              <w:left w:val="single" w:color="auto" w:sz="4" w:space="0"/>
              <w:bottom w:val="single" w:color="auto" w:sz="4" w:space="0"/>
              <w:right w:val="single" w:color="auto" w:sz="4" w:space="0"/>
            </w:tcBorders>
            <w:vAlign w:val="center"/>
          </w:tcPr>
          <w:p w14:paraId="3B02B7C7">
            <w:pPr>
              <w:widowControl/>
              <w:spacing w:line="520" w:lineRule="exact"/>
              <w:jc w:val="center"/>
              <w:rPr>
                <w:rFonts w:ascii="宋体" w:hAnsi="宋体" w:cs="宋体"/>
                <w:b/>
                <w:bCs/>
                <w:color w:val="auto"/>
                <w:kern w:val="0"/>
                <w:szCs w:val="21"/>
                <w:highlight w:val="none"/>
              </w:rPr>
            </w:pPr>
          </w:p>
        </w:tc>
        <w:tc>
          <w:tcPr>
            <w:tcW w:w="1512" w:type="dxa"/>
            <w:tcBorders>
              <w:top w:val="nil"/>
              <w:left w:val="nil"/>
              <w:bottom w:val="single" w:color="auto" w:sz="4" w:space="0"/>
              <w:right w:val="single" w:color="auto" w:sz="4" w:space="0"/>
            </w:tcBorders>
            <w:vAlign w:val="center"/>
          </w:tcPr>
          <w:p w14:paraId="7106FD13">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25" w:type="dxa"/>
            <w:tcBorders>
              <w:top w:val="nil"/>
              <w:left w:val="nil"/>
              <w:bottom w:val="single" w:color="auto" w:sz="4" w:space="0"/>
              <w:right w:val="single" w:color="auto" w:sz="4" w:space="0"/>
            </w:tcBorders>
            <w:vAlign w:val="center"/>
          </w:tcPr>
          <w:p w14:paraId="611631A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14" w:type="dxa"/>
            <w:tcBorders>
              <w:top w:val="nil"/>
              <w:left w:val="nil"/>
              <w:bottom w:val="single" w:color="auto" w:sz="4" w:space="0"/>
              <w:right w:val="single" w:color="auto" w:sz="4" w:space="0"/>
            </w:tcBorders>
            <w:vAlign w:val="center"/>
          </w:tcPr>
          <w:p w14:paraId="1301C871">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611" w:type="dxa"/>
            <w:tcBorders>
              <w:top w:val="nil"/>
              <w:left w:val="nil"/>
              <w:bottom w:val="single" w:color="auto" w:sz="4" w:space="0"/>
              <w:right w:val="single" w:color="auto" w:sz="4" w:space="0"/>
            </w:tcBorders>
            <w:vAlign w:val="center"/>
          </w:tcPr>
          <w:p w14:paraId="76A06456">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613" w:type="dxa"/>
            <w:tcBorders>
              <w:top w:val="nil"/>
              <w:left w:val="nil"/>
              <w:bottom w:val="single" w:color="auto" w:sz="4" w:space="0"/>
              <w:right w:val="single" w:color="auto" w:sz="4" w:space="0"/>
            </w:tcBorders>
            <w:vAlign w:val="center"/>
          </w:tcPr>
          <w:p w14:paraId="79817ED4">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6449F28">
        <w:tblPrEx>
          <w:tblCellMar>
            <w:top w:w="0" w:type="dxa"/>
            <w:left w:w="108" w:type="dxa"/>
            <w:bottom w:w="0" w:type="dxa"/>
            <w:right w:w="108" w:type="dxa"/>
          </w:tblCellMar>
        </w:tblPrEx>
        <w:trPr>
          <w:trHeight w:val="225" w:hRule="atLeast"/>
        </w:trPr>
        <w:tc>
          <w:tcPr>
            <w:tcW w:w="1688" w:type="dxa"/>
            <w:vMerge w:val="restart"/>
            <w:tcBorders>
              <w:top w:val="nil"/>
              <w:left w:val="single" w:color="auto" w:sz="4" w:space="0"/>
              <w:bottom w:val="single" w:color="auto" w:sz="4" w:space="0"/>
              <w:right w:val="single" w:color="auto" w:sz="4" w:space="0"/>
            </w:tcBorders>
            <w:vAlign w:val="center"/>
          </w:tcPr>
          <w:p w14:paraId="6AD681A3">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邮政业</w:t>
            </w:r>
          </w:p>
        </w:tc>
        <w:tc>
          <w:tcPr>
            <w:tcW w:w="1512" w:type="dxa"/>
            <w:tcBorders>
              <w:top w:val="nil"/>
              <w:left w:val="nil"/>
              <w:bottom w:val="single" w:color="auto" w:sz="4" w:space="0"/>
              <w:right w:val="single" w:color="auto" w:sz="4" w:space="0"/>
            </w:tcBorders>
            <w:vAlign w:val="center"/>
          </w:tcPr>
          <w:p w14:paraId="1E32349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25" w:type="dxa"/>
            <w:tcBorders>
              <w:top w:val="nil"/>
              <w:left w:val="nil"/>
              <w:bottom w:val="single" w:color="auto" w:sz="4" w:space="0"/>
              <w:right w:val="single" w:color="auto" w:sz="4" w:space="0"/>
            </w:tcBorders>
            <w:vAlign w:val="center"/>
          </w:tcPr>
          <w:p w14:paraId="5AD379DB">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2014" w:type="dxa"/>
            <w:tcBorders>
              <w:top w:val="nil"/>
              <w:left w:val="nil"/>
              <w:bottom w:val="single" w:color="auto" w:sz="4" w:space="0"/>
              <w:right w:val="single" w:color="auto" w:sz="4" w:space="0"/>
            </w:tcBorders>
            <w:vAlign w:val="center"/>
          </w:tcPr>
          <w:p w14:paraId="585BCA6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11" w:type="dxa"/>
            <w:tcBorders>
              <w:top w:val="nil"/>
              <w:left w:val="nil"/>
              <w:bottom w:val="single" w:color="auto" w:sz="4" w:space="0"/>
              <w:right w:val="single" w:color="auto" w:sz="4" w:space="0"/>
            </w:tcBorders>
            <w:vAlign w:val="center"/>
          </w:tcPr>
          <w:p w14:paraId="7852D36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613" w:type="dxa"/>
            <w:tcBorders>
              <w:top w:val="nil"/>
              <w:left w:val="nil"/>
              <w:bottom w:val="single" w:color="auto" w:sz="4" w:space="0"/>
              <w:right w:val="single" w:color="auto" w:sz="4" w:space="0"/>
            </w:tcBorders>
            <w:vAlign w:val="center"/>
          </w:tcPr>
          <w:p w14:paraId="4AED61E4">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3B438064">
        <w:tblPrEx>
          <w:tblCellMar>
            <w:top w:w="0" w:type="dxa"/>
            <w:left w:w="108" w:type="dxa"/>
            <w:bottom w:w="0" w:type="dxa"/>
            <w:right w:w="108" w:type="dxa"/>
          </w:tblCellMar>
        </w:tblPrEx>
        <w:trPr>
          <w:trHeight w:val="225" w:hRule="atLeast"/>
        </w:trPr>
        <w:tc>
          <w:tcPr>
            <w:tcW w:w="1688" w:type="dxa"/>
            <w:vMerge w:val="continue"/>
            <w:tcBorders>
              <w:top w:val="nil"/>
              <w:left w:val="single" w:color="auto" w:sz="4" w:space="0"/>
              <w:bottom w:val="single" w:color="auto" w:sz="4" w:space="0"/>
              <w:right w:val="single" w:color="auto" w:sz="4" w:space="0"/>
            </w:tcBorders>
            <w:vAlign w:val="center"/>
          </w:tcPr>
          <w:p w14:paraId="4DA3C9BE">
            <w:pPr>
              <w:widowControl/>
              <w:spacing w:line="520" w:lineRule="exact"/>
              <w:jc w:val="center"/>
              <w:rPr>
                <w:rFonts w:ascii="宋体" w:hAnsi="宋体" w:cs="宋体"/>
                <w:b/>
                <w:bCs/>
                <w:color w:val="auto"/>
                <w:kern w:val="0"/>
                <w:szCs w:val="21"/>
                <w:highlight w:val="none"/>
              </w:rPr>
            </w:pPr>
          </w:p>
        </w:tc>
        <w:tc>
          <w:tcPr>
            <w:tcW w:w="1512" w:type="dxa"/>
            <w:tcBorders>
              <w:top w:val="nil"/>
              <w:left w:val="nil"/>
              <w:bottom w:val="single" w:color="auto" w:sz="4" w:space="0"/>
              <w:right w:val="single" w:color="auto" w:sz="4" w:space="0"/>
            </w:tcBorders>
            <w:vAlign w:val="center"/>
          </w:tcPr>
          <w:p w14:paraId="6560DEF5">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25" w:type="dxa"/>
            <w:tcBorders>
              <w:top w:val="nil"/>
              <w:left w:val="nil"/>
              <w:bottom w:val="single" w:color="auto" w:sz="4" w:space="0"/>
              <w:right w:val="single" w:color="auto" w:sz="4" w:space="0"/>
            </w:tcBorders>
            <w:vAlign w:val="center"/>
          </w:tcPr>
          <w:p w14:paraId="431EBE5A">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14" w:type="dxa"/>
            <w:tcBorders>
              <w:top w:val="nil"/>
              <w:left w:val="nil"/>
              <w:bottom w:val="single" w:color="auto" w:sz="4" w:space="0"/>
              <w:right w:val="single" w:color="auto" w:sz="4" w:space="0"/>
            </w:tcBorders>
            <w:vAlign w:val="center"/>
          </w:tcPr>
          <w:p w14:paraId="7DFBA29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611" w:type="dxa"/>
            <w:tcBorders>
              <w:top w:val="nil"/>
              <w:left w:val="nil"/>
              <w:bottom w:val="single" w:color="auto" w:sz="4" w:space="0"/>
              <w:right w:val="single" w:color="auto" w:sz="4" w:space="0"/>
            </w:tcBorders>
            <w:vAlign w:val="center"/>
          </w:tcPr>
          <w:p w14:paraId="40591C9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613" w:type="dxa"/>
            <w:tcBorders>
              <w:top w:val="nil"/>
              <w:left w:val="nil"/>
              <w:bottom w:val="single" w:color="auto" w:sz="4" w:space="0"/>
              <w:right w:val="single" w:color="auto" w:sz="4" w:space="0"/>
            </w:tcBorders>
            <w:vAlign w:val="center"/>
          </w:tcPr>
          <w:p w14:paraId="672F3B4B">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6793029A">
        <w:tblPrEx>
          <w:tblCellMar>
            <w:top w:w="0" w:type="dxa"/>
            <w:left w:w="108" w:type="dxa"/>
            <w:bottom w:w="0" w:type="dxa"/>
            <w:right w:w="108" w:type="dxa"/>
          </w:tblCellMar>
        </w:tblPrEx>
        <w:trPr>
          <w:trHeight w:val="225" w:hRule="atLeast"/>
        </w:trPr>
        <w:tc>
          <w:tcPr>
            <w:tcW w:w="1688" w:type="dxa"/>
            <w:vMerge w:val="restart"/>
            <w:tcBorders>
              <w:top w:val="nil"/>
              <w:left w:val="single" w:color="auto" w:sz="4" w:space="0"/>
              <w:bottom w:val="single" w:color="auto" w:sz="4" w:space="0"/>
              <w:right w:val="single" w:color="auto" w:sz="4" w:space="0"/>
            </w:tcBorders>
            <w:vAlign w:val="center"/>
          </w:tcPr>
          <w:p w14:paraId="54EC69C8">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住宿业</w:t>
            </w:r>
          </w:p>
        </w:tc>
        <w:tc>
          <w:tcPr>
            <w:tcW w:w="1512" w:type="dxa"/>
            <w:tcBorders>
              <w:top w:val="nil"/>
              <w:left w:val="nil"/>
              <w:bottom w:val="single" w:color="auto" w:sz="4" w:space="0"/>
              <w:right w:val="single" w:color="auto" w:sz="4" w:space="0"/>
            </w:tcBorders>
            <w:vAlign w:val="center"/>
          </w:tcPr>
          <w:p w14:paraId="32824CE2">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25" w:type="dxa"/>
            <w:tcBorders>
              <w:top w:val="nil"/>
              <w:left w:val="nil"/>
              <w:bottom w:val="single" w:color="auto" w:sz="4" w:space="0"/>
              <w:right w:val="single" w:color="auto" w:sz="4" w:space="0"/>
            </w:tcBorders>
            <w:vAlign w:val="center"/>
          </w:tcPr>
          <w:p w14:paraId="18C0D4CD">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2014" w:type="dxa"/>
            <w:tcBorders>
              <w:top w:val="nil"/>
              <w:left w:val="nil"/>
              <w:bottom w:val="single" w:color="auto" w:sz="4" w:space="0"/>
              <w:right w:val="single" w:color="auto" w:sz="4" w:space="0"/>
            </w:tcBorders>
            <w:vAlign w:val="center"/>
          </w:tcPr>
          <w:p w14:paraId="0458AD3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11" w:type="dxa"/>
            <w:tcBorders>
              <w:top w:val="nil"/>
              <w:left w:val="nil"/>
              <w:bottom w:val="single" w:color="auto" w:sz="4" w:space="0"/>
              <w:right w:val="single" w:color="auto" w:sz="4" w:space="0"/>
            </w:tcBorders>
            <w:vAlign w:val="center"/>
          </w:tcPr>
          <w:p w14:paraId="3778BC92">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613" w:type="dxa"/>
            <w:tcBorders>
              <w:top w:val="nil"/>
              <w:left w:val="nil"/>
              <w:bottom w:val="single" w:color="auto" w:sz="4" w:space="0"/>
              <w:right w:val="single" w:color="auto" w:sz="4" w:space="0"/>
            </w:tcBorders>
            <w:vAlign w:val="center"/>
          </w:tcPr>
          <w:p w14:paraId="7DBCAB98">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556FAC06">
        <w:tblPrEx>
          <w:tblCellMar>
            <w:top w:w="0" w:type="dxa"/>
            <w:left w:w="108" w:type="dxa"/>
            <w:bottom w:w="0" w:type="dxa"/>
            <w:right w:w="108" w:type="dxa"/>
          </w:tblCellMar>
        </w:tblPrEx>
        <w:trPr>
          <w:trHeight w:val="225" w:hRule="atLeast"/>
        </w:trPr>
        <w:tc>
          <w:tcPr>
            <w:tcW w:w="1688" w:type="dxa"/>
            <w:vMerge w:val="continue"/>
            <w:tcBorders>
              <w:top w:val="nil"/>
              <w:left w:val="single" w:color="auto" w:sz="4" w:space="0"/>
              <w:bottom w:val="single" w:color="auto" w:sz="4" w:space="0"/>
              <w:right w:val="single" w:color="auto" w:sz="4" w:space="0"/>
            </w:tcBorders>
            <w:vAlign w:val="center"/>
          </w:tcPr>
          <w:p w14:paraId="28150883">
            <w:pPr>
              <w:widowControl/>
              <w:spacing w:line="520" w:lineRule="exact"/>
              <w:jc w:val="center"/>
              <w:rPr>
                <w:rFonts w:ascii="宋体" w:hAnsi="宋体" w:cs="宋体"/>
                <w:b/>
                <w:bCs/>
                <w:color w:val="auto"/>
                <w:kern w:val="0"/>
                <w:szCs w:val="21"/>
                <w:highlight w:val="none"/>
              </w:rPr>
            </w:pPr>
          </w:p>
        </w:tc>
        <w:tc>
          <w:tcPr>
            <w:tcW w:w="1512" w:type="dxa"/>
            <w:tcBorders>
              <w:top w:val="nil"/>
              <w:left w:val="nil"/>
              <w:bottom w:val="single" w:color="auto" w:sz="4" w:space="0"/>
              <w:right w:val="single" w:color="auto" w:sz="4" w:space="0"/>
            </w:tcBorders>
            <w:vAlign w:val="center"/>
          </w:tcPr>
          <w:p w14:paraId="0A07649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25" w:type="dxa"/>
            <w:tcBorders>
              <w:top w:val="nil"/>
              <w:left w:val="nil"/>
              <w:bottom w:val="single" w:color="auto" w:sz="4" w:space="0"/>
              <w:right w:val="single" w:color="auto" w:sz="4" w:space="0"/>
            </w:tcBorders>
            <w:vAlign w:val="center"/>
          </w:tcPr>
          <w:p w14:paraId="32301C04">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14" w:type="dxa"/>
            <w:tcBorders>
              <w:top w:val="nil"/>
              <w:left w:val="nil"/>
              <w:bottom w:val="single" w:color="auto" w:sz="4" w:space="0"/>
              <w:right w:val="single" w:color="auto" w:sz="4" w:space="0"/>
            </w:tcBorders>
            <w:vAlign w:val="center"/>
          </w:tcPr>
          <w:p w14:paraId="780C3F14">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11" w:type="dxa"/>
            <w:tcBorders>
              <w:top w:val="nil"/>
              <w:left w:val="nil"/>
              <w:bottom w:val="single" w:color="auto" w:sz="4" w:space="0"/>
              <w:right w:val="single" w:color="auto" w:sz="4" w:space="0"/>
            </w:tcBorders>
            <w:vAlign w:val="center"/>
          </w:tcPr>
          <w:p w14:paraId="2495768C">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613" w:type="dxa"/>
            <w:tcBorders>
              <w:top w:val="nil"/>
              <w:left w:val="nil"/>
              <w:bottom w:val="single" w:color="auto" w:sz="4" w:space="0"/>
              <w:right w:val="single" w:color="auto" w:sz="4" w:space="0"/>
            </w:tcBorders>
            <w:vAlign w:val="center"/>
          </w:tcPr>
          <w:p w14:paraId="1E4B8856">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5F3CE589">
        <w:tblPrEx>
          <w:tblCellMar>
            <w:top w:w="0" w:type="dxa"/>
            <w:left w:w="108" w:type="dxa"/>
            <w:bottom w:w="0" w:type="dxa"/>
            <w:right w:w="108" w:type="dxa"/>
          </w:tblCellMar>
        </w:tblPrEx>
        <w:trPr>
          <w:trHeight w:val="225" w:hRule="atLeast"/>
        </w:trPr>
        <w:tc>
          <w:tcPr>
            <w:tcW w:w="1688" w:type="dxa"/>
            <w:vMerge w:val="restart"/>
            <w:tcBorders>
              <w:top w:val="nil"/>
              <w:left w:val="single" w:color="auto" w:sz="4" w:space="0"/>
              <w:bottom w:val="single" w:color="auto" w:sz="4" w:space="0"/>
              <w:right w:val="single" w:color="auto" w:sz="4" w:space="0"/>
            </w:tcBorders>
            <w:vAlign w:val="center"/>
          </w:tcPr>
          <w:p w14:paraId="79D7CE9B">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餐饮业</w:t>
            </w:r>
          </w:p>
        </w:tc>
        <w:tc>
          <w:tcPr>
            <w:tcW w:w="1512" w:type="dxa"/>
            <w:tcBorders>
              <w:top w:val="nil"/>
              <w:left w:val="nil"/>
              <w:bottom w:val="single" w:color="auto" w:sz="4" w:space="0"/>
              <w:right w:val="single" w:color="auto" w:sz="4" w:space="0"/>
            </w:tcBorders>
            <w:vAlign w:val="center"/>
          </w:tcPr>
          <w:p w14:paraId="2555E865">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25" w:type="dxa"/>
            <w:tcBorders>
              <w:top w:val="nil"/>
              <w:left w:val="nil"/>
              <w:bottom w:val="single" w:color="auto" w:sz="4" w:space="0"/>
              <w:right w:val="single" w:color="auto" w:sz="4" w:space="0"/>
            </w:tcBorders>
            <w:vAlign w:val="center"/>
          </w:tcPr>
          <w:p w14:paraId="1DA9470D">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2014" w:type="dxa"/>
            <w:tcBorders>
              <w:top w:val="nil"/>
              <w:left w:val="nil"/>
              <w:bottom w:val="single" w:color="auto" w:sz="4" w:space="0"/>
              <w:right w:val="single" w:color="auto" w:sz="4" w:space="0"/>
            </w:tcBorders>
            <w:vAlign w:val="center"/>
          </w:tcPr>
          <w:p w14:paraId="6F844472">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11" w:type="dxa"/>
            <w:tcBorders>
              <w:top w:val="nil"/>
              <w:left w:val="nil"/>
              <w:bottom w:val="single" w:color="auto" w:sz="4" w:space="0"/>
              <w:right w:val="single" w:color="auto" w:sz="4" w:space="0"/>
            </w:tcBorders>
            <w:vAlign w:val="center"/>
          </w:tcPr>
          <w:p w14:paraId="57BAF873">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613" w:type="dxa"/>
            <w:tcBorders>
              <w:top w:val="nil"/>
              <w:left w:val="nil"/>
              <w:bottom w:val="single" w:color="auto" w:sz="4" w:space="0"/>
              <w:right w:val="single" w:color="auto" w:sz="4" w:space="0"/>
            </w:tcBorders>
            <w:vAlign w:val="center"/>
          </w:tcPr>
          <w:p w14:paraId="3302A0E6">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1380E1DE">
        <w:tblPrEx>
          <w:tblCellMar>
            <w:top w:w="0" w:type="dxa"/>
            <w:left w:w="108" w:type="dxa"/>
            <w:bottom w:w="0" w:type="dxa"/>
            <w:right w:w="108" w:type="dxa"/>
          </w:tblCellMar>
        </w:tblPrEx>
        <w:trPr>
          <w:trHeight w:val="225" w:hRule="atLeast"/>
        </w:trPr>
        <w:tc>
          <w:tcPr>
            <w:tcW w:w="1688" w:type="dxa"/>
            <w:vMerge w:val="continue"/>
            <w:tcBorders>
              <w:top w:val="nil"/>
              <w:left w:val="single" w:color="auto" w:sz="4" w:space="0"/>
              <w:bottom w:val="single" w:color="auto" w:sz="4" w:space="0"/>
              <w:right w:val="single" w:color="auto" w:sz="4" w:space="0"/>
            </w:tcBorders>
            <w:vAlign w:val="center"/>
          </w:tcPr>
          <w:p w14:paraId="43736E50">
            <w:pPr>
              <w:widowControl/>
              <w:spacing w:line="520" w:lineRule="exact"/>
              <w:jc w:val="center"/>
              <w:rPr>
                <w:rFonts w:ascii="宋体" w:hAnsi="宋体" w:cs="宋体"/>
                <w:b/>
                <w:bCs/>
                <w:color w:val="auto"/>
                <w:kern w:val="0"/>
                <w:szCs w:val="21"/>
                <w:highlight w:val="none"/>
              </w:rPr>
            </w:pPr>
          </w:p>
        </w:tc>
        <w:tc>
          <w:tcPr>
            <w:tcW w:w="1512" w:type="dxa"/>
            <w:tcBorders>
              <w:top w:val="nil"/>
              <w:left w:val="nil"/>
              <w:bottom w:val="single" w:color="auto" w:sz="4" w:space="0"/>
              <w:right w:val="single" w:color="auto" w:sz="4" w:space="0"/>
            </w:tcBorders>
            <w:vAlign w:val="center"/>
          </w:tcPr>
          <w:p w14:paraId="57C9F8DB">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25" w:type="dxa"/>
            <w:tcBorders>
              <w:top w:val="nil"/>
              <w:left w:val="nil"/>
              <w:bottom w:val="single" w:color="auto" w:sz="4" w:space="0"/>
              <w:right w:val="single" w:color="auto" w:sz="4" w:space="0"/>
            </w:tcBorders>
            <w:vAlign w:val="center"/>
          </w:tcPr>
          <w:p w14:paraId="167A558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14" w:type="dxa"/>
            <w:tcBorders>
              <w:top w:val="nil"/>
              <w:left w:val="nil"/>
              <w:bottom w:val="single" w:color="auto" w:sz="4" w:space="0"/>
              <w:right w:val="single" w:color="auto" w:sz="4" w:space="0"/>
            </w:tcBorders>
            <w:vAlign w:val="center"/>
          </w:tcPr>
          <w:p w14:paraId="31E90245">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11" w:type="dxa"/>
            <w:tcBorders>
              <w:top w:val="nil"/>
              <w:left w:val="nil"/>
              <w:bottom w:val="single" w:color="auto" w:sz="4" w:space="0"/>
              <w:right w:val="single" w:color="auto" w:sz="4" w:space="0"/>
            </w:tcBorders>
            <w:vAlign w:val="center"/>
          </w:tcPr>
          <w:p w14:paraId="00102538">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613" w:type="dxa"/>
            <w:tcBorders>
              <w:top w:val="nil"/>
              <w:left w:val="nil"/>
              <w:bottom w:val="single" w:color="auto" w:sz="4" w:space="0"/>
              <w:right w:val="single" w:color="auto" w:sz="4" w:space="0"/>
            </w:tcBorders>
            <w:vAlign w:val="center"/>
          </w:tcPr>
          <w:p w14:paraId="485B584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33F81760">
        <w:tblPrEx>
          <w:tblCellMar>
            <w:top w:w="0" w:type="dxa"/>
            <w:left w:w="108" w:type="dxa"/>
            <w:bottom w:w="0" w:type="dxa"/>
            <w:right w:w="108" w:type="dxa"/>
          </w:tblCellMar>
        </w:tblPrEx>
        <w:trPr>
          <w:trHeight w:val="225" w:hRule="atLeast"/>
        </w:trPr>
        <w:tc>
          <w:tcPr>
            <w:tcW w:w="1688" w:type="dxa"/>
            <w:vMerge w:val="restart"/>
            <w:tcBorders>
              <w:top w:val="nil"/>
              <w:left w:val="single" w:color="auto" w:sz="4" w:space="0"/>
              <w:bottom w:val="single" w:color="auto" w:sz="4" w:space="0"/>
              <w:right w:val="single" w:color="auto" w:sz="4" w:space="0"/>
            </w:tcBorders>
            <w:vAlign w:val="center"/>
          </w:tcPr>
          <w:p w14:paraId="03B49C9A">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信息传输业</w:t>
            </w:r>
          </w:p>
        </w:tc>
        <w:tc>
          <w:tcPr>
            <w:tcW w:w="1512" w:type="dxa"/>
            <w:tcBorders>
              <w:top w:val="nil"/>
              <w:left w:val="nil"/>
              <w:bottom w:val="single" w:color="auto" w:sz="4" w:space="0"/>
              <w:right w:val="single" w:color="auto" w:sz="4" w:space="0"/>
            </w:tcBorders>
            <w:vAlign w:val="center"/>
          </w:tcPr>
          <w:p w14:paraId="0B2B7432">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25" w:type="dxa"/>
            <w:tcBorders>
              <w:top w:val="nil"/>
              <w:left w:val="nil"/>
              <w:bottom w:val="single" w:color="auto" w:sz="4" w:space="0"/>
              <w:right w:val="single" w:color="auto" w:sz="4" w:space="0"/>
            </w:tcBorders>
            <w:vAlign w:val="center"/>
          </w:tcPr>
          <w:p w14:paraId="621CAD3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2014" w:type="dxa"/>
            <w:tcBorders>
              <w:top w:val="nil"/>
              <w:left w:val="nil"/>
              <w:bottom w:val="single" w:color="auto" w:sz="4" w:space="0"/>
              <w:right w:val="single" w:color="auto" w:sz="4" w:space="0"/>
            </w:tcBorders>
            <w:vAlign w:val="center"/>
          </w:tcPr>
          <w:p w14:paraId="4D19B4FD">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611" w:type="dxa"/>
            <w:tcBorders>
              <w:top w:val="nil"/>
              <w:left w:val="nil"/>
              <w:bottom w:val="single" w:color="auto" w:sz="4" w:space="0"/>
              <w:right w:val="single" w:color="auto" w:sz="4" w:space="0"/>
            </w:tcBorders>
            <w:vAlign w:val="center"/>
          </w:tcPr>
          <w:p w14:paraId="05A32A06">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613" w:type="dxa"/>
            <w:tcBorders>
              <w:top w:val="nil"/>
              <w:left w:val="nil"/>
              <w:bottom w:val="single" w:color="auto" w:sz="4" w:space="0"/>
              <w:right w:val="single" w:color="auto" w:sz="4" w:space="0"/>
            </w:tcBorders>
            <w:vAlign w:val="center"/>
          </w:tcPr>
          <w:p w14:paraId="688B57AB">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52EFEDE3">
        <w:tblPrEx>
          <w:tblCellMar>
            <w:top w:w="0" w:type="dxa"/>
            <w:left w:w="108" w:type="dxa"/>
            <w:bottom w:w="0" w:type="dxa"/>
            <w:right w:w="108" w:type="dxa"/>
          </w:tblCellMar>
        </w:tblPrEx>
        <w:trPr>
          <w:trHeight w:val="225" w:hRule="atLeast"/>
        </w:trPr>
        <w:tc>
          <w:tcPr>
            <w:tcW w:w="1688" w:type="dxa"/>
            <w:vMerge w:val="continue"/>
            <w:tcBorders>
              <w:top w:val="nil"/>
              <w:left w:val="single" w:color="auto" w:sz="4" w:space="0"/>
              <w:bottom w:val="single" w:color="auto" w:sz="4" w:space="0"/>
              <w:right w:val="single" w:color="auto" w:sz="4" w:space="0"/>
            </w:tcBorders>
            <w:vAlign w:val="center"/>
          </w:tcPr>
          <w:p w14:paraId="39DEDDCD">
            <w:pPr>
              <w:widowControl/>
              <w:spacing w:line="520" w:lineRule="exact"/>
              <w:jc w:val="center"/>
              <w:rPr>
                <w:rFonts w:ascii="宋体" w:hAnsi="宋体" w:cs="宋体"/>
                <w:b/>
                <w:bCs/>
                <w:color w:val="auto"/>
                <w:kern w:val="0"/>
                <w:szCs w:val="21"/>
                <w:highlight w:val="none"/>
              </w:rPr>
            </w:pPr>
          </w:p>
        </w:tc>
        <w:tc>
          <w:tcPr>
            <w:tcW w:w="1512" w:type="dxa"/>
            <w:tcBorders>
              <w:top w:val="nil"/>
              <w:left w:val="nil"/>
              <w:bottom w:val="single" w:color="auto" w:sz="4" w:space="0"/>
              <w:right w:val="single" w:color="auto" w:sz="4" w:space="0"/>
            </w:tcBorders>
            <w:vAlign w:val="center"/>
          </w:tcPr>
          <w:p w14:paraId="75851A8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25" w:type="dxa"/>
            <w:tcBorders>
              <w:top w:val="nil"/>
              <w:left w:val="nil"/>
              <w:bottom w:val="single" w:color="auto" w:sz="4" w:space="0"/>
              <w:right w:val="single" w:color="auto" w:sz="4" w:space="0"/>
            </w:tcBorders>
            <w:vAlign w:val="center"/>
          </w:tcPr>
          <w:p w14:paraId="752682D8">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14" w:type="dxa"/>
            <w:tcBorders>
              <w:top w:val="nil"/>
              <w:left w:val="nil"/>
              <w:bottom w:val="single" w:color="auto" w:sz="4" w:space="0"/>
              <w:right w:val="single" w:color="auto" w:sz="4" w:space="0"/>
            </w:tcBorders>
            <w:vAlign w:val="center"/>
          </w:tcPr>
          <w:p w14:paraId="5A14F56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611" w:type="dxa"/>
            <w:tcBorders>
              <w:top w:val="nil"/>
              <w:left w:val="nil"/>
              <w:bottom w:val="single" w:color="auto" w:sz="4" w:space="0"/>
              <w:right w:val="single" w:color="auto" w:sz="4" w:space="0"/>
            </w:tcBorders>
            <w:vAlign w:val="center"/>
          </w:tcPr>
          <w:p w14:paraId="4B035266">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613" w:type="dxa"/>
            <w:tcBorders>
              <w:top w:val="nil"/>
              <w:left w:val="nil"/>
              <w:bottom w:val="single" w:color="auto" w:sz="4" w:space="0"/>
              <w:right w:val="single" w:color="auto" w:sz="4" w:space="0"/>
            </w:tcBorders>
            <w:vAlign w:val="center"/>
          </w:tcPr>
          <w:p w14:paraId="62D3103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E63EC16">
        <w:tblPrEx>
          <w:tblCellMar>
            <w:top w:w="0" w:type="dxa"/>
            <w:left w:w="108" w:type="dxa"/>
            <w:bottom w:w="0" w:type="dxa"/>
            <w:right w:w="108" w:type="dxa"/>
          </w:tblCellMar>
        </w:tblPrEx>
        <w:trPr>
          <w:trHeight w:val="225" w:hRule="atLeast"/>
        </w:trPr>
        <w:tc>
          <w:tcPr>
            <w:tcW w:w="1688" w:type="dxa"/>
            <w:vMerge w:val="restart"/>
            <w:tcBorders>
              <w:top w:val="nil"/>
              <w:left w:val="single" w:color="auto" w:sz="4" w:space="0"/>
              <w:bottom w:val="single" w:color="auto" w:sz="4" w:space="0"/>
              <w:right w:val="single" w:color="auto" w:sz="4" w:space="0"/>
            </w:tcBorders>
            <w:vAlign w:val="center"/>
          </w:tcPr>
          <w:p w14:paraId="31B66F60">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软件和信息技术服务业</w:t>
            </w:r>
          </w:p>
        </w:tc>
        <w:tc>
          <w:tcPr>
            <w:tcW w:w="1512" w:type="dxa"/>
            <w:tcBorders>
              <w:top w:val="nil"/>
              <w:left w:val="nil"/>
              <w:bottom w:val="single" w:color="auto" w:sz="4" w:space="0"/>
              <w:right w:val="single" w:color="auto" w:sz="4" w:space="0"/>
            </w:tcBorders>
            <w:vAlign w:val="center"/>
          </w:tcPr>
          <w:p w14:paraId="5AAE6CB3">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25" w:type="dxa"/>
            <w:tcBorders>
              <w:top w:val="nil"/>
              <w:left w:val="nil"/>
              <w:bottom w:val="single" w:color="auto" w:sz="4" w:space="0"/>
              <w:right w:val="single" w:color="auto" w:sz="4" w:space="0"/>
            </w:tcBorders>
            <w:vAlign w:val="center"/>
          </w:tcPr>
          <w:p w14:paraId="21AD2B34">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2014" w:type="dxa"/>
            <w:tcBorders>
              <w:top w:val="nil"/>
              <w:left w:val="nil"/>
              <w:bottom w:val="single" w:color="auto" w:sz="4" w:space="0"/>
              <w:right w:val="single" w:color="auto" w:sz="4" w:space="0"/>
            </w:tcBorders>
            <w:vAlign w:val="center"/>
          </w:tcPr>
          <w:p w14:paraId="74FAAECD">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11" w:type="dxa"/>
            <w:tcBorders>
              <w:top w:val="nil"/>
              <w:left w:val="nil"/>
              <w:bottom w:val="single" w:color="auto" w:sz="4" w:space="0"/>
              <w:right w:val="single" w:color="auto" w:sz="4" w:space="0"/>
            </w:tcBorders>
            <w:vAlign w:val="center"/>
          </w:tcPr>
          <w:p w14:paraId="2B909FBA">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613" w:type="dxa"/>
            <w:tcBorders>
              <w:top w:val="nil"/>
              <w:left w:val="nil"/>
              <w:bottom w:val="single" w:color="auto" w:sz="4" w:space="0"/>
              <w:right w:val="single" w:color="auto" w:sz="4" w:space="0"/>
            </w:tcBorders>
            <w:vAlign w:val="center"/>
          </w:tcPr>
          <w:p w14:paraId="2D4302C5">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15B8565E">
        <w:tblPrEx>
          <w:tblCellMar>
            <w:top w:w="0" w:type="dxa"/>
            <w:left w:w="108" w:type="dxa"/>
            <w:bottom w:w="0" w:type="dxa"/>
            <w:right w:w="108" w:type="dxa"/>
          </w:tblCellMar>
        </w:tblPrEx>
        <w:trPr>
          <w:trHeight w:val="225" w:hRule="atLeast"/>
        </w:trPr>
        <w:tc>
          <w:tcPr>
            <w:tcW w:w="1688" w:type="dxa"/>
            <w:vMerge w:val="continue"/>
            <w:tcBorders>
              <w:top w:val="nil"/>
              <w:left w:val="single" w:color="auto" w:sz="4" w:space="0"/>
              <w:bottom w:val="single" w:color="auto" w:sz="4" w:space="0"/>
              <w:right w:val="single" w:color="auto" w:sz="4" w:space="0"/>
            </w:tcBorders>
            <w:vAlign w:val="center"/>
          </w:tcPr>
          <w:p w14:paraId="50AAD078">
            <w:pPr>
              <w:widowControl/>
              <w:spacing w:line="520" w:lineRule="exact"/>
              <w:jc w:val="center"/>
              <w:rPr>
                <w:rFonts w:ascii="宋体" w:hAnsi="宋体" w:cs="宋体"/>
                <w:b/>
                <w:bCs/>
                <w:color w:val="auto"/>
                <w:kern w:val="0"/>
                <w:szCs w:val="21"/>
                <w:highlight w:val="none"/>
              </w:rPr>
            </w:pPr>
          </w:p>
        </w:tc>
        <w:tc>
          <w:tcPr>
            <w:tcW w:w="1512" w:type="dxa"/>
            <w:tcBorders>
              <w:top w:val="nil"/>
              <w:left w:val="nil"/>
              <w:bottom w:val="single" w:color="auto" w:sz="4" w:space="0"/>
              <w:right w:val="single" w:color="auto" w:sz="4" w:space="0"/>
            </w:tcBorders>
            <w:vAlign w:val="center"/>
          </w:tcPr>
          <w:p w14:paraId="38701F01">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25" w:type="dxa"/>
            <w:tcBorders>
              <w:top w:val="nil"/>
              <w:left w:val="nil"/>
              <w:bottom w:val="single" w:color="auto" w:sz="4" w:space="0"/>
              <w:right w:val="single" w:color="auto" w:sz="4" w:space="0"/>
            </w:tcBorders>
            <w:vAlign w:val="center"/>
          </w:tcPr>
          <w:p w14:paraId="06FAF830">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14" w:type="dxa"/>
            <w:tcBorders>
              <w:top w:val="nil"/>
              <w:left w:val="nil"/>
              <w:bottom w:val="single" w:color="auto" w:sz="4" w:space="0"/>
              <w:right w:val="single" w:color="auto" w:sz="4" w:space="0"/>
            </w:tcBorders>
            <w:vAlign w:val="center"/>
          </w:tcPr>
          <w:p w14:paraId="475A37A3">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611" w:type="dxa"/>
            <w:tcBorders>
              <w:top w:val="nil"/>
              <w:left w:val="nil"/>
              <w:bottom w:val="single" w:color="auto" w:sz="4" w:space="0"/>
              <w:right w:val="single" w:color="auto" w:sz="4" w:space="0"/>
            </w:tcBorders>
            <w:vAlign w:val="center"/>
          </w:tcPr>
          <w:p w14:paraId="28F45AB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613" w:type="dxa"/>
            <w:tcBorders>
              <w:top w:val="nil"/>
              <w:left w:val="nil"/>
              <w:bottom w:val="single" w:color="auto" w:sz="4" w:space="0"/>
              <w:right w:val="single" w:color="auto" w:sz="4" w:space="0"/>
            </w:tcBorders>
            <w:vAlign w:val="center"/>
          </w:tcPr>
          <w:p w14:paraId="7984E662">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3D4B42AF">
        <w:tblPrEx>
          <w:tblCellMar>
            <w:top w:w="0" w:type="dxa"/>
            <w:left w:w="108" w:type="dxa"/>
            <w:bottom w:w="0" w:type="dxa"/>
            <w:right w:w="108" w:type="dxa"/>
          </w:tblCellMar>
        </w:tblPrEx>
        <w:trPr>
          <w:trHeight w:val="225" w:hRule="atLeast"/>
        </w:trPr>
        <w:tc>
          <w:tcPr>
            <w:tcW w:w="1688" w:type="dxa"/>
            <w:vMerge w:val="restart"/>
            <w:tcBorders>
              <w:top w:val="single" w:color="auto" w:sz="4" w:space="0"/>
              <w:left w:val="single" w:color="auto" w:sz="4" w:space="0"/>
              <w:bottom w:val="single" w:color="auto" w:sz="4" w:space="0"/>
              <w:right w:val="single" w:color="auto" w:sz="4" w:space="0"/>
            </w:tcBorders>
            <w:vAlign w:val="center"/>
          </w:tcPr>
          <w:p w14:paraId="0B6A8E93">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房地产开发经营</w:t>
            </w:r>
          </w:p>
        </w:tc>
        <w:tc>
          <w:tcPr>
            <w:tcW w:w="1512" w:type="dxa"/>
            <w:tcBorders>
              <w:top w:val="single" w:color="auto" w:sz="4" w:space="0"/>
              <w:left w:val="single" w:color="auto" w:sz="4" w:space="0"/>
              <w:bottom w:val="single" w:color="auto" w:sz="4" w:space="0"/>
              <w:right w:val="single" w:color="auto" w:sz="4" w:space="0"/>
            </w:tcBorders>
            <w:vAlign w:val="center"/>
          </w:tcPr>
          <w:p w14:paraId="39FDB22A">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25" w:type="dxa"/>
            <w:tcBorders>
              <w:top w:val="single" w:color="auto" w:sz="4" w:space="0"/>
              <w:left w:val="single" w:color="auto" w:sz="4" w:space="0"/>
              <w:bottom w:val="single" w:color="auto" w:sz="4" w:space="0"/>
              <w:right w:val="single" w:color="auto" w:sz="4" w:space="0"/>
            </w:tcBorders>
            <w:vAlign w:val="center"/>
          </w:tcPr>
          <w:p w14:paraId="4D0E55A5">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14" w:type="dxa"/>
            <w:tcBorders>
              <w:top w:val="single" w:color="auto" w:sz="4" w:space="0"/>
              <w:left w:val="single" w:color="auto" w:sz="4" w:space="0"/>
              <w:bottom w:val="single" w:color="auto" w:sz="4" w:space="0"/>
              <w:right w:val="single" w:color="auto" w:sz="4" w:space="0"/>
            </w:tcBorders>
            <w:vAlign w:val="center"/>
          </w:tcPr>
          <w:p w14:paraId="10FEE01A">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611" w:type="dxa"/>
            <w:tcBorders>
              <w:top w:val="single" w:color="auto" w:sz="4" w:space="0"/>
              <w:left w:val="single" w:color="auto" w:sz="4" w:space="0"/>
              <w:bottom w:val="single" w:color="auto" w:sz="4" w:space="0"/>
              <w:right w:val="single" w:color="auto" w:sz="4" w:space="0"/>
            </w:tcBorders>
            <w:vAlign w:val="center"/>
          </w:tcPr>
          <w:p w14:paraId="72E8BDA5">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1613" w:type="dxa"/>
            <w:tcBorders>
              <w:top w:val="single" w:color="auto" w:sz="4" w:space="0"/>
              <w:left w:val="single" w:color="auto" w:sz="4" w:space="0"/>
              <w:bottom w:val="single" w:color="auto" w:sz="4" w:space="0"/>
              <w:right w:val="single" w:color="auto" w:sz="4" w:space="0"/>
            </w:tcBorders>
            <w:vAlign w:val="center"/>
          </w:tcPr>
          <w:p w14:paraId="4D776F1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7C210666">
        <w:tblPrEx>
          <w:tblCellMar>
            <w:top w:w="0" w:type="dxa"/>
            <w:left w:w="108" w:type="dxa"/>
            <w:bottom w:w="0" w:type="dxa"/>
            <w:right w:w="108" w:type="dxa"/>
          </w:tblCellMar>
        </w:tblPrEx>
        <w:trPr>
          <w:trHeight w:val="225" w:hRule="atLeast"/>
        </w:trPr>
        <w:tc>
          <w:tcPr>
            <w:tcW w:w="1688" w:type="dxa"/>
            <w:vMerge w:val="continue"/>
            <w:tcBorders>
              <w:top w:val="single" w:color="auto" w:sz="4" w:space="0"/>
              <w:left w:val="single" w:color="auto" w:sz="4" w:space="0"/>
              <w:bottom w:val="single" w:color="auto" w:sz="4" w:space="0"/>
              <w:right w:val="single" w:color="auto" w:sz="4" w:space="0"/>
            </w:tcBorders>
            <w:vAlign w:val="center"/>
          </w:tcPr>
          <w:p w14:paraId="50B985A9">
            <w:pPr>
              <w:widowControl/>
              <w:spacing w:line="520" w:lineRule="exact"/>
              <w:jc w:val="center"/>
              <w:rPr>
                <w:rFonts w:ascii="宋体" w:hAnsi="宋体" w:cs="宋体"/>
                <w:b/>
                <w:bCs/>
                <w:color w:val="auto"/>
                <w:kern w:val="0"/>
                <w:szCs w:val="21"/>
                <w:highlight w:val="none"/>
              </w:rPr>
            </w:pPr>
          </w:p>
        </w:tc>
        <w:tc>
          <w:tcPr>
            <w:tcW w:w="1512" w:type="dxa"/>
            <w:tcBorders>
              <w:top w:val="single" w:color="auto" w:sz="4" w:space="0"/>
              <w:left w:val="single" w:color="auto" w:sz="4" w:space="0"/>
              <w:bottom w:val="single" w:color="auto" w:sz="4" w:space="0"/>
              <w:right w:val="single" w:color="auto" w:sz="4" w:space="0"/>
            </w:tcBorders>
            <w:vAlign w:val="center"/>
          </w:tcPr>
          <w:p w14:paraId="1A8EFCAC">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25" w:type="dxa"/>
            <w:tcBorders>
              <w:top w:val="single" w:color="auto" w:sz="4" w:space="0"/>
              <w:left w:val="single" w:color="auto" w:sz="4" w:space="0"/>
              <w:bottom w:val="single" w:color="auto" w:sz="4" w:space="0"/>
              <w:right w:val="single" w:color="auto" w:sz="4" w:space="0"/>
            </w:tcBorders>
            <w:vAlign w:val="center"/>
          </w:tcPr>
          <w:p w14:paraId="2E00C80A">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14" w:type="dxa"/>
            <w:tcBorders>
              <w:top w:val="single" w:color="auto" w:sz="4" w:space="0"/>
              <w:left w:val="single" w:color="auto" w:sz="4" w:space="0"/>
              <w:bottom w:val="single" w:color="auto" w:sz="4" w:space="0"/>
              <w:right w:val="single" w:color="auto" w:sz="4" w:space="0"/>
            </w:tcBorders>
            <w:vAlign w:val="center"/>
          </w:tcPr>
          <w:p w14:paraId="2D00F101">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611" w:type="dxa"/>
            <w:tcBorders>
              <w:top w:val="single" w:color="auto" w:sz="4" w:space="0"/>
              <w:left w:val="single" w:color="auto" w:sz="4" w:space="0"/>
              <w:bottom w:val="single" w:color="auto" w:sz="4" w:space="0"/>
              <w:right w:val="single" w:color="auto" w:sz="4" w:space="0"/>
            </w:tcBorders>
            <w:vAlign w:val="center"/>
          </w:tcPr>
          <w:p w14:paraId="09A59FB3">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1613" w:type="dxa"/>
            <w:tcBorders>
              <w:top w:val="single" w:color="auto" w:sz="4" w:space="0"/>
              <w:left w:val="single" w:color="auto" w:sz="4" w:space="0"/>
              <w:bottom w:val="single" w:color="auto" w:sz="4" w:space="0"/>
              <w:right w:val="single" w:color="auto" w:sz="4" w:space="0"/>
            </w:tcBorders>
            <w:vAlign w:val="center"/>
          </w:tcPr>
          <w:p w14:paraId="248789F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Y＜2000</w:t>
            </w:r>
          </w:p>
        </w:tc>
      </w:tr>
      <w:tr w14:paraId="67F1EB0E">
        <w:tblPrEx>
          <w:tblCellMar>
            <w:top w:w="0" w:type="dxa"/>
            <w:left w:w="108" w:type="dxa"/>
            <w:bottom w:w="0" w:type="dxa"/>
            <w:right w:w="108" w:type="dxa"/>
          </w:tblCellMar>
        </w:tblPrEx>
        <w:trPr>
          <w:trHeight w:val="225" w:hRule="atLeast"/>
        </w:trPr>
        <w:tc>
          <w:tcPr>
            <w:tcW w:w="1688" w:type="dxa"/>
            <w:vMerge w:val="restart"/>
            <w:tcBorders>
              <w:top w:val="single" w:color="auto" w:sz="4" w:space="0"/>
              <w:left w:val="single" w:color="auto" w:sz="4" w:space="0"/>
              <w:bottom w:val="single" w:color="auto" w:sz="4" w:space="0"/>
              <w:right w:val="single" w:color="auto" w:sz="4" w:space="0"/>
            </w:tcBorders>
            <w:vAlign w:val="center"/>
          </w:tcPr>
          <w:p w14:paraId="7BB3E5F9">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物业管理</w:t>
            </w:r>
          </w:p>
        </w:tc>
        <w:tc>
          <w:tcPr>
            <w:tcW w:w="1512" w:type="dxa"/>
            <w:tcBorders>
              <w:top w:val="single" w:color="auto" w:sz="4" w:space="0"/>
              <w:left w:val="nil"/>
              <w:bottom w:val="single" w:color="auto" w:sz="4" w:space="0"/>
              <w:right w:val="single" w:color="auto" w:sz="4" w:space="0"/>
            </w:tcBorders>
            <w:vAlign w:val="center"/>
          </w:tcPr>
          <w:p w14:paraId="22508238">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25" w:type="dxa"/>
            <w:tcBorders>
              <w:top w:val="single" w:color="auto" w:sz="4" w:space="0"/>
              <w:left w:val="nil"/>
              <w:bottom w:val="single" w:color="auto" w:sz="4" w:space="0"/>
              <w:right w:val="single" w:color="auto" w:sz="4" w:space="0"/>
            </w:tcBorders>
            <w:vAlign w:val="center"/>
          </w:tcPr>
          <w:p w14:paraId="5A2D957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2014" w:type="dxa"/>
            <w:tcBorders>
              <w:top w:val="single" w:color="auto" w:sz="4" w:space="0"/>
              <w:left w:val="nil"/>
              <w:bottom w:val="single" w:color="auto" w:sz="4" w:space="0"/>
              <w:right w:val="single" w:color="auto" w:sz="4" w:space="0"/>
            </w:tcBorders>
            <w:vAlign w:val="center"/>
          </w:tcPr>
          <w:p w14:paraId="493894E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11" w:type="dxa"/>
            <w:tcBorders>
              <w:top w:val="single" w:color="auto" w:sz="4" w:space="0"/>
              <w:left w:val="nil"/>
              <w:bottom w:val="single" w:color="auto" w:sz="4" w:space="0"/>
              <w:right w:val="single" w:color="auto" w:sz="4" w:space="0"/>
            </w:tcBorders>
            <w:vAlign w:val="center"/>
          </w:tcPr>
          <w:p w14:paraId="4C11DD40">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13" w:type="dxa"/>
            <w:tcBorders>
              <w:top w:val="single" w:color="auto" w:sz="4" w:space="0"/>
              <w:left w:val="nil"/>
              <w:bottom w:val="single" w:color="auto" w:sz="4" w:space="0"/>
              <w:right w:val="single" w:color="auto" w:sz="4" w:space="0"/>
            </w:tcBorders>
            <w:vAlign w:val="center"/>
          </w:tcPr>
          <w:p w14:paraId="771BE35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60556915">
        <w:tblPrEx>
          <w:tblCellMar>
            <w:top w:w="0" w:type="dxa"/>
            <w:left w:w="108" w:type="dxa"/>
            <w:bottom w:w="0" w:type="dxa"/>
            <w:right w:w="108" w:type="dxa"/>
          </w:tblCellMar>
        </w:tblPrEx>
        <w:trPr>
          <w:trHeight w:val="225" w:hRule="atLeast"/>
        </w:trPr>
        <w:tc>
          <w:tcPr>
            <w:tcW w:w="1688" w:type="dxa"/>
            <w:vMerge w:val="continue"/>
            <w:tcBorders>
              <w:top w:val="nil"/>
              <w:left w:val="single" w:color="auto" w:sz="4" w:space="0"/>
              <w:bottom w:val="single" w:color="auto" w:sz="4" w:space="0"/>
              <w:right w:val="single" w:color="auto" w:sz="4" w:space="0"/>
            </w:tcBorders>
            <w:vAlign w:val="center"/>
          </w:tcPr>
          <w:p w14:paraId="5099E7D5">
            <w:pPr>
              <w:widowControl/>
              <w:spacing w:line="520" w:lineRule="exact"/>
              <w:jc w:val="center"/>
              <w:rPr>
                <w:rFonts w:ascii="宋体" w:hAnsi="宋体" w:cs="宋体"/>
                <w:b/>
                <w:bCs/>
                <w:color w:val="auto"/>
                <w:kern w:val="0"/>
                <w:szCs w:val="21"/>
                <w:highlight w:val="none"/>
              </w:rPr>
            </w:pPr>
          </w:p>
        </w:tc>
        <w:tc>
          <w:tcPr>
            <w:tcW w:w="1512" w:type="dxa"/>
            <w:tcBorders>
              <w:top w:val="nil"/>
              <w:left w:val="nil"/>
              <w:bottom w:val="single" w:color="auto" w:sz="4" w:space="0"/>
              <w:right w:val="single" w:color="auto" w:sz="4" w:space="0"/>
            </w:tcBorders>
            <w:vAlign w:val="center"/>
          </w:tcPr>
          <w:p w14:paraId="7C07D836">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25" w:type="dxa"/>
            <w:tcBorders>
              <w:top w:val="nil"/>
              <w:left w:val="nil"/>
              <w:bottom w:val="single" w:color="auto" w:sz="4" w:space="0"/>
              <w:right w:val="single" w:color="auto" w:sz="4" w:space="0"/>
            </w:tcBorders>
            <w:vAlign w:val="center"/>
          </w:tcPr>
          <w:p w14:paraId="755A4671">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14" w:type="dxa"/>
            <w:tcBorders>
              <w:top w:val="nil"/>
              <w:left w:val="nil"/>
              <w:bottom w:val="single" w:color="auto" w:sz="4" w:space="0"/>
              <w:right w:val="single" w:color="auto" w:sz="4" w:space="0"/>
            </w:tcBorders>
            <w:vAlign w:val="center"/>
          </w:tcPr>
          <w:p w14:paraId="05E8A83D">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611" w:type="dxa"/>
            <w:tcBorders>
              <w:top w:val="nil"/>
              <w:left w:val="nil"/>
              <w:bottom w:val="single" w:color="auto" w:sz="4" w:space="0"/>
              <w:right w:val="single" w:color="auto" w:sz="4" w:space="0"/>
            </w:tcBorders>
            <w:vAlign w:val="center"/>
          </w:tcPr>
          <w:p w14:paraId="6D24358D">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613" w:type="dxa"/>
            <w:tcBorders>
              <w:top w:val="nil"/>
              <w:left w:val="nil"/>
              <w:bottom w:val="single" w:color="auto" w:sz="4" w:space="0"/>
              <w:right w:val="single" w:color="auto" w:sz="4" w:space="0"/>
            </w:tcBorders>
            <w:vAlign w:val="center"/>
          </w:tcPr>
          <w:p w14:paraId="6173ACA2">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57ECB2D9">
        <w:tblPrEx>
          <w:tblCellMar>
            <w:top w:w="0" w:type="dxa"/>
            <w:left w:w="108" w:type="dxa"/>
            <w:bottom w:w="0" w:type="dxa"/>
            <w:right w:w="108" w:type="dxa"/>
          </w:tblCellMar>
        </w:tblPrEx>
        <w:trPr>
          <w:trHeight w:val="225" w:hRule="atLeast"/>
        </w:trPr>
        <w:tc>
          <w:tcPr>
            <w:tcW w:w="1688" w:type="dxa"/>
            <w:vMerge w:val="restart"/>
            <w:tcBorders>
              <w:top w:val="nil"/>
              <w:left w:val="single" w:color="auto" w:sz="4" w:space="0"/>
              <w:bottom w:val="single" w:color="auto" w:sz="4" w:space="0"/>
              <w:right w:val="single" w:color="auto" w:sz="4" w:space="0"/>
            </w:tcBorders>
            <w:vAlign w:val="center"/>
          </w:tcPr>
          <w:p w14:paraId="5C442DE2">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租赁和商务服务业</w:t>
            </w:r>
          </w:p>
        </w:tc>
        <w:tc>
          <w:tcPr>
            <w:tcW w:w="1512" w:type="dxa"/>
            <w:tcBorders>
              <w:top w:val="nil"/>
              <w:left w:val="nil"/>
              <w:bottom w:val="single" w:color="auto" w:sz="4" w:space="0"/>
              <w:right w:val="single" w:color="auto" w:sz="4" w:space="0"/>
            </w:tcBorders>
            <w:vAlign w:val="center"/>
          </w:tcPr>
          <w:p w14:paraId="7DD33BBB">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25" w:type="dxa"/>
            <w:tcBorders>
              <w:top w:val="nil"/>
              <w:left w:val="nil"/>
              <w:bottom w:val="single" w:color="auto" w:sz="4" w:space="0"/>
              <w:right w:val="single" w:color="auto" w:sz="4" w:space="0"/>
            </w:tcBorders>
            <w:vAlign w:val="center"/>
          </w:tcPr>
          <w:p w14:paraId="481D678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2014" w:type="dxa"/>
            <w:tcBorders>
              <w:top w:val="nil"/>
              <w:left w:val="nil"/>
              <w:bottom w:val="single" w:color="auto" w:sz="4" w:space="0"/>
              <w:right w:val="single" w:color="auto" w:sz="4" w:space="0"/>
            </w:tcBorders>
            <w:vAlign w:val="center"/>
          </w:tcPr>
          <w:p w14:paraId="07FAE9A3">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11" w:type="dxa"/>
            <w:tcBorders>
              <w:top w:val="nil"/>
              <w:left w:val="nil"/>
              <w:bottom w:val="single" w:color="auto" w:sz="4" w:space="0"/>
              <w:right w:val="single" w:color="auto" w:sz="4" w:space="0"/>
            </w:tcBorders>
            <w:vAlign w:val="center"/>
          </w:tcPr>
          <w:p w14:paraId="4853AD38">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613" w:type="dxa"/>
            <w:tcBorders>
              <w:top w:val="nil"/>
              <w:left w:val="nil"/>
              <w:bottom w:val="single" w:color="auto" w:sz="4" w:space="0"/>
              <w:right w:val="single" w:color="auto" w:sz="4" w:space="0"/>
            </w:tcBorders>
            <w:vAlign w:val="center"/>
          </w:tcPr>
          <w:p w14:paraId="7DE38775">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1650480">
        <w:tblPrEx>
          <w:tblCellMar>
            <w:top w:w="0" w:type="dxa"/>
            <w:left w:w="108" w:type="dxa"/>
            <w:bottom w:w="0" w:type="dxa"/>
            <w:right w:w="108" w:type="dxa"/>
          </w:tblCellMar>
        </w:tblPrEx>
        <w:trPr>
          <w:trHeight w:val="225" w:hRule="atLeast"/>
        </w:trPr>
        <w:tc>
          <w:tcPr>
            <w:tcW w:w="1688" w:type="dxa"/>
            <w:vMerge w:val="continue"/>
            <w:tcBorders>
              <w:top w:val="nil"/>
              <w:left w:val="single" w:color="auto" w:sz="4" w:space="0"/>
              <w:bottom w:val="single" w:color="auto" w:sz="4" w:space="0"/>
              <w:right w:val="single" w:color="auto" w:sz="4" w:space="0"/>
            </w:tcBorders>
            <w:vAlign w:val="center"/>
          </w:tcPr>
          <w:p w14:paraId="16A31676">
            <w:pPr>
              <w:widowControl/>
              <w:spacing w:line="520" w:lineRule="exact"/>
              <w:jc w:val="center"/>
              <w:rPr>
                <w:rFonts w:ascii="宋体" w:hAnsi="宋体" w:cs="宋体"/>
                <w:b/>
                <w:bCs/>
                <w:color w:val="auto"/>
                <w:kern w:val="0"/>
                <w:szCs w:val="21"/>
                <w:highlight w:val="none"/>
              </w:rPr>
            </w:pPr>
          </w:p>
        </w:tc>
        <w:tc>
          <w:tcPr>
            <w:tcW w:w="1512" w:type="dxa"/>
            <w:tcBorders>
              <w:top w:val="nil"/>
              <w:left w:val="nil"/>
              <w:bottom w:val="single" w:color="auto" w:sz="4" w:space="0"/>
              <w:right w:val="single" w:color="auto" w:sz="4" w:space="0"/>
            </w:tcBorders>
            <w:vAlign w:val="center"/>
          </w:tcPr>
          <w:p w14:paraId="7565B394">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25" w:type="dxa"/>
            <w:tcBorders>
              <w:top w:val="nil"/>
              <w:left w:val="nil"/>
              <w:bottom w:val="single" w:color="auto" w:sz="4" w:space="0"/>
              <w:right w:val="single" w:color="auto" w:sz="4" w:space="0"/>
            </w:tcBorders>
            <w:vAlign w:val="center"/>
          </w:tcPr>
          <w:p w14:paraId="3DC918B2">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2014" w:type="dxa"/>
            <w:tcBorders>
              <w:top w:val="nil"/>
              <w:left w:val="nil"/>
              <w:bottom w:val="single" w:color="auto" w:sz="4" w:space="0"/>
              <w:right w:val="single" w:color="auto" w:sz="4" w:space="0"/>
            </w:tcBorders>
            <w:vAlign w:val="center"/>
          </w:tcPr>
          <w:p w14:paraId="7292A05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611" w:type="dxa"/>
            <w:tcBorders>
              <w:top w:val="nil"/>
              <w:left w:val="nil"/>
              <w:bottom w:val="single" w:color="auto" w:sz="4" w:space="0"/>
              <w:right w:val="single" w:color="auto" w:sz="4" w:space="0"/>
            </w:tcBorders>
            <w:vAlign w:val="center"/>
          </w:tcPr>
          <w:p w14:paraId="0F532BE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613" w:type="dxa"/>
            <w:tcBorders>
              <w:top w:val="nil"/>
              <w:left w:val="nil"/>
              <w:bottom w:val="single" w:color="auto" w:sz="4" w:space="0"/>
              <w:right w:val="single" w:color="auto" w:sz="4" w:space="0"/>
            </w:tcBorders>
            <w:vAlign w:val="center"/>
          </w:tcPr>
          <w:p w14:paraId="594B1B6D">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91EBD9B">
        <w:tblPrEx>
          <w:tblCellMar>
            <w:top w:w="0" w:type="dxa"/>
            <w:left w:w="108" w:type="dxa"/>
            <w:bottom w:w="0" w:type="dxa"/>
            <w:right w:w="108" w:type="dxa"/>
          </w:tblCellMar>
        </w:tblPrEx>
        <w:trPr>
          <w:trHeight w:val="225" w:hRule="atLeast"/>
        </w:trPr>
        <w:tc>
          <w:tcPr>
            <w:tcW w:w="1688" w:type="dxa"/>
            <w:tcBorders>
              <w:top w:val="nil"/>
              <w:left w:val="single" w:color="auto" w:sz="4" w:space="0"/>
              <w:bottom w:val="single" w:color="auto" w:sz="4" w:space="0"/>
              <w:right w:val="single" w:color="auto" w:sz="4" w:space="0"/>
            </w:tcBorders>
            <w:vAlign w:val="center"/>
          </w:tcPr>
          <w:p w14:paraId="6F2025A4">
            <w:pPr>
              <w:widowControl/>
              <w:spacing w:line="52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512" w:type="dxa"/>
            <w:tcBorders>
              <w:top w:val="nil"/>
              <w:left w:val="nil"/>
              <w:bottom w:val="single" w:color="auto" w:sz="4" w:space="0"/>
              <w:right w:val="single" w:color="auto" w:sz="4" w:space="0"/>
            </w:tcBorders>
            <w:vAlign w:val="center"/>
          </w:tcPr>
          <w:p w14:paraId="670BDEBB">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25" w:type="dxa"/>
            <w:tcBorders>
              <w:top w:val="nil"/>
              <w:left w:val="nil"/>
              <w:bottom w:val="single" w:color="auto" w:sz="4" w:space="0"/>
              <w:right w:val="single" w:color="auto" w:sz="4" w:space="0"/>
            </w:tcBorders>
            <w:vAlign w:val="center"/>
          </w:tcPr>
          <w:p w14:paraId="021E6C4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2014" w:type="dxa"/>
            <w:tcBorders>
              <w:top w:val="nil"/>
              <w:left w:val="nil"/>
              <w:bottom w:val="single" w:color="auto" w:sz="4" w:space="0"/>
              <w:right w:val="single" w:color="auto" w:sz="4" w:space="0"/>
            </w:tcBorders>
            <w:vAlign w:val="center"/>
          </w:tcPr>
          <w:p w14:paraId="36E0D74B">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11" w:type="dxa"/>
            <w:tcBorders>
              <w:top w:val="nil"/>
              <w:left w:val="nil"/>
              <w:bottom w:val="single" w:color="auto" w:sz="4" w:space="0"/>
              <w:right w:val="single" w:color="auto" w:sz="4" w:space="0"/>
            </w:tcBorders>
            <w:vAlign w:val="center"/>
          </w:tcPr>
          <w:p w14:paraId="530AF61C">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613" w:type="dxa"/>
            <w:tcBorders>
              <w:top w:val="nil"/>
              <w:left w:val="nil"/>
              <w:bottom w:val="single" w:color="auto" w:sz="4" w:space="0"/>
              <w:right w:val="single" w:color="auto" w:sz="4" w:space="0"/>
            </w:tcBorders>
            <w:vAlign w:val="center"/>
          </w:tcPr>
          <w:p w14:paraId="58AEB39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79EA10ED">
      <w:pPr>
        <w:ind w:left="1871"/>
        <w:rPr>
          <w:rFonts w:ascii="宋体" w:hAnsi="宋体" w:cs="宋体"/>
          <w:color w:val="auto"/>
          <w:szCs w:val="21"/>
          <w:highlight w:val="none"/>
        </w:rPr>
      </w:pPr>
    </w:p>
    <w:p w14:paraId="7E3296A9">
      <w:pPr>
        <w:spacing w:line="360" w:lineRule="auto"/>
        <w:ind w:firstLine="525" w:firstLineChars="250"/>
        <w:rPr>
          <w:rFonts w:ascii="宋体" w:hAnsi="宋体" w:cs="宋体"/>
          <w:color w:val="auto"/>
          <w:szCs w:val="21"/>
          <w:highlight w:val="none"/>
        </w:rPr>
      </w:pPr>
    </w:p>
    <w:p w14:paraId="78E39B21">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FD16DCD">
      <w:pPr>
        <w:spacing w:line="520" w:lineRule="exact"/>
        <w:contextualSpacing/>
        <w:jc w:val="center"/>
        <w:rPr>
          <w:rFonts w:ascii="宋体" w:hAnsi="宋体" w:cs="宋体"/>
          <w:color w:val="auto"/>
          <w:sz w:val="32"/>
          <w:szCs w:val="32"/>
          <w:highlight w:val="none"/>
        </w:rPr>
      </w:pPr>
      <w:r>
        <w:rPr>
          <w:rFonts w:hint="eastAsia" w:ascii="宋体" w:hAnsi="宋体" w:cs="宋体"/>
          <w:color w:val="auto"/>
          <w:sz w:val="24"/>
          <w:highlight w:val="none"/>
        </w:rPr>
        <w:br w:type="page"/>
      </w:r>
      <w:r>
        <w:rPr>
          <w:rFonts w:hint="eastAsia" w:ascii="宋体" w:hAnsi="宋体" w:cs="宋体"/>
          <w:color w:val="auto"/>
          <w:sz w:val="32"/>
          <w:szCs w:val="32"/>
          <w:highlight w:val="none"/>
        </w:rPr>
        <w:t>残疾人福利性单位声明函</w:t>
      </w:r>
    </w:p>
    <w:p w14:paraId="0D37A0F2">
      <w:pPr>
        <w:spacing w:line="520" w:lineRule="exact"/>
        <w:rPr>
          <w:rFonts w:ascii="宋体" w:hAnsi="宋体" w:cs="宋体"/>
          <w:color w:val="auto"/>
          <w:sz w:val="32"/>
          <w:szCs w:val="32"/>
          <w:highlight w:val="none"/>
        </w:rPr>
      </w:pPr>
    </w:p>
    <w:p w14:paraId="14914A10">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0BECA2A">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59AA25F2">
      <w:pPr>
        <w:spacing w:line="360" w:lineRule="auto"/>
        <w:contextualSpacing/>
        <w:rPr>
          <w:rFonts w:ascii="宋体" w:hAnsi="宋体" w:cs="宋体"/>
          <w:color w:val="auto"/>
          <w:szCs w:val="21"/>
          <w:highlight w:val="none"/>
        </w:rPr>
      </w:pPr>
    </w:p>
    <w:p w14:paraId="173DAE83">
      <w:pPr>
        <w:spacing w:line="360" w:lineRule="auto"/>
        <w:contextualSpacing/>
        <w:rPr>
          <w:rFonts w:ascii="宋体" w:hAnsi="宋体" w:cs="宋体"/>
          <w:color w:val="auto"/>
          <w:szCs w:val="21"/>
          <w:highlight w:val="none"/>
        </w:rPr>
      </w:pPr>
    </w:p>
    <w:p w14:paraId="3C1A9C57">
      <w:pPr>
        <w:spacing w:line="360" w:lineRule="auto"/>
        <w:contextualSpacing/>
        <w:rPr>
          <w:rFonts w:ascii="宋体" w:hAnsi="宋体" w:cs="宋体"/>
          <w:color w:val="auto"/>
          <w:szCs w:val="21"/>
          <w:highlight w:val="none"/>
        </w:rPr>
      </w:pPr>
    </w:p>
    <w:p w14:paraId="3D8204A3">
      <w:pPr>
        <w:spacing w:line="520" w:lineRule="exact"/>
        <w:ind w:firstLine="4830" w:firstLineChars="2300"/>
        <w:contextualSpacing/>
        <w:rPr>
          <w:rFonts w:ascii="宋体" w:hAnsi="宋体" w:cs="宋体"/>
          <w:color w:val="auto"/>
          <w:szCs w:val="21"/>
          <w:highlight w:val="none"/>
        </w:rPr>
      </w:pPr>
      <w:r>
        <w:rPr>
          <w:rFonts w:hint="eastAsia" w:ascii="宋体" w:hAnsi="宋体" w:cs="宋体"/>
          <w:color w:val="auto"/>
          <w:szCs w:val="21"/>
          <w:highlight w:val="none"/>
        </w:rPr>
        <w:t xml:space="preserve">供应商（盖公章）：      </w:t>
      </w:r>
    </w:p>
    <w:p w14:paraId="4B256116">
      <w:pPr>
        <w:spacing w:line="520" w:lineRule="exact"/>
        <w:ind w:firstLine="4830" w:firstLineChars="2300"/>
        <w:contextualSpacing/>
        <w:rPr>
          <w:rFonts w:ascii="宋体" w:hAnsi="宋体" w:cs="宋体"/>
          <w:color w:val="auto"/>
          <w:szCs w:val="21"/>
          <w:highlight w:val="none"/>
        </w:rPr>
      </w:pPr>
      <w:r>
        <w:rPr>
          <w:rFonts w:hint="eastAsia" w:ascii="宋体" w:hAnsi="宋体" w:cs="宋体"/>
          <w:color w:val="auto"/>
          <w:szCs w:val="21"/>
          <w:highlight w:val="none"/>
        </w:rPr>
        <w:t>日期：   年   月   日</w:t>
      </w:r>
    </w:p>
    <w:p w14:paraId="5B3D5CA1">
      <w:pPr>
        <w:spacing w:line="360" w:lineRule="auto"/>
        <w:contextualSpacing/>
        <w:rPr>
          <w:rFonts w:ascii="宋体" w:hAnsi="宋体" w:cs="宋体"/>
          <w:color w:val="auto"/>
          <w:sz w:val="24"/>
          <w:highlight w:val="none"/>
        </w:rPr>
      </w:pPr>
    </w:p>
    <w:p w14:paraId="0BFDAB7D">
      <w:pPr>
        <w:spacing w:line="360" w:lineRule="auto"/>
        <w:contextualSpacing/>
        <w:rPr>
          <w:rFonts w:ascii="宋体" w:hAnsi="宋体" w:cs="宋体"/>
          <w:color w:val="auto"/>
          <w:sz w:val="24"/>
          <w:highlight w:val="none"/>
        </w:rPr>
      </w:pPr>
    </w:p>
    <w:p w14:paraId="1D4AE2D5">
      <w:pPr>
        <w:spacing w:line="520" w:lineRule="exact"/>
        <w:ind w:firstLine="420" w:firstLineChars="200"/>
        <w:contextualSpacing/>
        <w:rPr>
          <w:rFonts w:ascii="宋体" w:hAnsi="宋体" w:cs="宋体"/>
          <w:b/>
          <w:color w:val="auto"/>
          <w:sz w:val="30"/>
          <w:highlight w:val="none"/>
        </w:rPr>
      </w:pPr>
      <w:r>
        <w:rPr>
          <w:rFonts w:hint="eastAsia" w:ascii="宋体" w:hAnsi="宋体" w:cs="宋体"/>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6759696">
      <w:pPr>
        <w:widowControl/>
        <w:spacing w:line="360" w:lineRule="auto"/>
        <w:jc w:val="center"/>
        <w:rPr>
          <w:rFonts w:ascii="宋体" w:hAnsi="宋体" w:cs="宋体"/>
          <w:b/>
          <w:color w:val="auto"/>
          <w:sz w:val="30"/>
          <w:highlight w:val="none"/>
        </w:rPr>
      </w:pPr>
    </w:p>
    <w:p w14:paraId="6D353E6B">
      <w:pPr>
        <w:widowControl/>
        <w:spacing w:line="360" w:lineRule="auto"/>
        <w:jc w:val="center"/>
        <w:rPr>
          <w:rFonts w:ascii="宋体" w:hAnsi="宋体" w:cs="宋体"/>
          <w:b/>
          <w:color w:val="auto"/>
          <w:sz w:val="30"/>
          <w:highlight w:val="none"/>
        </w:rPr>
      </w:pPr>
    </w:p>
    <w:p w14:paraId="406430DC">
      <w:pPr>
        <w:widowControl/>
        <w:spacing w:line="360" w:lineRule="auto"/>
        <w:jc w:val="center"/>
        <w:rPr>
          <w:rFonts w:ascii="宋体" w:hAnsi="宋体" w:cs="宋体"/>
          <w:b/>
          <w:color w:val="auto"/>
          <w:sz w:val="30"/>
          <w:highlight w:val="none"/>
        </w:rPr>
      </w:pPr>
    </w:p>
    <w:p w14:paraId="4609D674">
      <w:pPr>
        <w:pStyle w:val="27"/>
        <w:ind w:firstLine="480"/>
        <w:rPr>
          <w:rFonts w:hAnsi="宋体" w:cs="宋体"/>
          <w:color w:val="auto"/>
          <w:highlight w:val="none"/>
        </w:rPr>
        <w:sectPr>
          <w:pgSz w:w="11910" w:h="16840"/>
          <w:pgMar w:top="1134" w:right="1134" w:bottom="1134" w:left="1134" w:header="850" w:footer="567" w:gutter="0"/>
          <w:cols w:space="720" w:num="1"/>
          <w:docGrid w:linePitch="286" w:charSpace="0"/>
        </w:sectPr>
      </w:pPr>
    </w:p>
    <w:p w14:paraId="1D92AD51">
      <w:pPr>
        <w:rPr>
          <w:color w:val="auto"/>
          <w:highlight w:val="none"/>
        </w:rPr>
      </w:pPr>
    </w:p>
    <w:p w14:paraId="2FF35B68">
      <w:pPr>
        <w:spacing w:line="360" w:lineRule="auto"/>
        <w:contextualSpacing/>
        <w:rPr>
          <w:rFonts w:ascii="宋体" w:hAnsi="宋体" w:cs="宋体"/>
          <w:b/>
          <w:color w:val="auto"/>
          <w:sz w:val="32"/>
          <w:szCs w:val="32"/>
          <w:highlight w:val="none"/>
        </w:rPr>
      </w:pP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 xml:space="preserve">报价文件格式 </w:t>
      </w:r>
    </w:p>
    <w:p w14:paraId="63B24A15">
      <w:pPr>
        <w:snapToGri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1.报价文件封面格式</w:t>
      </w:r>
    </w:p>
    <w:p w14:paraId="5188C21C">
      <w:pPr>
        <w:snapToGrid w:val="0"/>
        <w:spacing w:before="120" w:beforeLines="50" w:after="50"/>
        <w:rPr>
          <w:rFonts w:ascii="宋体" w:hAnsi="宋体" w:cs="宋体"/>
          <w:color w:val="auto"/>
          <w:sz w:val="24"/>
          <w:highlight w:val="none"/>
        </w:rPr>
      </w:pPr>
    </w:p>
    <w:p w14:paraId="25CEC7A9">
      <w:pPr>
        <w:snapToGrid w:val="0"/>
        <w:spacing w:before="120" w:beforeLines="50" w:after="50"/>
        <w:rPr>
          <w:rFonts w:ascii="宋体" w:hAnsi="宋体" w:cs="宋体"/>
          <w:color w:val="auto"/>
          <w:sz w:val="24"/>
          <w:highlight w:val="none"/>
        </w:rPr>
      </w:pPr>
    </w:p>
    <w:p w14:paraId="06B52DE2">
      <w:pPr>
        <w:snapToGrid w:val="0"/>
        <w:spacing w:before="120" w:beforeLines="50" w:after="50"/>
        <w:rPr>
          <w:rFonts w:ascii="宋体" w:hAnsi="宋体" w:cs="宋体"/>
          <w:color w:val="auto"/>
          <w:sz w:val="24"/>
          <w:szCs w:val="20"/>
          <w:highlight w:val="none"/>
        </w:rPr>
      </w:pPr>
    </w:p>
    <w:p w14:paraId="486E4737">
      <w:pPr>
        <w:snapToGrid w:val="0"/>
        <w:spacing w:line="360" w:lineRule="auto"/>
        <w:jc w:val="center"/>
        <w:rPr>
          <w:rFonts w:ascii="宋体" w:hAnsi="宋体" w:cs="宋体"/>
          <w:bCs/>
          <w:color w:val="auto"/>
          <w:sz w:val="84"/>
          <w:szCs w:val="84"/>
          <w:highlight w:val="none"/>
        </w:rPr>
      </w:pPr>
      <w:r>
        <w:rPr>
          <w:rFonts w:hint="eastAsia" w:ascii="宋体" w:hAnsi="宋体" w:cs="宋体"/>
          <w:bCs/>
          <w:color w:val="auto"/>
          <w:sz w:val="84"/>
          <w:szCs w:val="84"/>
          <w:highlight w:val="none"/>
        </w:rPr>
        <w:t>响  应  文  件</w:t>
      </w:r>
    </w:p>
    <w:p w14:paraId="236B839B">
      <w:pPr>
        <w:snapToGrid w:val="0"/>
        <w:spacing w:before="120" w:beforeLines="50" w:after="50"/>
        <w:rPr>
          <w:rFonts w:ascii="宋体" w:hAnsi="宋体" w:cs="宋体"/>
          <w:color w:val="auto"/>
          <w:sz w:val="24"/>
          <w:szCs w:val="20"/>
          <w:highlight w:val="none"/>
        </w:rPr>
      </w:pPr>
    </w:p>
    <w:p w14:paraId="21D412E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报  价  文  件</w:t>
      </w:r>
    </w:p>
    <w:p w14:paraId="3B23D186">
      <w:pPr>
        <w:snapToGrid w:val="0"/>
        <w:spacing w:before="120" w:beforeLines="50" w:after="50"/>
        <w:rPr>
          <w:rFonts w:ascii="宋体" w:hAnsi="宋体" w:cs="宋体"/>
          <w:bCs/>
          <w:color w:val="auto"/>
          <w:sz w:val="24"/>
          <w:szCs w:val="20"/>
          <w:highlight w:val="none"/>
        </w:rPr>
      </w:pPr>
    </w:p>
    <w:p w14:paraId="12F37A53">
      <w:pPr>
        <w:snapToGrid w:val="0"/>
        <w:spacing w:before="120" w:beforeLines="50" w:after="50"/>
        <w:rPr>
          <w:rFonts w:ascii="宋体" w:hAnsi="宋体" w:cs="宋体"/>
          <w:bCs/>
          <w:color w:val="auto"/>
          <w:sz w:val="24"/>
          <w:szCs w:val="20"/>
          <w:highlight w:val="none"/>
        </w:rPr>
      </w:pPr>
    </w:p>
    <w:p w14:paraId="59679B31">
      <w:pPr>
        <w:snapToGrid w:val="0"/>
        <w:spacing w:before="120" w:beforeLines="50" w:after="50"/>
        <w:rPr>
          <w:rFonts w:ascii="宋体" w:hAnsi="宋体" w:cs="宋体"/>
          <w:bCs/>
          <w:color w:val="auto"/>
          <w:sz w:val="24"/>
          <w:szCs w:val="20"/>
          <w:highlight w:val="none"/>
        </w:rPr>
      </w:pPr>
    </w:p>
    <w:p w14:paraId="7C92D399">
      <w:pPr>
        <w:snapToGrid w:val="0"/>
        <w:spacing w:before="120" w:beforeLines="50" w:after="50"/>
        <w:rPr>
          <w:rFonts w:ascii="宋体" w:hAnsi="宋体" w:cs="宋体"/>
          <w:bCs/>
          <w:color w:val="auto"/>
          <w:sz w:val="24"/>
          <w:szCs w:val="20"/>
          <w:highlight w:val="none"/>
        </w:rPr>
      </w:pPr>
    </w:p>
    <w:p w14:paraId="0C85C36F">
      <w:pPr>
        <w:snapToGrid w:val="0"/>
        <w:spacing w:before="120" w:beforeLines="50" w:after="50"/>
        <w:rPr>
          <w:rFonts w:ascii="宋体" w:hAnsi="宋体" w:cs="宋体"/>
          <w:bCs/>
          <w:color w:val="auto"/>
          <w:sz w:val="24"/>
          <w:szCs w:val="20"/>
          <w:highlight w:val="none"/>
        </w:rPr>
      </w:pPr>
    </w:p>
    <w:p w14:paraId="6CC980E9">
      <w:pPr>
        <w:snapToGrid w:val="0"/>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项目名称：</w:t>
      </w:r>
    </w:p>
    <w:p w14:paraId="6DBB6AB0">
      <w:pPr>
        <w:snapToGrid w:val="0"/>
        <w:spacing w:line="520" w:lineRule="exact"/>
        <w:ind w:firstLine="420" w:firstLineChars="200"/>
        <w:rPr>
          <w:rFonts w:ascii="宋体" w:hAnsi="宋体" w:cs="宋体"/>
          <w:bCs/>
          <w:color w:val="auto"/>
          <w:szCs w:val="21"/>
          <w:highlight w:val="none"/>
        </w:rPr>
      </w:pPr>
    </w:p>
    <w:p w14:paraId="4DEAED70">
      <w:pPr>
        <w:snapToGrid w:val="0"/>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项目编号：</w:t>
      </w:r>
    </w:p>
    <w:p w14:paraId="3074D6FD">
      <w:pPr>
        <w:snapToGrid w:val="0"/>
        <w:spacing w:line="520" w:lineRule="exact"/>
        <w:ind w:firstLine="420" w:firstLineChars="200"/>
        <w:rPr>
          <w:rFonts w:ascii="宋体" w:hAnsi="宋体" w:cs="宋体"/>
          <w:bCs/>
          <w:color w:val="auto"/>
          <w:szCs w:val="21"/>
          <w:highlight w:val="none"/>
        </w:rPr>
      </w:pPr>
    </w:p>
    <w:p w14:paraId="2F562624">
      <w:pPr>
        <w:snapToGrid w:val="0"/>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所竞分标（如有）：</w:t>
      </w:r>
    </w:p>
    <w:p w14:paraId="2B40C728">
      <w:pPr>
        <w:snapToGrid w:val="0"/>
        <w:spacing w:line="520" w:lineRule="exact"/>
        <w:ind w:firstLine="420" w:firstLineChars="200"/>
        <w:rPr>
          <w:rFonts w:ascii="宋体" w:hAnsi="宋体" w:cs="宋体"/>
          <w:bCs/>
          <w:color w:val="auto"/>
          <w:szCs w:val="21"/>
          <w:highlight w:val="none"/>
        </w:rPr>
      </w:pPr>
    </w:p>
    <w:p w14:paraId="47153225">
      <w:pPr>
        <w:pStyle w:val="6"/>
        <w:snapToGrid w:val="0"/>
        <w:spacing w:line="520" w:lineRule="exact"/>
        <w:ind w:firstLineChars="200"/>
        <w:rPr>
          <w:rFonts w:ascii="宋体" w:hAnsi="宋体" w:cs="宋体"/>
          <w:bCs/>
          <w:color w:val="auto"/>
          <w:sz w:val="32"/>
          <w:szCs w:val="32"/>
          <w:highlight w:val="none"/>
        </w:rPr>
      </w:pPr>
      <w:r>
        <w:rPr>
          <w:rFonts w:hint="eastAsia" w:ascii="宋体" w:hAnsi="宋体" w:cs="宋体"/>
          <w:bCs/>
          <w:color w:val="auto"/>
          <w:szCs w:val="21"/>
          <w:highlight w:val="none"/>
        </w:rPr>
        <w:t>供应商名称：</w:t>
      </w:r>
    </w:p>
    <w:p w14:paraId="274B7C39">
      <w:pPr>
        <w:pStyle w:val="6"/>
        <w:snapToGrid w:val="0"/>
        <w:spacing w:before="50" w:after="50"/>
        <w:ind w:firstLine="640" w:firstLineChars="200"/>
        <w:rPr>
          <w:rFonts w:ascii="宋体" w:hAnsi="宋体" w:cs="宋体"/>
          <w:bCs/>
          <w:color w:val="auto"/>
          <w:sz w:val="32"/>
          <w:szCs w:val="32"/>
          <w:highlight w:val="none"/>
        </w:rPr>
      </w:pPr>
    </w:p>
    <w:p w14:paraId="1B3C2340">
      <w:pPr>
        <w:pStyle w:val="6"/>
        <w:snapToGrid w:val="0"/>
        <w:spacing w:before="50" w:after="50"/>
        <w:ind w:firstLine="0"/>
        <w:rPr>
          <w:rFonts w:ascii="宋体" w:hAnsi="宋体" w:cs="宋体"/>
          <w:bCs/>
          <w:color w:val="auto"/>
          <w:sz w:val="32"/>
          <w:szCs w:val="32"/>
          <w:highlight w:val="none"/>
        </w:rPr>
      </w:pPr>
    </w:p>
    <w:p w14:paraId="03C7B70C">
      <w:pPr>
        <w:pStyle w:val="6"/>
        <w:snapToGrid w:val="0"/>
        <w:spacing w:before="50" w:after="50"/>
        <w:ind w:firstLine="1280" w:firstLineChars="400"/>
        <w:rPr>
          <w:rFonts w:ascii="宋体" w:hAnsi="宋体" w:cs="宋体"/>
          <w:bCs/>
          <w:color w:val="auto"/>
          <w:sz w:val="32"/>
          <w:szCs w:val="32"/>
          <w:highlight w:val="none"/>
        </w:rPr>
      </w:pPr>
    </w:p>
    <w:p w14:paraId="04E51B74">
      <w:pPr>
        <w:snapToGrid w:val="0"/>
        <w:spacing w:line="520" w:lineRule="exact"/>
        <w:jc w:val="center"/>
        <w:rPr>
          <w:rFonts w:ascii="宋体" w:hAnsi="宋体" w:cs="宋体"/>
          <w:color w:val="auto"/>
          <w:sz w:val="32"/>
          <w:szCs w:val="32"/>
          <w:highlight w:val="none"/>
        </w:rPr>
      </w:pPr>
      <w:r>
        <w:rPr>
          <w:rFonts w:hint="eastAsia" w:ascii="宋体" w:hAnsi="宋体" w:cs="宋体"/>
          <w:color w:val="auto"/>
          <w:szCs w:val="21"/>
          <w:highlight w:val="none"/>
        </w:rPr>
        <w:t>年    月    日</w:t>
      </w:r>
    </w:p>
    <w:p w14:paraId="2B6CCDE3">
      <w:pPr>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2.报价文件目录</w:t>
      </w:r>
    </w:p>
    <w:p w14:paraId="75DEF57F">
      <w:pPr>
        <w:snapToGri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根据谈判文件规定及供应商提供的材料自行编写目录（部分格式后附）。</w:t>
      </w:r>
    </w:p>
    <w:p w14:paraId="0DB863A6">
      <w:pPr>
        <w:spacing w:line="400" w:lineRule="exact"/>
        <w:rPr>
          <w:rFonts w:ascii="宋体" w:hAnsi="宋体" w:cs="宋体"/>
          <w:color w:val="auto"/>
          <w:sz w:val="32"/>
          <w:szCs w:val="32"/>
          <w:highlight w:val="none"/>
        </w:rPr>
      </w:pPr>
    </w:p>
    <w:p w14:paraId="456B8C26">
      <w:pPr>
        <w:tabs>
          <w:tab w:val="left" w:pos="3479"/>
        </w:tabs>
        <w:spacing w:line="520" w:lineRule="exact"/>
        <w:jc w:val="center"/>
        <w:rPr>
          <w:rFonts w:ascii="宋体" w:hAnsi="宋体" w:cs="宋体"/>
          <w:bCs/>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b/>
          <w:bCs w:val="0"/>
          <w:color w:val="auto"/>
          <w:sz w:val="32"/>
          <w:szCs w:val="32"/>
          <w:highlight w:val="none"/>
        </w:rPr>
        <w:t>竞  标  报  价  表</w:t>
      </w:r>
    </w:p>
    <w:p w14:paraId="69A6422C">
      <w:pPr>
        <w:spacing w:line="520" w:lineRule="exact"/>
        <w:jc w:val="center"/>
        <w:rPr>
          <w:rFonts w:ascii="宋体" w:hAnsi="宋体" w:cs="宋体"/>
          <w:bCs/>
          <w:color w:val="auto"/>
          <w:sz w:val="32"/>
          <w:szCs w:val="32"/>
          <w:highlight w:val="none"/>
        </w:rPr>
      </w:pPr>
    </w:p>
    <w:p w14:paraId="321126F2">
      <w:pPr>
        <w:snapToGrid w:val="0"/>
        <w:spacing w:line="520" w:lineRule="exact"/>
        <w:rPr>
          <w:rFonts w:hint="eastAsia" w:ascii="宋体" w:hAnsi="宋体" w:cs="宋体"/>
          <w:color w:val="auto"/>
          <w:szCs w:val="21"/>
          <w:highlight w:val="none"/>
        </w:rPr>
      </w:pPr>
      <w:r>
        <w:rPr>
          <w:rFonts w:hint="eastAsia" w:ascii="宋体" w:hAnsi="宋体" w:cs="宋体"/>
          <w:color w:val="auto"/>
          <w:szCs w:val="21"/>
          <w:highlight w:val="none"/>
        </w:rPr>
        <w:t>项目名称：</w:t>
      </w:r>
    </w:p>
    <w:p w14:paraId="0CD0894F">
      <w:pPr>
        <w:snapToGrid w:val="0"/>
        <w:spacing w:line="520" w:lineRule="exact"/>
        <w:rPr>
          <w:rFonts w:ascii="宋体" w:hAnsi="宋体" w:cs="宋体"/>
          <w:color w:val="auto"/>
          <w:szCs w:val="21"/>
          <w:highlight w:val="none"/>
        </w:rPr>
      </w:pPr>
      <w:r>
        <w:rPr>
          <w:rFonts w:hint="eastAsia" w:ascii="宋体" w:hAnsi="宋体" w:cs="宋体"/>
          <w:color w:val="auto"/>
          <w:szCs w:val="21"/>
          <w:highlight w:val="none"/>
        </w:rPr>
        <w:t>项目编号：</w:t>
      </w:r>
    </w:p>
    <w:p w14:paraId="4FCBDDD0">
      <w:pPr>
        <w:snapToGrid w:val="0"/>
        <w:spacing w:line="520" w:lineRule="exact"/>
        <w:rPr>
          <w:rFonts w:hint="eastAsia" w:ascii="宋体" w:hAnsi="宋体" w:cs="宋体"/>
          <w:color w:val="auto"/>
          <w:szCs w:val="21"/>
          <w:highlight w:val="none"/>
        </w:rPr>
      </w:pPr>
      <w:r>
        <w:rPr>
          <w:rFonts w:hint="eastAsia" w:ascii="宋体" w:hAnsi="宋体" w:cs="宋体"/>
          <w:color w:val="auto"/>
          <w:szCs w:val="21"/>
          <w:highlight w:val="none"/>
        </w:rPr>
        <w:t>所竞分标（如有）：</w:t>
      </w:r>
    </w:p>
    <w:p w14:paraId="1FCFAD23">
      <w:pPr>
        <w:snapToGrid w:val="0"/>
        <w:spacing w:line="520" w:lineRule="exact"/>
        <w:rPr>
          <w:rFonts w:ascii="宋体" w:hAnsi="宋体" w:cs="宋体"/>
          <w:color w:val="auto"/>
          <w:szCs w:val="21"/>
          <w:highlight w:val="none"/>
        </w:rPr>
      </w:pPr>
      <w:r>
        <w:rPr>
          <w:rFonts w:hint="eastAsia" w:ascii="宋体" w:hAnsi="宋体" w:cs="宋体"/>
          <w:color w:val="auto"/>
          <w:szCs w:val="21"/>
          <w:highlight w:val="none"/>
        </w:rPr>
        <w:t>供应商名称：</w:t>
      </w:r>
    </w:p>
    <w:p w14:paraId="29E101F5">
      <w:pPr>
        <w:snapToGrid w:val="0"/>
        <w:spacing w:line="520" w:lineRule="exact"/>
        <w:jc w:val="right"/>
        <w:rPr>
          <w:rFonts w:ascii="宋体" w:hAnsi="宋体" w:cs="宋体"/>
          <w:color w:val="auto"/>
          <w:szCs w:val="21"/>
          <w:highlight w:val="none"/>
        </w:rPr>
      </w:pPr>
      <w:r>
        <w:rPr>
          <w:rFonts w:hint="eastAsia" w:ascii="宋体" w:hAnsi="宋体" w:cs="宋体"/>
          <w:color w:val="auto"/>
          <w:szCs w:val="21"/>
          <w:highlight w:val="none"/>
        </w:rPr>
        <w:t>单位：元</w:t>
      </w:r>
    </w:p>
    <w:tbl>
      <w:tblPr>
        <w:tblStyle w:val="22"/>
        <w:tblW w:w="10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933"/>
        <w:gridCol w:w="1555"/>
        <w:gridCol w:w="775"/>
        <w:gridCol w:w="1100"/>
        <w:gridCol w:w="2900"/>
        <w:gridCol w:w="780"/>
        <w:gridCol w:w="1725"/>
      </w:tblGrid>
      <w:tr w14:paraId="5D659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50B2417">
            <w:pPr>
              <w:spacing w:line="52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项号</w:t>
            </w:r>
          </w:p>
        </w:tc>
        <w:tc>
          <w:tcPr>
            <w:tcW w:w="933" w:type="dxa"/>
            <w:tcBorders>
              <w:top w:val="single" w:color="auto" w:sz="4" w:space="0"/>
              <w:left w:val="single" w:color="auto" w:sz="4" w:space="0"/>
              <w:bottom w:val="single" w:color="auto" w:sz="4" w:space="0"/>
              <w:right w:val="single" w:color="auto" w:sz="4" w:space="0"/>
            </w:tcBorders>
            <w:vAlign w:val="center"/>
          </w:tcPr>
          <w:p w14:paraId="73448858">
            <w:pPr>
              <w:spacing w:line="5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标的的名称</w:t>
            </w:r>
          </w:p>
        </w:tc>
        <w:tc>
          <w:tcPr>
            <w:tcW w:w="1555" w:type="dxa"/>
            <w:tcBorders>
              <w:top w:val="single" w:color="auto" w:sz="4" w:space="0"/>
              <w:left w:val="single" w:color="auto" w:sz="4" w:space="0"/>
              <w:bottom w:val="single" w:color="auto" w:sz="4" w:space="0"/>
              <w:right w:val="single" w:color="auto" w:sz="4" w:space="0"/>
            </w:tcBorders>
            <w:vAlign w:val="center"/>
          </w:tcPr>
          <w:p w14:paraId="5695E4FE">
            <w:pPr>
              <w:spacing w:line="5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数量及单位</w:t>
            </w:r>
          </w:p>
          <w:p w14:paraId="0EA2AF1D">
            <w:pPr>
              <w:spacing w:line="520" w:lineRule="exact"/>
              <w:jc w:val="center"/>
              <w:rPr>
                <w:rFonts w:ascii="宋体" w:hAnsi="宋体" w:cs="宋体"/>
                <w:b/>
                <w:bCs/>
                <w:color w:val="auto"/>
                <w:szCs w:val="21"/>
                <w:highlight w:val="none"/>
              </w:rPr>
            </w:pPr>
            <w:r>
              <w:rPr>
                <w:rFonts w:hint="eastAsia" w:ascii="宋体" w:hAnsi="宋体" w:cs="宋体"/>
                <w:b/>
                <w:bCs/>
                <w:color w:val="auto"/>
                <w:szCs w:val="21"/>
                <w:highlight w:val="none"/>
              </w:rPr>
              <w:t>①</w:t>
            </w:r>
          </w:p>
        </w:tc>
        <w:tc>
          <w:tcPr>
            <w:tcW w:w="775" w:type="dxa"/>
            <w:tcBorders>
              <w:top w:val="single" w:color="auto" w:sz="4" w:space="0"/>
              <w:left w:val="single" w:color="auto" w:sz="4" w:space="0"/>
              <w:bottom w:val="single" w:color="auto" w:sz="4" w:space="0"/>
              <w:right w:val="single" w:color="auto" w:sz="4" w:space="0"/>
            </w:tcBorders>
            <w:vAlign w:val="center"/>
          </w:tcPr>
          <w:p w14:paraId="07D5337E">
            <w:pPr>
              <w:spacing w:line="520" w:lineRule="exact"/>
              <w:jc w:val="center"/>
              <w:rPr>
                <w:rFonts w:ascii="宋体" w:hAnsi="宋体" w:cs="宋体"/>
                <w:b/>
                <w:bCs/>
                <w:color w:val="auto"/>
                <w:szCs w:val="21"/>
                <w:highlight w:val="none"/>
              </w:rPr>
            </w:pPr>
            <w:r>
              <w:rPr>
                <w:rFonts w:hint="eastAsia" w:ascii="宋体" w:hAnsi="宋体" w:cs="宋体"/>
                <w:b/>
                <w:bCs/>
                <w:color w:val="auto"/>
                <w:szCs w:val="21"/>
                <w:highlight w:val="none"/>
              </w:rPr>
              <w:t>品牌</w:t>
            </w:r>
          </w:p>
        </w:tc>
        <w:tc>
          <w:tcPr>
            <w:tcW w:w="1100" w:type="dxa"/>
            <w:tcBorders>
              <w:top w:val="single" w:color="auto" w:sz="4" w:space="0"/>
              <w:left w:val="single" w:color="auto" w:sz="4" w:space="0"/>
              <w:bottom w:val="single" w:color="auto" w:sz="4" w:space="0"/>
              <w:right w:val="single" w:color="auto" w:sz="4" w:space="0"/>
            </w:tcBorders>
            <w:vAlign w:val="center"/>
          </w:tcPr>
          <w:p w14:paraId="286DCF6E">
            <w:pPr>
              <w:spacing w:line="520" w:lineRule="exact"/>
              <w:jc w:val="center"/>
              <w:rPr>
                <w:rFonts w:ascii="宋体" w:hAnsi="宋体" w:cs="宋体"/>
                <w:b/>
                <w:bCs/>
                <w:color w:val="auto"/>
                <w:szCs w:val="21"/>
                <w:highlight w:val="none"/>
              </w:rPr>
            </w:pPr>
            <w:r>
              <w:rPr>
                <w:rFonts w:hint="eastAsia" w:ascii="宋体" w:hAnsi="宋体" w:cs="宋体"/>
                <w:b/>
                <w:bCs/>
                <w:color w:val="auto"/>
                <w:szCs w:val="21"/>
                <w:highlight w:val="none"/>
              </w:rPr>
              <w:t>规格</w:t>
            </w:r>
          </w:p>
          <w:p w14:paraId="70D274BD">
            <w:pPr>
              <w:spacing w:line="520" w:lineRule="exact"/>
              <w:jc w:val="center"/>
              <w:rPr>
                <w:rFonts w:ascii="宋体" w:hAnsi="宋体" w:cs="宋体"/>
                <w:b/>
                <w:bCs/>
                <w:color w:val="auto"/>
                <w:szCs w:val="21"/>
                <w:highlight w:val="none"/>
              </w:rPr>
            </w:pPr>
            <w:r>
              <w:rPr>
                <w:rFonts w:hint="eastAsia" w:ascii="宋体" w:hAnsi="宋体" w:cs="宋体"/>
                <w:b/>
                <w:bCs/>
                <w:color w:val="auto"/>
                <w:szCs w:val="21"/>
                <w:highlight w:val="none"/>
              </w:rPr>
              <w:t>型号</w:t>
            </w:r>
          </w:p>
        </w:tc>
        <w:tc>
          <w:tcPr>
            <w:tcW w:w="2900" w:type="dxa"/>
            <w:tcBorders>
              <w:top w:val="single" w:color="auto" w:sz="4" w:space="0"/>
              <w:left w:val="single" w:color="auto" w:sz="4" w:space="0"/>
              <w:bottom w:val="single" w:color="auto" w:sz="4" w:space="0"/>
              <w:right w:val="single" w:color="auto" w:sz="4" w:space="0"/>
            </w:tcBorders>
            <w:vAlign w:val="center"/>
          </w:tcPr>
          <w:p w14:paraId="433E99F4">
            <w:pPr>
              <w:spacing w:line="520" w:lineRule="exact"/>
              <w:jc w:val="center"/>
              <w:rPr>
                <w:rFonts w:ascii="宋体" w:hAnsi="宋体" w:cs="宋体"/>
                <w:b/>
                <w:bCs/>
                <w:color w:val="auto"/>
                <w:szCs w:val="21"/>
                <w:highlight w:val="none"/>
              </w:rPr>
            </w:pPr>
            <w:r>
              <w:rPr>
                <w:rFonts w:hint="eastAsia" w:ascii="宋体" w:hAnsi="宋体" w:cs="宋体"/>
                <w:b/>
                <w:bCs/>
                <w:color w:val="auto"/>
                <w:szCs w:val="21"/>
                <w:highlight w:val="none"/>
              </w:rPr>
              <w:t>生产厂家</w:t>
            </w:r>
          </w:p>
        </w:tc>
        <w:tc>
          <w:tcPr>
            <w:tcW w:w="780" w:type="dxa"/>
            <w:tcBorders>
              <w:top w:val="single" w:color="auto" w:sz="4" w:space="0"/>
              <w:left w:val="single" w:color="auto" w:sz="4" w:space="0"/>
              <w:bottom w:val="single" w:color="auto" w:sz="4" w:space="0"/>
              <w:right w:val="single" w:color="auto" w:sz="4" w:space="0"/>
            </w:tcBorders>
            <w:vAlign w:val="center"/>
          </w:tcPr>
          <w:p w14:paraId="3624EB93">
            <w:pPr>
              <w:spacing w:line="520" w:lineRule="exact"/>
              <w:jc w:val="center"/>
              <w:rPr>
                <w:rFonts w:ascii="宋体" w:hAnsi="宋体" w:cs="宋体"/>
                <w:b/>
                <w:bCs/>
                <w:color w:val="auto"/>
                <w:szCs w:val="21"/>
                <w:highlight w:val="none"/>
              </w:rPr>
            </w:pPr>
            <w:r>
              <w:rPr>
                <w:rFonts w:hint="eastAsia" w:ascii="宋体" w:hAnsi="宋体" w:cs="宋体"/>
                <w:b/>
                <w:bCs/>
                <w:color w:val="auto"/>
                <w:szCs w:val="21"/>
                <w:highlight w:val="none"/>
              </w:rPr>
              <w:t>单价</w:t>
            </w:r>
          </w:p>
          <w:p w14:paraId="38176172">
            <w:pPr>
              <w:spacing w:line="520" w:lineRule="exact"/>
              <w:jc w:val="center"/>
              <w:rPr>
                <w:rFonts w:ascii="宋体" w:hAnsi="宋体" w:cs="宋体"/>
                <w:b/>
                <w:bCs/>
                <w:color w:val="auto"/>
                <w:szCs w:val="21"/>
                <w:highlight w:val="none"/>
              </w:rPr>
            </w:pPr>
            <w:r>
              <w:rPr>
                <w:rFonts w:hint="eastAsia" w:ascii="宋体" w:hAnsi="宋体" w:cs="宋体"/>
                <w:b/>
                <w:bCs/>
                <w:color w:val="auto"/>
                <w:szCs w:val="21"/>
                <w:highlight w:val="none"/>
              </w:rPr>
              <w:t>②</w:t>
            </w:r>
          </w:p>
        </w:tc>
        <w:tc>
          <w:tcPr>
            <w:tcW w:w="1725" w:type="dxa"/>
            <w:tcBorders>
              <w:top w:val="single" w:color="auto" w:sz="4" w:space="0"/>
              <w:left w:val="single" w:color="auto" w:sz="4" w:space="0"/>
              <w:bottom w:val="single" w:color="auto" w:sz="4" w:space="0"/>
              <w:right w:val="single" w:color="auto" w:sz="4" w:space="0"/>
            </w:tcBorders>
            <w:vAlign w:val="center"/>
          </w:tcPr>
          <w:p w14:paraId="4220E80B">
            <w:pPr>
              <w:spacing w:line="520" w:lineRule="exact"/>
              <w:jc w:val="center"/>
              <w:rPr>
                <w:rFonts w:ascii="宋体" w:hAnsi="宋体" w:cs="宋体"/>
                <w:b/>
                <w:bCs/>
                <w:color w:val="auto"/>
                <w:szCs w:val="21"/>
                <w:highlight w:val="none"/>
              </w:rPr>
            </w:pPr>
            <w:r>
              <w:rPr>
                <w:rFonts w:hint="eastAsia" w:ascii="宋体" w:hAnsi="宋体" w:cs="宋体"/>
                <w:b/>
                <w:bCs/>
                <w:color w:val="auto"/>
                <w:szCs w:val="21"/>
                <w:highlight w:val="none"/>
              </w:rPr>
              <w:t>竞标报价</w:t>
            </w:r>
          </w:p>
          <w:p w14:paraId="3ED5D081">
            <w:pPr>
              <w:spacing w:line="520" w:lineRule="exact"/>
              <w:jc w:val="center"/>
              <w:rPr>
                <w:rFonts w:ascii="宋体" w:hAnsi="宋体" w:cs="宋体"/>
                <w:b/>
                <w:bCs/>
                <w:color w:val="auto"/>
                <w:szCs w:val="21"/>
                <w:highlight w:val="none"/>
              </w:rPr>
            </w:pPr>
            <w:r>
              <w:rPr>
                <w:rFonts w:hint="eastAsia" w:ascii="宋体" w:hAnsi="宋体" w:cs="宋体"/>
                <w:b/>
                <w:bCs/>
                <w:color w:val="auto"/>
                <w:szCs w:val="21"/>
                <w:highlight w:val="none"/>
              </w:rPr>
              <w:t>③=①×②</w:t>
            </w:r>
          </w:p>
        </w:tc>
      </w:tr>
      <w:tr w14:paraId="5FFC5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7927465">
            <w:pPr>
              <w:spacing w:line="5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933" w:type="dxa"/>
            <w:tcBorders>
              <w:top w:val="single" w:color="auto" w:sz="4" w:space="0"/>
              <w:left w:val="single" w:color="auto" w:sz="4" w:space="0"/>
              <w:bottom w:val="single" w:color="auto" w:sz="4" w:space="0"/>
              <w:right w:val="single" w:color="auto" w:sz="4" w:space="0"/>
            </w:tcBorders>
            <w:vAlign w:val="center"/>
          </w:tcPr>
          <w:p w14:paraId="6E4EC1AC">
            <w:pPr>
              <w:spacing w:line="520" w:lineRule="exact"/>
              <w:jc w:val="center"/>
              <w:rPr>
                <w:rFonts w:ascii="宋体" w:hAnsi="宋体" w:cs="宋体"/>
                <w:color w:val="auto"/>
                <w:szCs w:val="21"/>
                <w:highlight w:val="none"/>
              </w:rPr>
            </w:pPr>
          </w:p>
        </w:tc>
        <w:tc>
          <w:tcPr>
            <w:tcW w:w="1555" w:type="dxa"/>
            <w:tcBorders>
              <w:top w:val="single" w:color="auto" w:sz="4" w:space="0"/>
              <w:left w:val="single" w:color="auto" w:sz="4" w:space="0"/>
              <w:bottom w:val="single" w:color="auto" w:sz="4" w:space="0"/>
              <w:right w:val="single" w:color="auto" w:sz="4" w:space="0"/>
            </w:tcBorders>
            <w:vAlign w:val="center"/>
          </w:tcPr>
          <w:p w14:paraId="2AB32928">
            <w:pPr>
              <w:spacing w:line="520" w:lineRule="exact"/>
              <w:jc w:val="center"/>
              <w:rPr>
                <w:rFonts w:ascii="宋体" w:hAnsi="宋体" w:cs="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3B939024">
            <w:pPr>
              <w:spacing w:line="520" w:lineRule="exact"/>
              <w:jc w:val="center"/>
              <w:rPr>
                <w:rFonts w:ascii="宋体" w:hAnsi="宋体" w:cs="宋体"/>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14:paraId="31D9288F">
            <w:pPr>
              <w:spacing w:line="520" w:lineRule="exact"/>
              <w:jc w:val="center"/>
              <w:rPr>
                <w:rFonts w:ascii="宋体" w:hAnsi="宋体" w:cs="宋体"/>
                <w:color w:val="auto"/>
                <w:szCs w:val="21"/>
                <w:highlight w:val="none"/>
              </w:rPr>
            </w:pPr>
          </w:p>
        </w:tc>
        <w:tc>
          <w:tcPr>
            <w:tcW w:w="2900" w:type="dxa"/>
            <w:tcBorders>
              <w:top w:val="single" w:color="auto" w:sz="4" w:space="0"/>
              <w:left w:val="single" w:color="auto" w:sz="4" w:space="0"/>
              <w:bottom w:val="single" w:color="auto" w:sz="4" w:space="0"/>
              <w:right w:val="single" w:color="auto" w:sz="4" w:space="0"/>
            </w:tcBorders>
            <w:vAlign w:val="center"/>
          </w:tcPr>
          <w:p w14:paraId="211A42B1">
            <w:pPr>
              <w:spacing w:line="520" w:lineRule="exact"/>
              <w:jc w:val="center"/>
              <w:rPr>
                <w:rFonts w:ascii="宋体" w:hAnsi="宋体" w:cs="宋体"/>
                <w:color w:val="auto"/>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66B36ABE">
            <w:pPr>
              <w:spacing w:line="520" w:lineRule="exact"/>
              <w:jc w:val="center"/>
              <w:rPr>
                <w:rFonts w:ascii="宋体" w:hAnsi="宋体" w:cs="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49E4E9F5">
            <w:pPr>
              <w:spacing w:line="520" w:lineRule="exact"/>
              <w:jc w:val="center"/>
              <w:rPr>
                <w:rFonts w:ascii="宋体" w:hAnsi="宋体" w:cs="宋体"/>
                <w:color w:val="auto"/>
                <w:szCs w:val="21"/>
                <w:highlight w:val="none"/>
              </w:rPr>
            </w:pPr>
          </w:p>
        </w:tc>
      </w:tr>
      <w:tr w14:paraId="11523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8053175">
            <w:pPr>
              <w:spacing w:line="5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933" w:type="dxa"/>
            <w:tcBorders>
              <w:top w:val="single" w:color="auto" w:sz="4" w:space="0"/>
              <w:left w:val="single" w:color="auto" w:sz="4" w:space="0"/>
              <w:bottom w:val="single" w:color="auto" w:sz="4" w:space="0"/>
              <w:right w:val="single" w:color="auto" w:sz="4" w:space="0"/>
            </w:tcBorders>
            <w:vAlign w:val="center"/>
          </w:tcPr>
          <w:p w14:paraId="33F77041">
            <w:pPr>
              <w:spacing w:line="520" w:lineRule="exact"/>
              <w:jc w:val="center"/>
              <w:rPr>
                <w:rFonts w:ascii="宋体" w:hAnsi="宋体" w:cs="宋体"/>
                <w:color w:val="auto"/>
                <w:szCs w:val="21"/>
                <w:highlight w:val="none"/>
              </w:rPr>
            </w:pPr>
          </w:p>
        </w:tc>
        <w:tc>
          <w:tcPr>
            <w:tcW w:w="1555" w:type="dxa"/>
            <w:tcBorders>
              <w:top w:val="single" w:color="auto" w:sz="4" w:space="0"/>
              <w:left w:val="single" w:color="auto" w:sz="4" w:space="0"/>
              <w:bottom w:val="single" w:color="auto" w:sz="4" w:space="0"/>
              <w:right w:val="single" w:color="auto" w:sz="4" w:space="0"/>
            </w:tcBorders>
            <w:vAlign w:val="center"/>
          </w:tcPr>
          <w:p w14:paraId="49BEE3D2">
            <w:pPr>
              <w:spacing w:line="520" w:lineRule="exact"/>
              <w:jc w:val="center"/>
              <w:rPr>
                <w:rFonts w:ascii="宋体" w:hAnsi="宋体" w:cs="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5FF1B904">
            <w:pPr>
              <w:spacing w:line="520" w:lineRule="exact"/>
              <w:jc w:val="center"/>
              <w:rPr>
                <w:rFonts w:ascii="宋体" w:hAnsi="宋体" w:cs="宋体"/>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14:paraId="16F2AE16">
            <w:pPr>
              <w:spacing w:line="520" w:lineRule="exact"/>
              <w:jc w:val="center"/>
              <w:rPr>
                <w:rFonts w:ascii="宋体" w:hAnsi="宋体" w:cs="宋体"/>
                <w:color w:val="auto"/>
                <w:szCs w:val="21"/>
                <w:highlight w:val="none"/>
              </w:rPr>
            </w:pPr>
          </w:p>
        </w:tc>
        <w:tc>
          <w:tcPr>
            <w:tcW w:w="2900" w:type="dxa"/>
            <w:tcBorders>
              <w:top w:val="single" w:color="auto" w:sz="4" w:space="0"/>
              <w:left w:val="single" w:color="auto" w:sz="4" w:space="0"/>
              <w:bottom w:val="single" w:color="auto" w:sz="4" w:space="0"/>
              <w:right w:val="single" w:color="auto" w:sz="4" w:space="0"/>
            </w:tcBorders>
            <w:vAlign w:val="center"/>
          </w:tcPr>
          <w:p w14:paraId="1919A7DB">
            <w:pPr>
              <w:spacing w:line="520" w:lineRule="exact"/>
              <w:jc w:val="center"/>
              <w:rPr>
                <w:rFonts w:ascii="宋体" w:hAnsi="宋体" w:cs="宋体"/>
                <w:color w:val="auto"/>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3D82173A">
            <w:pPr>
              <w:spacing w:line="520" w:lineRule="exact"/>
              <w:jc w:val="center"/>
              <w:rPr>
                <w:rFonts w:ascii="宋体" w:hAnsi="宋体" w:cs="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621586AC">
            <w:pPr>
              <w:spacing w:line="520" w:lineRule="exact"/>
              <w:jc w:val="center"/>
              <w:rPr>
                <w:rFonts w:ascii="宋体" w:hAnsi="宋体" w:cs="宋体"/>
                <w:color w:val="auto"/>
                <w:szCs w:val="21"/>
                <w:highlight w:val="none"/>
              </w:rPr>
            </w:pPr>
          </w:p>
        </w:tc>
      </w:tr>
      <w:tr w14:paraId="470D3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D415E67">
            <w:pPr>
              <w:spacing w:line="52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933" w:type="dxa"/>
            <w:tcBorders>
              <w:top w:val="single" w:color="auto" w:sz="4" w:space="0"/>
              <w:left w:val="single" w:color="auto" w:sz="4" w:space="0"/>
              <w:bottom w:val="single" w:color="auto" w:sz="4" w:space="0"/>
              <w:right w:val="single" w:color="auto" w:sz="4" w:space="0"/>
            </w:tcBorders>
            <w:vAlign w:val="center"/>
          </w:tcPr>
          <w:p w14:paraId="0B9A27BC">
            <w:pPr>
              <w:spacing w:line="52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555" w:type="dxa"/>
            <w:tcBorders>
              <w:top w:val="single" w:color="auto" w:sz="4" w:space="0"/>
              <w:left w:val="single" w:color="auto" w:sz="4" w:space="0"/>
              <w:bottom w:val="single" w:color="auto" w:sz="4" w:space="0"/>
              <w:right w:val="single" w:color="auto" w:sz="4" w:space="0"/>
            </w:tcBorders>
            <w:vAlign w:val="center"/>
          </w:tcPr>
          <w:p w14:paraId="788FCA9F">
            <w:pPr>
              <w:spacing w:line="520" w:lineRule="exact"/>
              <w:jc w:val="center"/>
              <w:rPr>
                <w:rFonts w:ascii="宋体" w:hAnsi="宋体" w:cs="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747959ED">
            <w:pPr>
              <w:spacing w:line="520" w:lineRule="exact"/>
              <w:jc w:val="center"/>
              <w:rPr>
                <w:rFonts w:ascii="宋体" w:hAnsi="宋体" w:cs="宋体"/>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14:paraId="3AC114BF">
            <w:pPr>
              <w:spacing w:line="520" w:lineRule="exact"/>
              <w:jc w:val="center"/>
              <w:rPr>
                <w:rFonts w:ascii="宋体" w:hAnsi="宋体" w:cs="宋体"/>
                <w:color w:val="auto"/>
                <w:szCs w:val="21"/>
                <w:highlight w:val="none"/>
              </w:rPr>
            </w:pPr>
          </w:p>
        </w:tc>
        <w:tc>
          <w:tcPr>
            <w:tcW w:w="2900" w:type="dxa"/>
            <w:tcBorders>
              <w:top w:val="single" w:color="auto" w:sz="4" w:space="0"/>
              <w:left w:val="single" w:color="auto" w:sz="4" w:space="0"/>
              <w:bottom w:val="single" w:color="auto" w:sz="4" w:space="0"/>
              <w:right w:val="single" w:color="auto" w:sz="4" w:space="0"/>
            </w:tcBorders>
            <w:vAlign w:val="center"/>
          </w:tcPr>
          <w:p w14:paraId="4D27CE1C">
            <w:pPr>
              <w:spacing w:line="520" w:lineRule="exact"/>
              <w:jc w:val="center"/>
              <w:rPr>
                <w:rFonts w:ascii="宋体" w:hAnsi="宋体" w:cs="宋体"/>
                <w:color w:val="auto"/>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5B172067">
            <w:pPr>
              <w:spacing w:line="520" w:lineRule="exact"/>
              <w:jc w:val="center"/>
              <w:rPr>
                <w:rFonts w:ascii="宋体" w:hAnsi="宋体" w:cs="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07CF6F83">
            <w:pPr>
              <w:spacing w:line="520" w:lineRule="exact"/>
              <w:jc w:val="center"/>
              <w:rPr>
                <w:rFonts w:ascii="宋体" w:hAnsi="宋体" w:cs="宋体"/>
                <w:color w:val="auto"/>
                <w:szCs w:val="21"/>
                <w:highlight w:val="none"/>
              </w:rPr>
            </w:pPr>
          </w:p>
        </w:tc>
      </w:tr>
      <w:tr w14:paraId="711E6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5" w:hRule="atLeast"/>
          <w:jc w:val="center"/>
        </w:trPr>
        <w:tc>
          <w:tcPr>
            <w:tcW w:w="10507" w:type="dxa"/>
            <w:gridSpan w:val="8"/>
            <w:tcBorders>
              <w:top w:val="single" w:color="auto" w:sz="4" w:space="0"/>
              <w:left w:val="single" w:color="auto" w:sz="4" w:space="0"/>
              <w:bottom w:val="single" w:color="auto" w:sz="4" w:space="0"/>
              <w:right w:val="single" w:color="auto" w:sz="4" w:space="0"/>
            </w:tcBorders>
          </w:tcPr>
          <w:p w14:paraId="35E4E17A">
            <w:pPr>
              <w:snapToGrid w:val="0"/>
              <w:spacing w:line="520" w:lineRule="exact"/>
              <w:rPr>
                <w:rFonts w:ascii="宋体" w:hAnsi="宋体" w:cs="宋体"/>
                <w:color w:val="auto"/>
                <w:szCs w:val="21"/>
                <w:highlight w:val="none"/>
              </w:rPr>
            </w:pPr>
            <w:r>
              <w:rPr>
                <w:rFonts w:hint="eastAsia" w:ascii="宋体" w:hAnsi="宋体" w:cs="宋体"/>
                <w:color w:val="auto"/>
                <w:szCs w:val="21"/>
                <w:highlight w:val="none"/>
              </w:rPr>
              <w:t>合计金额大写：人民币（￥）</w:t>
            </w:r>
          </w:p>
          <w:p w14:paraId="4F560FF7">
            <w:pPr>
              <w:snapToGrid w:val="0"/>
              <w:spacing w:line="520" w:lineRule="exact"/>
              <w:rPr>
                <w:rFonts w:ascii="宋体" w:hAnsi="宋体" w:cs="宋体"/>
                <w:color w:val="auto"/>
                <w:sz w:val="24"/>
                <w:highlight w:val="none"/>
                <w:u w:val="single"/>
              </w:rPr>
            </w:pPr>
            <w:r>
              <w:rPr>
                <w:rFonts w:hint="eastAsia" w:ascii="宋体" w:hAnsi="宋体" w:cs="宋体"/>
                <w:color w:val="auto"/>
                <w:szCs w:val="21"/>
                <w:highlight w:val="none"/>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14:paraId="60A054C1">
      <w:pPr>
        <w:spacing w:line="520" w:lineRule="exact"/>
        <w:contextualSpacing/>
        <w:rPr>
          <w:rFonts w:ascii="宋体" w:hAnsi="宋体" w:cs="宋体"/>
          <w:color w:val="auto"/>
          <w:szCs w:val="21"/>
          <w:highlight w:val="none"/>
        </w:rPr>
      </w:pPr>
      <w:r>
        <w:rPr>
          <w:rFonts w:hint="eastAsia" w:ascii="宋体" w:hAnsi="宋体" w:cs="宋体"/>
          <w:color w:val="auto"/>
          <w:szCs w:val="21"/>
          <w:highlight w:val="none"/>
        </w:rPr>
        <w:t xml:space="preserve">注: </w:t>
      </w:r>
    </w:p>
    <w:p w14:paraId="67239B28">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 以上竞标报价表中“货物名称、数量及单位、品牌、规格型号、生产厂家”必须如实填写完整，品牌、规格型号没有则填无，填写有缺漏</w:t>
      </w:r>
      <w:r>
        <w:rPr>
          <w:rFonts w:hint="eastAsia" w:ascii="宋体" w:hAnsi="宋体" w:cs="宋体"/>
          <w:bCs/>
          <w:color w:val="auto"/>
          <w:szCs w:val="21"/>
          <w:highlight w:val="none"/>
        </w:rPr>
        <w:t>的，</w:t>
      </w:r>
      <w:r>
        <w:rPr>
          <w:rFonts w:hint="eastAsia" w:ascii="宋体" w:hAnsi="宋体" w:cs="宋体"/>
          <w:b/>
          <w:color w:val="auto"/>
          <w:szCs w:val="21"/>
          <w:highlight w:val="none"/>
        </w:rPr>
        <w:t>其响应文件按无效响应处理。</w:t>
      </w:r>
    </w:p>
    <w:p w14:paraId="015BFC5E">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2.供应商的报价表必须加盖供应商公章并由法定代表人或者委托代理人签字，</w:t>
      </w:r>
      <w:r>
        <w:rPr>
          <w:rFonts w:hint="eastAsia" w:ascii="宋体" w:hAnsi="宋体" w:cs="宋体"/>
          <w:b/>
          <w:color w:val="auto"/>
          <w:szCs w:val="21"/>
          <w:highlight w:val="none"/>
        </w:rPr>
        <w:t>否则其响应文件按无效响应处理</w:t>
      </w:r>
      <w:r>
        <w:rPr>
          <w:rFonts w:hint="eastAsia" w:ascii="宋体" w:hAnsi="宋体" w:cs="宋体"/>
          <w:color w:val="auto"/>
          <w:szCs w:val="21"/>
          <w:highlight w:val="none"/>
        </w:rPr>
        <w:t>。</w:t>
      </w:r>
    </w:p>
    <w:p w14:paraId="49EDD9F8">
      <w:pPr>
        <w:spacing w:line="520" w:lineRule="exact"/>
        <w:ind w:firstLine="420" w:firstLineChars="200"/>
        <w:contextualSpacing/>
        <w:rPr>
          <w:rFonts w:ascii="宋体" w:hAnsi="宋体" w:cs="宋体"/>
          <w:b/>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报价一经涂改，应在涂改处加盖供应商公章或者由法定代表人或者授权委托人签字或者盖章</w:t>
      </w:r>
      <w:r>
        <w:rPr>
          <w:rFonts w:hint="eastAsia" w:ascii="宋体" w:hAnsi="宋体" w:cs="宋体"/>
          <w:b/>
          <w:color w:val="auto"/>
          <w:szCs w:val="21"/>
          <w:highlight w:val="none"/>
        </w:rPr>
        <w:t>，否则其响应文件按无效响应处理。</w:t>
      </w:r>
    </w:p>
    <w:p w14:paraId="6E6D256E">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4.谈判文件中列明采购专用耗材的，应按谈判文件规定的耗材量或者按耗材的常规试用量提供报价。</w:t>
      </w:r>
    </w:p>
    <w:p w14:paraId="7A2F53ED">
      <w:pPr>
        <w:spacing w:line="520" w:lineRule="exact"/>
        <w:ind w:firstLine="420" w:firstLineChars="200"/>
        <w:contextualSpacing/>
        <w:rPr>
          <w:rFonts w:ascii="宋体" w:hAnsi="宋体" w:cs="宋体"/>
          <w:b/>
          <w:color w:val="auto"/>
          <w:szCs w:val="21"/>
          <w:highlight w:val="none"/>
        </w:rPr>
      </w:pPr>
      <w:r>
        <w:rPr>
          <w:rFonts w:hint="eastAsia" w:ascii="宋体" w:hAnsi="宋体" w:cs="宋体"/>
          <w:color w:val="auto"/>
          <w:szCs w:val="21"/>
          <w:highlight w:val="none"/>
        </w:rPr>
        <w:t>5.</w:t>
      </w:r>
      <w:r>
        <w:rPr>
          <w:rFonts w:hint="eastAsia" w:ascii="宋体" w:hAnsi="宋体" w:cs="宋体"/>
          <w:color w:val="auto"/>
          <w:spacing w:val="-6"/>
          <w:szCs w:val="21"/>
          <w:highlight w:val="none"/>
        </w:rPr>
        <w:t>如有多分标，分别列明各分标的报价表，</w:t>
      </w:r>
      <w:r>
        <w:rPr>
          <w:rFonts w:hint="eastAsia" w:ascii="宋体" w:hAnsi="宋体" w:cs="宋体"/>
          <w:b/>
          <w:color w:val="auto"/>
          <w:spacing w:val="-6"/>
          <w:szCs w:val="21"/>
          <w:highlight w:val="none"/>
        </w:rPr>
        <w:t>否则其响应文件按无效响应处理。</w:t>
      </w:r>
    </w:p>
    <w:p w14:paraId="1C6EDF96">
      <w:pPr>
        <w:spacing w:line="520" w:lineRule="exact"/>
        <w:ind w:right="-817" w:rightChars="-389" w:firstLine="4410" w:firstLineChars="2100"/>
        <w:contextualSpacing/>
        <w:rPr>
          <w:rFonts w:ascii="宋体" w:hAnsi="宋体" w:cs="宋体"/>
          <w:color w:val="auto"/>
          <w:szCs w:val="21"/>
          <w:highlight w:val="none"/>
        </w:rPr>
      </w:pPr>
      <w:r>
        <w:rPr>
          <w:rFonts w:hint="eastAsia" w:ascii="宋体" w:hAnsi="宋体" w:cs="宋体"/>
          <w:color w:val="auto"/>
          <w:szCs w:val="21"/>
          <w:highlight w:val="none"/>
        </w:rPr>
        <w:t xml:space="preserve">法定代表人或者委托代理人（签字）：                    </w:t>
      </w:r>
    </w:p>
    <w:p w14:paraId="67AF68A2">
      <w:pPr>
        <w:spacing w:line="520" w:lineRule="exact"/>
        <w:ind w:right="-817" w:rightChars="-389" w:firstLine="4410" w:firstLineChars="2100"/>
        <w:contextualSpacing/>
        <w:rPr>
          <w:rFonts w:ascii="宋体" w:hAnsi="宋体" w:cs="宋体"/>
          <w:color w:val="auto"/>
          <w:szCs w:val="21"/>
          <w:highlight w:val="none"/>
        </w:rPr>
      </w:pPr>
      <w:r>
        <w:rPr>
          <w:rFonts w:hint="eastAsia" w:ascii="宋体" w:hAnsi="宋体" w:cs="宋体"/>
          <w:color w:val="auto"/>
          <w:szCs w:val="21"/>
          <w:highlight w:val="none"/>
        </w:rPr>
        <w:t xml:space="preserve">供应商（盖公章）：      </w:t>
      </w:r>
    </w:p>
    <w:p w14:paraId="1D048CF0">
      <w:pPr>
        <w:spacing w:line="520" w:lineRule="exact"/>
        <w:ind w:right="-817" w:rightChars="-389" w:firstLine="4410" w:firstLineChars="2100"/>
        <w:contextualSpacing/>
        <w:rPr>
          <w:rFonts w:ascii="宋体" w:hAnsi="宋体" w:cs="宋体"/>
          <w:color w:val="auto"/>
          <w:szCs w:val="21"/>
          <w:highlight w:val="none"/>
        </w:rPr>
        <w:sectPr>
          <w:pgSz w:w="11910" w:h="16840"/>
          <w:pgMar w:top="1134" w:right="1134" w:bottom="1134" w:left="1134" w:header="850" w:footer="567" w:gutter="0"/>
          <w:cols w:space="720" w:num="1"/>
          <w:docGrid w:linePitch="286" w:charSpace="0"/>
        </w:sectPr>
      </w:pPr>
      <w:r>
        <w:rPr>
          <w:rFonts w:hint="eastAsia" w:ascii="宋体" w:hAnsi="宋体" w:cs="宋体"/>
          <w:color w:val="auto"/>
          <w:szCs w:val="21"/>
          <w:highlight w:val="none"/>
        </w:rPr>
        <w:t>日期：   年   月   日</w:t>
      </w:r>
    </w:p>
    <w:p w14:paraId="3996985B">
      <w:pPr>
        <w:rPr>
          <w:rFonts w:ascii="宋体" w:hAnsi="宋体" w:cs="宋体"/>
          <w:color w:val="auto"/>
          <w:highlight w:val="none"/>
        </w:rPr>
      </w:pPr>
    </w:p>
    <w:p w14:paraId="1F2E674C">
      <w:pPr>
        <w:spacing w:line="360" w:lineRule="auto"/>
        <w:contextualSpacing/>
        <w:rPr>
          <w:rFonts w:ascii="宋体" w:hAnsi="宋体" w:cs="宋体"/>
          <w:b/>
          <w:color w:val="auto"/>
          <w:sz w:val="32"/>
          <w:szCs w:val="32"/>
          <w:highlight w:val="none"/>
        </w:rPr>
      </w:pP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rPr>
        <w:t>、</w:t>
      </w:r>
      <w:r>
        <w:rPr>
          <w:rFonts w:hint="eastAsia" w:ascii="宋体" w:hAnsi="宋体" w:cs="宋体"/>
          <w:b/>
          <w:color w:val="auto"/>
          <w:sz w:val="32"/>
          <w:szCs w:val="32"/>
          <w:highlight w:val="none"/>
        </w:rPr>
        <w:t xml:space="preserve">商务技术文件格式 </w:t>
      </w:r>
    </w:p>
    <w:p w14:paraId="17914635">
      <w:pPr>
        <w:snapToGrid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1.商务技术文件封面格式</w:t>
      </w:r>
    </w:p>
    <w:p w14:paraId="00652C51">
      <w:pPr>
        <w:snapToGrid w:val="0"/>
        <w:spacing w:before="120" w:beforeLines="50" w:after="50"/>
        <w:rPr>
          <w:rFonts w:ascii="宋体" w:hAnsi="宋体" w:cs="宋体"/>
          <w:color w:val="auto"/>
          <w:sz w:val="24"/>
          <w:highlight w:val="none"/>
        </w:rPr>
      </w:pPr>
    </w:p>
    <w:p w14:paraId="4933DA4A">
      <w:pPr>
        <w:snapToGrid w:val="0"/>
        <w:spacing w:before="120" w:beforeLines="50" w:after="50"/>
        <w:rPr>
          <w:rFonts w:ascii="宋体" w:hAnsi="宋体" w:cs="宋体"/>
          <w:color w:val="auto"/>
          <w:sz w:val="24"/>
          <w:highlight w:val="none"/>
        </w:rPr>
      </w:pPr>
    </w:p>
    <w:p w14:paraId="58B9B4A0">
      <w:pPr>
        <w:snapToGrid w:val="0"/>
        <w:spacing w:before="120" w:beforeLines="50" w:after="50"/>
        <w:rPr>
          <w:rFonts w:ascii="宋体" w:hAnsi="宋体" w:cs="宋体"/>
          <w:color w:val="auto"/>
          <w:sz w:val="24"/>
          <w:szCs w:val="20"/>
          <w:highlight w:val="none"/>
        </w:rPr>
      </w:pPr>
    </w:p>
    <w:p w14:paraId="38DCEA85">
      <w:pPr>
        <w:snapToGrid w:val="0"/>
        <w:spacing w:line="360" w:lineRule="auto"/>
        <w:jc w:val="center"/>
        <w:rPr>
          <w:rFonts w:ascii="宋体" w:hAnsi="宋体" w:cs="宋体"/>
          <w:bCs/>
          <w:color w:val="auto"/>
          <w:sz w:val="84"/>
          <w:szCs w:val="84"/>
          <w:highlight w:val="none"/>
        </w:rPr>
      </w:pPr>
      <w:r>
        <w:rPr>
          <w:rFonts w:hint="eastAsia" w:ascii="宋体" w:hAnsi="宋体" w:cs="宋体"/>
          <w:bCs/>
          <w:color w:val="auto"/>
          <w:sz w:val="84"/>
          <w:szCs w:val="84"/>
          <w:highlight w:val="none"/>
        </w:rPr>
        <w:t>响  应  文  件</w:t>
      </w:r>
    </w:p>
    <w:p w14:paraId="5851A991">
      <w:pPr>
        <w:snapToGrid w:val="0"/>
        <w:spacing w:before="120" w:beforeLines="50" w:after="50"/>
        <w:rPr>
          <w:rFonts w:ascii="宋体" w:hAnsi="宋体" w:cs="宋体"/>
          <w:color w:val="auto"/>
          <w:sz w:val="24"/>
          <w:szCs w:val="20"/>
          <w:highlight w:val="none"/>
        </w:rPr>
      </w:pPr>
    </w:p>
    <w:p w14:paraId="612F575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商 务 技 术 文 件</w:t>
      </w:r>
    </w:p>
    <w:p w14:paraId="02DD0727">
      <w:pPr>
        <w:snapToGrid w:val="0"/>
        <w:spacing w:before="120" w:beforeLines="50" w:after="50"/>
        <w:rPr>
          <w:rFonts w:ascii="宋体" w:hAnsi="宋体" w:cs="宋体"/>
          <w:bCs/>
          <w:color w:val="auto"/>
          <w:sz w:val="24"/>
          <w:szCs w:val="20"/>
          <w:highlight w:val="none"/>
        </w:rPr>
      </w:pPr>
    </w:p>
    <w:p w14:paraId="5066CCE3">
      <w:pPr>
        <w:snapToGrid w:val="0"/>
        <w:spacing w:before="120" w:beforeLines="50" w:after="50"/>
        <w:rPr>
          <w:rFonts w:ascii="宋体" w:hAnsi="宋体" w:cs="宋体"/>
          <w:bCs/>
          <w:color w:val="auto"/>
          <w:sz w:val="24"/>
          <w:szCs w:val="20"/>
          <w:highlight w:val="none"/>
        </w:rPr>
      </w:pPr>
    </w:p>
    <w:p w14:paraId="1F1A42F5">
      <w:pPr>
        <w:snapToGrid w:val="0"/>
        <w:spacing w:before="120" w:beforeLines="50" w:after="50"/>
        <w:rPr>
          <w:rFonts w:ascii="宋体" w:hAnsi="宋体" w:cs="宋体"/>
          <w:bCs/>
          <w:color w:val="auto"/>
          <w:sz w:val="24"/>
          <w:szCs w:val="20"/>
          <w:highlight w:val="none"/>
        </w:rPr>
      </w:pPr>
    </w:p>
    <w:p w14:paraId="04A3776A">
      <w:pPr>
        <w:snapToGrid w:val="0"/>
        <w:spacing w:before="120" w:beforeLines="50" w:after="50"/>
        <w:rPr>
          <w:rFonts w:ascii="宋体" w:hAnsi="宋体" w:cs="宋体"/>
          <w:bCs/>
          <w:color w:val="auto"/>
          <w:sz w:val="24"/>
          <w:szCs w:val="20"/>
          <w:highlight w:val="none"/>
        </w:rPr>
      </w:pPr>
    </w:p>
    <w:p w14:paraId="41FB8C12">
      <w:pPr>
        <w:snapToGrid w:val="0"/>
        <w:spacing w:before="120" w:beforeLines="50" w:after="50"/>
        <w:rPr>
          <w:rFonts w:ascii="宋体" w:hAnsi="宋体" w:cs="宋体"/>
          <w:bCs/>
          <w:color w:val="auto"/>
          <w:sz w:val="24"/>
          <w:szCs w:val="20"/>
          <w:highlight w:val="none"/>
        </w:rPr>
      </w:pPr>
    </w:p>
    <w:p w14:paraId="3DEB0B40">
      <w:pPr>
        <w:snapToGrid w:val="0"/>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项目名称：</w:t>
      </w:r>
    </w:p>
    <w:p w14:paraId="45EDF6C8">
      <w:pPr>
        <w:snapToGrid w:val="0"/>
        <w:spacing w:line="520" w:lineRule="exact"/>
        <w:ind w:firstLine="420" w:firstLineChars="200"/>
        <w:rPr>
          <w:rFonts w:ascii="宋体" w:hAnsi="宋体" w:cs="宋体"/>
          <w:bCs/>
          <w:color w:val="auto"/>
          <w:szCs w:val="21"/>
          <w:highlight w:val="none"/>
        </w:rPr>
      </w:pPr>
    </w:p>
    <w:p w14:paraId="4BBA751B">
      <w:pPr>
        <w:snapToGrid w:val="0"/>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项目编号：</w:t>
      </w:r>
    </w:p>
    <w:p w14:paraId="1ACCDCF3">
      <w:pPr>
        <w:snapToGrid w:val="0"/>
        <w:spacing w:line="520" w:lineRule="exact"/>
        <w:ind w:firstLine="420" w:firstLineChars="200"/>
        <w:rPr>
          <w:rFonts w:ascii="宋体" w:hAnsi="宋体" w:cs="宋体"/>
          <w:bCs/>
          <w:color w:val="auto"/>
          <w:szCs w:val="21"/>
          <w:highlight w:val="none"/>
        </w:rPr>
      </w:pPr>
    </w:p>
    <w:p w14:paraId="0A45A49D">
      <w:pPr>
        <w:snapToGrid w:val="0"/>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所竞分标（如有）：</w:t>
      </w:r>
    </w:p>
    <w:p w14:paraId="026D094C">
      <w:pPr>
        <w:snapToGrid w:val="0"/>
        <w:spacing w:line="520" w:lineRule="exact"/>
        <w:ind w:firstLine="420" w:firstLineChars="200"/>
        <w:rPr>
          <w:rFonts w:ascii="宋体" w:hAnsi="宋体" w:cs="宋体"/>
          <w:bCs/>
          <w:color w:val="auto"/>
          <w:szCs w:val="21"/>
          <w:highlight w:val="none"/>
        </w:rPr>
      </w:pPr>
    </w:p>
    <w:p w14:paraId="1F82D441">
      <w:pPr>
        <w:pStyle w:val="6"/>
        <w:snapToGrid w:val="0"/>
        <w:spacing w:line="520" w:lineRule="exact"/>
        <w:ind w:firstLineChars="200"/>
        <w:rPr>
          <w:rFonts w:ascii="宋体" w:hAnsi="宋体" w:cs="宋体"/>
          <w:bCs/>
          <w:color w:val="auto"/>
          <w:sz w:val="32"/>
          <w:szCs w:val="32"/>
          <w:highlight w:val="none"/>
        </w:rPr>
      </w:pPr>
      <w:r>
        <w:rPr>
          <w:rFonts w:hint="eastAsia" w:ascii="宋体" w:hAnsi="宋体" w:cs="宋体"/>
          <w:bCs/>
          <w:color w:val="auto"/>
          <w:szCs w:val="21"/>
          <w:highlight w:val="none"/>
        </w:rPr>
        <w:t>供应商名称：</w:t>
      </w:r>
    </w:p>
    <w:p w14:paraId="5D75599D">
      <w:pPr>
        <w:pStyle w:val="6"/>
        <w:snapToGrid w:val="0"/>
        <w:spacing w:before="50" w:after="50"/>
        <w:ind w:firstLine="640" w:firstLineChars="200"/>
        <w:rPr>
          <w:rFonts w:ascii="宋体" w:hAnsi="宋体" w:cs="宋体"/>
          <w:bCs/>
          <w:color w:val="auto"/>
          <w:sz w:val="32"/>
          <w:szCs w:val="32"/>
          <w:highlight w:val="none"/>
        </w:rPr>
      </w:pPr>
    </w:p>
    <w:p w14:paraId="7B8B6290">
      <w:pPr>
        <w:pStyle w:val="6"/>
        <w:snapToGrid w:val="0"/>
        <w:spacing w:before="50" w:after="50"/>
        <w:ind w:firstLine="0"/>
        <w:rPr>
          <w:rFonts w:ascii="宋体" w:hAnsi="宋体" w:cs="宋体"/>
          <w:bCs/>
          <w:color w:val="auto"/>
          <w:sz w:val="32"/>
          <w:szCs w:val="32"/>
          <w:highlight w:val="none"/>
        </w:rPr>
      </w:pPr>
    </w:p>
    <w:p w14:paraId="1A988D55">
      <w:pPr>
        <w:pStyle w:val="6"/>
        <w:snapToGrid w:val="0"/>
        <w:spacing w:before="50" w:after="50"/>
        <w:ind w:firstLine="1280" w:firstLineChars="400"/>
        <w:rPr>
          <w:rFonts w:ascii="宋体" w:hAnsi="宋体" w:cs="宋体"/>
          <w:bCs/>
          <w:color w:val="auto"/>
          <w:sz w:val="32"/>
          <w:szCs w:val="32"/>
          <w:highlight w:val="none"/>
        </w:rPr>
      </w:pPr>
    </w:p>
    <w:p w14:paraId="01BDC9A1">
      <w:pPr>
        <w:snapToGrid w:val="0"/>
        <w:spacing w:line="520" w:lineRule="exact"/>
        <w:jc w:val="center"/>
        <w:rPr>
          <w:rFonts w:ascii="宋体" w:hAnsi="宋体" w:cs="宋体"/>
          <w:color w:val="auto"/>
          <w:sz w:val="32"/>
          <w:szCs w:val="32"/>
          <w:highlight w:val="none"/>
        </w:rPr>
      </w:pPr>
      <w:r>
        <w:rPr>
          <w:rFonts w:hint="eastAsia" w:ascii="宋体" w:hAnsi="宋体" w:cs="宋体"/>
          <w:color w:val="auto"/>
          <w:szCs w:val="21"/>
          <w:highlight w:val="none"/>
        </w:rPr>
        <w:t>年    月    日</w:t>
      </w:r>
    </w:p>
    <w:p w14:paraId="585285FE">
      <w:pPr>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2.商务技术文件目录</w:t>
      </w:r>
    </w:p>
    <w:p w14:paraId="72FFB9EA">
      <w:pPr>
        <w:snapToGrid w:val="0"/>
        <w:spacing w:line="520" w:lineRule="exact"/>
        <w:ind w:firstLine="420" w:firstLineChars="200"/>
        <w:rPr>
          <w:rFonts w:ascii="宋体" w:hAnsi="宋体" w:cs="宋体"/>
          <w:color w:val="auto"/>
          <w:sz w:val="32"/>
          <w:szCs w:val="32"/>
          <w:highlight w:val="none"/>
        </w:rPr>
      </w:pPr>
      <w:r>
        <w:rPr>
          <w:rFonts w:hint="eastAsia" w:ascii="宋体" w:hAnsi="宋体" w:cs="宋体"/>
          <w:color w:val="auto"/>
          <w:szCs w:val="21"/>
          <w:highlight w:val="none"/>
        </w:rPr>
        <w:t>根据谈判文件规定及供应商提供的材料自行编写目录（部分格式后附）。</w:t>
      </w:r>
    </w:p>
    <w:p w14:paraId="2EB5D576">
      <w:pPr>
        <w:spacing w:line="360" w:lineRule="auto"/>
        <w:ind w:firstLine="420" w:firstLineChars="200"/>
        <w:contextualSpacing/>
        <w:jc w:val="left"/>
        <w:rPr>
          <w:rFonts w:ascii="宋体" w:hAnsi="宋体" w:cs="宋体"/>
          <w:color w:val="auto"/>
          <w:szCs w:val="21"/>
          <w:highlight w:val="none"/>
        </w:rPr>
      </w:pPr>
    </w:p>
    <w:p w14:paraId="55113721">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b/>
          <w:bCs/>
          <w:color w:val="auto"/>
          <w:sz w:val="32"/>
          <w:szCs w:val="32"/>
          <w:highlight w:val="none"/>
        </w:rPr>
        <w:t>无串通竞标行为的承诺函</w:t>
      </w:r>
    </w:p>
    <w:p w14:paraId="242CB5A1">
      <w:pPr>
        <w:spacing w:line="360" w:lineRule="auto"/>
        <w:ind w:firstLine="640" w:firstLineChars="200"/>
        <w:contextualSpacing/>
        <w:rPr>
          <w:rFonts w:ascii="宋体" w:hAnsi="宋体" w:cs="宋体"/>
          <w:color w:val="auto"/>
          <w:sz w:val="32"/>
          <w:szCs w:val="32"/>
          <w:highlight w:val="none"/>
        </w:rPr>
      </w:pPr>
    </w:p>
    <w:p w14:paraId="4B3188A3">
      <w:pPr>
        <w:spacing w:line="520" w:lineRule="exact"/>
        <w:ind w:firstLine="422" w:firstLineChars="200"/>
        <w:contextualSpacing/>
        <w:rPr>
          <w:rFonts w:ascii="宋体" w:hAnsi="宋体" w:cs="宋体"/>
          <w:b/>
          <w:bCs/>
          <w:color w:val="auto"/>
          <w:szCs w:val="21"/>
          <w:highlight w:val="none"/>
        </w:rPr>
      </w:pPr>
      <w:r>
        <w:rPr>
          <w:rFonts w:hint="eastAsia" w:ascii="宋体" w:hAnsi="宋体" w:cs="宋体"/>
          <w:b/>
          <w:bCs/>
          <w:color w:val="auto"/>
          <w:szCs w:val="21"/>
          <w:highlight w:val="none"/>
        </w:rPr>
        <w:t>一、我方承诺无下列相互串通竞标的情形：</w:t>
      </w:r>
    </w:p>
    <w:p w14:paraId="0F1D2146">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6225C641">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2BC72948">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285DCA90">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4.不</w:t>
      </w:r>
      <w:r>
        <w:rPr>
          <w:rFonts w:hint="eastAsia" w:ascii="宋体" w:hAnsi="宋体" w:cs="宋体"/>
          <w:color w:val="auto"/>
          <w:spacing w:val="-6"/>
          <w:szCs w:val="21"/>
          <w:highlight w:val="none"/>
        </w:rPr>
        <w:t>同供应商的响应文件异常一致或者竞标报价呈规律性差异；</w:t>
      </w:r>
    </w:p>
    <w:p w14:paraId="516F0060">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29347A8D">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14:paraId="37662993">
      <w:pPr>
        <w:spacing w:line="520" w:lineRule="exact"/>
        <w:ind w:firstLine="422" w:firstLineChars="200"/>
        <w:contextualSpacing/>
        <w:rPr>
          <w:rFonts w:ascii="宋体" w:hAnsi="宋体" w:cs="宋体"/>
          <w:b/>
          <w:bCs/>
          <w:color w:val="auto"/>
          <w:szCs w:val="21"/>
          <w:highlight w:val="none"/>
        </w:rPr>
      </w:pPr>
      <w:r>
        <w:rPr>
          <w:rFonts w:hint="eastAsia" w:ascii="宋体" w:hAnsi="宋体" w:cs="宋体"/>
          <w:b/>
          <w:bCs/>
          <w:color w:val="auto"/>
          <w:szCs w:val="21"/>
          <w:highlight w:val="none"/>
        </w:rPr>
        <w:t>二、我方承诺无下列恶意串通的情形：</w:t>
      </w:r>
    </w:p>
    <w:p w14:paraId="26923FDB">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586B1C16">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495B8CD2">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3.供</w:t>
      </w:r>
      <w:r>
        <w:rPr>
          <w:rFonts w:hint="eastAsia" w:ascii="宋体" w:hAnsi="宋体" w:cs="宋体"/>
          <w:color w:val="auto"/>
          <w:spacing w:val="-6"/>
          <w:szCs w:val="21"/>
          <w:highlight w:val="none"/>
        </w:rPr>
        <w:t>应商之间协商报价、技术方案等响应文件的实质性内容；</w:t>
      </w:r>
    </w:p>
    <w:p w14:paraId="6C414ACE">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3618A6F2">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5.供应商之间事先约定一致抬高或者压低竞标报价,或者在竞争性谈判项目中事先约定轮流以高价位或者低价位成交,或者事先约定由某一特定供应商成交,然后再参加竞标；</w:t>
      </w:r>
    </w:p>
    <w:p w14:paraId="029C37B1">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DF9BAC3">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w:t>
      </w:r>
      <w:r>
        <w:rPr>
          <w:rFonts w:hint="eastAsia" w:ascii="宋体" w:hAnsi="宋体" w:cs="宋体"/>
          <w:color w:val="auto"/>
          <w:spacing w:val="-6"/>
          <w:szCs w:val="21"/>
          <w:highlight w:val="none"/>
        </w:rPr>
        <w:t>谋求特定供应商成交或者排斥其他供应商的其他串通行为。</w:t>
      </w:r>
    </w:p>
    <w:p w14:paraId="13776370">
      <w:pPr>
        <w:spacing w:line="520" w:lineRule="exact"/>
        <w:ind w:firstLine="420" w:firstLineChars="200"/>
        <w:contextualSpacing/>
        <w:rPr>
          <w:rFonts w:ascii="宋体" w:hAnsi="宋体" w:cs="宋体"/>
          <w:color w:val="auto"/>
          <w:szCs w:val="21"/>
          <w:highlight w:val="none"/>
        </w:rPr>
      </w:pPr>
    </w:p>
    <w:p w14:paraId="43816F35">
      <w:pPr>
        <w:spacing w:line="520" w:lineRule="exact"/>
        <w:ind w:firstLine="422" w:firstLineChars="200"/>
        <w:contextualSpacing/>
        <w:rPr>
          <w:rFonts w:ascii="宋体" w:hAnsi="宋体" w:cs="宋体"/>
          <w:b/>
          <w:bCs/>
          <w:color w:val="auto"/>
          <w:sz w:val="24"/>
          <w:highlight w:val="none"/>
        </w:rPr>
      </w:pPr>
      <w:r>
        <w:rPr>
          <w:rFonts w:hint="eastAsia" w:ascii="宋体" w:hAnsi="宋体" w:cs="宋体"/>
          <w:b/>
          <w:bCs/>
          <w:color w:val="auto"/>
          <w:szCs w:val="21"/>
          <w:highlight w:val="none"/>
        </w:rPr>
        <w:t>以上情形一经核查属实，我方愿意承担一切后果，并不再寻求任何旨在减轻或者免除法律责任的辩解。</w:t>
      </w:r>
    </w:p>
    <w:p w14:paraId="2562B625">
      <w:pPr>
        <w:spacing w:line="360" w:lineRule="auto"/>
        <w:ind w:firstLine="480" w:firstLineChars="200"/>
        <w:contextualSpacing/>
        <w:rPr>
          <w:rFonts w:ascii="宋体" w:hAnsi="宋体" w:cs="宋体"/>
          <w:color w:val="auto"/>
          <w:sz w:val="24"/>
          <w:highlight w:val="none"/>
        </w:rPr>
      </w:pPr>
    </w:p>
    <w:p w14:paraId="786D9062">
      <w:pPr>
        <w:spacing w:line="360" w:lineRule="auto"/>
        <w:contextualSpacing/>
        <w:rPr>
          <w:rFonts w:ascii="宋体" w:hAnsi="宋体" w:cs="宋体"/>
          <w:color w:val="auto"/>
          <w:sz w:val="24"/>
          <w:highlight w:val="none"/>
        </w:rPr>
      </w:pPr>
    </w:p>
    <w:p w14:paraId="2C4A4671">
      <w:pPr>
        <w:spacing w:line="520" w:lineRule="exact"/>
        <w:ind w:firstLine="3780" w:firstLineChars="1800"/>
        <w:contextualSpacing/>
        <w:rPr>
          <w:rFonts w:ascii="宋体" w:hAnsi="宋体" w:cs="宋体"/>
          <w:color w:val="auto"/>
          <w:szCs w:val="21"/>
          <w:highlight w:val="none"/>
        </w:rPr>
      </w:pPr>
      <w:r>
        <w:rPr>
          <w:rFonts w:hint="eastAsia" w:ascii="宋体" w:hAnsi="宋体" w:cs="宋体"/>
          <w:color w:val="auto"/>
          <w:szCs w:val="21"/>
          <w:highlight w:val="none"/>
        </w:rPr>
        <w:t>供应商（盖公章）：</w:t>
      </w:r>
    </w:p>
    <w:p w14:paraId="1EECE225">
      <w:pPr>
        <w:spacing w:line="520" w:lineRule="exact"/>
        <w:ind w:firstLine="420" w:firstLineChars="200"/>
        <w:contextualSpacing/>
        <w:rPr>
          <w:rFonts w:ascii="宋体" w:hAnsi="宋体" w:cs="宋体"/>
          <w:color w:val="auto"/>
          <w:sz w:val="24"/>
          <w:highlight w:val="none"/>
        </w:rPr>
      </w:pPr>
      <w:r>
        <w:rPr>
          <w:rFonts w:hint="eastAsia" w:ascii="宋体" w:hAnsi="宋体" w:cs="宋体"/>
          <w:color w:val="auto"/>
          <w:szCs w:val="21"/>
          <w:highlight w:val="none"/>
        </w:rPr>
        <w:t xml:space="preserve">                                日期：      年   月   日</w:t>
      </w:r>
    </w:p>
    <w:p w14:paraId="04AA8195">
      <w:pPr>
        <w:spacing w:line="360" w:lineRule="auto"/>
        <w:ind w:firstLine="640" w:firstLineChars="200"/>
        <w:contextualSpacing/>
        <w:jc w:val="center"/>
        <w:rPr>
          <w:rFonts w:ascii="宋体" w:hAnsi="宋体" w:cs="宋体"/>
          <w:color w:val="auto"/>
          <w:sz w:val="32"/>
          <w:szCs w:val="32"/>
          <w:highlight w:val="none"/>
        </w:rPr>
      </w:pPr>
    </w:p>
    <w:p w14:paraId="25B26672">
      <w:pPr>
        <w:spacing w:line="520" w:lineRule="exact"/>
        <w:jc w:val="center"/>
        <w:rPr>
          <w:rFonts w:ascii="宋体" w:hAnsi="宋体" w:cs="宋体"/>
          <w:color w:val="auto"/>
          <w:sz w:val="32"/>
          <w:szCs w:val="32"/>
          <w:highlight w:val="none"/>
        </w:rPr>
      </w:pPr>
      <w:r>
        <w:rPr>
          <w:rFonts w:hint="eastAsia" w:ascii="宋体" w:hAnsi="宋体" w:cs="宋体"/>
          <w:bCs/>
          <w:color w:val="auto"/>
          <w:sz w:val="44"/>
          <w:szCs w:val="44"/>
          <w:highlight w:val="none"/>
        </w:rPr>
        <w:br w:type="page"/>
      </w:r>
      <w:r>
        <w:rPr>
          <w:rFonts w:hint="eastAsia" w:ascii="宋体" w:hAnsi="宋体" w:cs="宋体"/>
          <w:b/>
          <w:bCs w:val="0"/>
          <w:color w:val="auto"/>
          <w:sz w:val="32"/>
          <w:szCs w:val="32"/>
          <w:highlight w:val="none"/>
        </w:rPr>
        <w:t>法定代表人身份证明</w:t>
      </w:r>
    </w:p>
    <w:p w14:paraId="5F636E54">
      <w:pPr>
        <w:spacing w:line="360" w:lineRule="auto"/>
        <w:ind w:left="540"/>
        <w:contextualSpacing/>
        <w:rPr>
          <w:rFonts w:ascii="宋体" w:hAnsi="宋体" w:cs="宋体"/>
          <w:color w:val="auto"/>
          <w:sz w:val="32"/>
          <w:szCs w:val="32"/>
          <w:highlight w:val="none"/>
        </w:rPr>
      </w:pPr>
    </w:p>
    <w:p w14:paraId="4B022E08">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供应商名称：</w:t>
      </w:r>
    </w:p>
    <w:p w14:paraId="58AB8006">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地    址：</w:t>
      </w:r>
    </w:p>
    <w:p w14:paraId="571CC153">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姓    名：性      别：</w:t>
      </w:r>
    </w:p>
    <w:p w14:paraId="6510C91E">
      <w:pPr>
        <w:spacing w:line="520" w:lineRule="exact"/>
        <w:ind w:firstLine="420" w:firstLineChars="200"/>
        <w:contextualSpacing/>
        <w:rPr>
          <w:rFonts w:ascii="宋体" w:hAnsi="宋体" w:cs="宋体"/>
          <w:color w:val="auto"/>
          <w:szCs w:val="21"/>
          <w:highlight w:val="none"/>
          <w:u w:val="single"/>
        </w:rPr>
      </w:pPr>
      <w:r>
        <w:rPr>
          <w:rFonts w:hint="eastAsia" w:ascii="宋体" w:hAnsi="宋体" w:cs="宋体"/>
          <w:color w:val="auto"/>
          <w:szCs w:val="21"/>
          <w:highlight w:val="none"/>
        </w:rPr>
        <w:t>年    龄：职      务：</w:t>
      </w:r>
    </w:p>
    <w:p w14:paraId="5D591EA0">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身份证号码：</w:t>
      </w:r>
    </w:p>
    <w:p w14:paraId="716B1FF7">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（供应商名称） </w:t>
      </w:r>
      <w:r>
        <w:rPr>
          <w:rFonts w:hint="eastAsia" w:ascii="宋体" w:hAnsi="宋体" w:cs="宋体"/>
          <w:color w:val="auto"/>
          <w:szCs w:val="21"/>
          <w:highlight w:val="none"/>
        </w:rPr>
        <w:t>的法定代表人。</w:t>
      </w:r>
    </w:p>
    <w:p w14:paraId="7612576A">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特此证明。</w:t>
      </w:r>
    </w:p>
    <w:p w14:paraId="001BC0C5">
      <w:pPr>
        <w:spacing w:line="360" w:lineRule="auto"/>
        <w:ind w:left="540"/>
        <w:contextualSpacing/>
        <w:rPr>
          <w:rFonts w:ascii="宋体" w:hAnsi="宋体" w:cs="宋体"/>
          <w:color w:val="auto"/>
          <w:sz w:val="24"/>
          <w:highlight w:val="none"/>
        </w:rPr>
      </w:pPr>
    </w:p>
    <w:p w14:paraId="2A0CB0CC">
      <w:pPr>
        <w:spacing w:line="360" w:lineRule="auto"/>
        <w:ind w:left="540"/>
        <w:contextualSpacing/>
        <w:rPr>
          <w:rFonts w:ascii="宋体" w:hAnsi="宋体" w:cs="宋体"/>
          <w:color w:val="auto"/>
          <w:sz w:val="24"/>
          <w:highlight w:val="none"/>
        </w:rPr>
      </w:pPr>
    </w:p>
    <w:p w14:paraId="4193EB88">
      <w:pPr>
        <w:spacing w:line="360" w:lineRule="auto"/>
        <w:ind w:left="540"/>
        <w:contextualSpacing/>
        <w:rPr>
          <w:rFonts w:ascii="宋体" w:hAnsi="宋体" w:cs="宋体"/>
          <w:color w:val="auto"/>
          <w:sz w:val="24"/>
          <w:highlight w:val="none"/>
        </w:rPr>
      </w:pPr>
    </w:p>
    <w:p w14:paraId="3687990D">
      <w:pPr>
        <w:spacing w:line="520" w:lineRule="exact"/>
        <w:ind w:firstLine="420" w:firstLineChars="200"/>
        <w:contextualSpacing/>
        <w:rPr>
          <w:rFonts w:ascii="宋体" w:hAnsi="宋体" w:cs="宋体"/>
          <w:color w:val="auto"/>
          <w:sz w:val="24"/>
          <w:highlight w:val="none"/>
        </w:rPr>
      </w:pPr>
      <w:r>
        <w:rPr>
          <w:rFonts w:hint="eastAsia" w:ascii="宋体" w:hAnsi="宋体" w:cs="宋体"/>
          <w:color w:val="auto"/>
          <w:szCs w:val="21"/>
          <w:highlight w:val="none"/>
        </w:rPr>
        <w:t>附件：法定代表人有效身份证正反面复印件</w:t>
      </w:r>
    </w:p>
    <w:p w14:paraId="169F7EA8">
      <w:pPr>
        <w:spacing w:line="360" w:lineRule="auto"/>
        <w:ind w:left="540"/>
        <w:contextualSpacing/>
        <w:rPr>
          <w:rFonts w:ascii="宋体" w:hAnsi="宋体" w:cs="宋体"/>
          <w:color w:val="auto"/>
          <w:sz w:val="24"/>
          <w:highlight w:val="none"/>
        </w:rPr>
      </w:pPr>
    </w:p>
    <w:p w14:paraId="60E72963">
      <w:pPr>
        <w:spacing w:line="520" w:lineRule="exact"/>
        <w:ind w:left="540" w:firstLine="3780" w:firstLineChars="1800"/>
        <w:contextualSpacing/>
        <w:rPr>
          <w:rFonts w:ascii="宋体" w:hAnsi="宋体" w:cs="宋体"/>
          <w:color w:val="auto"/>
          <w:szCs w:val="21"/>
          <w:highlight w:val="none"/>
        </w:rPr>
      </w:pPr>
      <w:r>
        <w:rPr>
          <w:rFonts w:hint="eastAsia" w:ascii="宋体" w:hAnsi="宋体" w:cs="宋体"/>
          <w:color w:val="auto"/>
          <w:szCs w:val="21"/>
          <w:highlight w:val="none"/>
        </w:rPr>
        <w:t>供应商（盖公章）：</w:t>
      </w:r>
    </w:p>
    <w:p w14:paraId="63BB0583">
      <w:pPr>
        <w:spacing w:line="520" w:lineRule="exact"/>
        <w:ind w:firstLine="4410" w:firstLineChars="2100"/>
        <w:contextualSpacing/>
        <w:rPr>
          <w:rFonts w:ascii="宋体" w:hAnsi="宋体" w:cs="宋体"/>
          <w:color w:val="auto"/>
          <w:szCs w:val="21"/>
          <w:highlight w:val="none"/>
        </w:rPr>
      </w:pPr>
      <w:r>
        <w:rPr>
          <w:rFonts w:hint="eastAsia" w:ascii="宋体" w:hAnsi="宋体" w:cs="宋体"/>
          <w:color w:val="auto"/>
          <w:szCs w:val="21"/>
          <w:highlight w:val="none"/>
        </w:rPr>
        <w:t>日期： 年  月  日</w:t>
      </w:r>
    </w:p>
    <w:p w14:paraId="5E477F71">
      <w:pPr>
        <w:spacing w:line="520" w:lineRule="exact"/>
        <w:contextualSpacing/>
        <w:jc w:val="center"/>
        <w:rPr>
          <w:rFonts w:ascii="宋体" w:hAnsi="宋体" w:cs="宋体"/>
          <w:b/>
          <w:color w:val="auto"/>
          <w:szCs w:val="21"/>
          <w:highlight w:val="none"/>
        </w:rPr>
      </w:pPr>
    </w:p>
    <w:p w14:paraId="25C3678A">
      <w:pPr>
        <w:spacing w:line="520" w:lineRule="exact"/>
        <w:contextualSpacing/>
        <w:rPr>
          <w:rFonts w:ascii="宋体" w:hAnsi="宋体" w:cs="宋体"/>
          <w:color w:val="auto"/>
          <w:sz w:val="24"/>
          <w:highlight w:val="none"/>
        </w:rPr>
      </w:pPr>
      <w:r>
        <w:rPr>
          <w:rFonts w:hint="eastAsia" w:ascii="宋体" w:hAnsi="宋体" w:cs="宋体"/>
          <w:color w:val="auto"/>
          <w:szCs w:val="21"/>
          <w:highlight w:val="none"/>
        </w:rPr>
        <w:t>注：自然人竞标的无需提供，联合体竞标的只需牵头人出具。</w:t>
      </w:r>
    </w:p>
    <w:p w14:paraId="6DA4816F">
      <w:pPr>
        <w:adjustRightInd w:val="0"/>
        <w:snapToGrid w:val="0"/>
        <w:spacing w:line="300" w:lineRule="auto"/>
        <w:jc w:val="left"/>
        <w:rPr>
          <w:rFonts w:ascii="宋体" w:hAnsi="宋体" w:cs="宋体"/>
          <w:b/>
          <w:color w:val="auto"/>
          <w:szCs w:val="21"/>
          <w:highlight w:val="none"/>
        </w:rPr>
      </w:pPr>
    </w:p>
    <w:p w14:paraId="4D0ED707">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b/>
          <w:bCs/>
          <w:color w:val="auto"/>
          <w:sz w:val="32"/>
          <w:szCs w:val="32"/>
          <w:highlight w:val="none"/>
        </w:rPr>
        <w:t>授权委托书</w:t>
      </w:r>
    </w:p>
    <w:p w14:paraId="2E470612">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（非联合体竞标格式）</w:t>
      </w:r>
    </w:p>
    <w:p w14:paraId="011C996B">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（如有委托时）</w:t>
      </w:r>
    </w:p>
    <w:p w14:paraId="060357B7">
      <w:pPr>
        <w:spacing w:line="360" w:lineRule="auto"/>
        <w:contextualSpacing/>
        <w:rPr>
          <w:rFonts w:ascii="宋体" w:hAnsi="宋体" w:cs="宋体"/>
          <w:color w:val="auto"/>
          <w:sz w:val="32"/>
          <w:szCs w:val="32"/>
          <w:highlight w:val="none"/>
        </w:rPr>
      </w:pPr>
    </w:p>
    <w:p w14:paraId="28046483">
      <w:pPr>
        <w:spacing w:line="520" w:lineRule="exact"/>
        <w:contextualSpacing/>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51C498C5">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法定代表人/□负责人/□自然人本人</w:t>
      </w:r>
      <w:r>
        <w:rPr>
          <w:rFonts w:hint="eastAsia" w:ascii="宋体" w:hAnsi="宋体" w:cs="宋体"/>
          <w:color w:val="auto"/>
          <w:szCs w:val="21"/>
          <w:highlight w:val="none"/>
        </w:rPr>
        <w:t>），现授权</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以我方的名义参加项目的竞标活动，并代表我方全权办理针对上述项目的所有采购程序和环节的具体事务和签署相关文件。</w:t>
      </w:r>
    </w:p>
    <w:p w14:paraId="2C9CC0B7">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我方对委托代理人的签字事项负全部责任。</w:t>
      </w:r>
    </w:p>
    <w:p w14:paraId="36DD5944">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14:paraId="274DAA5C">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70896A32">
      <w:pPr>
        <w:spacing w:line="520" w:lineRule="exact"/>
        <w:contextualSpacing/>
        <w:rPr>
          <w:rFonts w:ascii="宋体" w:hAnsi="宋体" w:cs="宋体"/>
          <w:color w:val="auto"/>
          <w:szCs w:val="21"/>
          <w:highlight w:val="none"/>
        </w:rPr>
      </w:pPr>
      <w:r>
        <w:rPr>
          <w:rFonts w:hint="eastAsia" w:ascii="宋体" w:hAnsi="宋体" w:cs="宋体"/>
          <w:color w:val="auto"/>
          <w:szCs w:val="21"/>
          <w:highlight w:val="none"/>
        </w:rPr>
        <w:t>附：法定代表人身份证明及委托代理人有效身份证正反面复印件</w:t>
      </w:r>
    </w:p>
    <w:p w14:paraId="7A71032C">
      <w:pPr>
        <w:spacing w:line="360" w:lineRule="auto"/>
        <w:contextualSpacing/>
        <w:rPr>
          <w:rFonts w:ascii="宋体" w:hAnsi="宋体" w:cs="宋体"/>
          <w:color w:val="auto"/>
          <w:szCs w:val="21"/>
          <w:highlight w:val="none"/>
        </w:rPr>
      </w:pPr>
    </w:p>
    <w:p w14:paraId="3D218E7A">
      <w:pPr>
        <w:spacing w:line="520" w:lineRule="exact"/>
        <w:contextualSpacing/>
        <w:rPr>
          <w:rFonts w:ascii="宋体" w:hAnsi="宋体" w:cs="宋体"/>
          <w:color w:val="auto"/>
          <w:szCs w:val="21"/>
          <w:highlight w:val="none"/>
        </w:rPr>
      </w:pPr>
      <w:r>
        <w:rPr>
          <w:rFonts w:hint="eastAsia" w:ascii="宋体" w:hAnsi="宋体" w:cs="宋体"/>
          <w:color w:val="auto"/>
          <w:szCs w:val="21"/>
          <w:highlight w:val="none"/>
        </w:rPr>
        <w:t xml:space="preserve">委托代理人（签字）：         法定代表人（签字或者盖章）：                    </w:t>
      </w:r>
    </w:p>
    <w:p w14:paraId="66DC7459">
      <w:pPr>
        <w:spacing w:line="520" w:lineRule="exact"/>
        <w:contextualSpacing/>
        <w:rPr>
          <w:rFonts w:ascii="宋体" w:hAnsi="宋体" w:cs="宋体"/>
          <w:color w:val="auto"/>
          <w:szCs w:val="21"/>
          <w:highlight w:val="none"/>
        </w:rPr>
      </w:pPr>
      <w:r>
        <w:rPr>
          <w:rFonts w:hint="eastAsia" w:ascii="宋体" w:hAnsi="宋体" w:cs="宋体"/>
          <w:color w:val="auto"/>
          <w:szCs w:val="21"/>
          <w:highlight w:val="none"/>
        </w:rPr>
        <w:t xml:space="preserve">委托代理人身份证号码：                              </w:t>
      </w:r>
    </w:p>
    <w:p w14:paraId="269470A1">
      <w:pPr>
        <w:spacing w:line="360" w:lineRule="auto"/>
        <w:contextualSpacing/>
        <w:rPr>
          <w:rFonts w:ascii="宋体" w:hAnsi="宋体" w:cs="宋体"/>
          <w:color w:val="auto"/>
          <w:szCs w:val="21"/>
          <w:highlight w:val="none"/>
        </w:rPr>
      </w:pPr>
    </w:p>
    <w:p w14:paraId="4B2D3CAF">
      <w:pPr>
        <w:spacing w:line="520" w:lineRule="exact"/>
        <w:contextualSpacing/>
        <w:rPr>
          <w:rFonts w:ascii="宋体" w:hAnsi="宋体" w:cs="宋体"/>
          <w:color w:val="auto"/>
          <w:szCs w:val="21"/>
          <w:highlight w:val="none"/>
        </w:rPr>
      </w:pPr>
      <w:r>
        <w:rPr>
          <w:rFonts w:hint="eastAsia" w:ascii="宋体" w:hAnsi="宋体" w:cs="宋体"/>
          <w:color w:val="auto"/>
          <w:szCs w:val="21"/>
          <w:highlight w:val="none"/>
        </w:rPr>
        <w:t xml:space="preserve">                                      供应商（盖公章）：                      </w:t>
      </w:r>
    </w:p>
    <w:p w14:paraId="521A83DA">
      <w:pPr>
        <w:spacing w:line="520" w:lineRule="exact"/>
        <w:contextualSpacing/>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59639B7D">
      <w:pPr>
        <w:spacing w:line="360" w:lineRule="auto"/>
        <w:contextualSpacing/>
        <w:rPr>
          <w:rFonts w:ascii="宋体" w:hAnsi="宋体" w:cs="宋体"/>
          <w:color w:val="auto"/>
          <w:szCs w:val="21"/>
          <w:highlight w:val="none"/>
        </w:rPr>
      </w:pPr>
    </w:p>
    <w:p w14:paraId="128381A6">
      <w:pPr>
        <w:spacing w:line="520" w:lineRule="exact"/>
        <w:contextualSpacing/>
        <w:rPr>
          <w:rFonts w:ascii="宋体" w:hAnsi="宋体" w:cs="宋体"/>
          <w:color w:val="auto"/>
          <w:szCs w:val="21"/>
          <w:highlight w:val="none"/>
        </w:rPr>
      </w:pPr>
      <w:r>
        <w:rPr>
          <w:rFonts w:hint="eastAsia" w:ascii="宋体" w:hAnsi="宋体" w:cs="宋体"/>
          <w:color w:val="auto"/>
          <w:szCs w:val="21"/>
          <w:highlight w:val="none"/>
        </w:rPr>
        <w:t>注：</w:t>
      </w:r>
    </w:p>
    <w:p w14:paraId="79E80FB9">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 法定代表人必须在授权委托书上亲笔签字或者盖章，委托代理人必须在授权委托书上亲笔签字，</w:t>
      </w:r>
      <w:r>
        <w:rPr>
          <w:rFonts w:hint="eastAsia" w:ascii="宋体" w:hAnsi="宋体" w:cs="宋体"/>
          <w:b/>
          <w:color w:val="auto"/>
          <w:szCs w:val="21"/>
          <w:highlight w:val="none"/>
        </w:rPr>
        <w:t>否则其响应文件按无效响应处理。</w:t>
      </w:r>
    </w:p>
    <w:p w14:paraId="21DAB1BB">
      <w:pPr>
        <w:spacing w:line="52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2.法人、其他组织竞标时“我方”是指“我单位”，自然人竞标时“我方”是指“本人”。</w:t>
      </w:r>
    </w:p>
    <w:p w14:paraId="4DF9E80F">
      <w:pPr>
        <w:spacing w:line="360" w:lineRule="auto"/>
        <w:ind w:firstLine="420" w:firstLineChars="200"/>
        <w:contextualSpacing/>
        <w:jc w:val="left"/>
        <w:rPr>
          <w:rFonts w:ascii="宋体" w:hAnsi="宋体" w:cs="宋体"/>
          <w:color w:val="auto"/>
          <w:szCs w:val="21"/>
          <w:highlight w:val="none"/>
        </w:rPr>
      </w:pPr>
    </w:p>
    <w:p w14:paraId="17EDBA45">
      <w:pPr>
        <w:spacing w:line="360" w:lineRule="auto"/>
        <w:contextualSpacing/>
        <w:jc w:val="left"/>
        <w:rPr>
          <w:rFonts w:ascii="宋体" w:hAnsi="宋体" w:cs="宋体"/>
          <w:color w:val="auto"/>
          <w:szCs w:val="21"/>
          <w:highlight w:val="none"/>
        </w:rPr>
      </w:pPr>
    </w:p>
    <w:p w14:paraId="649B7955">
      <w:pPr>
        <w:spacing w:line="520" w:lineRule="exact"/>
        <w:jc w:val="center"/>
        <w:rPr>
          <w:rFonts w:ascii="宋体" w:hAnsi="宋体" w:cs="宋体"/>
          <w:bCs/>
          <w:color w:val="auto"/>
          <w:sz w:val="44"/>
          <w:szCs w:val="44"/>
          <w:highlight w:val="none"/>
        </w:rPr>
      </w:pPr>
      <w:r>
        <w:rPr>
          <w:rFonts w:hint="eastAsia" w:ascii="宋体" w:hAnsi="宋体" w:cs="宋体"/>
          <w:color w:val="auto"/>
          <w:szCs w:val="21"/>
          <w:highlight w:val="none"/>
        </w:rPr>
        <w:br w:type="page"/>
      </w:r>
      <w:r>
        <w:rPr>
          <w:rFonts w:hint="eastAsia" w:ascii="宋体" w:hAnsi="宋体" w:cs="宋体"/>
          <w:b/>
          <w:bCs w:val="0"/>
          <w:color w:val="auto"/>
          <w:sz w:val="32"/>
          <w:szCs w:val="32"/>
          <w:highlight w:val="none"/>
        </w:rPr>
        <w:t>商务要求偏离表格式</w:t>
      </w:r>
    </w:p>
    <w:p w14:paraId="6A71DB11">
      <w:pPr>
        <w:spacing w:line="520" w:lineRule="exact"/>
        <w:jc w:val="center"/>
        <w:rPr>
          <w:rFonts w:ascii="宋体" w:hAnsi="宋体" w:cs="宋体"/>
          <w:b/>
          <w:color w:val="auto"/>
          <w:sz w:val="28"/>
          <w:szCs w:val="28"/>
          <w:highlight w:val="none"/>
        </w:rPr>
      </w:pPr>
      <w:r>
        <w:rPr>
          <w:rFonts w:hint="eastAsia" w:ascii="宋体" w:hAnsi="宋体" w:cs="宋体"/>
          <w:bCs/>
          <w:color w:val="auto"/>
          <w:sz w:val="28"/>
          <w:szCs w:val="28"/>
          <w:highlight w:val="none"/>
        </w:rPr>
        <w:t>（注：按采购需求具体条款修改）</w:t>
      </w:r>
    </w:p>
    <w:p w14:paraId="2AC91082">
      <w:pPr>
        <w:snapToGrid w:val="0"/>
        <w:spacing w:before="50"/>
        <w:jc w:val="left"/>
        <w:rPr>
          <w:rFonts w:ascii="宋体" w:hAnsi="宋体" w:cs="宋体"/>
          <w:color w:val="auto"/>
          <w:sz w:val="24"/>
          <w:highlight w:val="none"/>
        </w:rPr>
      </w:pPr>
    </w:p>
    <w:tbl>
      <w:tblPr>
        <w:tblStyle w:val="22"/>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27052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22D331D1">
            <w:pPr>
              <w:snapToGrid w:val="0"/>
              <w:spacing w:line="52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3F0F5764">
            <w:pPr>
              <w:snapToGrid w:val="0"/>
              <w:spacing w:line="520" w:lineRule="exact"/>
              <w:jc w:val="center"/>
              <w:rPr>
                <w:rFonts w:ascii="宋体" w:hAnsi="宋体" w:cs="宋体"/>
                <w:color w:val="auto"/>
                <w:szCs w:val="21"/>
                <w:highlight w:val="none"/>
              </w:rPr>
            </w:pPr>
            <w:r>
              <w:rPr>
                <w:rFonts w:hint="eastAsia" w:ascii="宋体" w:hAnsi="宋体" w:cs="宋体"/>
                <w:color w:val="auto"/>
                <w:szCs w:val="21"/>
                <w:highlight w:val="none"/>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018E60D9">
            <w:pPr>
              <w:snapToGrid w:val="0"/>
              <w:spacing w:line="520" w:lineRule="exact"/>
              <w:jc w:val="center"/>
              <w:rPr>
                <w:rFonts w:ascii="宋体" w:hAnsi="宋体" w:cs="宋体"/>
                <w:color w:val="auto"/>
                <w:szCs w:val="21"/>
                <w:highlight w:val="none"/>
              </w:rPr>
            </w:pPr>
            <w:r>
              <w:rPr>
                <w:rFonts w:hint="eastAsia" w:ascii="宋体" w:hAnsi="宋体" w:cs="宋体"/>
                <w:color w:val="auto"/>
                <w:szCs w:val="21"/>
                <w:highlight w:val="none"/>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5432AA45">
            <w:pPr>
              <w:snapToGrid w:val="0"/>
              <w:spacing w:line="52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101CF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14:paraId="7659962E">
            <w:pPr>
              <w:spacing w:line="520" w:lineRule="exact"/>
              <w:jc w:val="center"/>
              <w:rPr>
                <w:rFonts w:ascii="宋体" w:hAnsi="宋体" w:cs="宋体"/>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21EE1F0A">
            <w:pPr>
              <w:spacing w:line="520" w:lineRule="exact"/>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4FDB604E">
            <w:pPr>
              <w:snapToGrid w:val="0"/>
              <w:spacing w:line="520" w:lineRule="exact"/>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43EDE566">
            <w:pPr>
              <w:snapToGrid w:val="0"/>
              <w:spacing w:line="520" w:lineRule="exact"/>
              <w:jc w:val="center"/>
              <w:rPr>
                <w:rFonts w:ascii="宋体" w:hAnsi="宋体" w:cs="宋体"/>
                <w:color w:val="auto"/>
                <w:szCs w:val="21"/>
                <w:highlight w:val="none"/>
              </w:rPr>
            </w:pPr>
          </w:p>
        </w:tc>
      </w:tr>
      <w:tr w14:paraId="01BEE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42F8A630">
            <w:pPr>
              <w:spacing w:line="520" w:lineRule="exact"/>
              <w:jc w:val="center"/>
              <w:rPr>
                <w:rFonts w:ascii="宋体" w:hAnsi="宋体" w:cs="宋体"/>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4797951D">
            <w:pPr>
              <w:spacing w:line="520" w:lineRule="exact"/>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36B8260F">
            <w:pPr>
              <w:snapToGrid w:val="0"/>
              <w:spacing w:line="520" w:lineRule="exact"/>
              <w:ind w:left="43"/>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7BDF6990">
            <w:pPr>
              <w:snapToGrid w:val="0"/>
              <w:spacing w:line="520" w:lineRule="exact"/>
              <w:ind w:left="43"/>
              <w:jc w:val="center"/>
              <w:rPr>
                <w:rFonts w:ascii="宋体" w:hAnsi="宋体" w:cs="宋体"/>
                <w:color w:val="auto"/>
                <w:szCs w:val="21"/>
                <w:highlight w:val="none"/>
              </w:rPr>
            </w:pPr>
          </w:p>
        </w:tc>
      </w:tr>
      <w:tr w14:paraId="0E117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444EABC2">
            <w:pPr>
              <w:snapToGrid w:val="0"/>
              <w:spacing w:line="52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6742FEDD">
            <w:pPr>
              <w:snapToGrid w:val="0"/>
              <w:spacing w:line="520" w:lineRule="exact"/>
              <w:jc w:val="center"/>
              <w:rPr>
                <w:rFonts w:ascii="宋体" w:hAnsi="宋体" w:cs="宋体"/>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71C3F83B">
            <w:pPr>
              <w:snapToGrid w:val="0"/>
              <w:spacing w:line="520" w:lineRule="exact"/>
              <w:jc w:val="center"/>
              <w:rPr>
                <w:rFonts w:ascii="宋体" w:hAnsi="宋体" w:cs="宋体"/>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10E9E6BE">
            <w:pPr>
              <w:snapToGrid w:val="0"/>
              <w:spacing w:line="520" w:lineRule="exact"/>
              <w:jc w:val="center"/>
              <w:rPr>
                <w:rFonts w:ascii="宋体" w:hAnsi="宋体" w:cs="宋体"/>
                <w:color w:val="auto"/>
                <w:szCs w:val="21"/>
                <w:highlight w:val="none"/>
              </w:rPr>
            </w:pPr>
          </w:p>
        </w:tc>
      </w:tr>
    </w:tbl>
    <w:p w14:paraId="35C1460D">
      <w:pPr>
        <w:pStyle w:val="9"/>
        <w:spacing w:after="0" w:line="520" w:lineRule="exact"/>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3F09C03B">
      <w:pPr>
        <w:pStyle w:val="9"/>
        <w:spacing w:after="0" w:line="520" w:lineRule="exact"/>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 说明：应对照谈判文件“第三章 采购需求”中的商务要求逐条明确响应，并作出偏离说明。</w:t>
      </w:r>
    </w:p>
    <w:p w14:paraId="10236603">
      <w:pPr>
        <w:pStyle w:val="9"/>
        <w:spacing w:after="0" w:line="520" w:lineRule="exact"/>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2.供应商应根据自身的承诺，对照谈判文件要求在“偏离说明”中注明“正偏离”、“负偏离”或者“无偏离”。既不属于“正偏离”也不属于“负偏离”即为“无偏离”。</w:t>
      </w:r>
    </w:p>
    <w:p w14:paraId="0259CE89">
      <w:pPr>
        <w:spacing w:line="360" w:lineRule="auto"/>
        <w:contextualSpacing/>
        <w:jc w:val="left"/>
        <w:rPr>
          <w:rFonts w:ascii="宋体" w:hAnsi="宋体" w:cs="宋体"/>
          <w:color w:val="auto"/>
          <w:szCs w:val="21"/>
          <w:highlight w:val="none"/>
          <w:u w:val="single"/>
        </w:rPr>
      </w:pPr>
    </w:p>
    <w:p w14:paraId="74C1C3D0">
      <w:pPr>
        <w:spacing w:line="360" w:lineRule="auto"/>
        <w:contextualSpacing/>
        <w:jc w:val="left"/>
        <w:rPr>
          <w:rFonts w:ascii="宋体" w:hAnsi="宋体" w:cs="宋体"/>
          <w:color w:val="auto"/>
          <w:szCs w:val="21"/>
          <w:highlight w:val="none"/>
          <w:u w:val="single"/>
        </w:rPr>
      </w:pPr>
    </w:p>
    <w:p w14:paraId="2986718D">
      <w:pPr>
        <w:spacing w:line="360" w:lineRule="auto"/>
        <w:ind w:right="-817" w:rightChars="-389"/>
        <w:contextualSpacing/>
        <w:rPr>
          <w:rFonts w:ascii="宋体" w:hAnsi="宋体" w:cs="宋体"/>
          <w:color w:val="auto"/>
          <w:szCs w:val="21"/>
          <w:highlight w:val="none"/>
        </w:rPr>
      </w:pPr>
    </w:p>
    <w:p w14:paraId="3D64112E">
      <w:pPr>
        <w:spacing w:line="520" w:lineRule="exact"/>
        <w:ind w:firstLine="3780" w:firstLineChars="1800"/>
        <w:contextualSpacing/>
        <w:rPr>
          <w:rFonts w:ascii="宋体" w:hAnsi="宋体" w:cs="宋体"/>
          <w:color w:val="auto"/>
          <w:szCs w:val="21"/>
          <w:highlight w:val="none"/>
        </w:rPr>
      </w:pPr>
      <w:r>
        <w:rPr>
          <w:rFonts w:hint="eastAsia" w:ascii="宋体" w:hAnsi="宋体" w:cs="宋体"/>
          <w:color w:val="auto"/>
          <w:szCs w:val="21"/>
          <w:highlight w:val="none"/>
        </w:rPr>
        <w:t>法定代表人或者委托代理人（签字）：</w:t>
      </w:r>
    </w:p>
    <w:p w14:paraId="0620A944">
      <w:pPr>
        <w:spacing w:line="520" w:lineRule="exact"/>
        <w:ind w:firstLine="3675" w:firstLineChars="1750"/>
        <w:contextualSpacing/>
        <w:rPr>
          <w:rFonts w:ascii="宋体" w:hAnsi="宋体" w:cs="宋体"/>
          <w:color w:val="auto"/>
          <w:szCs w:val="21"/>
          <w:highlight w:val="none"/>
        </w:rPr>
      </w:pPr>
      <w:r>
        <w:rPr>
          <w:rFonts w:hint="eastAsia" w:ascii="宋体" w:hAnsi="宋体" w:cs="宋体"/>
          <w:color w:val="auto"/>
          <w:szCs w:val="21"/>
          <w:highlight w:val="none"/>
        </w:rPr>
        <w:t xml:space="preserve">供应商（盖公章）：      </w:t>
      </w:r>
    </w:p>
    <w:p w14:paraId="3F44726E">
      <w:pPr>
        <w:spacing w:line="520" w:lineRule="exact"/>
        <w:ind w:firstLine="3675" w:firstLineChars="1750"/>
        <w:contextualSpacing/>
        <w:rPr>
          <w:rFonts w:ascii="宋体" w:hAnsi="宋体" w:cs="宋体"/>
          <w:color w:val="auto"/>
          <w:sz w:val="24"/>
          <w:highlight w:val="none"/>
        </w:rPr>
      </w:pPr>
      <w:r>
        <w:rPr>
          <w:rFonts w:hint="eastAsia" w:ascii="宋体" w:hAnsi="宋体" w:cs="宋体"/>
          <w:color w:val="auto"/>
          <w:szCs w:val="21"/>
          <w:highlight w:val="none"/>
        </w:rPr>
        <w:t>日期：   年   月   日</w:t>
      </w:r>
    </w:p>
    <w:p w14:paraId="6ACCFF1C">
      <w:pPr>
        <w:adjustRightInd w:val="0"/>
        <w:snapToGrid w:val="0"/>
        <w:spacing w:line="520" w:lineRule="exact"/>
        <w:ind w:firstLine="7040" w:firstLineChars="1600"/>
        <w:jc w:val="center"/>
        <w:rPr>
          <w:rFonts w:ascii="宋体" w:hAnsi="宋体" w:cs="宋体"/>
          <w:bCs/>
          <w:color w:val="auto"/>
          <w:sz w:val="44"/>
          <w:szCs w:val="44"/>
          <w:highlight w:val="none"/>
        </w:rPr>
      </w:pPr>
    </w:p>
    <w:p w14:paraId="5BEEEC27">
      <w:pPr>
        <w:spacing w:line="360" w:lineRule="auto"/>
        <w:ind w:right="-817" w:rightChars="-389"/>
        <w:contextualSpacing/>
        <w:rPr>
          <w:rFonts w:ascii="宋体" w:hAnsi="宋体" w:cs="宋体"/>
          <w:b/>
          <w:color w:val="auto"/>
          <w:sz w:val="32"/>
          <w:szCs w:val="32"/>
          <w:highlight w:val="none"/>
        </w:rPr>
      </w:pPr>
    </w:p>
    <w:p w14:paraId="6275AF9F">
      <w:pPr>
        <w:adjustRightInd w:val="0"/>
        <w:snapToGrid w:val="0"/>
        <w:spacing w:line="300" w:lineRule="auto"/>
        <w:rPr>
          <w:rFonts w:ascii="宋体" w:hAnsi="宋体" w:cs="宋体"/>
          <w:color w:val="auto"/>
          <w:szCs w:val="21"/>
          <w:highlight w:val="none"/>
          <w:u w:val="single"/>
        </w:rPr>
      </w:pPr>
    </w:p>
    <w:p w14:paraId="132043F2">
      <w:pPr>
        <w:adjustRightInd w:val="0"/>
        <w:snapToGrid w:val="0"/>
        <w:spacing w:line="300" w:lineRule="auto"/>
        <w:rPr>
          <w:rFonts w:ascii="宋体" w:hAnsi="宋体" w:cs="宋体"/>
          <w:color w:val="auto"/>
          <w:szCs w:val="21"/>
          <w:highlight w:val="none"/>
          <w:u w:val="single"/>
        </w:rPr>
      </w:pPr>
    </w:p>
    <w:p w14:paraId="2DCEA244">
      <w:pPr>
        <w:adjustRightInd w:val="0"/>
        <w:snapToGrid w:val="0"/>
        <w:spacing w:line="300" w:lineRule="auto"/>
        <w:rPr>
          <w:rFonts w:ascii="宋体" w:hAnsi="宋体" w:cs="宋体"/>
          <w:color w:val="auto"/>
          <w:szCs w:val="21"/>
          <w:highlight w:val="none"/>
          <w:u w:val="single"/>
        </w:rPr>
      </w:pPr>
    </w:p>
    <w:p w14:paraId="0E4385BF">
      <w:pPr>
        <w:adjustRightInd w:val="0"/>
        <w:snapToGrid w:val="0"/>
        <w:spacing w:line="300" w:lineRule="auto"/>
        <w:rPr>
          <w:rFonts w:ascii="宋体" w:hAnsi="宋体" w:cs="宋体"/>
          <w:color w:val="auto"/>
          <w:szCs w:val="21"/>
          <w:highlight w:val="none"/>
          <w:u w:val="single"/>
        </w:rPr>
      </w:pPr>
    </w:p>
    <w:p w14:paraId="34C128DA">
      <w:pPr>
        <w:adjustRightInd w:val="0"/>
        <w:snapToGrid w:val="0"/>
        <w:spacing w:line="300" w:lineRule="auto"/>
        <w:rPr>
          <w:rFonts w:ascii="宋体" w:hAnsi="宋体" w:cs="宋体"/>
          <w:color w:val="auto"/>
          <w:szCs w:val="21"/>
          <w:highlight w:val="none"/>
          <w:u w:val="single"/>
        </w:rPr>
      </w:pPr>
    </w:p>
    <w:p w14:paraId="7FBB5C43">
      <w:pPr>
        <w:adjustRightInd w:val="0"/>
        <w:snapToGrid w:val="0"/>
        <w:spacing w:line="300" w:lineRule="auto"/>
        <w:rPr>
          <w:rFonts w:ascii="宋体" w:hAnsi="宋体" w:cs="宋体"/>
          <w:color w:val="auto"/>
          <w:szCs w:val="21"/>
          <w:highlight w:val="none"/>
          <w:u w:val="single"/>
        </w:rPr>
      </w:pPr>
    </w:p>
    <w:p w14:paraId="02762906">
      <w:pPr>
        <w:adjustRightInd w:val="0"/>
        <w:snapToGrid w:val="0"/>
        <w:spacing w:line="300" w:lineRule="auto"/>
        <w:rPr>
          <w:rFonts w:ascii="宋体" w:hAnsi="宋体" w:cs="宋体"/>
          <w:color w:val="auto"/>
          <w:szCs w:val="21"/>
          <w:highlight w:val="none"/>
          <w:u w:val="single"/>
        </w:rPr>
      </w:pPr>
    </w:p>
    <w:p w14:paraId="3411731A">
      <w:pPr>
        <w:adjustRightInd w:val="0"/>
        <w:snapToGrid w:val="0"/>
        <w:spacing w:line="300" w:lineRule="auto"/>
        <w:rPr>
          <w:rFonts w:ascii="宋体" w:hAnsi="宋体" w:cs="宋体"/>
          <w:color w:val="auto"/>
          <w:szCs w:val="21"/>
          <w:highlight w:val="none"/>
          <w:u w:val="single"/>
        </w:rPr>
      </w:pPr>
    </w:p>
    <w:p w14:paraId="13F80B3F">
      <w:pPr>
        <w:adjustRightInd w:val="0"/>
        <w:snapToGrid w:val="0"/>
        <w:spacing w:line="52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r>
        <w:rPr>
          <w:rFonts w:hint="eastAsia" w:ascii="宋体" w:hAnsi="宋体" w:cs="宋体"/>
          <w:b/>
          <w:bCs w:val="0"/>
          <w:color w:val="auto"/>
          <w:sz w:val="32"/>
          <w:szCs w:val="32"/>
          <w:highlight w:val="none"/>
        </w:rPr>
        <w:t>技术要求偏离表</w:t>
      </w:r>
    </w:p>
    <w:p w14:paraId="3516AB76">
      <w:pPr>
        <w:spacing w:line="520" w:lineRule="exact"/>
        <w:rPr>
          <w:rFonts w:ascii="宋体" w:hAnsi="宋体" w:cs="宋体"/>
          <w:color w:val="auto"/>
          <w:sz w:val="32"/>
          <w:szCs w:val="32"/>
          <w:highlight w:val="none"/>
        </w:rPr>
      </w:pPr>
    </w:p>
    <w:p w14:paraId="412969F7">
      <w:pPr>
        <w:spacing w:line="520" w:lineRule="exact"/>
        <w:rPr>
          <w:rFonts w:ascii="宋体" w:hAnsi="宋体" w:cs="宋体"/>
          <w:color w:val="auto"/>
          <w:szCs w:val="21"/>
          <w:highlight w:val="none"/>
          <w:u w:val="single"/>
        </w:rPr>
      </w:pPr>
      <w:r>
        <w:rPr>
          <w:rFonts w:hint="eastAsia" w:ascii="宋体" w:hAnsi="宋体" w:cs="宋体"/>
          <w:color w:val="auto"/>
          <w:szCs w:val="21"/>
          <w:highlight w:val="none"/>
        </w:rPr>
        <w:t>采购项目编号：</w:t>
      </w:r>
    </w:p>
    <w:p w14:paraId="47071C9E">
      <w:pPr>
        <w:spacing w:line="520" w:lineRule="exact"/>
        <w:rPr>
          <w:rFonts w:ascii="宋体" w:hAnsi="宋体" w:cs="宋体"/>
          <w:color w:val="auto"/>
          <w:szCs w:val="21"/>
          <w:highlight w:val="none"/>
        </w:rPr>
      </w:pPr>
      <w:r>
        <w:rPr>
          <w:rFonts w:hint="eastAsia" w:ascii="宋体" w:hAnsi="宋体" w:cs="宋体"/>
          <w:color w:val="auto"/>
          <w:szCs w:val="21"/>
          <w:highlight w:val="none"/>
        </w:rPr>
        <w:t>采购项目名称：</w:t>
      </w:r>
    </w:p>
    <w:tbl>
      <w:tblPr>
        <w:tblStyle w:val="22"/>
        <w:tblW w:w="98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2"/>
        <w:gridCol w:w="992"/>
        <w:gridCol w:w="3293"/>
        <w:gridCol w:w="2964"/>
        <w:gridCol w:w="1617"/>
      </w:tblGrid>
      <w:tr w14:paraId="71EB82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248B12E4">
            <w:pPr>
              <w:pStyle w:val="11"/>
              <w:spacing w:line="520" w:lineRule="exact"/>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992" w:type="dxa"/>
            <w:tcBorders>
              <w:right w:val="single" w:color="auto" w:sz="4" w:space="0"/>
            </w:tcBorders>
            <w:vAlign w:val="center"/>
          </w:tcPr>
          <w:p w14:paraId="3AA6FBBB">
            <w:pPr>
              <w:pStyle w:val="11"/>
              <w:spacing w:line="520" w:lineRule="exact"/>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标的的名称</w:t>
            </w:r>
          </w:p>
        </w:tc>
        <w:tc>
          <w:tcPr>
            <w:tcW w:w="3293" w:type="dxa"/>
            <w:tcBorders>
              <w:left w:val="single" w:color="auto" w:sz="4" w:space="0"/>
            </w:tcBorders>
            <w:vAlign w:val="center"/>
          </w:tcPr>
          <w:p w14:paraId="486FEAE1">
            <w:pPr>
              <w:pStyle w:val="11"/>
              <w:spacing w:line="520" w:lineRule="exact"/>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谈判文件要求</w:t>
            </w:r>
          </w:p>
        </w:tc>
        <w:tc>
          <w:tcPr>
            <w:tcW w:w="2964" w:type="dxa"/>
            <w:vAlign w:val="center"/>
          </w:tcPr>
          <w:p w14:paraId="6D19B379">
            <w:pPr>
              <w:pStyle w:val="11"/>
              <w:spacing w:line="520" w:lineRule="exact"/>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竞标响应</w:t>
            </w:r>
          </w:p>
        </w:tc>
        <w:tc>
          <w:tcPr>
            <w:tcW w:w="1617" w:type="dxa"/>
            <w:vAlign w:val="center"/>
          </w:tcPr>
          <w:p w14:paraId="60AC3210">
            <w:pPr>
              <w:pStyle w:val="11"/>
              <w:spacing w:line="520" w:lineRule="exact"/>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偏离说明</w:t>
            </w:r>
          </w:p>
        </w:tc>
      </w:tr>
      <w:tr w14:paraId="2C6709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0884FAEF">
            <w:pPr>
              <w:pStyle w:val="11"/>
              <w:spacing w:line="520" w:lineRule="exact"/>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992" w:type="dxa"/>
            <w:tcBorders>
              <w:right w:val="single" w:color="auto" w:sz="4" w:space="0"/>
            </w:tcBorders>
            <w:vAlign w:val="center"/>
          </w:tcPr>
          <w:p w14:paraId="0DDE597D">
            <w:pPr>
              <w:pStyle w:val="11"/>
              <w:spacing w:line="520" w:lineRule="exact"/>
              <w:ind w:firstLine="0" w:firstLineChars="0"/>
              <w:jc w:val="center"/>
              <w:rPr>
                <w:rFonts w:ascii="宋体" w:hAnsi="宋体" w:eastAsia="宋体" w:cs="宋体"/>
                <w:color w:val="auto"/>
                <w:kern w:val="2"/>
                <w:sz w:val="21"/>
                <w:szCs w:val="21"/>
                <w:highlight w:val="none"/>
              </w:rPr>
            </w:pPr>
          </w:p>
        </w:tc>
        <w:tc>
          <w:tcPr>
            <w:tcW w:w="3293" w:type="dxa"/>
            <w:tcBorders>
              <w:left w:val="single" w:color="auto" w:sz="4" w:space="0"/>
            </w:tcBorders>
            <w:vAlign w:val="center"/>
          </w:tcPr>
          <w:p w14:paraId="13BF75AA">
            <w:pPr>
              <w:pStyle w:val="11"/>
              <w:spacing w:line="520" w:lineRule="exact"/>
              <w:ind w:firstLine="0" w:firstLineChars="0"/>
              <w:jc w:val="center"/>
              <w:rPr>
                <w:rFonts w:ascii="宋体" w:hAnsi="宋体" w:eastAsia="宋体" w:cs="宋体"/>
                <w:color w:val="auto"/>
                <w:kern w:val="2"/>
                <w:sz w:val="21"/>
                <w:szCs w:val="21"/>
                <w:highlight w:val="none"/>
              </w:rPr>
            </w:pPr>
          </w:p>
        </w:tc>
        <w:tc>
          <w:tcPr>
            <w:tcW w:w="2964" w:type="dxa"/>
            <w:vAlign w:val="center"/>
          </w:tcPr>
          <w:p w14:paraId="487F772A">
            <w:pPr>
              <w:pStyle w:val="11"/>
              <w:spacing w:line="520" w:lineRule="exact"/>
              <w:ind w:firstLine="0" w:firstLineChars="0"/>
              <w:jc w:val="center"/>
              <w:rPr>
                <w:rFonts w:ascii="宋体" w:hAnsi="宋体" w:eastAsia="宋体" w:cs="宋体"/>
                <w:color w:val="auto"/>
                <w:kern w:val="2"/>
                <w:sz w:val="21"/>
                <w:szCs w:val="21"/>
                <w:highlight w:val="none"/>
              </w:rPr>
            </w:pPr>
          </w:p>
        </w:tc>
        <w:tc>
          <w:tcPr>
            <w:tcW w:w="1617" w:type="dxa"/>
            <w:vAlign w:val="center"/>
          </w:tcPr>
          <w:p w14:paraId="6E8DC679">
            <w:pPr>
              <w:pStyle w:val="11"/>
              <w:spacing w:line="520" w:lineRule="exact"/>
              <w:ind w:firstLine="0" w:firstLineChars="0"/>
              <w:jc w:val="center"/>
              <w:rPr>
                <w:rFonts w:ascii="宋体" w:hAnsi="宋体" w:eastAsia="宋体" w:cs="宋体"/>
                <w:color w:val="auto"/>
                <w:kern w:val="2"/>
                <w:sz w:val="21"/>
                <w:szCs w:val="21"/>
                <w:highlight w:val="none"/>
              </w:rPr>
            </w:pPr>
          </w:p>
        </w:tc>
      </w:tr>
      <w:tr w14:paraId="386C05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75EC4728">
            <w:pPr>
              <w:pStyle w:val="11"/>
              <w:spacing w:line="520" w:lineRule="exact"/>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992" w:type="dxa"/>
            <w:tcBorders>
              <w:right w:val="single" w:color="auto" w:sz="4" w:space="0"/>
            </w:tcBorders>
            <w:vAlign w:val="center"/>
          </w:tcPr>
          <w:p w14:paraId="07456A3D">
            <w:pPr>
              <w:pStyle w:val="11"/>
              <w:spacing w:line="520" w:lineRule="exact"/>
              <w:ind w:firstLine="0" w:firstLineChars="0"/>
              <w:jc w:val="center"/>
              <w:rPr>
                <w:rFonts w:ascii="宋体" w:hAnsi="宋体" w:eastAsia="宋体" w:cs="宋体"/>
                <w:color w:val="auto"/>
                <w:kern w:val="2"/>
                <w:sz w:val="21"/>
                <w:szCs w:val="21"/>
                <w:highlight w:val="none"/>
              </w:rPr>
            </w:pPr>
          </w:p>
        </w:tc>
        <w:tc>
          <w:tcPr>
            <w:tcW w:w="3293" w:type="dxa"/>
            <w:tcBorders>
              <w:left w:val="single" w:color="auto" w:sz="4" w:space="0"/>
            </w:tcBorders>
            <w:vAlign w:val="center"/>
          </w:tcPr>
          <w:p w14:paraId="097D83E6">
            <w:pPr>
              <w:pStyle w:val="11"/>
              <w:spacing w:line="520" w:lineRule="exact"/>
              <w:ind w:firstLine="0" w:firstLineChars="0"/>
              <w:jc w:val="center"/>
              <w:rPr>
                <w:rFonts w:ascii="宋体" w:hAnsi="宋体" w:eastAsia="宋体" w:cs="宋体"/>
                <w:color w:val="auto"/>
                <w:kern w:val="2"/>
                <w:sz w:val="21"/>
                <w:szCs w:val="21"/>
                <w:highlight w:val="none"/>
              </w:rPr>
            </w:pPr>
          </w:p>
        </w:tc>
        <w:tc>
          <w:tcPr>
            <w:tcW w:w="2964" w:type="dxa"/>
            <w:vAlign w:val="center"/>
          </w:tcPr>
          <w:p w14:paraId="303C7812">
            <w:pPr>
              <w:pStyle w:val="11"/>
              <w:spacing w:line="520" w:lineRule="exact"/>
              <w:ind w:firstLine="0" w:firstLineChars="0"/>
              <w:jc w:val="center"/>
              <w:rPr>
                <w:rFonts w:ascii="宋体" w:hAnsi="宋体" w:eastAsia="宋体" w:cs="宋体"/>
                <w:color w:val="auto"/>
                <w:kern w:val="2"/>
                <w:sz w:val="21"/>
                <w:szCs w:val="21"/>
                <w:highlight w:val="none"/>
              </w:rPr>
            </w:pPr>
          </w:p>
        </w:tc>
        <w:tc>
          <w:tcPr>
            <w:tcW w:w="1617" w:type="dxa"/>
            <w:vAlign w:val="center"/>
          </w:tcPr>
          <w:p w14:paraId="15BB6996">
            <w:pPr>
              <w:pStyle w:val="11"/>
              <w:spacing w:line="520" w:lineRule="exact"/>
              <w:ind w:firstLine="0" w:firstLineChars="0"/>
              <w:jc w:val="center"/>
              <w:rPr>
                <w:rFonts w:ascii="宋体" w:hAnsi="宋体" w:eastAsia="宋体" w:cs="宋体"/>
                <w:color w:val="auto"/>
                <w:kern w:val="2"/>
                <w:sz w:val="21"/>
                <w:szCs w:val="21"/>
                <w:highlight w:val="none"/>
              </w:rPr>
            </w:pPr>
          </w:p>
        </w:tc>
      </w:tr>
      <w:tr w14:paraId="22881B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5109D878">
            <w:pPr>
              <w:pStyle w:val="11"/>
              <w:spacing w:line="520" w:lineRule="exact"/>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992" w:type="dxa"/>
            <w:tcBorders>
              <w:right w:val="single" w:color="auto" w:sz="4" w:space="0"/>
            </w:tcBorders>
            <w:vAlign w:val="center"/>
          </w:tcPr>
          <w:p w14:paraId="4D0E762B">
            <w:pPr>
              <w:pStyle w:val="11"/>
              <w:spacing w:line="520" w:lineRule="exact"/>
              <w:ind w:firstLine="0" w:firstLineChars="0"/>
              <w:jc w:val="center"/>
              <w:rPr>
                <w:rFonts w:ascii="宋体" w:hAnsi="宋体" w:eastAsia="宋体" w:cs="宋体"/>
                <w:color w:val="auto"/>
                <w:kern w:val="2"/>
                <w:sz w:val="21"/>
                <w:szCs w:val="21"/>
                <w:highlight w:val="none"/>
              </w:rPr>
            </w:pPr>
          </w:p>
        </w:tc>
        <w:tc>
          <w:tcPr>
            <w:tcW w:w="3293" w:type="dxa"/>
            <w:tcBorders>
              <w:left w:val="single" w:color="auto" w:sz="4" w:space="0"/>
            </w:tcBorders>
            <w:vAlign w:val="center"/>
          </w:tcPr>
          <w:p w14:paraId="50303F28">
            <w:pPr>
              <w:pStyle w:val="11"/>
              <w:spacing w:line="520" w:lineRule="exact"/>
              <w:ind w:firstLine="0" w:firstLineChars="0"/>
              <w:jc w:val="center"/>
              <w:rPr>
                <w:rFonts w:ascii="宋体" w:hAnsi="宋体" w:eastAsia="宋体" w:cs="宋体"/>
                <w:color w:val="auto"/>
                <w:kern w:val="2"/>
                <w:sz w:val="21"/>
                <w:szCs w:val="21"/>
                <w:highlight w:val="none"/>
              </w:rPr>
            </w:pPr>
          </w:p>
        </w:tc>
        <w:tc>
          <w:tcPr>
            <w:tcW w:w="2964" w:type="dxa"/>
            <w:vAlign w:val="center"/>
          </w:tcPr>
          <w:p w14:paraId="475A23CD">
            <w:pPr>
              <w:pStyle w:val="11"/>
              <w:spacing w:line="520" w:lineRule="exact"/>
              <w:ind w:firstLine="0" w:firstLineChars="0"/>
              <w:jc w:val="center"/>
              <w:rPr>
                <w:rFonts w:ascii="宋体" w:hAnsi="宋体" w:eastAsia="宋体" w:cs="宋体"/>
                <w:color w:val="auto"/>
                <w:kern w:val="2"/>
                <w:sz w:val="21"/>
                <w:szCs w:val="21"/>
                <w:highlight w:val="none"/>
              </w:rPr>
            </w:pPr>
          </w:p>
        </w:tc>
        <w:tc>
          <w:tcPr>
            <w:tcW w:w="1617" w:type="dxa"/>
            <w:vAlign w:val="center"/>
          </w:tcPr>
          <w:p w14:paraId="1BB38788">
            <w:pPr>
              <w:pStyle w:val="11"/>
              <w:spacing w:line="520" w:lineRule="exact"/>
              <w:ind w:firstLine="0" w:firstLineChars="0"/>
              <w:jc w:val="center"/>
              <w:rPr>
                <w:rFonts w:ascii="宋体" w:hAnsi="宋体" w:eastAsia="宋体" w:cs="宋体"/>
                <w:color w:val="auto"/>
                <w:kern w:val="2"/>
                <w:sz w:val="21"/>
                <w:szCs w:val="21"/>
                <w:highlight w:val="none"/>
              </w:rPr>
            </w:pPr>
          </w:p>
        </w:tc>
      </w:tr>
      <w:tr w14:paraId="43E079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1B035CBC">
            <w:pPr>
              <w:pStyle w:val="11"/>
              <w:spacing w:line="520" w:lineRule="exact"/>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992" w:type="dxa"/>
            <w:tcBorders>
              <w:right w:val="single" w:color="auto" w:sz="4" w:space="0"/>
            </w:tcBorders>
            <w:vAlign w:val="center"/>
          </w:tcPr>
          <w:p w14:paraId="125230A6">
            <w:pPr>
              <w:pStyle w:val="11"/>
              <w:spacing w:line="520" w:lineRule="exact"/>
              <w:ind w:firstLine="0" w:firstLineChars="0"/>
              <w:jc w:val="center"/>
              <w:rPr>
                <w:rFonts w:ascii="宋体" w:hAnsi="宋体" w:eastAsia="宋体" w:cs="宋体"/>
                <w:color w:val="auto"/>
                <w:kern w:val="2"/>
                <w:sz w:val="21"/>
                <w:szCs w:val="21"/>
                <w:highlight w:val="none"/>
              </w:rPr>
            </w:pPr>
          </w:p>
        </w:tc>
        <w:tc>
          <w:tcPr>
            <w:tcW w:w="3293" w:type="dxa"/>
            <w:tcBorders>
              <w:left w:val="single" w:color="auto" w:sz="4" w:space="0"/>
            </w:tcBorders>
            <w:vAlign w:val="center"/>
          </w:tcPr>
          <w:p w14:paraId="049C1A99">
            <w:pPr>
              <w:pStyle w:val="11"/>
              <w:spacing w:line="520" w:lineRule="exact"/>
              <w:ind w:firstLine="0" w:firstLineChars="0"/>
              <w:jc w:val="center"/>
              <w:rPr>
                <w:rFonts w:ascii="宋体" w:hAnsi="宋体" w:eastAsia="宋体" w:cs="宋体"/>
                <w:color w:val="auto"/>
                <w:kern w:val="2"/>
                <w:sz w:val="21"/>
                <w:szCs w:val="21"/>
                <w:highlight w:val="none"/>
              </w:rPr>
            </w:pPr>
          </w:p>
        </w:tc>
        <w:tc>
          <w:tcPr>
            <w:tcW w:w="2964" w:type="dxa"/>
            <w:vAlign w:val="center"/>
          </w:tcPr>
          <w:p w14:paraId="6BBF45DD">
            <w:pPr>
              <w:pStyle w:val="11"/>
              <w:spacing w:line="520" w:lineRule="exact"/>
              <w:ind w:firstLine="0" w:firstLineChars="0"/>
              <w:jc w:val="center"/>
              <w:rPr>
                <w:rFonts w:ascii="宋体" w:hAnsi="宋体" w:eastAsia="宋体" w:cs="宋体"/>
                <w:color w:val="auto"/>
                <w:kern w:val="2"/>
                <w:sz w:val="21"/>
                <w:szCs w:val="21"/>
                <w:highlight w:val="none"/>
              </w:rPr>
            </w:pPr>
          </w:p>
        </w:tc>
        <w:tc>
          <w:tcPr>
            <w:tcW w:w="1617" w:type="dxa"/>
            <w:vAlign w:val="center"/>
          </w:tcPr>
          <w:p w14:paraId="3EC94F84">
            <w:pPr>
              <w:pStyle w:val="11"/>
              <w:spacing w:line="520" w:lineRule="exact"/>
              <w:ind w:firstLine="0" w:firstLineChars="0"/>
              <w:jc w:val="center"/>
              <w:rPr>
                <w:rFonts w:ascii="宋体" w:hAnsi="宋体" w:eastAsia="宋体" w:cs="宋体"/>
                <w:color w:val="auto"/>
                <w:kern w:val="2"/>
                <w:sz w:val="21"/>
                <w:szCs w:val="21"/>
                <w:highlight w:val="none"/>
              </w:rPr>
            </w:pPr>
          </w:p>
        </w:tc>
      </w:tr>
      <w:tr w14:paraId="19A0F8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40794CD9">
            <w:pPr>
              <w:pStyle w:val="11"/>
              <w:spacing w:line="520" w:lineRule="exact"/>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992" w:type="dxa"/>
            <w:tcBorders>
              <w:right w:val="single" w:color="auto" w:sz="4" w:space="0"/>
            </w:tcBorders>
            <w:vAlign w:val="center"/>
          </w:tcPr>
          <w:p w14:paraId="3689135B">
            <w:pPr>
              <w:pStyle w:val="11"/>
              <w:spacing w:line="520" w:lineRule="exact"/>
              <w:ind w:firstLine="0" w:firstLineChars="0"/>
              <w:jc w:val="center"/>
              <w:rPr>
                <w:rFonts w:ascii="宋体" w:hAnsi="宋体" w:eastAsia="宋体" w:cs="宋体"/>
                <w:color w:val="auto"/>
                <w:kern w:val="2"/>
                <w:sz w:val="21"/>
                <w:szCs w:val="21"/>
                <w:highlight w:val="none"/>
              </w:rPr>
            </w:pPr>
          </w:p>
        </w:tc>
        <w:tc>
          <w:tcPr>
            <w:tcW w:w="3293" w:type="dxa"/>
            <w:tcBorders>
              <w:left w:val="single" w:color="auto" w:sz="4" w:space="0"/>
            </w:tcBorders>
            <w:vAlign w:val="center"/>
          </w:tcPr>
          <w:p w14:paraId="4C2CAAB1">
            <w:pPr>
              <w:pStyle w:val="11"/>
              <w:spacing w:line="520" w:lineRule="exact"/>
              <w:ind w:firstLine="0" w:firstLineChars="0"/>
              <w:jc w:val="center"/>
              <w:rPr>
                <w:rFonts w:ascii="宋体" w:hAnsi="宋体" w:eastAsia="宋体" w:cs="宋体"/>
                <w:color w:val="auto"/>
                <w:kern w:val="2"/>
                <w:sz w:val="21"/>
                <w:szCs w:val="21"/>
                <w:highlight w:val="none"/>
              </w:rPr>
            </w:pPr>
          </w:p>
        </w:tc>
        <w:tc>
          <w:tcPr>
            <w:tcW w:w="2964" w:type="dxa"/>
            <w:vAlign w:val="center"/>
          </w:tcPr>
          <w:p w14:paraId="6FE93937">
            <w:pPr>
              <w:pStyle w:val="11"/>
              <w:spacing w:line="520" w:lineRule="exact"/>
              <w:ind w:firstLine="0" w:firstLineChars="0"/>
              <w:jc w:val="center"/>
              <w:rPr>
                <w:rFonts w:ascii="宋体" w:hAnsi="宋体" w:eastAsia="宋体" w:cs="宋体"/>
                <w:color w:val="auto"/>
                <w:kern w:val="2"/>
                <w:sz w:val="21"/>
                <w:szCs w:val="21"/>
                <w:highlight w:val="none"/>
              </w:rPr>
            </w:pPr>
          </w:p>
        </w:tc>
        <w:tc>
          <w:tcPr>
            <w:tcW w:w="1617" w:type="dxa"/>
            <w:vAlign w:val="center"/>
          </w:tcPr>
          <w:p w14:paraId="4D72D521">
            <w:pPr>
              <w:pStyle w:val="11"/>
              <w:spacing w:line="520" w:lineRule="exact"/>
              <w:ind w:firstLine="0" w:firstLineChars="0"/>
              <w:jc w:val="center"/>
              <w:rPr>
                <w:rFonts w:ascii="宋体" w:hAnsi="宋体" w:eastAsia="宋体" w:cs="宋体"/>
                <w:color w:val="auto"/>
                <w:kern w:val="2"/>
                <w:sz w:val="21"/>
                <w:szCs w:val="21"/>
                <w:highlight w:val="none"/>
              </w:rPr>
            </w:pPr>
          </w:p>
        </w:tc>
      </w:tr>
      <w:tr w14:paraId="2EE4C3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2" w:type="dxa"/>
            <w:vAlign w:val="center"/>
          </w:tcPr>
          <w:p w14:paraId="51123744">
            <w:pPr>
              <w:pStyle w:val="11"/>
              <w:spacing w:line="520" w:lineRule="exact"/>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992" w:type="dxa"/>
            <w:tcBorders>
              <w:right w:val="single" w:color="auto" w:sz="4" w:space="0"/>
            </w:tcBorders>
            <w:vAlign w:val="center"/>
          </w:tcPr>
          <w:p w14:paraId="36FC5A21">
            <w:pPr>
              <w:pStyle w:val="11"/>
              <w:spacing w:line="520" w:lineRule="exact"/>
              <w:ind w:firstLine="0" w:firstLineChars="0"/>
              <w:jc w:val="center"/>
              <w:rPr>
                <w:rFonts w:ascii="宋体" w:hAnsi="宋体" w:eastAsia="宋体" w:cs="宋体"/>
                <w:color w:val="auto"/>
                <w:kern w:val="2"/>
                <w:sz w:val="21"/>
                <w:szCs w:val="21"/>
                <w:highlight w:val="none"/>
              </w:rPr>
            </w:pPr>
          </w:p>
        </w:tc>
        <w:tc>
          <w:tcPr>
            <w:tcW w:w="3293" w:type="dxa"/>
            <w:tcBorders>
              <w:left w:val="single" w:color="auto" w:sz="4" w:space="0"/>
            </w:tcBorders>
            <w:vAlign w:val="center"/>
          </w:tcPr>
          <w:p w14:paraId="7294B2D4">
            <w:pPr>
              <w:pStyle w:val="11"/>
              <w:spacing w:line="520" w:lineRule="exact"/>
              <w:ind w:firstLine="0" w:firstLineChars="0"/>
              <w:jc w:val="center"/>
              <w:rPr>
                <w:rFonts w:ascii="宋体" w:hAnsi="宋体" w:eastAsia="宋体" w:cs="宋体"/>
                <w:color w:val="auto"/>
                <w:kern w:val="2"/>
                <w:sz w:val="21"/>
                <w:szCs w:val="21"/>
                <w:highlight w:val="none"/>
              </w:rPr>
            </w:pPr>
          </w:p>
        </w:tc>
        <w:tc>
          <w:tcPr>
            <w:tcW w:w="2964" w:type="dxa"/>
            <w:vAlign w:val="center"/>
          </w:tcPr>
          <w:p w14:paraId="2018A269">
            <w:pPr>
              <w:pStyle w:val="11"/>
              <w:spacing w:line="520" w:lineRule="exact"/>
              <w:ind w:firstLine="0" w:firstLineChars="0"/>
              <w:jc w:val="center"/>
              <w:rPr>
                <w:rFonts w:ascii="宋体" w:hAnsi="宋体" w:eastAsia="宋体" w:cs="宋体"/>
                <w:color w:val="auto"/>
                <w:kern w:val="2"/>
                <w:sz w:val="21"/>
                <w:szCs w:val="21"/>
                <w:highlight w:val="none"/>
              </w:rPr>
            </w:pPr>
          </w:p>
        </w:tc>
        <w:tc>
          <w:tcPr>
            <w:tcW w:w="1617" w:type="dxa"/>
            <w:tcBorders>
              <w:right w:val="single" w:color="auto" w:sz="4" w:space="0"/>
            </w:tcBorders>
            <w:vAlign w:val="center"/>
          </w:tcPr>
          <w:p w14:paraId="7B4D0B73">
            <w:pPr>
              <w:pStyle w:val="11"/>
              <w:spacing w:line="520" w:lineRule="exact"/>
              <w:ind w:firstLine="0" w:firstLineChars="0"/>
              <w:jc w:val="center"/>
              <w:rPr>
                <w:rFonts w:ascii="宋体" w:hAnsi="宋体" w:eastAsia="宋体" w:cs="宋体"/>
                <w:color w:val="auto"/>
                <w:kern w:val="2"/>
                <w:sz w:val="21"/>
                <w:szCs w:val="21"/>
                <w:highlight w:val="none"/>
              </w:rPr>
            </w:pPr>
          </w:p>
        </w:tc>
      </w:tr>
    </w:tbl>
    <w:p w14:paraId="175E97C5">
      <w:pPr>
        <w:pStyle w:val="11"/>
        <w:spacing w:line="520" w:lineRule="exact"/>
        <w:ind w:firstLine="0" w:firstLineChars="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23EB9AFC">
      <w:pPr>
        <w:pStyle w:val="11"/>
        <w:spacing w:line="520" w:lineRule="exact"/>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说明：应对照谈判文件“第三章 采购需求”中的技术要求逐条实质性响应，并作出偏离说明。</w:t>
      </w:r>
    </w:p>
    <w:p w14:paraId="0313EB20">
      <w:pPr>
        <w:pStyle w:val="11"/>
        <w:spacing w:line="520" w:lineRule="exact"/>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2.供应商应根据竞标设备的性能指标，对照谈判文件要求，在“偏离说明”中注明“正偏离”、“负偏离”或者“无偏离”。既不属于“正偏离”也不属于“负偏离”即为“无偏离”。</w:t>
      </w:r>
    </w:p>
    <w:p w14:paraId="7D0DAD1A">
      <w:pPr>
        <w:pStyle w:val="11"/>
        <w:spacing w:line="520" w:lineRule="exact"/>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其竞标响应有正偏离的，请在技术偏离表中列明，且在响应文件中提供竞标产品的彩页或国家认可有资质的第三方检测机构出具的检测报告复印件或产品生产厂家出具的技术参数说明证明作为佐证，以上佐证材料均需加盖生产厂家或代理商（附生产厂家授权资料）公章。</w:t>
      </w:r>
    </w:p>
    <w:p w14:paraId="01632765">
      <w:pPr>
        <w:pStyle w:val="11"/>
        <w:spacing w:line="520" w:lineRule="exact"/>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 如技术偏离表中的竞标响应与佐证材料不一致的，以佐证材料为准。</w:t>
      </w:r>
    </w:p>
    <w:p w14:paraId="2232B408">
      <w:pPr>
        <w:pStyle w:val="11"/>
        <w:spacing w:line="360" w:lineRule="auto"/>
        <w:ind w:firstLine="0" w:firstLineChars="0"/>
        <w:contextualSpacing/>
        <w:rPr>
          <w:rFonts w:ascii="宋体" w:hAnsi="宋体" w:eastAsia="宋体" w:cs="宋体"/>
          <w:color w:val="auto"/>
          <w:sz w:val="24"/>
          <w:szCs w:val="24"/>
          <w:highlight w:val="none"/>
        </w:rPr>
      </w:pPr>
    </w:p>
    <w:p w14:paraId="2C4D23B1">
      <w:pPr>
        <w:spacing w:line="360" w:lineRule="auto"/>
        <w:ind w:right="-817" w:rightChars="-389"/>
        <w:contextualSpacing/>
        <w:rPr>
          <w:rFonts w:ascii="宋体" w:hAnsi="宋体" w:cs="宋体"/>
          <w:color w:val="auto"/>
          <w:sz w:val="24"/>
          <w:highlight w:val="none"/>
        </w:rPr>
      </w:pPr>
    </w:p>
    <w:p w14:paraId="5682D126">
      <w:pPr>
        <w:spacing w:line="520" w:lineRule="exact"/>
        <w:ind w:firstLine="3360" w:firstLineChars="1600"/>
        <w:contextualSpacing/>
        <w:rPr>
          <w:rFonts w:ascii="宋体" w:hAnsi="宋体" w:cs="宋体"/>
          <w:color w:val="auto"/>
          <w:szCs w:val="21"/>
          <w:highlight w:val="none"/>
        </w:rPr>
      </w:pPr>
      <w:r>
        <w:rPr>
          <w:rFonts w:hint="eastAsia" w:ascii="宋体" w:hAnsi="宋体" w:cs="宋体"/>
          <w:color w:val="auto"/>
          <w:szCs w:val="21"/>
          <w:highlight w:val="none"/>
        </w:rPr>
        <w:t>法定代表人或者委托代理人（签字）：</w:t>
      </w:r>
    </w:p>
    <w:p w14:paraId="7DBED474">
      <w:pPr>
        <w:spacing w:line="520" w:lineRule="exact"/>
        <w:ind w:firstLine="3360" w:firstLineChars="1600"/>
        <w:contextualSpacing/>
        <w:rPr>
          <w:rFonts w:ascii="宋体" w:hAnsi="宋体" w:cs="宋体"/>
          <w:color w:val="auto"/>
          <w:szCs w:val="21"/>
          <w:highlight w:val="none"/>
        </w:rPr>
      </w:pPr>
      <w:r>
        <w:rPr>
          <w:rFonts w:hint="eastAsia" w:ascii="宋体" w:hAnsi="宋体" w:cs="宋体"/>
          <w:color w:val="auto"/>
          <w:szCs w:val="21"/>
          <w:highlight w:val="none"/>
        </w:rPr>
        <w:t xml:space="preserve">供应商（盖公章）：      </w:t>
      </w:r>
    </w:p>
    <w:p w14:paraId="6724E4B6">
      <w:pPr>
        <w:spacing w:line="520" w:lineRule="exact"/>
        <w:ind w:firstLine="3360" w:firstLineChars="1600"/>
        <w:contextualSpacing/>
        <w:rPr>
          <w:rFonts w:ascii="宋体" w:hAnsi="宋体" w:cs="宋体"/>
          <w:color w:val="auto"/>
          <w:szCs w:val="21"/>
          <w:highlight w:val="none"/>
        </w:rPr>
      </w:pPr>
      <w:r>
        <w:rPr>
          <w:rFonts w:hint="eastAsia" w:ascii="宋体" w:hAnsi="宋体" w:cs="宋体"/>
          <w:color w:val="auto"/>
          <w:szCs w:val="21"/>
          <w:highlight w:val="none"/>
        </w:rPr>
        <w:t>日期：   年   月   日</w:t>
      </w:r>
    </w:p>
    <w:p w14:paraId="095D1E28">
      <w:pPr>
        <w:spacing w:line="520" w:lineRule="exact"/>
        <w:jc w:val="center"/>
        <w:rPr>
          <w:rFonts w:ascii="宋体" w:hAnsi="宋体" w:cs="宋体"/>
          <w:b/>
          <w:bCs/>
          <w:color w:val="auto"/>
          <w:sz w:val="32"/>
          <w:szCs w:val="32"/>
          <w:highlight w:val="none"/>
        </w:rPr>
      </w:pPr>
      <w:r>
        <w:rPr>
          <w:rFonts w:hint="eastAsia" w:ascii="宋体" w:hAnsi="宋体" w:cs="宋体"/>
          <w:b/>
          <w:bCs/>
          <w:color w:val="auto"/>
          <w:sz w:val="24"/>
          <w:highlight w:val="none"/>
        </w:rPr>
        <w:br w:type="page"/>
      </w:r>
      <w:r>
        <w:rPr>
          <w:rFonts w:hint="eastAsia" w:ascii="宋体" w:hAnsi="宋体" w:cs="宋体"/>
          <w:b/>
          <w:bCs/>
          <w:color w:val="auto"/>
          <w:sz w:val="32"/>
          <w:szCs w:val="32"/>
          <w:highlight w:val="none"/>
        </w:rPr>
        <w:t>质疑函（格式）</w:t>
      </w:r>
    </w:p>
    <w:p w14:paraId="020E3BC5">
      <w:pPr>
        <w:spacing w:line="360" w:lineRule="auto"/>
        <w:jc w:val="center"/>
        <w:rPr>
          <w:rFonts w:ascii="宋体" w:hAnsi="宋体" w:cs="宋体"/>
          <w:b/>
          <w:bCs/>
          <w:color w:val="auto"/>
          <w:sz w:val="32"/>
          <w:szCs w:val="32"/>
          <w:highlight w:val="none"/>
        </w:rPr>
      </w:pPr>
    </w:p>
    <w:p w14:paraId="1B4FF925">
      <w:pPr>
        <w:pStyle w:val="13"/>
        <w:spacing w:line="520" w:lineRule="exact"/>
        <w:ind w:firstLine="422" w:firstLineChars="200"/>
        <w:contextualSpacing/>
        <w:rPr>
          <w:rFonts w:hAnsi="宋体" w:cs="宋体"/>
          <w:b/>
          <w:bCs/>
          <w:color w:val="auto"/>
          <w:sz w:val="21"/>
          <w:highlight w:val="none"/>
        </w:rPr>
      </w:pPr>
      <w:r>
        <w:rPr>
          <w:rFonts w:hint="eastAsia" w:hAnsi="宋体" w:cs="宋体"/>
          <w:b/>
          <w:bCs/>
          <w:color w:val="auto"/>
          <w:sz w:val="21"/>
          <w:highlight w:val="none"/>
        </w:rPr>
        <w:t>一、质疑供应商基本信息：</w:t>
      </w:r>
    </w:p>
    <w:p w14:paraId="61E08ACD">
      <w:pPr>
        <w:pStyle w:val="13"/>
        <w:spacing w:line="520" w:lineRule="exact"/>
        <w:ind w:firstLine="420" w:firstLineChars="200"/>
        <w:contextualSpacing/>
        <w:rPr>
          <w:rFonts w:hAnsi="宋体" w:cs="宋体"/>
          <w:bCs/>
          <w:color w:val="auto"/>
          <w:sz w:val="21"/>
          <w:highlight w:val="none"/>
          <w:u w:val="single"/>
        </w:rPr>
      </w:pPr>
      <w:r>
        <w:rPr>
          <w:rFonts w:hint="eastAsia" w:hAnsi="宋体" w:cs="宋体"/>
          <w:bCs/>
          <w:color w:val="auto"/>
          <w:sz w:val="21"/>
          <w:highlight w:val="none"/>
        </w:rPr>
        <w:t>质疑供应商：</w:t>
      </w:r>
    </w:p>
    <w:p w14:paraId="0F57DD96">
      <w:pPr>
        <w:pStyle w:val="13"/>
        <w:spacing w:line="520" w:lineRule="exact"/>
        <w:ind w:firstLine="420" w:firstLineChars="200"/>
        <w:contextualSpacing/>
        <w:rPr>
          <w:rFonts w:hAnsi="宋体" w:cs="宋体"/>
          <w:bCs/>
          <w:color w:val="auto"/>
          <w:sz w:val="21"/>
          <w:highlight w:val="none"/>
        </w:rPr>
      </w:pPr>
      <w:r>
        <w:rPr>
          <w:rFonts w:hint="eastAsia" w:hAnsi="宋体" w:cs="宋体"/>
          <w:bCs/>
          <w:color w:val="auto"/>
          <w:sz w:val="21"/>
          <w:highlight w:val="none"/>
        </w:rPr>
        <w:t>地址：邮编：</w:t>
      </w:r>
    </w:p>
    <w:p w14:paraId="38637979">
      <w:pPr>
        <w:pStyle w:val="13"/>
        <w:spacing w:line="520" w:lineRule="exact"/>
        <w:ind w:firstLine="420" w:firstLineChars="200"/>
        <w:contextualSpacing/>
        <w:rPr>
          <w:rFonts w:hAnsi="宋体" w:cs="宋体"/>
          <w:bCs/>
          <w:color w:val="auto"/>
          <w:sz w:val="21"/>
          <w:highlight w:val="none"/>
        </w:rPr>
      </w:pPr>
      <w:r>
        <w:rPr>
          <w:rFonts w:hint="eastAsia" w:hAnsi="宋体" w:cs="宋体"/>
          <w:bCs/>
          <w:color w:val="auto"/>
          <w:sz w:val="21"/>
          <w:highlight w:val="none"/>
        </w:rPr>
        <w:t>联系人：联系电话：</w:t>
      </w:r>
    </w:p>
    <w:p w14:paraId="06245C09">
      <w:pPr>
        <w:pStyle w:val="13"/>
        <w:spacing w:line="520" w:lineRule="exact"/>
        <w:ind w:firstLine="420" w:firstLineChars="200"/>
        <w:contextualSpacing/>
        <w:rPr>
          <w:rFonts w:hAnsi="宋体" w:cs="宋体"/>
          <w:bCs/>
          <w:color w:val="auto"/>
          <w:sz w:val="21"/>
          <w:highlight w:val="none"/>
        </w:rPr>
      </w:pPr>
      <w:r>
        <w:rPr>
          <w:rFonts w:hint="eastAsia" w:hAnsi="宋体" w:cs="宋体"/>
          <w:bCs/>
          <w:color w:val="auto"/>
          <w:sz w:val="21"/>
          <w:highlight w:val="none"/>
        </w:rPr>
        <w:t>授权代表：</w:t>
      </w:r>
    </w:p>
    <w:p w14:paraId="47BCDFC9">
      <w:pPr>
        <w:pStyle w:val="13"/>
        <w:spacing w:line="520" w:lineRule="exact"/>
        <w:ind w:firstLine="420" w:firstLineChars="200"/>
        <w:contextualSpacing/>
        <w:rPr>
          <w:rFonts w:hAnsi="宋体" w:cs="宋体"/>
          <w:bCs/>
          <w:color w:val="auto"/>
          <w:sz w:val="21"/>
          <w:highlight w:val="none"/>
          <w:u w:val="single"/>
        </w:rPr>
      </w:pPr>
      <w:r>
        <w:rPr>
          <w:rFonts w:hint="eastAsia" w:hAnsi="宋体" w:cs="宋体"/>
          <w:bCs/>
          <w:color w:val="auto"/>
          <w:sz w:val="21"/>
          <w:highlight w:val="none"/>
        </w:rPr>
        <w:t>联系电话：</w:t>
      </w:r>
    </w:p>
    <w:p w14:paraId="33C3A470">
      <w:pPr>
        <w:pStyle w:val="13"/>
        <w:spacing w:line="520" w:lineRule="exact"/>
        <w:ind w:firstLine="420" w:firstLineChars="200"/>
        <w:contextualSpacing/>
        <w:rPr>
          <w:rFonts w:hAnsi="宋体" w:cs="宋体"/>
          <w:bCs/>
          <w:color w:val="auto"/>
          <w:sz w:val="21"/>
          <w:highlight w:val="none"/>
        </w:rPr>
      </w:pPr>
      <w:r>
        <w:rPr>
          <w:rFonts w:hint="eastAsia" w:hAnsi="宋体" w:cs="宋体"/>
          <w:bCs/>
          <w:color w:val="auto"/>
          <w:sz w:val="21"/>
          <w:highlight w:val="none"/>
        </w:rPr>
        <w:t>地址：邮编：</w:t>
      </w:r>
    </w:p>
    <w:p w14:paraId="77999EC5">
      <w:pPr>
        <w:pStyle w:val="13"/>
        <w:spacing w:line="520" w:lineRule="exact"/>
        <w:ind w:firstLine="422" w:firstLineChars="200"/>
        <w:contextualSpacing/>
        <w:rPr>
          <w:rFonts w:hAnsi="宋体" w:cs="宋体"/>
          <w:b/>
          <w:bCs/>
          <w:color w:val="auto"/>
          <w:sz w:val="21"/>
          <w:highlight w:val="none"/>
        </w:rPr>
      </w:pPr>
      <w:r>
        <w:rPr>
          <w:rFonts w:hint="eastAsia" w:hAnsi="宋体" w:cs="宋体"/>
          <w:b/>
          <w:bCs/>
          <w:color w:val="auto"/>
          <w:sz w:val="21"/>
          <w:highlight w:val="none"/>
        </w:rPr>
        <w:t>二、质疑项目基本情况：</w:t>
      </w:r>
    </w:p>
    <w:p w14:paraId="20613570">
      <w:pPr>
        <w:pStyle w:val="13"/>
        <w:spacing w:line="520" w:lineRule="exact"/>
        <w:ind w:firstLine="420" w:firstLineChars="200"/>
        <w:contextualSpacing/>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项目的名称：</w:t>
      </w:r>
    </w:p>
    <w:p w14:paraId="53119952">
      <w:pPr>
        <w:pStyle w:val="13"/>
        <w:spacing w:line="520" w:lineRule="exact"/>
        <w:ind w:firstLine="420" w:firstLineChars="200"/>
        <w:contextualSpacing/>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项目的编号：</w:t>
      </w:r>
    </w:p>
    <w:p w14:paraId="195AC57E">
      <w:pPr>
        <w:pStyle w:val="13"/>
        <w:spacing w:line="520" w:lineRule="exact"/>
        <w:ind w:firstLine="420" w:firstLineChars="200"/>
        <w:contextualSpacing/>
        <w:rPr>
          <w:rFonts w:hAnsi="宋体" w:cs="宋体"/>
          <w:color w:val="auto"/>
          <w:sz w:val="21"/>
          <w:highlight w:val="none"/>
        </w:rPr>
      </w:pPr>
      <w:r>
        <w:rPr>
          <w:rFonts w:hint="eastAsia" w:hAnsi="宋体" w:cs="宋体"/>
          <w:color w:val="auto"/>
          <w:sz w:val="21"/>
          <w:highlight w:val="none"/>
        </w:rPr>
        <w:t>采购人名称：</w:t>
      </w:r>
    </w:p>
    <w:p w14:paraId="0970A001">
      <w:pPr>
        <w:pStyle w:val="13"/>
        <w:spacing w:line="520" w:lineRule="exact"/>
        <w:ind w:firstLine="420" w:firstLineChars="200"/>
        <w:contextualSpacing/>
        <w:rPr>
          <w:rFonts w:hAnsi="宋体" w:cs="宋体"/>
          <w:color w:val="auto"/>
          <w:sz w:val="21"/>
          <w:highlight w:val="none"/>
        </w:rPr>
      </w:pPr>
      <w:r>
        <w:rPr>
          <w:rFonts w:hint="eastAsia" w:hAnsi="宋体" w:cs="宋体"/>
          <w:color w:val="auto"/>
          <w:sz w:val="21"/>
          <w:highlight w:val="none"/>
        </w:rPr>
        <w:t>质疑事项：</w:t>
      </w:r>
    </w:p>
    <w:p w14:paraId="6D1809DB">
      <w:pPr>
        <w:pStyle w:val="13"/>
        <w:spacing w:line="520" w:lineRule="exact"/>
        <w:ind w:firstLine="420" w:firstLineChars="200"/>
        <w:contextualSpacing/>
        <w:rPr>
          <w:rFonts w:hAnsi="宋体" w:cs="宋体"/>
          <w:color w:val="auto"/>
          <w:sz w:val="21"/>
          <w:highlight w:val="none"/>
        </w:rPr>
      </w:pPr>
      <w:r>
        <w:rPr>
          <w:rFonts w:hint="eastAsia" w:hAnsi="宋体" w:cs="宋体"/>
          <w:color w:val="auto"/>
          <w:sz w:val="21"/>
          <w:highlight w:val="none"/>
        </w:rPr>
        <w:t>□采购文件   采购文件获取日期：</w:t>
      </w:r>
    </w:p>
    <w:p w14:paraId="6E406891">
      <w:pPr>
        <w:pStyle w:val="13"/>
        <w:spacing w:line="520" w:lineRule="exact"/>
        <w:ind w:firstLine="420" w:firstLineChars="200"/>
        <w:contextualSpacing/>
        <w:rPr>
          <w:rFonts w:hAnsi="宋体" w:cs="宋体"/>
          <w:color w:val="auto"/>
          <w:sz w:val="21"/>
          <w:highlight w:val="none"/>
        </w:rPr>
      </w:pPr>
      <w:r>
        <w:rPr>
          <w:rFonts w:hint="eastAsia" w:hAnsi="宋体" w:cs="宋体"/>
          <w:color w:val="auto"/>
          <w:sz w:val="21"/>
          <w:highlight w:val="none"/>
        </w:rPr>
        <w:t xml:space="preserve">□采购过程   </w:t>
      </w:r>
    </w:p>
    <w:p w14:paraId="69CB3BBB">
      <w:pPr>
        <w:pStyle w:val="13"/>
        <w:spacing w:line="520" w:lineRule="exact"/>
        <w:ind w:firstLine="420" w:firstLineChars="200"/>
        <w:contextualSpacing/>
        <w:rPr>
          <w:rFonts w:hAnsi="宋体" w:cs="宋体"/>
          <w:bCs/>
          <w:color w:val="auto"/>
          <w:sz w:val="21"/>
          <w:highlight w:val="none"/>
          <w:u w:val="single"/>
        </w:rPr>
      </w:pPr>
      <w:r>
        <w:rPr>
          <w:rFonts w:hint="eastAsia" w:hAnsi="宋体" w:cs="宋体"/>
          <w:color w:val="auto"/>
          <w:sz w:val="21"/>
          <w:highlight w:val="none"/>
        </w:rPr>
        <w:t xml:space="preserve">□成交结果   </w:t>
      </w:r>
    </w:p>
    <w:p w14:paraId="18C5E3EC">
      <w:pPr>
        <w:pStyle w:val="13"/>
        <w:spacing w:line="520" w:lineRule="exact"/>
        <w:ind w:firstLine="422" w:firstLineChars="200"/>
        <w:contextualSpacing/>
        <w:rPr>
          <w:rFonts w:hAnsi="宋体" w:cs="宋体"/>
          <w:b/>
          <w:color w:val="auto"/>
          <w:sz w:val="21"/>
          <w:highlight w:val="none"/>
        </w:rPr>
      </w:pPr>
      <w:r>
        <w:rPr>
          <w:rFonts w:hint="eastAsia" w:hAnsi="宋体" w:cs="宋体"/>
          <w:b/>
          <w:color w:val="auto"/>
          <w:sz w:val="21"/>
          <w:highlight w:val="none"/>
        </w:rPr>
        <w:t>三、质疑事项具体内容</w:t>
      </w:r>
    </w:p>
    <w:p w14:paraId="299B1055">
      <w:pPr>
        <w:pStyle w:val="13"/>
        <w:spacing w:line="520" w:lineRule="exact"/>
        <w:ind w:firstLine="420" w:firstLineChars="200"/>
        <w:contextualSpacing/>
        <w:rPr>
          <w:rFonts w:hAnsi="宋体" w:cs="宋体"/>
          <w:color w:val="auto"/>
          <w:sz w:val="21"/>
          <w:highlight w:val="none"/>
        </w:rPr>
      </w:pPr>
      <w:r>
        <w:rPr>
          <w:rFonts w:hint="eastAsia" w:hAnsi="宋体" w:cs="宋体"/>
          <w:color w:val="auto"/>
          <w:sz w:val="21"/>
          <w:highlight w:val="none"/>
        </w:rPr>
        <w:t>质疑事项1：</w:t>
      </w:r>
    </w:p>
    <w:p w14:paraId="4235811B">
      <w:pPr>
        <w:pStyle w:val="13"/>
        <w:spacing w:line="520" w:lineRule="exact"/>
        <w:ind w:firstLine="420" w:firstLineChars="200"/>
        <w:contextualSpacing/>
        <w:rPr>
          <w:rFonts w:hAnsi="宋体" w:cs="宋体"/>
          <w:color w:val="auto"/>
          <w:sz w:val="21"/>
          <w:highlight w:val="none"/>
        </w:rPr>
      </w:pPr>
      <w:r>
        <w:rPr>
          <w:rFonts w:hint="eastAsia" w:hAnsi="宋体" w:cs="宋体"/>
          <w:color w:val="auto"/>
          <w:sz w:val="21"/>
          <w:highlight w:val="none"/>
        </w:rPr>
        <w:t>事实依据：</w:t>
      </w:r>
    </w:p>
    <w:p w14:paraId="2D51CAF3">
      <w:pPr>
        <w:pStyle w:val="13"/>
        <w:spacing w:line="520" w:lineRule="exact"/>
        <w:ind w:firstLine="420" w:firstLineChars="200"/>
        <w:contextualSpacing/>
        <w:rPr>
          <w:rFonts w:hAnsi="宋体" w:cs="宋体"/>
          <w:color w:val="auto"/>
          <w:sz w:val="21"/>
          <w:highlight w:val="none"/>
        </w:rPr>
      </w:pPr>
      <w:r>
        <w:rPr>
          <w:rFonts w:hint="eastAsia" w:hAnsi="宋体" w:cs="宋体"/>
          <w:color w:val="auto"/>
          <w:sz w:val="21"/>
          <w:highlight w:val="none"/>
        </w:rPr>
        <w:t>法律依据：</w:t>
      </w:r>
    </w:p>
    <w:p w14:paraId="1DB5FDE9">
      <w:pPr>
        <w:pStyle w:val="13"/>
        <w:spacing w:line="520" w:lineRule="exact"/>
        <w:ind w:firstLine="420" w:firstLineChars="200"/>
        <w:contextualSpacing/>
        <w:rPr>
          <w:rFonts w:hAnsi="宋体" w:cs="宋体"/>
          <w:color w:val="auto"/>
          <w:sz w:val="21"/>
          <w:highlight w:val="none"/>
        </w:rPr>
      </w:pPr>
      <w:r>
        <w:rPr>
          <w:rFonts w:hint="eastAsia" w:hAnsi="宋体" w:cs="宋体"/>
          <w:color w:val="auto"/>
          <w:sz w:val="21"/>
          <w:highlight w:val="none"/>
        </w:rPr>
        <w:t>质疑事项2</w:t>
      </w:r>
    </w:p>
    <w:p w14:paraId="6E6CCD4C">
      <w:pPr>
        <w:pStyle w:val="13"/>
        <w:spacing w:line="520" w:lineRule="exact"/>
        <w:ind w:firstLine="420" w:firstLineChars="200"/>
        <w:contextualSpacing/>
        <w:rPr>
          <w:rFonts w:hAnsi="宋体" w:cs="宋体"/>
          <w:color w:val="auto"/>
          <w:sz w:val="21"/>
          <w:highlight w:val="none"/>
        </w:rPr>
      </w:pPr>
      <w:r>
        <w:rPr>
          <w:rFonts w:hint="eastAsia" w:hAnsi="宋体" w:cs="宋体"/>
          <w:color w:val="auto"/>
          <w:sz w:val="21"/>
          <w:highlight w:val="none"/>
        </w:rPr>
        <w:t>……</w:t>
      </w:r>
    </w:p>
    <w:p w14:paraId="081865C1">
      <w:pPr>
        <w:pStyle w:val="13"/>
        <w:spacing w:line="520" w:lineRule="exact"/>
        <w:ind w:firstLine="420" w:firstLineChars="200"/>
        <w:contextualSpacing/>
        <w:rPr>
          <w:rFonts w:hAnsi="宋体" w:cs="宋体"/>
          <w:color w:val="auto"/>
          <w:sz w:val="21"/>
          <w:highlight w:val="none"/>
        </w:rPr>
      </w:pPr>
      <w:r>
        <w:rPr>
          <w:rFonts w:hint="eastAsia" w:hAnsi="宋体" w:cs="宋体"/>
          <w:color w:val="auto"/>
          <w:sz w:val="21"/>
          <w:highlight w:val="none"/>
        </w:rPr>
        <w:t>四、与质疑事项相关的质疑请求：</w:t>
      </w:r>
    </w:p>
    <w:p w14:paraId="0F50EDCF">
      <w:pPr>
        <w:pStyle w:val="13"/>
        <w:spacing w:line="520" w:lineRule="exact"/>
        <w:ind w:firstLine="420" w:firstLineChars="200"/>
        <w:contextualSpacing/>
        <w:rPr>
          <w:rFonts w:hAnsi="宋体" w:cs="宋体"/>
          <w:color w:val="auto"/>
          <w:sz w:val="24"/>
          <w:szCs w:val="24"/>
          <w:highlight w:val="none"/>
        </w:rPr>
      </w:pPr>
      <w:r>
        <w:rPr>
          <w:rFonts w:hint="eastAsia" w:hAnsi="宋体" w:cs="宋体"/>
          <w:color w:val="auto"/>
          <w:sz w:val="21"/>
          <w:highlight w:val="none"/>
        </w:rPr>
        <w:t>请求：</w:t>
      </w:r>
    </w:p>
    <w:p w14:paraId="0A9A879F">
      <w:pPr>
        <w:pStyle w:val="13"/>
        <w:spacing w:line="360" w:lineRule="auto"/>
        <w:ind w:left="25" w:leftChars="12" w:firstLine="352" w:firstLineChars="147"/>
        <w:contextualSpacing/>
        <w:rPr>
          <w:rFonts w:hAnsi="宋体" w:cs="宋体"/>
          <w:color w:val="auto"/>
          <w:sz w:val="24"/>
          <w:szCs w:val="24"/>
          <w:highlight w:val="none"/>
        </w:rPr>
      </w:pPr>
    </w:p>
    <w:p w14:paraId="3BF711F2">
      <w:pPr>
        <w:pStyle w:val="13"/>
        <w:spacing w:line="520" w:lineRule="exact"/>
        <w:ind w:firstLine="420" w:firstLineChars="200"/>
        <w:contextualSpacing/>
        <w:rPr>
          <w:rFonts w:hAnsi="宋体" w:cs="宋体"/>
          <w:color w:val="auto"/>
          <w:sz w:val="21"/>
          <w:highlight w:val="none"/>
        </w:rPr>
      </w:pPr>
      <w:r>
        <w:rPr>
          <w:rFonts w:hint="eastAsia" w:hAnsi="宋体" w:cs="宋体"/>
          <w:color w:val="auto"/>
          <w:sz w:val="21"/>
          <w:highlight w:val="none"/>
        </w:rPr>
        <w:t>签字（签章）：                                       公章：</w:t>
      </w:r>
    </w:p>
    <w:p w14:paraId="32613554">
      <w:pPr>
        <w:pStyle w:val="13"/>
        <w:spacing w:line="520" w:lineRule="exact"/>
        <w:ind w:firstLine="420" w:firstLineChars="200"/>
        <w:contextualSpacing/>
        <w:rPr>
          <w:rFonts w:hAnsi="宋体" w:cs="宋体"/>
          <w:color w:val="auto"/>
          <w:sz w:val="21"/>
          <w:highlight w:val="none"/>
        </w:rPr>
      </w:pPr>
      <w:r>
        <w:rPr>
          <w:rFonts w:hint="eastAsia" w:hAnsi="宋体" w:cs="宋体"/>
          <w:color w:val="auto"/>
          <w:sz w:val="21"/>
          <w:highlight w:val="none"/>
        </w:rPr>
        <w:t>日期：</w:t>
      </w:r>
    </w:p>
    <w:p w14:paraId="22F98C4F">
      <w:pPr>
        <w:pStyle w:val="13"/>
        <w:spacing w:line="360" w:lineRule="auto"/>
        <w:contextualSpacing/>
        <w:rPr>
          <w:rFonts w:hAnsi="宋体" w:cs="宋体"/>
          <w:b/>
          <w:color w:val="auto"/>
          <w:sz w:val="24"/>
          <w:szCs w:val="24"/>
          <w:highlight w:val="none"/>
        </w:rPr>
      </w:pPr>
    </w:p>
    <w:p w14:paraId="533AE5AA">
      <w:pPr>
        <w:pStyle w:val="13"/>
        <w:spacing w:line="520" w:lineRule="exact"/>
        <w:contextualSpacing/>
        <w:rPr>
          <w:rFonts w:hAnsi="宋体" w:cs="宋体"/>
          <w:b/>
          <w:color w:val="auto"/>
          <w:sz w:val="21"/>
          <w:highlight w:val="none"/>
        </w:rPr>
      </w:pPr>
      <w:r>
        <w:rPr>
          <w:rFonts w:hint="eastAsia" w:hAnsi="宋体" w:cs="宋体"/>
          <w:b/>
          <w:color w:val="auto"/>
          <w:sz w:val="21"/>
          <w:highlight w:val="none"/>
        </w:rPr>
        <w:t>说明：</w:t>
      </w:r>
    </w:p>
    <w:p w14:paraId="652A8F94">
      <w:pPr>
        <w:pStyle w:val="13"/>
        <w:spacing w:line="520" w:lineRule="exact"/>
        <w:ind w:firstLine="422" w:firstLineChars="200"/>
        <w:contextualSpacing/>
        <w:rPr>
          <w:rFonts w:hAnsi="宋体" w:cs="宋体"/>
          <w:b/>
          <w:bCs/>
          <w:color w:val="auto"/>
          <w:sz w:val="21"/>
          <w:highlight w:val="none"/>
        </w:rPr>
      </w:pPr>
      <w:r>
        <w:rPr>
          <w:rFonts w:hint="eastAsia" w:hAnsi="宋体" w:cs="宋体"/>
          <w:b/>
          <w:color w:val="auto"/>
          <w:sz w:val="21"/>
          <w:highlight w:val="none"/>
        </w:rPr>
        <w:t>1.供应商提出质疑时，应提交质疑函和必要的证明材料</w:t>
      </w:r>
      <w:r>
        <w:rPr>
          <w:rFonts w:hint="eastAsia" w:hAnsi="宋体" w:cs="宋体"/>
          <w:b/>
          <w:bCs/>
          <w:color w:val="auto"/>
          <w:sz w:val="21"/>
          <w:highlight w:val="none"/>
        </w:rPr>
        <w:t>。</w:t>
      </w:r>
    </w:p>
    <w:p w14:paraId="30E8DEF1">
      <w:pPr>
        <w:pStyle w:val="13"/>
        <w:spacing w:line="520" w:lineRule="exact"/>
        <w:ind w:firstLine="422" w:firstLineChars="200"/>
        <w:contextualSpacing/>
        <w:rPr>
          <w:rFonts w:hAnsi="宋体" w:cs="宋体"/>
          <w:b/>
          <w:color w:val="auto"/>
          <w:sz w:val="21"/>
          <w:highlight w:val="none"/>
        </w:rPr>
      </w:pPr>
      <w:r>
        <w:rPr>
          <w:rFonts w:hint="eastAsia" w:hAnsi="宋体" w:cs="宋体"/>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55DEAD0">
      <w:pPr>
        <w:pStyle w:val="13"/>
        <w:spacing w:line="520" w:lineRule="exact"/>
        <w:ind w:firstLine="422" w:firstLineChars="200"/>
        <w:contextualSpacing/>
        <w:rPr>
          <w:rFonts w:hAnsi="宋体" w:cs="宋体"/>
          <w:b/>
          <w:color w:val="auto"/>
          <w:sz w:val="21"/>
          <w:highlight w:val="none"/>
        </w:rPr>
      </w:pPr>
      <w:r>
        <w:rPr>
          <w:rFonts w:hint="eastAsia" w:hAnsi="宋体" w:cs="宋体"/>
          <w:b/>
          <w:color w:val="auto"/>
          <w:sz w:val="21"/>
          <w:highlight w:val="none"/>
        </w:rPr>
        <w:t>3.质疑函的质疑事项应具体、明确，并有必要的事实依据和法律依据。</w:t>
      </w:r>
    </w:p>
    <w:p w14:paraId="30094CBA">
      <w:pPr>
        <w:pStyle w:val="13"/>
        <w:spacing w:line="520" w:lineRule="exact"/>
        <w:ind w:firstLine="422" w:firstLineChars="200"/>
        <w:contextualSpacing/>
        <w:rPr>
          <w:rFonts w:hAnsi="宋体" w:cs="宋体"/>
          <w:b/>
          <w:color w:val="auto"/>
          <w:sz w:val="21"/>
          <w:highlight w:val="none"/>
        </w:rPr>
      </w:pPr>
      <w:r>
        <w:rPr>
          <w:rFonts w:hint="eastAsia" w:hAnsi="宋体" w:cs="宋体"/>
          <w:b/>
          <w:color w:val="auto"/>
          <w:sz w:val="21"/>
          <w:highlight w:val="none"/>
        </w:rPr>
        <w:t>4.质疑函的质疑请求应与质疑事项相关。</w:t>
      </w:r>
    </w:p>
    <w:p w14:paraId="7C88A251">
      <w:pPr>
        <w:pStyle w:val="13"/>
        <w:spacing w:line="520" w:lineRule="exact"/>
        <w:ind w:firstLine="422" w:firstLineChars="200"/>
        <w:contextualSpacing/>
        <w:rPr>
          <w:rFonts w:hAnsi="宋体" w:cs="宋体"/>
          <w:b/>
          <w:color w:val="auto"/>
          <w:highlight w:val="none"/>
        </w:rPr>
      </w:pPr>
      <w:r>
        <w:rPr>
          <w:rFonts w:hint="eastAsia" w:hAnsi="宋体" w:cs="宋体"/>
          <w:b/>
          <w:color w:val="auto"/>
          <w:sz w:val="21"/>
          <w:highlight w:val="none"/>
        </w:rPr>
        <w:t>5.质疑供应商为法人或者其他组织的，质疑函应由法定代表人、主要负责人，或者其授权代表签字或者盖章，并加盖公章。</w:t>
      </w:r>
    </w:p>
    <w:p w14:paraId="709D34D3">
      <w:pPr>
        <w:pStyle w:val="13"/>
        <w:snapToGrid w:val="0"/>
        <w:rPr>
          <w:rFonts w:hAnsi="宋体" w:cs="宋体"/>
          <w:b/>
          <w:color w:val="auto"/>
          <w:sz w:val="24"/>
          <w:szCs w:val="24"/>
          <w:highlight w:val="none"/>
        </w:rPr>
      </w:pPr>
    </w:p>
    <w:p w14:paraId="49C7452B">
      <w:pPr>
        <w:rPr>
          <w:rFonts w:ascii="宋体" w:hAnsi="宋体" w:cs="宋体"/>
          <w:color w:val="auto"/>
          <w:highlight w:val="none"/>
        </w:rPr>
      </w:pPr>
      <w:r>
        <w:rPr>
          <w:rFonts w:hint="eastAsia" w:ascii="宋体" w:hAnsi="宋体" w:cs="宋体"/>
          <w:color w:val="auto"/>
          <w:highlight w:val="none"/>
        </w:rPr>
        <w:br w:type="page"/>
      </w:r>
    </w:p>
    <w:p w14:paraId="3E7EAE84">
      <w:pPr>
        <w:spacing w:line="520" w:lineRule="exact"/>
        <w:jc w:val="center"/>
        <w:rPr>
          <w:rFonts w:ascii="宋体" w:hAnsi="宋体" w:cs="宋体"/>
          <w:color w:val="auto"/>
          <w:sz w:val="32"/>
          <w:szCs w:val="32"/>
          <w:highlight w:val="none"/>
        </w:rPr>
      </w:pPr>
      <w:r>
        <w:rPr>
          <w:rFonts w:hint="eastAsia" w:ascii="宋体" w:hAnsi="宋体" w:cs="宋体"/>
          <w:b/>
          <w:bCs/>
          <w:color w:val="auto"/>
          <w:sz w:val="32"/>
          <w:szCs w:val="32"/>
          <w:highlight w:val="none"/>
        </w:rPr>
        <w:t>投诉书（格式）</w:t>
      </w:r>
    </w:p>
    <w:p w14:paraId="03261742">
      <w:pPr>
        <w:pStyle w:val="13"/>
        <w:snapToGrid w:val="0"/>
        <w:spacing w:line="520" w:lineRule="exact"/>
        <w:ind w:firstLine="422" w:firstLineChars="200"/>
        <w:rPr>
          <w:rFonts w:hAnsi="宋体" w:cs="宋体"/>
          <w:b/>
          <w:bCs/>
          <w:color w:val="auto"/>
          <w:sz w:val="21"/>
          <w:highlight w:val="none"/>
        </w:rPr>
      </w:pPr>
    </w:p>
    <w:p w14:paraId="186ECAA9">
      <w:pPr>
        <w:pStyle w:val="13"/>
        <w:snapToGrid w:val="0"/>
        <w:spacing w:line="520" w:lineRule="exact"/>
        <w:ind w:firstLine="422" w:firstLineChars="200"/>
        <w:rPr>
          <w:rFonts w:hAnsi="宋体" w:cs="宋体"/>
          <w:b/>
          <w:bCs/>
          <w:color w:val="auto"/>
          <w:sz w:val="21"/>
          <w:highlight w:val="none"/>
        </w:rPr>
      </w:pPr>
      <w:r>
        <w:rPr>
          <w:rFonts w:hint="eastAsia" w:hAnsi="宋体" w:cs="宋体"/>
          <w:b/>
          <w:bCs/>
          <w:color w:val="auto"/>
          <w:sz w:val="21"/>
          <w:highlight w:val="none"/>
        </w:rPr>
        <w:t>一、投诉相关主体基本情况：</w:t>
      </w:r>
    </w:p>
    <w:p w14:paraId="71555A66">
      <w:pPr>
        <w:pStyle w:val="13"/>
        <w:snapToGrid w:val="0"/>
        <w:spacing w:line="520" w:lineRule="exact"/>
        <w:ind w:firstLine="420" w:firstLineChars="200"/>
        <w:rPr>
          <w:rFonts w:hAnsi="宋体" w:cs="宋体"/>
          <w:bCs/>
          <w:color w:val="auto"/>
          <w:sz w:val="21"/>
          <w:highlight w:val="none"/>
          <w:u w:val="single"/>
        </w:rPr>
      </w:pPr>
      <w:r>
        <w:rPr>
          <w:rFonts w:hint="eastAsia" w:hAnsi="宋体" w:cs="宋体"/>
          <w:bCs/>
          <w:color w:val="auto"/>
          <w:sz w:val="21"/>
          <w:highlight w:val="none"/>
        </w:rPr>
        <w:t>供应商：</w:t>
      </w:r>
    </w:p>
    <w:p w14:paraId="6B30298B">
      <w:pPr>
        <w:pStyle w:val="13"/>
        <w:snapToGrid w:val="0"/>
        <w:spacing w:line="520" w:lineRule="exact"/>
        <w:ind w:firstLine="420" w:firstLineChars="200"/>
        <w:rPr>
          <w:rFonts w:hAnsi="宋体" w:cs="宋体"/>
          <w:bCs/>
          <w:color w:val="auto"/>
          <w:sz w:val="21"/>
          <w:highlight w:val="none"/>
        </w:rPr>
      </w:pPr>
      <w:r>
        <w:rPr>
          <w:rFonts w:hint="eastAsia" w:hAnsi="宋体" w:cs="宋体"/>
          <w:bCs/>
          <w:color w:val="auto"/>
          <w:sz w:val="21"/>
          <w:highlight w:val="none"/>
        </w:rPr>
        <w:t>地址：邮编：</w:t>
      </w:r>
    </w:p>
    <w:p w14:paraId="745DF589">
      <w:pPr>
        <w:pStyle w:val="13"/>
        <w:snapToGrid w:val="0"/>
        <w:spacing w:line="520" w:lineRule="exact"/>
        <w:ind w:firstLine="420" w:firstLineChars="200"/>
        <w:rPr>
          <w:rFonts w:hAnsi="宋体" w:cs="宋体"/>
          <w:bCs/>
          <w:color w:val="auto"/>
          <w:sz w:val="21"/>
          <w:highlight w:val="none"/>
          <w:u w:val="single"/>
        </w:rPr>
      </w:pPr>
      <w:r>
        <w:rPr>
          <w:rFonts w:hint="eastAsia" w:hAnsi="宋体" w:cs="宋体"/>
          <w:bCs/>
          <w:color w:val="auto"/>
          <w:sz w:val="21"/>
          <w:highlight w:val="none"/>
        </w:rPr>
        <w:t>法定代表人/主要负责人：</w:t>
      </w:r>
    </w:p>
    <w:p w14:paraId="00894002">
      <w:pPr>
        <w:pStyle w:val="13"/>
        <w:snapToGrid w:val="0"/>
        <w:spacing w:line="520" w:lineRule="exact"/>
        <w:ind w:firstLine="420" w:firstLineChars="200"/>
        <w:rPr>
          <w:rFonts w:hAnsi="宋体" w:cs="宋体"/>
          <w:bCs/>
          <w:color w:val="auto"/>
          <w:sz w:val="21"/>
          <w:highlight w:val="none"/>
        </w:rPr>
      </w:pPr>
      <w:r>
        <w:rPr>
          <w:rFonts w:hint="eastAsia" w:hAnsi="宋体" w:cs="宋体"/>
          <w:bCs/>
          <w:color w:val="auto"/>
          <w:sz w:val="21"/>
          <w:highlight w:val="none"/>
        </w:rPr>
        <w:t>联系电话：</w:t>
      </w:r>
    </w:p>
    <w:p w14:paraId="14FF42A3">
      <w:pPr>
        <w:pStyle w:val="13"/>
        <w:snapToGrid w:val="0"/>
        <w:spacing w:line="520" w:lineRule="exact"/>
        <w:ind w:firstLine="420" w:firstLineChars="200"/>
        <w:rPr>
          <w:rFonts w:hAnsi="宋体" w:cs="宋体"/>
          <w:bCs/>
          <w:color w:val="auto"/>
          <w:sz w:val="21"/>
          <w:highlight w:val="none"/>
          <w:u w:val="single"/>
        </w:rPr>
      </w:pPr>
      <w:r>
        <w:rPr>
          <w:rFonts w:hint="eastAsia" w:hAnsi="宋体" w:cs="宋体"/>
          <w:bCs/>
          <w:color w:val="auto"/>
          <w:sz w:val="21"/>
          <w:highlight w:val="none"/>
        </w:rPr>
        <w:t>授权代表：联系电话：</w:t>
      </w:r>
    </w:p>
    <w:p w14:paraId="1753A10E">
      <w:pPr>
        <w:pStyle w:val="13"/>
        <w:snapToGrid w:val="0"/>
        <w:spacing w:line="520" w:lineRule="exact"/>
        <w:ind w:firstLine="420" w:firstLineChars="200"/>
        <w:rPr>
          <w:rFonts w:hAnsi="宋体" w:cs="宋体"/>
          <w:bCs/>
          <w:color w:val="auto"/>
          <w:sz w:val="21"/>
          <w:highlight w:val="none"/>
          <w:u w:val="single"/>
        </w:rPr>
      </w:pPr>
      <w:r>
        <w:rPr>
          <w:rFonts w:hint="eastAsia" w:hAnsi="宋体" w:cs="宋体"/>
          <w:bCs/>
          <w:color w:val="auto"/>
          <w:sz w:val="21"/>
          <w:highlight w:val="none"/>
        </w:rPr>
        <w:t>地址：</w:t>
      </w:r>
    </w:p>
    <w:p w14:paraId="335EA5BD">
      <w:pPr>
        <w:pStyle w:val="13"/>
        <w:snapToGrid w:val="0"/>
        <w:spacing w:line="520" w:lineRule="exact"/>
        <w:ind w:firstLine="420" w:firstLineChars="200"/>
        <w:rPr>
          <w:rFonts w:hAnsi="宋体" w:cs="宋体"/>
          <w:bCs/>
          <w:color w:val="auto"/>
          <w:sz w:val="21"/>
          <w:highlight w:val="none"/>
        </w:rPr>
      </w:pPr>
      <w:r>
        <w:rPr>
          <w:rFonts w:hint="eastAsia" w:hAnsi="宋体" w:cs="宋体"/>
          <w:bCs/>
          <w:color w:val="auto"/>
          <w:sz w:val="21"/>
          <w:highlight w:val="none"/>
        </w:rPr>
        <w:t>邮编：</w:t>
      </w:r>
    </w:p>
    <w:p w14:paraId="24F4ACC6">
      <w:pPr>
        <w:pStyle w:val="13"/>
        <w:snapToGrid w:val="0"/>
        <w:spacing w:line="520" w:lineRule="exact"/>
        <w:ind w:firstLine="420" w:firstLineChars="200"/>
        <w:rPr>
          <w:rFonts w:hAnsi="宋体" w:cs="宋体"/>
          <w:bCs/>
          <w:color w:val="auto"/>
          <w:sz w:val="21"/>
          <w:highlight w:val="none"/>
        </w:rPr>
      </w:pPr>
      <w:r>
        <w:rPr>
          <w:rFonts w:hint="eastAsia" w:hAnsi="宋体" w:cs="宋体"/>
          <w:bCs/>
          <w:color w:val="auto"/>
          <w:sz w:val="21"/>
          <w:highlight w:val="none"/>
        </w:rPr>
        <w:t>被投诉人1：</w:t>
      </w:r>
    </w:p>
    <w:p w14:paraId="4FE0778E">
      <w:pPr>
        <w:pStyle w:val="13"/>
        <w:snapToGrid w:val="0"/>
        <w:spacing w:line="520" w:lineRule="exact"/>
        <w:ind w:firstLine="420" w:firstLineChars="200"/>
        <w:rPr>
          <w:rFonts w:hAnsi="宋体" w:cs="宋体"/>
          <w:bCs/>
          <w:color w:val="auto"/>
          <w:sz w:val="21"/>
          <w:highlight w:val="none"/>
          <w:u w:val="single"/>
        </w:rPr>
      </w:pPr>
      <w:r>
        <w:rPr>
          <w:rFonts w:hint="eastAsia" w:hAnsi="宋体" w:cs="宋体"/>
          <w:bCs/>
          <w:color w:val="auto"/>
          <w:sz w:val="21"/>
          <w:highlight w:val="none"/>
        </w:rPr>
        <w:t>地址：</w:t>
      </w:r>
    </w:p>
    <w:p w14:paraId="61865607">
      <w:pPr>
        <w:pStyle w:val="13"/>
        <w:snapToGrid w:val="0"/>
        <w:spacing w:line="520" w:lineRule="exact"/>
        <w:ind w:firstLine="420" w:firstLineChars="200"/>
        <w:rPr>
          <w:rFonts w:hAnsi="宋体" w:cs="宋体"/>
          <w:bCs/>
          <w:color w:val="auto"/>
          <w:sz w:val="21"/>
          <w:highlight w:val="none"/>
        </w:rPr>
      </w:pPr>
      <w:r>
        <w:rPr>
          <w:rFonts w:hint="eastAsia" w:hAnsi="宋体" w:cs="宋体"/>
          <w:bCs/>
          <w:color w:val="auto"/>
          <w:sz w:val="21"/>
          <w:highlight w:val="none"/>
        </w:rPr>
        <w:t>邮编：</w:t>
      </w:r>
    </w:p>
    <w:p w14:paraId="30EDDABF">
      <w:pPr>
        <w:pStyle w:val="13"/>
        <w:snapToGrid w:val="0"/>
        <w:spacing w:line="520" w:lineRule="exact"/>
        <w:ind w:firstLine="420" w:firstLineChars="200"/>
        <w:rPr>
          <w:rFonts w:hAnsi="宋体" w:cs="宋体"/>
          <w:bCs/>
          <w:color w:val="auto"/>
          <w:sz w:val="21"/>
          <w:highlight w:val="none"/>
          <w:u w:val="single"/>
        </w:rPr>
      </w:pPr>
      <w:r>
        <w:rPr>
          <w:rFonts w:hint="eastAsia" w:hAnsi="宋体" w:cs="宋体"/>
          <w:bCs/>
          <w:color w:val="auto"/>
          <w:sz w:val="21"/>
          <w:highlight w:val="none"/>
        </w:rPr>
        <w:t>联系人：联系电话：</w:t>
      </w:r>
    </w:p>
    <w:p w14:paraId="06682CC2">
      <w:pPr>
        <w:pStyle w:val="13"/>
        <w:snapToGrid w:val="0"/>
        <w:spacing w:line="520" w:lineRule="exact"/>
        <w:ind w:firstLine="420" w:firstLineChars="200"/>
        <w:rPr>
          <w:rFonts w:hAnsi="宋体" w:cs="宋体"/>
          <w:bCs/>
          <w:color w:val="auto"/>
          <w:sz w:val="21"/>
          <w:highlight w:val="none"/>
        </w:rPr>
      </w:pPr>
      <w:r>
        <w:rPr>
          <w:rFonts w:hint="eastAsia" w:hAnsi="宋体" w:cs="宋体"/>
          <w:bCs/>
          <w:color w:val="auto"/>
          <w:sz w:val="21"/>
          <w:highlight w:val="none"/>
        </w:rPr>
        <w:t>被投诉人2：</w:t>
      </w:r>
    </w:p>
    <w:p w14:paraId="66DD5139">
      <w:pPr>
        <w:pStyle w:val="13"/>
        <w:snapToGrid w:val="0"/>
        <w:spacing w:line="520" w:lineRule="exact"/>
        <w:ind w:firstLine="420" w:firstLineChars="200"/>
        <w:rPr>
          <w:rFonts w:hAnsi="宋体" w:cs="宋体"/>
          <w:bCs/>
          <w:color w:val="auto"/>
          <w:sz w:val="21"/>
          <w:highlight w:val="none"/>
        </w:rPr>
      </w:pPr>
      <w:r>
        <w:rPr>
          <w:rFonts w:hint="eastAsia" w:hAnsi="宋体" w:cs="宋体"/>
          <w:bCs/>
          <w:color w:val="auto"/>
          <w:sz w:val="21"/>
          <w:highlight w:val="none"/>
        </w:rPr>
        <w:t>……</w:t>
      </w:r>
    </w:p>
    <w:p w14:paraId="71BE354E">
      <w:pPr>
        <w:pStyle w:val="13"/>
        <w:snapToGrid w:val="0"/>
        <w:spacing w:line="520" w:lineRule="exact"/>
        <w:ind w:firstLine="420" w:firstLineChars="200"/>
        <w:rPr>
          <w:rFonts w:hAnsi="宋体" w:cs="宋体"/>
          <w:bCs/>
          <w:color w:val="auto"/>
          <w:sz w:val="21"/>
          <w:highlight w:val="none"/>
          <w:u w:val="single"/>
        </w:rPr>
      </w:pPr>
      <w:r>
        <w:rPr>
          <w:rFonts w:hint="eastAsia" w:hAnsi="宋体" w:cs="宋体"/>
          <w:bCs/>
          <w:color w:val="auto"/>
          <w:sz w:val="21"/>
          <w:highlight w:val="none"/>
        </w:rPr>
        <w:t>相关供应商：</w:t>
      </w:r>
    </w:p>
    <w:p w14:paraId="1B595E0B">
      <w:pPr>
        <w:pStyle w:val="13"/>
        <w:snapToGrid w:val="0"/>
        <w:spacing w:line="520" w:lineRule="exact"/>
        <w:ind w:firstLine="420" w:firstLineChars="200"/>
        <w:rPr>
          <w:rFonts w:hAnsi="宋体" w:cs="宋体"/>
          <w:bCs/>
          <w:color w:val="auto"/>
          <w:sz w:val="21"/>
          <w:highlight w:val="none"/>
          <w:u w:val="single"/>
        </w:rPr>
      </w:pPr>
      <w:r>
        <w:rPr>
          <w:rFonts w:hint="eastAsia" w:hAnsi="宋体" w:cs="宋体"/>
          <w:bCs/>
          <w:color w:val="auto"/>
          <w:sz w:val="21"/>
          <w:highlight w:val="none"/>
        </w:rPr>
        <w:t>地址：邮编：</w:t>
      </w:r>
    </w:p>
    <w:p w14:paraId="3F9F4E41">
      <w:pPr>
        <w:pStyle w:val="13"/>
        <w:snapToGrid w:val="0"/>
        <w:spacing w:line="520" w:lineRule="exact"/>
        <w:ind w:firstLine="420" w:firstLineChars="200"/>
        <w:rPr>
          <w:rFonts w:hAnsi="宋体" w:cs="宋体"/>
          <w:bCs/>
          <w:color w:val="auto"/>
          <w:sz w:val="21"/>
          <w:highlight w:val="none"/>
        </w:rPr>
      </w:pPr>
      <w:r>
        <w:rPr>
          <w:rFonts w:hint="eastAsia" w:hAnsi="宋体" w:cs="宋体"/>
          <w:bCs/>
          <w:color w:val="auto"/>
          <w:sz w:val="21"/>
          <w:highlight w:val="none"/>
        </w:rPr>
        <w:t>联系人：联系电话：</w:t>
      </w:r>
    </w:p>
    <w:p w14:paraId="64DF3CEC">
      <w:pPr>
        <w:pStyle w:val="13"/>
        <w:snapToGrid w:val="0"/>
        <w:spacing w:line="520" w:lineRule="exact"/>
        <w:ind w:firstLine="422" w:firstLineChars="200"/>
        <w:rPr>
          <w:rFonts w:hAnsi="宋体" w:cs="宋体"/>
          <w:b/>
          <w:bCs/>
          <w:color w:val="auto"/>
          <w:sz w:val="21"/>
          <w:highlight w:val="none"/>
        </w:rPr>
      </w:pPr>
      <w:r>
        <w:rPr>
          <w:rFonts w:hint="eastAsia" w:hAnsi="宋体" w:cs="宋体"/>
          <w:b/>
          <w:bCs/>
          <w:color w:val="auto"/>
          <w:sz w:val="21"/>
          <w:highlight w:val="none"/>
        </w:rPr>
        <w:t>二、投诉项目基本情况：</w:t>
      </w:r>
    </w:p>
    <w:p w14:paraId="1B925366">
      <w:pPr>
        <w:pStyle w:val="13"/>
        <w:spacing w:line="520" w:lineRule="exact"/>
        <w:ind w:firstLine="420" w:firstLineChars="200"/>
        <w:rPr>
          <w:rFonts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项目的名称：</w:t>
      </w:r>
    </w:p>
    <w:p w14:paraId="3BC6BB57">
      <w:pPr>
        <w:pStyle w:val="13"/>
        <w:spacing w:line="520" w:lineRule="exact"/>
        <w:ind w:firstLine="420" w:firstLineChars="200"/>
        <w:rPr>
          <w:rFonts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项目的编号：</w:t>
      </w:r>
    </w:p>
    <w:p w14:paraId="45694B76">
      <w:pPr>
        <w:pStyle w:val="13"/>
        <w:spacing w:line="520" w:lineRule="exact"/>
        <w:ind w:firstLine="420" w:firstLineChars="200"/>
        <w:rPr>
          <w:rFonts w:hAnsi="宋体" w:cs="宋体"/>
          <w:bCs/>
          <w:color w:val="auto"/>
          <w:sz w:val="21"/>
          <w:highlight w:val="none"/>
          <w:u w:val="single"/>
        </w:rPr>
      </w:pPr>
      <w:r>
        <w:rPr>
          <w:rFonts w:hint="eastAsia" w:hAnsi="宋体" w:cs="宋体"/>
          <w:color w:val="auto"/>
          <w:sz w:val="21"/>
          <w:highlight w:val="none"/>
        </w:rPr>
        <w:t>采购人名称：</w:t>
      </w:r>
    </w:p>
    <w:p w14:paraId="709737E9">
      <w:pPr>
        <w:pStyle w:val="13"/>
        <w:spacing w:line="520" w:lineRule="exact"/>
        <w:ind w:firstLine="420" w:firstLineChars="200"/>
        <w:rPr>
          <w:rFonts w:hAnsi="宋体" w:cs="宋体"/>
          <w:bCs/>
          <w:color w:val="auto"/>
          <w:sz w:val="21"/>
          <w:highlight w:val="none"/>
          <w:u w:val="single"/>
        </w:rPr>
      </w:pPr>
      <w:r>
        <w:rPr>
          <w:rFonts w:hint="eastAsia" w:hAnsi="宋体" w:cs="宋体"/>
          <w:color w:val="auto"/>
          <w:sz w:val="21"/>
          <w:highlight w:val="none"/>
        </w:rPr>
        <w:t>代理机构名称：</w:t>
      </w:r>
    </w:p>
    <w:p w14:paraId="776EED50">
      <w:pPr>
        <w:pStyle w:val="13"/>
        <w:spacing w:line="520" w:lineRule="exact"/>
        <w:ind w:firstLine="420" w:firstLineChars="200"/>
        <w:rPr>
          <w:rFonts w:hAnsi="宋体" w:cs="宋体"/>
          <w:bCs/>
          <w:color w:val="auto"/>
          <w:sz w:val="21"/>
          <w:highlight w:val="none"/>
          <w:u w:val="single"/>
        </w:rPr>
      </w:pPr>
      <w:r>
        <w:rPr>
          <w:rFonts w:hint="eastAsia" w:hAnsi="宋体" w:cs="宋体"/>
          <w:bCs/>
          <w:color w:val="auto"/>
          <w:sz w:val="21"/>
          <w:highlight w:val="none"/>
        </w:rPr>
        <w:t>采购文件公告：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p>
    <w:p w14:paraId="010225C9">
      <w:pPr>
        <w:pStyle w:val="13"/>
        <w:spacing w:line="520" w:lineRule="exact"/>
        <w:ind w:firstLine="420" w:firstLineChars="200"/>
        <w:rPr>
          <w:rFonts w:hAnsi="宋体" w:cs="宋体"/>
          <w:b/>
          <w:color w:val="auto"/>
          <w:sz w:val="21"/>
          <w:highlight w:val="none"/>
        </w:rPr>
      </w:pPr>
      <w:r>
        <w:rPr>
          <w:rFonts w:hint="eastAsia" w:hAnsi="宋体" w:cs="宋体"/>
          <w:bCs/>
          <w:color w:val="auto"/>
          <w:sz w:val="21"/>
          <w:highlight w:val="none"/>
        </w:rPr>
        <w:t>采购结果公告：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p>
    <w:p w14:paraId="72212387">
      <w:pPr>
        <w:pStyle w:val="13"/>
        <w:spacing w:line="520" w:lineRule="exact"/>
        <w:ind w:firstLine="422" w:firstLineChars="200"/>
        <w:rPr>
          <w:rFonts w:hAnsi="宋体" w:cs="宋体"/>
          <w:b/>
          <w:color w:val="auto"/>
          <w:sz w:val="21"/>
          <w:highlight w:val="none"/>
        </w:rPr>
      </w:pPr>
      <w:r>
        <w:rPr>
          <w:rFonts w:hint="eastAsia" w:hAnsi="宋体" w:cs="宋体"/>
          <w:b/>
          <w:color w:val="auto"/>
          <w:sz w:val="21"/>
          <w:highlight w:val="none"/>
        </w:rPr>
        <w:t>三、质疑基本情况</w:t>
      </w:r>
    </w:p>
    <w:p w14:paraId="65002A12">
      <w:pPr>
        <w:pStyle w:val="13"/>
        <w:spacing w:line="520" w:lineRule="exact"/>
        <w:ind w:firstLine="420" w:firstLineChars="200"/>
        <w:rPr>
          <w:rFonts w:hAnsi="宋体" w:cs="宋体"/>
          <w:bCs/>
          <w:color w:val="auto"/>
          <w:sz w:val="21"/>
          <w:highlight w:val="none"/>
          <w:u w:val="single"/>
        </w:rPr>
      </w:pPr>
      <w:r>
        <w:rPr>
          <w:rFonts w:hint="eastAsia" w:hAnsi="宋体" w:cs="宋体"/>
          <w:color w:val="auto"/>
          <w:sz w:val="21"/>
          <w:highlight w:val="none"/>
        </w:rPr>
        <w:t>投诉人于年月日，向提出质疑，质疑事项为：</w:t>
      </w:r>
    </w:p>
    <w:p w14:paraId="2B3598E6">
      <w:pPr>
        <w:pStyle w:val="13"/>
        <w:spacing w:line="520" w:lineRule="exact"/>
        <w:ind w:firstLine="420" w:firstLineChars="200"/>
        <w:rPr>
          <w:rFonts w:hAnsi="宋体" w:cs="宋体"/>
          <w:color w:val="auto"/>
          <w:sz w:val="21"/>
          <w:highlight w:val="none"/>
        </w:rPr>
      </w:pPr>
      <w:r>
        <w:rPr>
          <w:rFonts w:hint="eastAsia" w:hAnsi="宋体" w:cs="宋体"/>
          <w:bCs/>
          <w:color w:val="auto"/>
          <w:sz w:val="21"/>
          <w:highlight w:val="none"/>
          <w:u w:val="single"/>
        </w:rPr>
        <w:t>采购人/代理机构</w:t>
      </w:r>
      <w:r>
        <w:rPr>
          <w:rFonts w:hint="eastAsia" w:hAnsi="宋体" w:cs="宋体"/>
          <w:bCs/>
          <w:color w:val="auto"/>
          <w:sz w:val="21"/>
          <w:highlight w:val="none"/>
        </w:rPr>
        <w:t>于</w:t>
      </w:r>
      <w:r>
        <w:rPr>
          <w:rFonts w:hint="eastAsia" w:hAnsi="宋体" w:cs="宋体"/>
          <w:color w:val="auto"/>
          <w:sz w:val="21"/>
          <w:highlight w:val="none"/>
        </w:rPr>
        <w:t>年月日，</w:t>
      </w:r>
      <w:r>
        <w:rPr>
          <w:rFonts w:hint="eastAsia" w:hAnsi="宋体" w:cs="宋体"/>
          <w:bCs/>
          <w:color w:val="auto"/>
          <w:sz w:val="21"/>
          <w:highlight w:val="none"/>
        </w:rPr>
        <w:t xml:space="preserve">就质疑事项作出了答复/没有在法定期限内作出答复。                                                                                             </w:t>
      </w:r>
    </w:p>
    <w:p w14:paraId="4F5CDC80">
      <w:pPr>
        <w:pStyle w:val="13"/>
        <w:spacing w:line="520" w:lineRule="exact"/>
        <w:ind w:firstLine="422" w:firstLineChars="200"/>
        <w:rPr>
          <w:rFonts w:hAnsi="宋体" w:cs="宋体"/>
          <w:b/>
          <w:color w:val="auto"/>
          <w:sz w:val="21"/>
          <w:highlight w:val="none"/>
        </w:rPr>
      </w:pPr>
      <w:r>
        <w:rPr>
          <w:rFonts w:hint="eastAsia" w:hAnsi="宋体" w:cs="宋体"/>
          <w:b/>
          <w:color w:val="auto"/>
          <w:sz w:val="21"/>
          <w:highlight w:val="none"/>
        </w:rPr>
        <w:t>四、投诉事项具体内容</w:t>
      </w:r>
    </w:p>
    <w:p w14:paraId="3D807175">
      <w:pPr>
        <w:pStyle w:val="13"/>
        <w:spacing w:line="520" w:lineRule="exact"/>
        <w:ind w:firstLine="420" w:firstLineChars="200"/>
        <w:rPr>
          <w:rFonts w:hAnsi="宋体" w:cs="宋体"/>
          <w:bCs/>
          <w:color w:val="auto"/>
          <w:sz w:val="21"/>
          <w:highlight w:val="none"/>
          <w:u w:val="single"/>
        </w:rPr>
      </w:pPr>
      <w:r>
        <w:rPr>
          <w:rFonts w:hint="eastAsia" w:hAnsi="宋体" w:cs="宋体"/>
          <w:color w:val="auto"/>
          <w:sz w:val="21"/>
          <w:highlight w:val="none"/>
        </w:rPr>
        <w:t>投诉事项1：</w:t>
      </w:r>
    </w:p>
    <w:p w14:paraId="20EE862E">
      <w:pPr>
        <w:pStyle w:val="13"/>
        <w:spacing w:line="520" w:lineRule="exact"/>
        <w:ind w:firstLine="420" w:firstLineChars="200"/>
        <w:rPr>
          <w:rFonts w:hAnsi="宋体" w:cs="宋体"/>
          <w:bCs/>
          <w:color w:val="auto"/>
          <w:sz w:val="21"/>
          <w:highlight w:val="none"/>
          <w:u w:val="single"/>
        </w:rPr>
      </w:pPr>
      <w:r>
        <w:rPr>
          <w:rFonts w:hint="eastAsia" w:hAnsi="宋体" w:cs="宋体"/>
          <w:bCs/>
          <w:color w:val="auto"/>
          <w:sz w:val="21"/>
          <w:highlight w:val="none"/>
        </w:rPr>
        <w:t>事实依据：</w:t>
      </w:r>
    </w:p>
    <w:p w14:paraId="09A8D06C">
      <w:pPr>
        <w:pStyle w:val="13"/>
        <w:spacing w:line="520" w:lineRule="exact"/>
        <w:ind w:firstLine="413" w:firstLineChars="197"/>
        <w:rPr>
          <w:rFonts w:hAnsi="宋体" w:cs="宋体"/>
          <w:color w:val="auto"/>
          <w:sz w:val="21"/>
          <w:highlight w:val="none"/>
        </w:rPr>
      </w:pPr>
    </w:p>
    <w:p w14:paraId="7DA7F899">
      <w:pPr>
        <w:pStyle w:val="13"/>
        <w:spacing w:line="520" w:lineRule="exact"/>
        <w:ind w:firstLine="420" w:firstLineChars="200"/>
        <w:rPr>
          <w:rFonts w:hAnsi="宋体" w:cs="宋体"/>
          <w:bCs/>
          <w:color w:val="auto"/>
          <w:sz w:val="21"/>
          <w:highlight w:val="none"/>
          <w:u w:val="single"/>
        </w:rPr>
      </w:pPr>
      <w:r>
        <w:rPr>
          <w:rFonts w:hint="eastAsia" w:hAnsi="宋体" w:cs="宋体"/>
          <w:bCs/>
          <w:color w:val="auto"/>
          <w:sz w:val="21"/>
          <w:highlight w:val="none"/>
        </w:rPr>
        <w:t>法律依据：</w:t>
      </w:r>
    </w:p>
    <w:p w14:paraId="57522027">
      <w:pPr>
        <w:pStyle w:val="13"/>
        <w:spacing w:line="520" w:lineRule="exact"/>
        <w:ind w:firstLine="308" w:firstLineChars="147"/>
        <w:rPr>
          <w:rFonts w:hAnsi="宋体" w:cs="宋体"/>
          <w:bCs/>
          <w:color w:val="auto"/>
          <w:sz w:val="21"/>
          <w:highlight w:val="none"/>
          <w:u w:val="single"/>
        </w:rPr>
      </w:pPr>
    </w:p>
    <w:p w14:paraId="64C68BB4">
      <w:pPr>
        <w:pStyle w:val="13"/>
        <w:spacing w:line="520" w:lineRule="exact"/>
        <w:ind w:firstLine="413" w:firstLineChars="197"/>
        <w:rPr>
          <w:rFonts w:hAnsi="宋体" w:cs="宋体"/>
          <w:bCs/>
          <w:color w:val="auto"/>
          <w:sz w:val="21"/>
          <w:highlight w:val="none"/>
        </w:rPr>
      </w:pPr>
      <w:r>
        <w:rPr>
          <w:rFonts w:hint="eastAsia" w:hAnsi="宋体" w:cs="宋体"/>
          <w:color w:val="auto"/>
          <w:sz w:val="21"/>
          <w:highlight w:val="none"/>
        </w:rPr>
        <w:t xml:space="preserve">投诉事项2  </w:t>
      </w:r>
    </w:p>
    <w:p w14:paraId="27166308">
      <w:pPr>
        <w:pStyle w:val="13"/>
        <w:spacing w:line="520" w:lineRule="exact"/>
        <w:ind w:firstLine="413" w:firstLineChars="197"/>
        <w:rPr>
          <w:rFonts w:hAnsi="宋体" w:cs="宋体"/>
          <w:bCs/>
          <w:color w:val="auto"/>
          <w:sz w:val="21"/>
          <w:highlight w:val="none"/>
        </w:rPr>
      </w:pPr>
      <w:r>
        <w:rPr>
          <w:rFonts w:hint="eastAsia" w:hAnsi="宋体" w:cs="宋体"/>
          <w:bCs/>
          <w:color w:val="auto"/>
          <w:sz w:val="21"/>
          <w:highlight w:val="none"/>
        </w:rPr>
        <w:t>……</w:t>
      </w:r>
    </w:p>
    <w:p w14:paraId="379C83F9">
      <w:pPr>
        <w:pStyle w:val="13"/>
        <w:spacing w:line="520" w:lineRule="exact"/>
        <w:ind w:firstLine="413" w:firstLineChars="196"/>
        <w:rPr>
          <w:rFonts w:hAnsi="宋体" w:cs="宋体"/>
          <w:b/>
          <w:color w:val="auto"/>
          <w:sz w:val="21"/>
          <w:highlight w:val="none"/>
        </w:rPr>
      </w:pPr>
      <w:r>
        <w:rPr>
          <w:rFonts w:hint="eastAsia" w:hAnsi="宋体" w:cs="宋体"/>
          <w:b/>
          <w:color w:val="auto"/>
          <w:sz w:val="21"/>
          <w:highlight w:val="none"/>
        </w:rPr>
        <w:t>五、与投诉事项相关的投诉请求：</w:t>
      </w:r>
    </w:p>
    <w:p w14:paraId="3FE3A9A7">
      <w:pPr>
        <w:pStyle w:val="13"/>
        <w:spacing w:line="520" w:lineRule="exact"/>
        <w:ind w:firstLine="413" w:firstLineChars="197"/>
        <w:rPr>
          <w:rFonts w:hAnsi="宋体" w:cs="宋体"/>
          <w:color w:val="auto"/>
          <w:sz w:val="21"/>
          <w:highlight w:val="none"/>
        </w:rPr>
      </w:pPr>
      <w:r>
        <w:rPr>
          <w:rFonts w:hint="eastAsia" w:hAnsi="宋体" w:cs="宋体"/>
          <w:color w:val="auto"/>
          <w:sz w:val="21"/>
          <w:highlight w:val="none"/>
        </w:rPr>
        <w:t>请求：</w:t>
      </w:r>
    </w:p>
    <w:p w14:paraId="3AD8C930">
      <w:pPr>
        <w:pStyle w:val="13"/>
        <w:spacing w:line="520" w:lineRule="exact"/>
        <w:ind w:firstLine="308" w:firstLineChars="147"/>
        <w:rPr>
          <w:rFonts w:hAnsi="宋体" w:cs="宋体"/>
          <w:color w:val="auto"/>
          <w:sz w:val="21"/>
          <w:highlight w:val="none"/>
        </w:rPr>
      </w:pPr>
    </w:p>
    <w:p w14:paraId="5BDA09CA">
      <w:pPr>
        <w:pStyle w:val="13"/>
        <w:spacing w:line="520" w:lineRule="exact"/>
        <w:ind w:firstLine="413" w:firstLineChars="197"/>
        <w:rPr>
          <w:rFonts w:hAnsi="宋体" w:cs="宋体"/>
          <w:color w:val="auto"/>
          <w:sz w:val="21"/>
          <w:highlight w:val="none"/>
        </w:rPr>
      </w:pPr>
      <w:r>
        <w:rPr>
          <w:rFonts w:hint="eastAsia" w:hAnsi="宋体" w:cs="宋体"/>
          <w:color w:val="auto"/>
          <w:sz w:val="21"/>
          <w:highlight w:val="none"/>
        </w:rPr>
        <w:t>签字（签章）：                                       公章：</w:t>
      </w:r>
    </w:p>
    <w:p w14:paraId="0615A907">
      <w:pPr>
        <w:pStyle w:val="13"/>
        <w:spacing w:line="520" w:lineRule="exact"/>
        <w:ind w:firstLine="308" w:firstLineChars="147"/>
        <w:rPr>
          <w:rFonts w:hAnsi="宋体" w:cs="宋体"/>
          <w:color w:val="auto"/>
          <w:sz w:val="21"/>
          <w:highlight w:val="none"/>
        </w:rPr>
      </w:pPr>
    </w:p>
    <w:p w14:paraId="4F92B31F">
      <w:pPr>
        <w:pStyle w:val="13"/>
        <w:spacing w:line="520" w:lineRule="exact"/>
        <w:ind w:firstLine="413" w:firstLineChars="197"/>
        <w:rPr>
          <w:rFonts w:hAnsi="宋体" w:cs="宋体"/>
          <w:color w:val="auto"/>
          <w:sz w:val="21"/>
          <w:highlight w:val="none"/>
        </w:rPr>
      </w:pPr>
      <w:r>
        <w:rPr>
          <w:rFonts w:hint="eastAsia" w:hAnsi="宋体" w:cs="宋体"/>
          <w:color w:val="auto"/>
          <w:sz w:val="21"/>
          <w:highlight w:val="none"/>
        </w:rPr>
        <w:t>日期：</w:t>
      </w:r>
    </w:p>
    <w:p w14:paraId="1C27831F">
      <w:pPr>
        <w:pStyle w:val="13"/>
        <w:spacing w:line="520" w:lineRule="exact"/>
        <w:ind w:firstLine="413" w:firstLineChars="197"/>
        <w:rPr>
          <w:rFonts w:hAnsi="宋体" w:cs="宋体"/>
          <w:color w:val="auto"/>
          <w:sz w:val="21"/>
          <w:highlight w:val="none"/>
        </w:rPr>
      </w:pPr>
    </w:p>
    <w:p w14:paraId="574E0CAF">
      <w:pPr>
        <w:pStyle w:val="13"/>
        <w:snapToGrid w:val="0"/>
        <w:spacing w:line="520" w:lineRule="exact"/>
        <w:rPr>
          <w:rFonts w:hAnsi="宋体" w:cs="宋体"/>
          <w:b/>
          <w:color w:val="auto"/>
          <w:sz w:val="21"/>
          <w:highlight w:val="none"/>
        </w:rPr>
      </w:pPr>
    </w:p>
    <w:p w14:paraId="50DD57E6">
      <w:pPr>
        <w:pStyle w:val="13"/>
        <w:snapToGrid w:val="0"/>
        <w:spacing w:line="520" w:lineRule="exact"/>
        <w:rPr>
          <w:rFonts w:hAnsi="宋体" w:cs="宋体"/>
          <w:b/>
          <w:color w:val="auto"/>
          <w:sz w:val="21"/>
          <w:highlight w:val="none"/>
        </w:rPr>
      </w:pPr>
      <w:r>
        <w:rPr>
          <w:rFonts w:hint="eastAsia" w:hAnsi="宋体" w:cs="宋体"/>
          <w:b/>
          <w:color w:val="auto"/>
          <w:sz w:val="21"/>
          <w:highlight w:val="none"/>
        </w:rPr>
        <w:t>说明：</w:t>
      </w:r>
    </w:p>
    <w:p w14:paraId="2CE68549">
      <w:pPr>
        <w:pStyle w:val="13"/>
        <w:spacing w:line="520" w:lineRule="exact"/>
        <w:ind w:firstLine="310" w:firstLineChars="147"/>
        <w:rPr>
          <w:rFonts w:hAnsi="宋体" w:cs="宋体"/>
          <w:b/>
          <w:bCs/>
          <w:color w:val="auto"/>
          <w:sz w:val="21"/>
          <w:highlight w:val="none"/>
        </w:rPr>
      </w:pPr>
      <w:r>
        <w:rPr>
          <w:rFonts w:hint="eastAsia" w:hAnsi="宋体" w:cs="宋体"/>
          <w:b/>
          <w:color w:val="auto"/>
          <w:sz w:val="21"/>
          <w:highlight w:val="none"/>
        </w:rPr>
        <w:t>1.投诉人提起投诉时，应当提交投诉书和必要的证明材料，并按照被投诉人和与投诉事项有关的供应商数量提供投诉书副本</w:t>
      </w:r>
      <w:r>
        <w:rPr>
          <w:rFonts w:hint="eastAsia" w:hAnsi="宋体" w:cs="宋体"/>
          <w:b/>
          <w:bCs/>
          <w:color w:val="auto"/>
          <w:sz w:val="21"/>
          <w:highlight w:val="none"/>
        </w:rPr>
        <w:t>。</w:t>
      </w:r>
    </w:p>
    <w:p w14:paraId="04D02FDF">
      <w:pPr>
        <w:pStyle w:val="13"/>
        <w:spacing w:line="520" w:lineRule="exact"/>
        <w:ind w:firstLine="310" w:firstLineChars="147"/>
        <w:rPr>
          <w:rFonts w:hAnsi="宋体" w:cs="宋体"/>
          <w:b/>
          <w:color w:val="auto"/>
          <w:sz w:val="21"/>
          <w:highlight w:val="none"/>
        </w:rPr>
      </w:pPr>
      <w:r>
        <w:rPr>
          <w:rFonts w:hint="eastAsia" w:hAnsi="宋体" w:cs="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69AD3D0">
      <w:pPr>
        <w:pStyle w:val="13"/>
        <w:spacing w:line="520" w:lineRule="exact"/>
        <w:ind w:firstLine="310" w:firstLineChars="147"/>
        <w:rPr>
          <w:rFonts w:hAnsi="宋体" w:cs="宋体"/>
          <w:b/>
          <w:color w:val="auto"/>
          <w:sz w:val="21"/>
          <w:highlight w:val="none"/>
        </w:rPr>
      </w:pPr>
      <w:r>
        <w:rPr>
          <w:rFonts w:hint="eastAsia" w:hAnsi="宋体" w:cs="宋体"/>
          <w:b/>
          <w:color w:val="auto"/>
          <w:sz w:val="21"/>
          <w:highlight w:val="none"/>
        </w:rPr>
        <w:t>3.投诉书应简要列明质疑事项，质疑函、质疑答复等作为附件材料提供。</w:t>
      </w:r>
    </w:p>
    <w:p w14:paraId="0C0063BF">
      <w:pPr>
        <w:pStyle w:val="13"/>
        <w:spacing w:line="520" w:lineRule="exact"/>
        <w:ind w:firstLine="310" w:firstLineChars="147"/>
        <w:rPr>
          <w:rFonts w:hAnsi="宋体" w:cs="宋体"/>
          <w:b/>
          <w:color w:val="auto"/>
          <w:sz w:val="21"/>
          <w:highlight w:val="none"/>
        </w:rPr>
      </w:pPr>
      <w:r>
        <w:rPr>
          <w:rFonts w:hint="eastAsia" w:hAnsi="宋体" w:cs="宋体"/>
          <w:b/>
          <w:color w:val="auto"/>
          <w:sz w:val="21"/>
          <w:highlight w:val="none"/>
        </w:rPr>
        <w:t>4.投诉书的投诉事项应具体、明确，并有必要的事实依据和法律依据。</w:t>
      </w:r>
    </w:p>
    <w:p w14:paraId="7777DEB2">
      <w:pPr>
        <w:pStyle w:val="13"/>
        <w:spacing w:line="520" w:lineRule="exact"/>
        <w:ind w:firstLine="310" w:firstLineChars="147"/>
        <w:rPr>
          <w:rFonts w:hAnsi="宋体" w:cs="宋体"/>
          <w:b/>
          <w:color w:val="auto"/>
          <w:sz w:val="21"/>
          <w:highlight w:val="none"/>
        </w:rPr>
      </w:pPr>
      <w:r>
        <w:rPr>
          <w:rFonts w:hint="eastAsia" w:hAnsi="宋体" w:cs="宋体"/>
          <w:b/>
          <w:color w:val="auto"/>
          <w:sz w:val="21"/>
          <w:highlight w:val="none"/>
        </w:rPr>
        <w:t>5.投诉书的投诉请求应与投诉事项相关。</w:t>
      </w:r>
    </w:p>
    <w:p w14:paraId="61E256E5">
      <w:pPr>
        <w:pStyle w:val="13"/>
        <w:spacing w:line="520" w:lineRule="exact"/>
        <w:ind w:firstLine="310" w:firstLineChars="147"/>
        <w:rPr>
          <w:rFonts w:hAnsi="宋体" w:cs="宋体"/>
          <w:b/>
          <w:color w:val="auto"/>
          <w:sz w:val="21"/>
          <w:highlight w:val="none"/>
        </w:rPr>
      </w:pPr>
      <w:r>
        <w:rPr>
          <w:rFonts w:hint="eastAsia" w:hAnsi="宋体" w:cs="宋体"/>
          <w:b/>
          <w:color w:val="auto"/>
          <w:sz w:val="21"/>
          <w:highlight w:val="none"/>
        </w:rPr>
        <w:t>6.投诉人为法人或者其他组织的，投诉书应由法定代表人、主要负责人，或者其授权代表签字或者盖章，并加盖公章。</w:t>
      </w:r>
    </w:p>
    <w:p w14:paraId="0D9A395D">
      <w:pPr>
        <w:pStyle w:val="2"/>
        <w:spacing w:before="0" w:after="0" w:line="360" w:lineRule="auto"/>
        <w:jc w:val="center"/>
        <w:rPr>
          <w:rFonts w:ascii="宋体" w:hAnsi="宋体" w:cs="宋体"/>
          <w:color w:val="auto"/>
          <w:highlight w:val="none"/>
        </w:rPr>
      </w:pPr>
      <w:r>
        <w:rPr>
          <w:rFonts w:hint="eastAsia" w:ascii="宋体" w:hAnsi="宋体" w:cs="宋体"/>
          <w:color w:val="auto"/>
          <w:highlight w:val="none"/>
        </w:rPr>
        <w:br w:type="page"/>
      </w:r>
      <w:bookmarkStart w:id="37" w:name="_Toc549"/>
      <w:r>
        <w:rPr>
          <w:rFonts w:hint="eastAsia" w:ascii="宋体" w:hAnsi="宋体" w:cs="宋体"/>
          <w:color w:val="auto"/>
          <w:highlight w:val="none"/>
        </w:rPr>
        <w:t>第六章 合同文本</w:t>
      </w:r>
      <w:bookmarkEnd w:id="37"/>
    </w:p>
    <w:p w14:paraId="706CA405">
      <w:pPr>
        <w:snapToGrid w:val="0"/>
        <w:spacing w:line="52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《政府采购合同》</w:t>
      </w:r>
    </w:p>
    <w:p w14:paraId="2E7C1481">
      <w:pPr>
        <w:snapToGrid w:val="0"/>
        <w:spacing w:line="520" w:lineRule="exact"/>
        <w:jc w:val="center"/>
        <w:rPr>
          <w:rFonts w:ascii="宋体" w:hAnsi="宋体" w:cs="宋体"/>
          <w:bCs/>
          <w:color w:val="auto"/>
          <w:szCs w:val="21"/>
          <w:highlight w:val="none"/>
          <w:u w:val="single"/>
        </w:rPr>
      </w:pP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合同编号：</w:t>
      </w:r>
    </w:p>
    <w:p w14:paraId="3117BD69">
      <w:pPr>
        <w:snapToGrid w:val="0"/>
        <w:spacing w:line="400" w:lineRule="exact"/>
        <w:rPr>
          <w:rFonts w:ascii="宋体" w:hAnsi="宋体" w:cs="宋体"/>
          <w:color w:val="auto"/>
          <w:szCs w:val="21"/>
          <w:highlight w:val="none"/>
        </w:rPr>
      </w:pPr>
    </w:p>
    <w:p w14:paraId="05446A06">
      <w:pPr>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采购计划号：</w:t>
      </w:r>
      <w:r>
        <w:rPr>
          <w:rFonts w:hint="eastAsia" w:ascii="宋体" w:hAnsi="宋体" w:eastAsia="宋体" w:cs="宋体"/>
          <w:color w:val="auto"/>
          <w:sz w:val="21"/>
          <w:szCs w:val="21"/>
          <w:highlight w:val="none"/>
          <w:u w:val="single"/>
        </w:rPr>
        <w:t xml:space="preserve">                        </w:t>
      </w:r>
    </w:p>
    <w:p w14:paraId="2965EDD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F60126A">
      <w:pPr>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u w:val="single"/>
        </w:rPr>
        <w:t xml:space="preserve">                          </w:t>
      </w:r>
    </w:p>
    <w:p w14:paraId="0515FE52">
      <w:pPr>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签订时间：</w:t>
      </w:r>
      <w:r>
        <w:rPr>
          <w:rFonts w:hint="eastAsia" w:ascii="宋体" w:hAnsi="宋体" w:eastAsia="宋体" w:cs="宋体"/>
          <w:color w:val="auto"/>
          <w:sz w:val="21"/>
          <w:szCs w:val="21"/>
          <w:highlight w:val="none"/>
          <w:u w:val="single"/>
        </w:rPr>
        <w:t xml:space="preserve">                          </w:t>
      </w:r>
    </w:p>
    <w:p w14:paraId="0FC10668">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本合同为中小企业预留合同：（是/否）</w:t>
      </w:r>
    </w:p>
    <w:p w14:paraId="370D4E42">
      <w:pPr>
        <w:snapToGrid w:val="0"/>
        <w:spacing w:line="360" w:lineRule="auto"/>
        <w:rPr>
          <w:rFonts w:hint="eastAsia" w:ascii="宋体" w:hAnsi="宋体" w:eastAsia="宋体" w:cs="宋体"/>
          <w:color w:val="auto"/>
          <w:sz w:val="21"/>
          <w:szCs w:val="21"/>
          <w:highlight w:val="none"/>
        </w:rPr>
      </w:pPr>
    </w:p>
    <w:p w14:paraId="1E05B31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根据《中华人民共和国政府采购法》、《中华人民共和国民法典》等法律、法规规定，按照竞争性谈判文件规定条款和成交供应商承诺，甲乙双方签订本合同。</w:t>
      </w:r>
    </w:p>
    <w:p w14:paraId="1E4A3D39">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合同标的</w:t>
      </w:r>
    </w:p>
    <w:p w14:paraId="0F19D9D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1.供货一览表</w:t>
      </w:r>
    </w:p>
    <w:tbl>
      <w:tblPr>
        <w:tblStyle w:val="2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095"/>
        <w:gridCol w:w="1145"/>
      </w:tblGrid>
      <w:tr w14:paraId="2C59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noWrap w:val="0"/>
            <w:vAlign w:val="center"/>
          </w:tcPr>
          <w:p w14:paraId="4ABE6E7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33" w:type="dxa"/>
            <w:noWrap w:val="0"/>
            <w:vAlign w:val="center"/>
          </w:tcPr>
          <w:p w14:paraId="13D47C9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1059" w:type="dxa"/>
            <w:noWrap w:val="0"/>
            <w:vAlign w:val="center"/>
          </w:tcPr>
          <w:p w14:paraId="631BD1E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商标品牌</w:t>
            </w:r>
          </w:p>
        </w:tc>
        <w:tc>
          <w:tcPr>
            <w:tcW w:w="1233" w:type="dxa"/>
            <w:noWrap w:val="0"/>
            <w:vAlign w:val="center"/>
          </w:tcPr>
          <w:p w14:paraId="2E49F19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210" w:type="dxa"/>
            <w:noWrap w:val="0"/>
            <w:vAlign w:val="center"/>
          </w:tcPr>
          <w:p w14:paraId="259F0AA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生产厂家</w:t>
            </w:r>
          </w:p>
        </w:tc>
        <w:tc>
          <w:tcPr>
            <w:tcW w:w="737" w:type="dxa"/>
            <w:noWrap w:val="0"/>
            <w:vAlign w:val="center"/>
          </w:tcPr>
          <w:p w14:paraId="6F3A44D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35" w:type="dxa"/>
            <w:noWrap w:val="0"/>
            <w:vAlign w:val="center"/>
          </w:tcPr>
          <w:p w14:paraId="55E1180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095" w:type="dxa"/>
            <w:noWrap w:val="0"/>
            <w:vAlign w:val="center"/>
          </w:tcPr>
          <w:p w14:paraId="47DF4C7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w:t>
            </w:r>
          </w:p>
        </w:tc>
        <w:tc>
          <w:tcPr>
            <w:tcW w:w="1145" w:type="dxa"/>
            <w:noWrap w:val="0"/>
            <w:vAlign w:val="center"/>
          </w:tcPr>
          <w:p w14:paraId="1CF4367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金额（元）</w:t>
            </w:r>
          </w:p>
        </w:tc>
      </w:tr>
      <w:tr w14:paraId="1303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552CBE2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3" w:type="dxa"/>
            <w:noWrap w:val="0"/>
            <w:vAlign w:val="center"/>
          </w:tcPr>
          <w:p w14:paraId="311DDE90">
            <w:pPr>
              <w:snapToGrid w:val="0"/>
              <w:spacing w:line="360" w:lineRule="auto"/>
              <w:jc w:val="center"/>
              <w:rPr>
                <w:rFonts w:hint="eastAsia" w:ascii="宋体" w:hAnsi="宋体" w:eastAsia="宋体" w:cs="宋体"/>
                <w:color w:val="auto"/>
                <w:sz w:val="21"/>
                <w:szCs w:val="21"/>
                <w:highlight w:val="none"/>
              </w:rPr>
            </w:pPr>
          </w:p>
        </w:tc>
        <w:tc>
          <w:tcPr>
            <w:tcW w:w="1059" w:type="dxa"/>
            <w:noWrap w:val="0"/>
            <w:vAlign w:val="center"/>
          </w:tcPr>
          <w:p w14:paraId="32ADDD85">
            <w:pPr>
              <w:snapToGrid w:val="0"/>
              <w:spacing w:line="360" w:lineRule="auto"/>
              <w:jc w:val="center"/>
              <w:rPr>
                <w:rFonts w:hint="eastAsia" w:ascii="宋体" w:hAnsi="宋体" w:eastAsia="宋体" w:cs="宋体"/>
                <w:color w:val="auto"/>
                <w:sz w:val="21"/>
                <w:szCs w:val="21"/>
                <w:highlight w:val="none"/>
              </w:rPr>
            </w:pPr>
          </w:p>
        </w:tc>
        <w:tc>
          <w:tcPr>
            <w:tcW w:w="1233" w:type="dxa"/>
            <w:noWrap w:val="0"/>
            <w:vAlign w:val="center"/>
          </w:tcPr>
          <w:p w14:paraId="01C12D0F">
            <w:pPr>
              <w:snapToGrid w:val="0"/>
              <w:spacing w:line="360" w:lineRule="auto"/>
              <w:jc w:val="center"/>
              <w:rPr>
                <w:rFonts w:hint="eastAsia" w:ascii="宋体" w:hAnsi="宋体" w:eastAsia="宋体" w:cs="宋体"/>
                <w:color w:val="auto"/>
                <w:sz w:val="21"/>
                <w:szCs w:val="21"/>
                <w:highlight w:val="none"/>
              </w:rPr>
            </w:pPr>
          </w:p>
        </w:tc>
        <w:tc>
          <w:tcPr>
            <w:tcW w:w="1210" w:type="dxa"/>
            <w:noWrap w:val="0"/>
            <w:vAlign w:val="top"/>
          </w:tcPr>
          <w:p w14:paraId="0E2B01C3">
            <w:pPr>
              <w:snapToGrid w:val="0"/>
              <w:spacing w:line="360" w:lineRule="auto"/>
              <w:jc w:val="center"/>
              <w:rPr>
                <w:rFonts w:hint="eastAsia" w:ascii="宋体" w:hAnsi="宋体" w:eastAsia="宋体" w:cs="宋体"/>
                <w:color w:val="auto"/>
                <w:sz w:val="21"/>
                <w:szCs w:val="21"/>
                <w:highlight w:val="none"/>
              </w:rPr>
            </w:pPr>
          </w:p>
        </w:tc>
        <w:tc>
          <w:tcPr>
            <w:tcW w:w="737" w:type="dxa"/>
            <w:noWrap w:val="0"/>
            <w:vAlign w:val="top"/>
          </w:tcPr>
          <w:p w14:paraId="2A2EECC8">
            <w:pPr>
              <w:snapToGrid w:val="0"/>
              <w:spacing w:line="360" w:lineRule="auto"/>
              <w:jc w:val="center"/>
              <w:rPr>
                <w:rFonts w:hint="eastAsia" w:ascii="宋体" w:hAnsi="宋体" w:eastAsia="宋体" w:cs="宋体"/>
                <w:color w:val="auto"/>
                <w:sz w:val="21"/>
                <w:szCs w:val="21"/>
                <w:highlight w:val="none"/>
              </w:rPr>
            </w:pPr>
          </w:p>
        </w:tc>
        <w:tc>
          <w:tcPr>
            <w:tcW w:w="735" w:type="dxa"/>
            <w:noWrap w:val="0"/>
            <w:vAlign w:val="top"/>
          </w:tcPr>
          <w:p w14:paraId="5865996B">
            <w:pPr>
              <w:snapToGrid w:val="0"/>
              <w:spacing w:line="360" w:lineRule="auto"/>
              <w:jc w:val="center"/>
              <w:rPr>
                <w:rFonts w:hint="eastAsia" w:ascii="宋体" w:hAnsi="宋体" w:eastAsia="宋体" w:cs="宋体"/>
                <w:color w:val="auto"/>
                <w:sz w:val="21"/>
                <w:szCs w:val="21"/>
                <w:highlight w:val="none"/>
              </w:rPr>
            </w:pPr>
          </w:p>
        </w:tc>
        <w:tc>
          <w:tcPr>
            <w:tcW w:w="1095" w:type="dxa"/>
            <w:noWrap w:val="0"/>
            <w:vAlign w:val="center"/>
          </w:tcPr>
          <w:p w14:paraId="61998C60">
            <w:pPr>
              <w:snapToGrid w:val="0"/>
              <w:spacing w:line="360" w:lineRule="auto"/>
              <w:jc w:val="center"/>
              <w:rPr>
                <w:rFonts w:hint="eastAsia" w:ascii="宋体" w:hAnsi="宋体" w:eastAsia="宋体" w:cs="宋体"/>
                <w:color w:val="auto"/>
                <w:sz w:val="21"/>
                <w:szCs w:val="21"/>
                <w:highlight w:val="none"/>
              </w:rPr>
            </w:pPr>
          </w:p>
        </w:tc>
        <w:tc>
          <w:tcPr>
            <w:tcW w:w="1145" w:type="dxa"/>
            <w:noWrap w:val="0"/>
            <w:vAlign w:val="center"/>
          </w:tcPr>
          <w:p w14:paraId="778A702E">
            <w:pPr>
              <w:snapToGrid w:val="0"/>
              <w:spacing w:line="360" w:lineRule="auto"/>
              <w:jc w:val="center"/>
              <w:rPr>
                <w:rFonts w:hint="eastAsia" w:ascii="宋体" w:hAnsi="宋体" w:eastAsia="宋体" w:cs="宋体"/>
                <w:color w:val="auto"/>
                <w:sz w:val="21"/>
                <w:szCs w:val="21"/>
                <w:highlight w:val="none"/>
              </w:rPr>
            </w:pPr>
          </w:p>
        </w:tc>
      </w:tr>
      <w:tr w14:paraId="3D28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5DCF011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33" w:type="dxa"/>
            <w:noWrap w:val="0"/>
            <w:vAlign w:val="center"/>
          </w:tcPr>
          <w:p w14:paraId="4814EEE1">
            <w:pPr>
              <w:snapToGrid w:val="0"/>
              <w:spacing w:line="360" w:lineRule="auto"/>
              <w:jc w:val="center"/>
              <w:rPr>
                <w:rFonts w:hint="eastAsia" w:ascii="宋体" w:hAnsi="宋体" w:eastAsia="宋体" w:cs="宋体"/>
                <w:color w:val="auto"/>
                <w:sz w:val="21"/>
                <w:szCs w:val="21"/>
                <w:highlight w:val="none"/>
              </w:rPr>
            </w:pPr>
          </w:p>
        </w:tc>
        <w:tc>
          <w:tcPr>
            <w:tcW w:w="1059" w:type="dxa"/>
            <w:noWrap w:val="0"/>
            <w:vAlign w:val="center"/>
          </w:tcPr>
          <w:p w14:paraId="0973CCD2">
            <w:pPr>
              <w:snapToGrid w:val="0"/>
              <w:spacing w:line="360" w:lineRule="auto"/>
              <w:jc w:val="center"/>
              <w:rPr>
                <w:rFonts w:hint="eastAsia" w:ascii="宋体" w:hAnsi="宋体" w:eastAsia="宋体" w:cs="宋体"/>
                <w:color w:val="auto"/>
                <w:sz w:val="21"/>
                <w:szCs w:val="21"/>
                <w:highlight w:val="none"/>
              </w:rPr>
            </w:pPr>
          </w:p>
        </w:tc>
        <w:tc>
          <w:tcPr>
            <w:tcW w:w="1233" w:type="dxa"/>
            <w:noWrap w:val="0"/>
            <w:vAlign w:val="center"/>
          </w:tcPr>
          <w:p w14:paraId="20634C76">
            <w:pPr>
              <w:snapToGrid w:val="0"/>
              <w:spacing w:line="360" w:lineRule="auto"/>
              <w:jc w:val="center"/>
              <w:rPr>
                <w:rFonts w:hint="eastAsia" w:ascii="宋体" w:hAnsi="宋体" w:eastAsia="宋体" w:cs="宋体"/>
                <w:color w:val="auto"/>
                <w:sz w:val="21"/>
                <w:szCs w:val="21"/>
                <w:highlight w:val="none"/>
              </w:rPr>
            </w:pPr>
          </w:p>
        </w:tc>
        <w:tc>
          <w:tcPr>
            <w:tcW w:w="1210" w:type="dxa"/>
            <w:noWrap w:val="0"/>
            <w:vAlign w:val="top"/>
          </w:tcPr>
          <w:p w14:paraId="15941161">
            <w:pPr>
              <w:snapToGrid w:val="0"/>
              <w:spacing w:line="360" w:lineRule="auto"/>
              <w:jc w:val="center"/>
              <w:rPr>
                <w:rFonts w:hint="eastAsia" w:ascii="宋体" w:hAnsi="宋体" w:eastAsia="宋体" w:cs="宋体"/>
                <w:color w:val="auto"/>
                <w:sz w:val="21"/>
                <w:szCs w:val="21"/>
                <w:highlight w:val="none"/>
              </w:rPr>
            </w:pPr>
          </w:p>
        </w:tc>
        <w:tc>
          <w:tcPr>
            <w:tcW w:w="737" w:type="dxa"/>
            <w:noWrap w:val="0"/>
            <w:vAlign w:val="top"/>
          </w:tcPr>
          <w:p w14:paraId="20A6EB20">
            <w:pPr>
              <w:snapToGrid w:val="0"/>
              <w:spacing w:line="360" w:lineRule="auto"/>
              <w:jc w:val="center"/>
              <w:rPr>
                <w:rFonts w:hint="eastAsia" w:ascii="宋体" w:hAnsi="宋体" w:eastAsia="宋体" w:cs="宋体"/>
                <w:color w:val="auto"/>
                <w:sz w:val="21"/>
                <w:szCs w:val="21"/>
                <w:highlight w:val="none"/>
              </w:rPr>
            </w:pPr>
          </w:p>
        </w:tc>
        <w:tc>
          <w:tcPr>
            <w:tcW w:w="735" w:type="dxa"/>
            <w:noWrap w:val="0"/>
            <w:vAlign w:val="top"/>
          </w:tcPr>
          <w:p w14:paraId="628B1158">
            <w:pPr>
              <w:snapToGrid w:val="0"/>
              <w:spacing w:line="360" w:lineRule="auto"/>
              <w:jc w:val="center"/>
              <w:rPr>
                <w:rFonts w:hint="eastAsia" w:ascii="宋体" w:hAnsi="宋体" w:eastAsia="宋体" w:cs="宋体"/>
                <w:color w:val="auto"/>
                <w:sz w:val="21"/>
                <w:szCs w:val="21"/>
                <w:highlight w:val="none"/>
              </w:rPr>
            </w:pPr>
          </w:p>
        </w:tc>
        <w:tc>
          <w:tcPr>
            <w:tcW w:w="1095" w:type="dxa"/>
            <w:noWrap w:val="0"/>
            <w:vAlign w:val="center"/>
          </w:tcPr>
          <w:p w14:paraId="44778E7E">
            <w:pPr>
              <w:snapToGrid w:val="0"/>
              <w:spacing w:line="360" w:lineRule="auto"/>
              <w:jc w:val="center"/>
              <w:rPr>
                <w:rFonts w:hint="eastAsia" w:ascii="宋体" w:hAnsi="宋体" w:eastAsia="宋体" w:cs="宋体"/>
                <w:color w:val="auto"/>
                <w:sz w:val="21"/>
                <w:szCs w:val="21"/>
                <w:highlight w:val="none"/>
              </w:rPr>
            </w:pPr>
          </w:p>
        </w:tc>
        <w:tc>
          <w:tcPr>
            <w:tcW w:w="1145" w:type="dxa"/>
            <w:noWrap w:val="0"/>
            <w:vAlign w:val="center"/>
          </w:tcPr>
          <w:p w14:paraId="7299DE9B">
            <w:pPr>
              <w:snapToGrid w:val="0"/>
              <w:spacing w:line="360" w:lineRule="auto"/>
              <w:jc w:val="center"/>
              <w:rPr>
                <w:rFonts w:hint="eastAsia" w:ascii="宋体" w:hAnsi="宋体" w:eastAsia="宋体" w:cs="宋体"/>
                <w:color w:val="auto"/>
                <w:sz w:val="21"/>
                <w:szCs w:val="21"/>
                <w:highlight w:val="none"/>
              </w:rPr>
            </w:pPr>
          </w:p>
        </w:tc>
      </w:tr>
      <w:tr w14:paraId="5246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18FAC82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33" w:type="dxa"/>
            <w:noWrap w:val="0"/>
            <w:vAlign w:val="center"/>
          </w:tcPr>
          <w:p w14:paraId="3C6B517C">
            <w:pPr>
              <w:snapToGrid w:val="0"/>
              <w:spacing w:line="360" w:lineRule="auto"/>
              <w:jc w:val="center"/>
              <w:rPr>
                <w:rFonts w:hint="eastAsia" w:ascii="宋体" w:hAnsi="宋体" w:eastAsia="宋体" w:cs="宋体"/>
                <w:color w:val="auto"/>
                <w:sz w:val="21"/>
                <w:szCs w:val="21"/>
                <w:highlight w:val="none"/>
              </w:rPr>
            </w:pPr>
          </w:p>
        </w:tc>
        <w:tc>
          <w:tcPr>
            <w:tcW w:w="1059" w:type="dxa"/>
            <w:noWrap w:val="0"/>
            <w:vAlign w:val="center"/>
          </w:tcPr>
          <w:p w14:paraId="4E798A9A">
            <w:pPr>
              <w:snapToGrid w:val="0"/>
              <w:spacing w:line="360" w:lineRule="auto"/>
              <w:jc w:val="center"/>
              <w:rPr>
                <w:rFonts w:hint="eastAsia" w:ascii="宋体" w:hAnsi="宋体" w:eastAsia="宋体" w:cs="宋体"/>
                <w:color w:val="auto"/>
                <w:sz w:val="21"/>
                <w:szCs w:val="21"/>
                <w:highlight w:val="none"/>
              </w:rPr>
            </w:pPr>
          </w:p>
        </w:tc>
        <w:tc>
          <w:tcPr>
            <w:tcW w:w="1233" w:type="dxa"/>
            <w:noWrap w:val="0"/>
            <w:vAlign w:val="center"/>
          </w:tcPr>
          <w:p w14:paraId="3EFF8E1D">
            <w:pPr>
              <w:snapToGrid w:val="0"/>
              <w:spacing w:line="360" w:lineRule="auto"/>
              <w:jc w:val="center"/>
              <w:rPr>
                <w:rFonts w:hint="eastAsia" w:ascii="宋体" w:hAnsi="宋体" w:eastAsia="宋体" w:cs="宋体"/>
                <w:color w:val="auto"/>
                <w:sz w:val="21"/>
                <w:szCs w:val="21"/>
                <w:highlight w:val="none"/>
              </w:rPr>
            </w:pPr>
          </w:p>
        </w:tc>
        <w:tc>
          <w:tcPr>
            <w:tcW w:w="1210" w:type="dxa"/>
            <w:noWrap w:val="0"/>
            <w:vAlign w:val="top"/>
          </w:tcPr>
          <w:p w14:paraId="6C2CA397">
            <w:pPr>
              <w:snapToGrid w:val="0"/>
              <w:spacing w:line="360" w:lineRule="auto"/>
              <w:jc w:val="center"/>
              <w:rPr>
                <w:rFonts w:hint="eastAsia" w:ascii="宋体" w:hAnsi="宋体" w:eastAsia="宋体" w:cs="宋体"/>
                <w:color w:val="auto"/>
                <w:sz w:val="21"/>
                <w:szCs w:val="21"/>
                <w:highlight w:val="none"/>
              </w:rPr>
            </w:pPr>
          </w:p>
        </w:tc>
        <w:tc>
          <w:tcPr>
            <w:tcW w:w="737" w:type="dxa"/>
            <w:noWrap w:val="0"/>
            <w:vAlign w:val="top"/>
          </w:tcPr>
          <w:p w14:paraId="70C8906A">
            <w:pPr>
              <w:snapToGrid w:val="0"/>
              <w:spacing w:line="360" w:lineRule="auto"/>
              <w:jc w:val="center"/>
              <w:rPr>
                <w:rFonts w:hint="eastAsia" w:ascii="宋体" w:hAnsi="宋体" w:eastAsia="宋体" w:cs="宋体"/>
                <w:color w:val="auto"/>
                <w:sz w:val="21"/>
                <w:szCs w:val="21"/>
                <w:highlight w:val="none"/>
              </w:rPr>
            </w:pPr>
          </w:p>
        </w:tc>
        <w:tc>
          <w:tcPr>
            <w:tcW w:w="735" w:type="dxa"/>
            <w:noWrap w:val="0"/>
            <w:vAlign w:val="top"/>
          </w:tcPr>
          <w:p w14:paraId="04C10444">
            <w:pPr>
              <w:snapToGrid w:val="0"/>
              <w:spacing w:line="360" w:lineRule="auto"/>
              <w:jc w:val="center"/>
              <w:rPr>
                <w:rFonts w:hint="eastAsia" w:ascii="宋体" w:hAnsi="宋体" w:eastAsia="宋体" w:cs="宋体"/>
                <w:color w:val="auto"/>
                <w:sz w:val="21"/>
                <w:szCs w:val="21"/>
                <w:highlight w:val="none"/>
              </w:rPr>
            </w:pPr>
          </w:p>
        </w:tc>
        <w:tc>
          <w:tcPr>
            <w:tcW w:w="1095" w:type="dxa"/>
            <w:noWrap w:val="0"/>
            <w:vAlign w:val="center"/>
          </w:tcPr>
          <w:p w14:paraId="68DBC324">
            <w:pPr>
              <w:snapToGrid w:val="0"/>
              <w:spacing w:line="360" w:lineRule="auto"/>
              <w:jc w:val="center"/>
              <w:rPr>
                <w:rFonts w:hint="eastAsia" w:ascii="宋体" w:hAnsi="宋体" w:eastAsia="宋体" w:cs="宋体"/>
                <w:color w:val="auto"/>
                <w:sz w:val="21"/>
                <w:szCs w:val="21"/>
                <w:highlight w:val="none"/>
              </w:rPr>
            </w:pPr>
          </w:p>
        </w:tc>
        <w:tc>
          <w:tcPr>
            <w:tcW w:w="1145" w:type="dxa"/>
            <w:noWrap w:val="0"/>
            <w:vAlign w:val="center"/>
          </w:tcPr>
          <w:p w14:paraId="487FAA3C">
            <w:pPr>
              <w:snapToGrid w:val="0"/>
              <w:spacing w:line="360" w:lineRule="auto"/>
              <w:jc w:val="center"/>
              <w:rPr>
                <w:rFonts w:hint="eastAsia" w:ascii="宋体" w:hAnsi="宋体" w:eastAsia="宋体" w:cs="宋体"/>
                <w:color w:val="auto"/>
                <w:sz w:val="21"/>
                <w:szCs w:val="21"/>
                <w:highlight w:val="none"/>
              </w:rPr>
            </w:pPr>
          </w:p>
        </w:tc>
      </w:tr>
      <w:tr w14:paraId="27B0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noWrap w:val="0"/>
            <w:vAlign w:val="center"/>
          </w:tcPr>
          <w:p w14:paraId="692A489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人民币合计金额（大写）                          （小写）                 </w:t>
            </w:r>
          </w:p>
        </w:tc>
      </w:tr>
    </w:tbl>
    <w:p w14:paraId="1C4AC503">
      <w:pPr>
        <w:snapToGrid w:val="0"/>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合计金额包括竞标货物（包括备品备件、专用工具等）的价格（包括已在中国境内的进口货物完税后的仓库交货价、展室交货价或者货架交货价），竞标货物运输（含保险）、安装（如有）、调试、检验、技术服务、培训和竞争性谈判文件要求提供的所有伴随服务、工程等费用和税费。</w:t>
      </w:r>
    </w:p>
    <w:p w14:paraId="55AB5261">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　质量要求</w:t>
      </w:r>
    </w:p>
    <w:p w14:paraId="5863E33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1.乙方所提供的产品名称、商标品牌、生产厂家、规格型号、技术参数等质量必须与竞争性谈判文件规定及响应文件承诺相一致。乙方提供的节能和环保产品必须是列入政府采购品目清单的产品。</w:t>
      </w:r>
    </w:p>
    <w:p w14:paraId="4271EB59">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2.乙方所提供的货物必须是全新、未使用的原装产品，且在正常安装、使用和保养条件下，其使用寿命期内各项指标均达到竞争性谈判文件规定或者响应文件承诺的质量要求。</w:t>
      </w:r>
    </w:p>
    <w:p w14:paraId="6F697BA8">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第三条　权利保证</w:t>
      </w:r>
    </w:p>
    <w:p w14:paraId="13D4DC8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1.乙方应保证所提供货物在使用时不会侵犯任何第三方的专利权、商标权、工业设计权或者其他权利。</w:t>
      </w:r>
    </w:p>
    <w:p w14:paraId="2E97BAB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2.乙方应按竞争性谈判文件规定或者响应文件承诺的时间向甲方提供使用货物的有关技术资料。</w:t>
      </w:r>
    </w:p>
    <w:p w14:paraId="0A5A464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2E858F8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4.乙方保证将要交付的货物的所有权完全属于乙方且无任何抵押、质押、查封等产权瑕疵。</w:t>
      </w:r>
    </w:p>
    <w:p w14:paraId="1C91D370">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包装和运输</w:t>
      </w:r>
    </w:p>
    <w:p w14:paraId="5CBA78B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1.乙方提供的货物均应按竞争性谈判文件规定或者响应文件承诺的要求的包装材料、包装标准、包装方式进行包装，每一包装单元内应附详细的装箱单和质量合格证。</w:t>
      </w:r>
    </w:p>
    <w:p w14:paraId="7C63104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2.货物的运输方式：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DA79D1D">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3.乙方负责货物运输，货物运输合理损耗及计算方法：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7C26192">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第五条　交付和验收</w:t>
      </w:r>
    </w:p>
    <w:p w14:paraId="7301B21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1.交付时间：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；交付地点：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95B03A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2.乙方提供不符合竞争性谈判文件规定或者响应文件承诺的和本合同规定的货物，甲方有权拒绝接受。</w:t>
      </w:r>
    </w:p>
    <w:p w14:paraId="07F0C7C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50CD777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4.甲方应当在到货（安装、调试完）后七个工作日内进行验收，逾期不验收的，乙方可视同验收合格。验收合格后由甲乙双方签署货物验收单并加盖甲方公章，甲乙双方各执一份。</w:t>
      </w:r>
    </w:p>
    <w:p w14:paraId="5011DE0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48F9B5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6.甲方对验收有异议的，在验收后五个工作日内以书面形式向乙方提出，乙方应自收到甲方书面异议后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日内及时予以解决。</w:t>
      </w:r>
    </w:p>
    <w:p w14:paraId="2355182F">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安装和培训</w:t>
      </w:r>
    </w:p>
    <w:p w14:paraId="1F9A807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1.甲方应提供必要安装条件（如场地、电源、水源等）。</w:t>
      </w:r>
    </w:p>
    <w:p w14:paraId="46E28F21">
      <w:pPr>
        <w:snapToGrid w:val="0"/>
        <w:spacing w:line="360" w:lineRule="auto"/>
        <w:ind w:firstLine="376" w:firstLineChars="200"/>
        <w:rPr>
          <w:rFonts w:hint="eastAsia" w:ascii="宋体" w:hAnsi="宋体" w:eastAsia="宋体" w:cs="宋体"/>
          <w:color w:val="auto"/>
          <w:spacing w:val="-11"/>
          <w:sz w:val="21"/>
          <w:szCs w:val="21"/>
          <w:highlight w:val="none"/>
          <w:u w:val="single"/>
        </w:rPr>
      </w:pPr>
      <w:r>
        <w:rPr>
          <w:rFonts w:hint="eastAsia" w:ascii="宋体" w:hAnsi="宋体" w:eastAsia="宋体" w:cs="宋体"/>
          <w:color w:val="auto"/>
          <w:spacing w:val="-11"/>
          <w:sz w:val="21"/>
          <w:szCs w:val="21"/>
          <w:highlight w:val="none"/>
        </w:rPr>
        <w:t>2.乙方响应文件承诺负责甲方有关人员的培训。培训时间、地点：</w:t>
      </w:r>
      <w:r>
        <w:rPr>
          <w:rFonts w:hint="eastAsia" w:ascii="宋体" w:hAnsi="宋体" w:eastAsia="宋体" w:cs="宋体"/>
          <w:color w:val="auto"/>
          <w:spacing w:val="-11"/>
          <w:sz w:val="21"/>
          <w:szCs w:val="21"/>
          <w:highlight w:val="none"/>
          <w:u w:val="single"/>
        </w:rPr>
        <w:t xml:space="preserve">                   </w:t>
      </w:r>
      <w:r>
        <w:rPr>
          <w:rFonts w:hint="eastAsia" w:ascii="宋体" w:hAnsi="宋体" w:eastAsia="宋体" w:cs="宋体"/>
          <w:color w:val="auto"/>
          <w:spacing w:val="-11"/>
          <w:sz w:val="21"/>
          <w:szCs w:val="21"/>
          <w:highlight w:val="none"/>
        </w:rPr>
        <w:t>。</w:t>
      </w:r>
    </w:p>
    <w:p w14:paraId="4A56C969">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售后服务、保修期</w:t>
      </w:r>
    </w:p>
    <w:p w14:paraId="4AC9858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1.乙方应按照国家有关法律法规和“三包”规定以及本合同所附的《服务承诺》，为甲方提供售后服务。</w:t>
      </w:r>
    </w:p>
    <w:p w14:paraId="1535BD1E">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2.货物保修期：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5D61754">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3.乙方提供的服务承诺和售后服务及保修期责任等其它具体约定事项。（见合同附件）</w:t>
      </w:r>
    </w:p>
    <w:p w14:paraId="685B6409">
      <w:pPr>
        <w:snapToGrid w:val="0"/>
        <w:spacing w:line="36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第八条　</w:t>
      </w:r>
      <w:r>
        <w:rPr>
          <w:rFonts w:hint="eastAsia" w:ascii="宋体" w:hAnsi="宋体" w:cs="宋体"/>
          <w:b/>
          <w:color w:val="auto"/>
          <w:sz w:val="21"/>
          <w:szCs w:val="21"/>
          <w:highlight w:val="none"/>
          <w:lang w:val="en-US" w:eastAsia="zh-CN"/>
        </w:rPr>
        <w:t xml:space="preserve"> </w:t>
      </w:r>
    </w:p>
    <w:p w14:paraId="012541B5">
      <w:pPr>
        <w:pStyle w:val="13"/>
        <w:snapToGrid w:val="0"/>
        <w:spacing w:line="360" w:lineRule="auto"/>
        <w:ind w:firstLine="420" w:firstLineChars="20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1分标：1.货物安装完成经验收合格后支付至合同总额的80%，2.第二年度支付剩余１0%尾款，３.第二年度支付剩余１0%尾款。</w:t>
      </w:r>
    </w:p>
    <w:p w14:paraId="53982E37">
      <w:pPr>
        <w:pStyle w:val="13"/>
        <w:snapToGrid w:val="0"/>
        <w:spacing w:line="360" w:lineRule="auto"/>
        <w:ind w:firstLine="420" w:firstLineChars="200"/>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2分标：1.货物安装完成经验收合格后支付至合同总额的50%，2.设备验收合格半年后支付至合同总额的80%，3.第二年度支付剩余20%尾款。</w:t>
      </w:r>
    </w:p>
    <w:p w14:paraId="4FDD2C26">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采购人收到发票后10个工作日内支付资金;验收时间在项目完成后5个工作日内验收。(使用财政专项资金，按财政批准同意支付时间为准)</w:t>
      </w:r>
    </w:p>
    <w:p w14:paraId="62CA4AF5">
      <w:pPr>
        <w:snapToGrid w:val="0"/>
        <w:spacing w:line="360" w:lineRule="auto"/>
        <w:ind w:left="-61" w:leftChars="-29" w:firstLine="517" w:firstLineChars="24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履约保证金</w:t>
      </w:r>
    </w:p>
    <w:p w14:paraId="456985B9">
      <w:pPr>
        <w:autoSpaceDE w:val="0"/>
        <w:autoSpaceDN w:val="0"/>
        <w:snapToGrid w:val="0"/>
        <w:spacing w:line="360" w:lineRule="auto"/>
        <w:ind w:firstLine="424" w:firstLineChars="202"/>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14:paraId="586F3C3B">
      <w:pPr>
        <w:snapToGrid w:val="0"/>
        <w:spacing w:line="360" w:lineRule="auto"/>
        <w:ind w:left="-61" w:firstLine="51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税费</w:t>
      </w:r>
    </w:p>
    <w:p w14:paraId="0F3ED260">
      <w:pPr>
        <w:snapToGrid w:val="0"/>
        <w:spacing w:line="360" w:lineRule="auto"/>
        <w:ind w:left="-61" w:firstLine="5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本合同执行中相关的一切税费均由乙方负担，合同另有约定的除外。</w:t>
      </w:r>
    </w:p>
    <w:p w14:paraId="44827E76">
      <w:pPr>
        <w:snapToGrid w:val="0"/>
        <w:spacing w:line="360" w:lineRule="auto"/>
        <w:ind w:left="-61" w:firstLine="51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第十一条  质量保证及售后服务</w:t>
      </w:r>
    </w:p>
    <w:p w14:paraId="42CE1697">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乙方应按竞争性谈判文件规定的产品名称、商标品牌、生产厂家、规格型号、技术参数、质量标准向甲方提供未经使用的全新产品。不符合要求的，根据实际情况，经双方协商，可按以下办法处理：</w:t>
      </w:r>
    </w:p>
    <w:p w14:paraId="1556634B">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⑴更换：由乙方承担所发生的全部费用。</w:t>
      </w:r>
    </w:p>
    <w:p w14:paraId="493C85DA">
      <w:pPr>
        <w:pStyle w:val="13"/>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⑵贬值处理：由甲乙双方合议定价。</w:t>
      </w:r>
    </w:p>
    <w:p w14:paraId="6DC34E02">
      <w:pPr>
        <w:pStyle w:val="13"/>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⑶退货处理：乙方应退还甲方支付的合同款，同时应承担该货物的直接费用（运输、保险、检验、货款利息及银行手续费等）。</w:t>
      </w:r>
    </w:p>
    <w:p w14:paraId="7DCA4223">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2.如在使用过程中发生质量问题，乙方在接到甲方通知后到达甲方现场处理的时间（</w:t>
      </w:r>
      <w:r>
        <w:rPr>
          <w:rFonts w:hint="eastAsia" w:ascii="宋体" w:hAnsi="宋体" w:eastAsia="宋体" w:cs="宋体"/>
          <w:color w:val="auto"/>
          <w:sz w:val="21"/>
          <w:szCs w:val="21"/>
          <w:highlight w:val="none"/>
          <w:u w:val="single"/>
        </w:rPr>
        <w:t>按响应文件承诺的数据填写</w:t>
      </w:r>
      <w:r>
        <w:rPr>
          <w:rFonts w:hint="eastAsia" w:ascii="宋体" w:hAnsi="宋体" w:eastAsia="宋体" w:cs="宋体"/>
          <w:color w:val="auto"/>
          <w:sz w:val="21"/>
          <w:szCs w:val="21"/>
          <w:highlight w:val="none"/>
        </w:rPr>
        <w:t>）小时内。</w:t>
      </w:r>
    </w:p>
    <w:p w14:paraId="19F0FD9C">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3.在保修期内，乙方应对货物出现的质量及安全问题负责处理解决并承担一切费用。</w:t>
      </w:r>
    </w:p>
    <w:p w14:paraId="7E6082E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4.上述的货物保修期为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年，因人为因素出现的故障不在免费保修范围内。超过保修期的机器设备，终生维修，维修时只收部件成本费。</w:t>
      </w:r>
    </w:p>
    <w:p w14:paraId="2CE72155">
      <w:pPr>
        <w:snapToGrid w:val="0"/>
        <w:spacing w:line="360" w:lineRule="auto"/>
        <w:ind w:left="-61" w:firstLine="51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第十二条  调试和验收（本条款适用于甲方自行验收，委托第三方验收的另行规定）</w:t>
      </w:r>
    </w:p>
    <w:p w14:paraId="05404A66">
      <w:pPr>
        <w:pStyle w:val="13"/>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14:paraId="1136876F">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2.乙方交货前应对产品作出全面检查和对验收文件进行整理，并列出清单，作为甲方收货验收和使用的技术条件依据，检验的结果应随货物交甲方。</w:t>
      </w:r>
    </w:p>
    <w:p w14:paraId="2192D7EB">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3.甲方对乙方提供的货物在使用前进行调试时，乙方需负责安装并培训甲方的使用操作人员，并协助甲方一起调试，直到符合技术要求，甲方才做最终验收。</w:t>
      </w:r>
    </w:p>
    <w:p w14:paraId="3C670AB9">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4.对技术复杂的货物，甲方应请国家认可的专业检测机构参与初步验收及最终验收，并由其出具质量检测报告。</w:t>
      </w:r>
    </w:p>
    <w:p w14:paraId="121D3E73">
      <w:pPr>
        <w:snapToGrid w:val="0"/>
        <w:spacing w:line="360" w:lineRule="auto"/>
        <w:ind w:left="-61" w:firstLine="5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5.验收时乙方必须在现场，验收完毕后作出验收结果报告；验收费用按竞争性谈判文件约定承担方负责。</w:t>
      </w:r>
    </w:p>
    <w:p w14:paraId="7B702E20">
      <w:pPr>
        <w:pStyle w:val="13"/>
        <w:snapToGrid w:val="0"/>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货物包装、发运及运输</w:t>
      </w:r>
    </w:p>
    <w:p w14:paraId="418D09CE">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1.乙方应在货物发运前对其进行满足运输距离、防潮、防震、防锈和防破损装卸等要求包装，以保证货物安全运达甲方指定地点。</w:t>
      </w:r>
    </w:p>
    <w:p w14:paraId="7ED4EBB6">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2.使用说明书（货物属于进口产品的，供货时应同时附上中文使用说明书）、质量检验证明书、随配附件和工具以及清单一并附于货物内。</w:t>
      </w:r>
    </w:p>
    <w:p w14:paraId="70554ECB">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3.乙方在货物发运手续办理完毕后二十四小时内或者货到甲方四十八小时前通知甲方，以准备接货。</w:t>
      </w:r>
    </w:p>
    <w:p w14:paraId="3F4126A4">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4.货物在交付甲方前发生的风险均由乙方负责。</w:t>
      </w:r>
    </w:p>
    <w:p w14:paraId="04BA780F">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5.货物在规定的交付期限内由乙方送达甲方指定的地点视为交付，乙方同时需通知甲方货物已送达。</w:t>
      </w:r>
    </w:p>
    <w:p w14:paraId="3AF24359">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第十四条　违约责任</w:t>
      </w:r>
    </w:p>
    <w:p w14:paraId="30605DBC">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5D52CA8D">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2.乙方提供的货物如侵犯了第三方合法权益而引发的任何纠纷或者诉讼，均由乙方负责交涉并承担全部责任。</w:t>
      </w:r>
    </w:p>
    <w:p w14:paraId="363D18DB">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3.因包装、运输引起的货物损坏，按质量不合格处罚。</w:t>
      </w:r>
    </w:p>
    <w:p w14:paraId="226E89E1">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4.甲方无故延期接收货物、乙方逾期交货的，每天向对方偿付违约货款额3‰违约金，但违约金累计不得超过违约货款额5%，超过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77736B23">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5.乙方未按本合同和响应文件中规定的服务承诺提供售后服务的，乙方应按本合同合计金额 5%向甲方支付违约金。</w:t>
      </w:r>
    </w:p>
    <w:p w14:paraId="741A57D0">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6.乙方提供的货物在保修期内，因设计、工艺或者材料的缺陷和其它质量原因造成的问题，由乙方负责，费用从余款或者履约保证金中扣除，不足另补。</w:t>
      </w:r>
    </w:p>
    <w:p w14:paraId="7C913639">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7.甲乙双方有其它违约行为的，由违约方向对方支付违约内容涉及货款额的5%，违约内容涉及货款额的5%不足以赔偿经济损失的按实际赔偿。</w:t>
      </w:r>
    </w:p>
    <w:p w14:paraId="25C4E8C5">
      <w:pPr>
        <w:pStyle w:val="13"/>
        <w:snapToGrid w:val="0"/>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第十五条  不可抗力事件处理</w:t>
      </w:r>
    </w:p>
    <w:p w14:paraId="3338FABB">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6B5A9E11">
      <w:pPr>
        <w:pStyle w:val="13"/>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037E6A4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14:paraId="5A3EE759">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第十六条  合同争议解决</w:t>
      </w:r>
    </w:p>
    <w:p w14:paraId="477635D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1.因货物质量问题发生争议的，应邀请国家认可的质量检测机构对货物质量进行鉴定。货物符合标准的，鉴定费由甲方承担；货物不符合标准的，鉴定费由乙方承担。</w:t>
      </w:r>
    </w:p>
    <w:p w14:paraId="02EB558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2.因履行本合同引起的或者与本合同有关的争议，甲乙双方应首先通过友好协商解决，如果协商不能解决，可向甲方所在地人民法院提起诉讼。</w:t>
      </w:r>
    </w:p>
    <w:p w14:paraId="563C6D11">
      <w:pPr>
        <w:snapToGrid w:val="0"/>
        <w:spacing w:line="360" w:lineRule="auto"/>
        <w:ind w:left="-61" w:firstLine="5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3.诉讼期间，本合同继续履行。</w:t>
      </w:r>
    </w:p>
    <w:p w14:paraId="4116261C">
      <w:pPr>
        <w:pStyle w:val="13"/>
        <w:snapToGrid w:val="0"/>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第十七条  合同生效及其它</w:t>
      </w:r>
    </w:p>
    <w:p w14:paraId="5FEEE9F7">
      <w:pPr>
        <w:pStyle w:val="13"/>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合同经双方法定代表人或者委托代理人签字并加盖单位公章后生效（委托代理人签字的需后附授权委托书，格式自拟）。</w:t>
      </w:r>
    </w:p>
    <w:p w14:paraId="586D7DE4">
      <w:pPr>
        <w:pStyle w:val="13"/>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2.合同执行中涉及采购资金和采购内容修改或者补充的，须经财政部门审批，并签书面补充协议报财政部门备案，方可作为主合同不可分割的一部分。</w:t>
      </w:r>
    </w:p>
    <w:p w14:paraId="79737576">
      <w:pPr>
        <w:pStyle w:val="13"/>
        <w:snapToGrid w:val="0"/>
        <w:spacing w:line="360" w:lineRule="auto"/>
        <w:ind w:left="283" w:leftChars="135" w:firstLine="14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3.本合同未尽事宜，遵照《中华人民共和国民法典》有关条文执行。</w:t>
      </w:r>
    </w:p>
    <w:p w14:paraId="0251E2B0">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第十八条　合同的变更、终止与转让</w:t>
      </w:r>
    </w:p>
    <w:p w14:paraId="3CFDB20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1.除《中华人民共和国政府采购法》第五十条规定的情形外，本合同一经签订，甲乙双方不得擅自变更、中止或者终止。</w:t>
      </w:r>
    </w:p>
    <w:p w14:paraId="244DEF8B">
      <w:pPr>
        <w:snapToGrid w:val="0"/>
        <w:spacing w:line="360" w:lineRule="auto"/>
        <w:ind w:left="-61" w:firstLine="5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2.乙方不得擅自转让（无进口资格的供应商委托进口货物除外）其应履行的合同义务。</w:t>
      </w:r>
    </w:p>
    <w:p w14:paraId="1120DDBA">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第十九条　</w:t>
      </w:r>
      <w:r>
        <w:rPr>
          <w:rFonts w:hint="eastAsia" w:ascii="宋体" w:hAnsi="宋体" w:eastAsia="宋体" w:cs="宋体"/>
          <w:b/>
          <w:bCs/>
          <w:color w:val="auto"/>
          <w:kern w:val="0"/>
          <w:sz w:val="21"/>
          <w:szCs w:val="21"/>
          <w:highlight w:val="none"/>
        </w:rPr>
        <w:t>本合同书与下列文件一起构成合同文件</w:t>
      </w:r>
    </w:p>
    <w:p w14:paraId="107D4E15">
      <w:pPr>
        <w:pStyle w:val="13"/>
        <w:snapToGrid w:val="0"/>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1.成交通知书；</w:t>
      </w:r>
    </w:p>
    <w:p w14:paraId="24270257">
      <w:pPr>
        <w:pStyle w:val="13"/>
        <w:snapToGrid w:val="0"/>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2.竞标声明书；</w:t>
      </w:r>
    </w:p>
    <w:p w14:paraId="152F0EA7">
      <w:pPr>
        <w:pStyle w:val="13"/>
        <w:snapToGrid w:val="0"/>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3.商务要求偏离表和技术要求偏离表；</w:t>
      </w:r>
    </w:p>
    <w:p w14:paraId="3B17B724">
      <w:pPr>
        <w:pStyle w:val="13"/>
        <w:snapToGrid w:val="0"/>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4.采购需求；</w:t>
      </w:r>
    </w:p>
    <w:p w14:paraId="56399FF6">
      <w:pPr>
        <w:pStyle w:val="13"/>
        <w:snapToGrid w:val="0"/>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5.竞标报价表；</w:t>
      </w:r>
    </w:p>
    <w:p w14:paraId="3450E023">
      <w:pPr>
        <w:pStyle w:val="13"/>
        <w:snapToGrid w:val="0"/>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6.其他合同文件。</w:t>
      </w:r>
    </w:p>
    <w:p w14:paraId="1BAA859C">
      <w:pPr>
        <w:pStyle w:val="13"/>
        <w:snapToGrid w:val="0"/>
        <w:spacing w:line="360" w:lineRule="auto"/>
        <w:ind w:firstLine="371" w:firstLineChars="177"/>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7.上述合同文件互相补充和解释。如果合同文件之间存在矛盾或者不一致之处，以上述文件的排列顺序在先者为准。</w:t>
      </w:r>
    </w:p>
    <w:p w14:paraId="0A8E5BB6">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第二十条　</w:t>
      </w:r>
      <w:r>
        <w:rPr>
          <w:rFonts w:hint="eastAsia" w:ascii="宋体" w:hAnsi="宋体" w:eastAsia="宋体" w:cs="宋体"/>
          <w:color w:val="auto"/>
          <w:sz w:val="21"/>
          <w:szCs w:val="21"/>
          <w:highlight w:val="none"/>
        </w:rPr>
        <w:t>本合同一式四份，具有同等法律效力，财政部门（政府采购监管部门）、采购代理机构各一份，甲乙双方各一份（可根据需要另增加）。</w:t>
      </w:r>
    </w:p>
    <w:p w14:paraId="440248F5">
      <w:pPr>
        <w:snapToGrid w:val="0"/>
        <w:spacing w:line="360" w:lineRule="auto"/>
        <w:ind w:left="-61" w:firstLine="5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本合同甲乙双方签字盖章后生效，自签订之日起七个工作日内，甲方应当将合同副本报同级财政部门备案。</w:t>
      </w:r>
    </w:p>
    <w:p w14:paraId="1E79B1C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本合同自签订之日起2个工作日内，甲方应当将采购合同在广西壮族自治区财政厅指定的媒体上公告。</w:t>
      </w:r>
    </w:p>
    <w:p w14:paraId="042FA36B">
      <w:pPr>
        <w:snapToGrid w:val="0"/>
        <w:spacing w:line="360" w:lineRule="auto"/>
        <w:rPr>
          <w:rFonts w:hint="eastAsia" w:ascii="宋体" w:hAnsi="宋体" w:eastAsia="宋体" w:cs="宋体"/>
          <w:color w:val="auto"/>
          <w:sz w:val="21"/>
          <w:szCs w:val="21"/>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005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5FDE3007">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w:t>
            </w:r>
          </w:p>
          <w:p w14:paraId="35AFC3D1">
            <w:pPr>
              <w:snapToGrid w:val="0"/>
              <w:spacing w:line="360" w:lineRule="auto"/>
              <w:rPr>
                <w:rFonts w:hint="eastAsia" w:ascii="宋体" w:hAnsi="宋体" w:eastAsia="宋体" w:cs="宋体"/>
                <w:color w:val="auto"/>
                <w:sz w:val="21"/>
                <w:szCs w:val="21"/>
                <w:highlight w:val="none"/>
              </w:rPr>
            </w:pPr>
          </w:p>
          <w:p w14:paraId="5D3031D9">
            <w:pPr>
              <w:snapToGrid w:val="0"/>
              <w:spacing w:line="360" w:lineRule="auto"/>
              <w:ind w:firstLine="945" w:firstLineChars="45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c>
          <w:tcPr>
            <w:tcW w:w="4517" w:type="dxa"/>
            <w:noWrap w:val="0"/>
            <w:vAlign w:val="center"/>
          </w:tcPr>
          <w:p w14:paraId="6520ED3B">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14:paraId="51D4BC61">
            <w:pPr>
              <w:snapToGrid w:val="0"/>
              <w:spacing w:line="360" w:lineRule="auto"/>
              <w:rPr>
                <w:rFonts w:hint="eastAsia" w:ascii="宋体" w:hAnsi="宋体" w:eastAsia="宋体" w:cs="宋体"/>
                <w:color w:val="auto"/>
                <w:sz w:val="21"/>
                <w:szCs w:val="21"/>
                <w:highlight w:val="none"/>
              </w:rPr>
            </w:pPr>
          </w:p>
          <w:p w14:paraId="141C035B">
            <w:pPr>
              <w:snapToGrid w:val="0"/>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5B9C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468CC4F7">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4517" w:type="dxa"/>
            <w:noWrap w:val="0"/>
            <w:vAlign w:val="center"/>
          </w:tcPr>
          <w:p w14:paraId="39C877CE">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r>
      <w:tr w14:paraId="5177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64B1B2CB">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法定代表人或者委托代理人：</w:t>
            </w:r>
          </w:p>
        </w:tc>
        <w:tc>
          <w:tcPr>
            <w:tcW w:w="4517" w:type="dxa"/>
            <w:noWrap w:val="0"/>
            <w:vAlign w:val="top"/>
          </w:tcPr>
          <w:p w14:paraId="09119F14">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法定代表人或者委托代理人：</w:t>
            </w:r>
          </w:p>
        </w:tc>
      </w:tr>
      <w:tr w14:paraId="7597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65887938">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517" w:type="dxa"/>
            <w:noWrap w:val="0"/>
            <w:vAlign w:val="center"/>
          </w:tcPr>
          <w:p w14:paraId="0654F15C">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14:paraId="043D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5F2ED27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4517" w:type="dxa"/>
            <w:noWrap w:val="0"/>
            <w:vAlign w:val="center"/>
          </w:tcPr>
          <w:p w14:paraId="7DD96FC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r>
      <w:tr w14:paraId="0034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4FFF4654">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517" w:type="dxa"/>
            <w:noWrap w:val="0"/>
            <w:vAlign w:val="center"/>
          </w:tcPr>
          <w:p w14:paraId="0840C668">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3DB9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493599F5">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4517" w:type="dxa"/>
            <w:noWrap w:val="0"/>
            <w:vAlign w:val="center"/>
          </w:tcPr>
          <w:p w14:paraId="03A4219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14:paraId="395D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51DEC555">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4517" w:type="dxa"/>
            <w:noWrap w:val="0"/>
            <w:vAlign w:val="center"/>
          </w:tcPr>
          <w:p w14:paraId="4F3749F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r>
    </w:tbl>
    <w:p w14:paraId="720D962C">
      <w:pPr>
        <w:snapToGrid w:val="0"/>
        <w:spacing w:line="360" w:lineRule="auto"/>
        <w:rPr>
          <w:rFonts w:hint="eastAsia" w:ascii="宋体" w:hAnsi="宋体"/>
          <w:color w:val="auto"/>
          <w:sz w:val="24"/>
          <w:highlight w:val="none"/>
        </w:rPr>
        <w:sectPr>
          <w:pgSz w:w="11910" w:h="16840"/>
          <w:pgMar w:top="1134" w:right="1134" w:bottom="1134" w:left="1134" w:header="850" w:footer="567" w:gutter="0"/>
          <w:cols w:space="720" w:num="1"/>
          <w:docGrid w:linePitch="286" w:charSpace="0"/>
        </w:sectPr>
      </w:pPr>
    </w:p>
    <w:p w14:paraId="053EC1F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color w:val="auto"/>
          <w:sz w:val="44"/>
          <w:szCs w:val="44"/>
          <w:highlight w:val="none"/>
          <w:lang w:val="en-US" w:eastAsia="zh-CN"/>
        </w:rPr>
      </w:pPr>
      <w:bookmarkStart w:id="38" w:name="_Toc29743"/>
      <w:bookmarkStart w:id="39" w:name="_Toc8279"/>
      <w:r>
        <w:rPr>
          <w:rFonts w:hint="eastAsia" w:ascii="宋体" w:hAnsi="宋体" w:cs="宋体"/>
          <w:b/>
          <w:bCs/>
          <w:color w:val="auto"/>
          <w:sz w:val="44"/>
          <w:szCs w:val="44"/>
          <w:highlight w:val="none"/>
          <w:lang w:val="en-US" w:eastAsia="zh-CN"/>
        </w:rPr>
        <w:t>第七章“政采贷”政策告知函</w:t>
      </w:r>
      <w:bookmarkEnd w:id="38"/>
      <w:bookmarkEnd w:id="39"/>
    </w:p>
    <w:p w14:paraId="455797B3">
      <w:pPr>
        <w:keepNext w:val="0"/>
        <w:keepLines w:val="0"/>
        <w:pageBreakBefore w:val="0"/>
        <w:kinsoku/>
        <w:wordWrap/>
        <w:overflowPunct/>
        <w:topLinePunct w:val="0"/>
        <w:autoSpaceDE/>
        <w:autoSpaceDN/>
        <w:bidi w:val="0"/>
        <w:spacing w:line="46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14:paraId="32629A42">
      <w:pPr>
        <w:keepNext w:val="0"/>
        <w:keepLines w:val="0"/>
        <w:pageBreakBefore w:val="0"/>
        <w:kinsoku/>
        <w:wordWrap/>
        <w:overflowPunct/>
        <w:topLinePunct w:val="0"/>
        <w:autoSpaceDE/>
        <w:autoSpaceDN/>
        <w:bidi w:val="0"/>
        <w:spacing w:line="46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欢迎贵公司参与贺州市政府采购活动!</w:t>
      </w:r>
    </w:p>
    <w:p w14:paraId="65154176">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宋体" w:hAnsi="宋体" w:eastAsia="宋体" w:cs="宋体"/>
          <w:color w:val="auto"/>
          <w:sz w:val="21"/>
          <w:szCs w:val="21"/>
          <w:highlight w:val="none"/>
          <w:lang w:eastAsia="zh-CN"/>
        </w:rPr>
        <w:t>等相关材料</w:t>
      </w:r>
      <w:r>
        <w:rPr>
          <w:rFonts w:hint="eastAsia" w:ascii="宋体" w:hAnsi="宋体" w:eastAsia="宋体" w:cs="宋体"/>
          <w:color w:val="auto"/>
          <w:sz w:val="21"/>
          <w:szCs w:val="21"/>
          <w:highlight w:val="none"/>
        </w:rPr>
        <w:t>向金融机构申请贷款，金融机构核实信息，按照双方自愿的原则提供便捷、优惠的贷款服务。</w:t>
      </w:r>
    </w:p>
    <w:p w14:paraId="4C9AC73F">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一、“政采贷”操作流程</w:t>
      </w:r>
    </w:p>
    <w:p w14:paraId="21BB40F0">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进入“广西政府采购网”（</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"http://zfcg.gxzf.gov.cn/"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http://zfcg.gxzf.gov.cn/</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）“办事指南”专栏找到“金融融资”板块，进入“广西政府采购金融服务平台”登录，选择试点银行机构进行合同融资预申请。（详情请按照《贺州市财政局关于进一步推行“政采贷”工作的通知》（贺财采〔</w:t>
      </w:r>
      <w:r>
        <w:rPr>
          <w:rFonts w:hint="eastAsia" w:ascii="宋体"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〕3号）文件执行）</w:t>
      </w:r>
    </w:p>
    <w:p w14:paraId="393D149D">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二、承接银行联系方式</w:t>
      </w:r>
    </w:p>
    <w:p w14:paraId="53C3FB55">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1.中国建设银行贺州分行</w:t>
      </w:r>
      <w:r>
        <w:rPr>
          <w:rFonts w:hint="eastAsia" w:ascii="宋体" w:hAnsi="宋体" w:eastAsia="宋体" w:cs="宋体"/>
          <w:color w:val="auto"/>
          <w:sz w:val="21"/>
          <w:szCs w:val="21"/>
          <w:highlight w:val="none"/>
          <w:lang w:val="en-US" w:eastAsia="zh-CN"/>
        </w:rPr>
        <w:tab/>
      </w:r>
    </w:p>
    <w:tbl>
      <w:tblPr>
        <w:tblStyle w:val="23"/>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060"/>
        <w:gridCol w:w="1172"/>
        <w:gridCol w:w="1137"/>
        <w:gridCol w:w="1520"/>
        <w:gridCol w:w="3021"/>
      </w:tblGrid>
      <w:tr w14:paraId="1CE0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noWrap w:val="0"/>
            <w:vAlign w:val="center"/>
          </w:tcPr>
          <w:p w14:paraId="383ED0A8">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中国建设银行贺州分行 总协调人：杨宏毅  职务：公司业务部副总经理  手机号码：18077397188</w:t>
            </w:r>
          </w:p>
        </w:tc>
      </w:tr>
      <w:tr w14:paraId="1765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noWrap w:val="0"/>
            <w:vAlign w:val="center"/>
          </w:tcPr>
          <w:p w14:paraId="586D5B9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序号</w:t>
            </w:r>
          </w:p>
        </w:tc>
        <w:tc>
          <w:tcPr>
            <w:tcW w:w="2060" w:type="dxa"/>
            <w:noWrap w:val="0"/>
            <w:vAlign w:val="center"/>
          </w:tcPr>
          <w:p w14:paraId="3DA293E2">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金融机构</w:t>
            </w:r>
          </w:p>
        </w:tc>
        <w:tc>
          <w:tcPr>
            <w:tcW w:w="1172" w:type="dxa"/>
            <w:noWrap w:val="0"/>
            <w:vAlign w:val="center"/>
          </w:tcPr>
          <w:p w14:paraId="3E16A2CE">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w:t>
            </w:r>
          </w:p>
        </w:tc>
        <w:tc>
          <w:tcPr>
            <w:tcW w:w="1137" w:type="dxa"/>
            <w:noWrap w:val="0"/>
            <w:vAlign w:val="center"/>
          </w:tcPr>
          <w:p w14:paraId="76938C70">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1520" w:type="dxa"/>
            <w:noWrap w:val="0"/>
            <w:vAlign w:val="center"/>
          </w:tcPr>
          <w:p w14:paraId="7D2D7554">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手机号码</w:t>
            </w:r>
          </w:p>
        </w:tc>
        <w:tc>
          <w:tcPr>
            <w:tcW w:w="3021" w:type="dxa"/>
            <w:noWrap w:val="0"/>
            <w:vAlign w:val="center"/>
          </w:tcPr>
          <w:p w14:paraId="58923002">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银行地址</w:t>
            </w:r>
          </w:p>
        </w:tc>
      </w:tr>
      <w:tr w14:paraId="1760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90" w:type="dxa"/>
            <w:noWrap w:val="0"/>
            <w:vAlign w:val="center"/>
          </w:tcPr>
          <w:p w14:paraId="0D8C6FF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060" w:type="dxa"/>
            <w:noWrap w:val="0"/>
            <w:vAlign w:val="center"/>
          </w:tcPr>
          <w:p w14:paraId="633EF56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中国建设银行贺州分行营业部</w:t>
            </w:r>
          </w:p>
        </w:tc>
        <w:tc>
          <w:tcPr>
            <w:tcW w:w="1172" w:type="dxa"/>
            <w:noWrap w:val="0"/>
            <w:vAlign w:val="center"/>
          </w:tcPr>
          <w:p w14:paraId="1509D6F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刘雍</w:t>
            </w:r>
          </w:p>
        </w:tc>
        <w:tc>
          <w:tcPr>
            <w:tcW w:w="1137" w:type="dxa"/>
            <w:noWrap w:val="0"/>
            <w:vAlign w:val="center"/>
          </w:tcPr>
          <w:p w14:paraId="13777A5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客户经理</w:t>
            </w:r>
          </w:p>
        </w:tc>
        <w:tc>
          <w:tcPr>
            <w:tcW w:w="1520" w:type="dxa"/>
            <w:noWrap w:val="0"/>
            <w:vAlign w:val="center"/>
          </w:tcPr>
          <w:p w14:paraId="39B2BB7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18778943521</w:t>
            </w:r>
          </w:p>
        </w:tc>
        <w:tc>
          <w:tcPr>
            <w:tcW w:w="3021" w:type="dxa"/>
            <w:noWrap w:val="0"/>
            <w:vAlign w:val="center"/>
          </w:tcPr>
          <w:p w14:paraId="1000ADF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贺州市八步区建设中路1号</w:t>
            </w:r>
          </w:p>
        </w:tc>
      </w:tr>
      <w:tr w14:paraId="47FE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0" w:type="dxa"/>
            <w:noWrap w:val="0"/>
            <w:vAlign w:val="center"/>
          </w:tcPr>
          <w:p w14:paraId="3998F1B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060" w:type="dxa"/>
            <w:noWrap w:val="0"/>
            <w:vAlign w:val="center"/>
          </w:tcPr>
          <w:p w14:paraId="20AA515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中国建设银行贺州城东支行</w:t>
            </w:r>
          </w:p>
        </w:tc>
        <w:tc>
          <w:tcPr>
            <w:tcW w:w="1172" w:type="dxa"/>
            <w:noWrap w:val="0"/>
            <w:vAlign w:val="center"/>
          </w:tcPr>
          <w:p w14:paraId="72D7AB7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刘昭勇</w:t>
            </w:r>
          </w:p>
        </w:tc>
        <w:tc>
          <w:tcPr>
            <w:tcW w:w="1137" w:type="dxa"/>
            <w:noWrap w:val="0"/>
            <w:vAlign w:val="center"/>
          </w:tcPr>
          <w:p w14:paraId="56B1325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0" w:type="dxa"/>
            <w:noWrap w:val="0"/>
            <w:vAlign w:val="center"/>
          </w:tcPr>
          <w:p w14:paraId="17B6EA8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18877499257</w:t>
            </w:r>
          </w:p>
        </w:tc>
        <w:tc>
          <w:tcPr>
            <w:tcW w:w="3021" w:type="dxa"/>
            <w:noWrap w:val="0"/>
            <w:vAlign w:val="center"/>
          </w:tcPr>
          <w:p w14:paraId="465FCD0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贺州市八步区平安西路266号贺州广场购物中心1号楼一层东面</w:t>
            </w:r>
          </w:p>
        </w:tc>
      </w:tr>
      <w:tr w14:paraId="2866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0" w:type="dxa"/>
            <w:noWrap w:val="0"/>
            <w:vAlign w:val="center"/>
          </w:tcPr>
          <w:p w14:paraId="173C550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060" w:type="dxa"/>
            <w:noWrap w:val="0"/>
            <w:vAlign w:val="center"/>
          </w:tcPr>
          <w:p w14:paraId="58BDA8B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中国建设银行贺州城西支行</w:t>
            </w:r>
          </w:p>
        </w:tc>
        <w:tc>
          <w:tcPr>
            <w:tcW w:w="1172" w:type="dxa"/>
            <w:noWrap w:val="0"/>
            <w:vAlign w:val="center"/>
          </w:tcPr>
          <w:p w14:paraId="1773084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于丛家</w:t>
            </w:r>
          </w:p>
        </w:tc>
        <w:tc>
          <w:tcPr>
            <w:tcW w:w="1137" w:type="dxa"/>
            <w:noWrap w:val="0"/>
            <w:vAlign w:val="center"/>
          </w:tcPr>
          <w:p w14:paraId="358BDD2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0" w:type="dxa"/>
            <w:noWrap w:val="0"/>
            <w:vAlign w:val="center"/>
          </w:tcPr>
          <w:p w14:paraId="60B4FC9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15177666737</w:t>
            </w:r>
          </w:p>
        </w:tc>
        <w:tc>
          <w:tcPr>
            <w:tcW w:w="3021" w:type="dxa"/>
            <w:noWrap w:val="0"/>
            <w:vAlign w:val="center"/>
          </w:tcPr>
          <w:p w14:paraId="5AFC9B3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贺州市八步区八达西路689号1栋11号商铺</w:t>
            </w:r>
          </w:p>
        </w:tc>
      </w:tr>
      <w:tr w14:paraId="5085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0" w:type="dxa"/>
            <w:noWrap w:val="0"/>
            <w:vAlign w:val="center"/>
          </w:tcPr>
          <w:p w14:paraId="443EBCC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060" w:type="dxa"/>
            <w:noWrap w:val="0"/>
            <w:vAlign w:val="center"/>
          </w:tcPr>
          <w:p w14:paraId="4CFA93A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中国建设银行贺州平桂支行</w:t>
            </w:r>
          </w:p>
        </w:tc>
        <w:tc>
          <w:tcPr>
            <w:tcW w:w="1172" w:type="dxa"/>
            <w:noWrap w:val="0"/>
            <w:vAlign w:val="center"/>
          </w:tcPr>
          <w:p w14:paraId="742A10B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邱伟</w:t>
            </w:r>
          </w:p>
        </w:tc>
        <w:tc>
          <w:tcPr>
            <w:tcW w:w="1137" w:type="dxa"/>
            <w:noWrap w:val="0"/>
            <w:vAlign w:val="center"/>
          </w:tcPr>
          <w:p w14:paraId="3EAEE80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0" w:type="dxa"/>
            <w:noWrap w:val="0"/>
            <w:vAlign w:val="center"/>
          </w:tcPr>
          <w:p w14:paraId="5C7F1B5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18007840720</w:t>
            </w:r>
          </w:p>
        </w:tc>
        <w:tc>
          <w:tcPr>
            <w:tcW w:w="3021" w:type="dxa"/>
            <w:noWrap w:val="0"/>
            <w:vAlign w:val="center"/>
          </w:tcPr>
          <w:p w14:paraId="3F3AC3B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贺州市平桂区平桂大道15号富旺小区1号楼105号商铺</w:t>
            </w:r>
          </w:p>
        </w:tc>
      </w:tr>
      <w:tr w14:paraId="2417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0" w:type="dxa"/>
            <w:noWrap w:val="0"/>
            <w:vAlign w:val="center"/>
          </w:tcPr>
          <w:p w14:paraId="785CCA0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060" w:type="dxa"/>
            <w:noWrap w:val="0"/>
            <w:vAlign w:val="center"/>
          </w:tcPr>
          <w:p w14:paraId="4CA6C22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中国建设银行钟山支行</w:t>
            </w:r>
          </w:p>
        </w:tc>
        <w:tc>
          <w:tcPr>
            <w:tcW w:w="1172" w:type="dxa"/>
            <w:noWrap w:val="0"/>
            <w:vAlign w:val="center"/>
          </w:tcPr>
          <w:p w14:paraId="66F2D09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张文韬</w:t>
            </w:r>
          </w:p>
        </w:tc>
        <w:tc>
          <w:tcPr>
            <w:tcW w:w="1137" w:type="dxa"/>
            <w:noWrap w:val="0"/>
            <w:vAlign w:val="center"/>
          </w:tcPr>
          <w:p w14:paraId="263AE6A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0" w:type="dxa"/>
            <w:noWrap w:val="0"/>
            <w:vAlign w:val="center"/>
          </w:tcPr>
          <w:p w14:paraId="2FB8E0A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13047836009</w:t>
            </w:r>
          </w:p>
        </w:tc>
        <w:tc>
          <w:tcPr>
            <w:tcW w:w="3021" w:type="dxa"/>
            <w:noWrap w:val="0"/>
            <w:vAlign w:val="center"/>
          </w:tcPr>
          <w:p w14:paraId="55F4098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贺州市钟山县城书香西路南侧</w:t>
            </w:r>
          </w:p>
        </w:tc>
      </w:tr>
      <w:tr w14:paraId="5214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0" w:type="dxa"/>
            <w:noWrap w:val="0"/>
            <w:vAlign w:val="center"/>
          </w:tcPr>
          <w:p w14:paraId="4D27849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w:t>
            </w:r>
          </w:p>
        </w:tc>
        <w:tc>
          <w:tcPr>
            <w:tcW w:w="2060" w:type="dxa"/>
            <w:noWrap w:val="0"/>
            <w:vAlign w:val="center"/>
          </w:tcPr>
          <w:p w14:paraId="412385F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中国建设银行富川支行</w:t>
            </w:r>
          </w:p>
        </w:tc>
        <w:tc>
          <w:tcPr>
            <w:tcW w:w="1172" w:type="dxa"/>
            <w:noWrap w:val="0"/>
            <w:vAlign w:val="center"/>
          </w:tcPr>
          <w:p w14:paraId="274B132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邓李杰</w:t>
            </w:r>
          </w:p>
        </w:tc>
        <w:tc>
          <w:tcPr>
            <w:tcW w:w="1137" w:type="dxa"/>
            <w:noWrap w:val="0"/>
            <w:vAlign w:val="center"/>
          </w:tcPr>
          <w:p w14:paraId="68A4699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营业室总经理</w:t>
            </w:r>
          </w:p>
        </w:tc>
        <w:tc>
          <w:tcPr>
            <w:tcW w:w="1520" w:type="dxa"/>
            <w:noWrap w:val="0"/>
            <w:vAlign w:val="center"/>
          </w:tcPr>
          <w:p w14:paraId="71D49F8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18276498401</w:t>
            </w:r>
          </w:p>
        </w:tc>
        <w:tc>
          <w:tcPr>
            <w:tcW w:w="3021" w:type="dxa"/>
            <w:noWrap w:val="0"/>
            <w:vAlign w:val="center"/>
          </w:tcPr>
          <w:p w14:paraId="4C17A45F">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贺州市富川瑶族自治县富阳镇凤凰路汇龙华府第13号楼</w:t>
            </w:r>
          </w:p>
        </w:tc>
      </w:tr>
      <w:tr w14:paraId="3FED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0" w:type="dxa"/>
            <w:noWrap w:val="0"/>
            <w:vAlign w:val="center"/>
          </w:tcPr>
          <w:p w14:paraId="6E67A33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p>
        </w:tc>
        <w:tc>
          <w:tcPr>
            <w:tcW w:w="2060" w:type="dxa"/>
            <w:noWrap w:val="0"/>
            <w:vAlign w:val="center"/>
          </w:tcPr>
          <w:p w14:paraId="781D7D0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中国建设银行昭平支行</w:t>
            </w:r>
          </w:p>
        </w:tc>
        <w:tc>
          <w:tcPr>
            <w:tcW w:w="1172" w:type="dxa"/>
            <w:noWrap w:val="0"/>
            <w:vAlign w:val="center"/>
          </w:tcPr>
          <w:p w14:paraId="4FB79ED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贝晟延</w:t>
            </w:r>
          </w:p>
        </w:tc>
        <w:tc>
          <w:tcPr>
            <w:tcW w:w="1137" w:type="dxa"/>
            <w:noWrap w:val="0"/>
            <w:vAlign w:val="center"/>
          </w:tcPr>
          <w:p w14:paraId="2868380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0" w:type="dxa"/>
            <w:noWrap w:val="0"/>
            <w:vAlign w:val="center"/>
          </w:tcPr>
          <w:p w14:paraId="4052946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15676427374</w:t>
            </w:r>
          </w:p>
        </w:tc>
        <w:tc>
          <w:tcPr>
            <w:tcW w:w="3021" w:type="dxa"/>
            <w:noWrap w:val="0"/>
            <w:vAlign w:val="center"/>
          </w:tcPr>
          <w:p w14:paraId="1E76EAC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贺州市昭平县昭平镇东宁中路19号</w:t>
            </w:r>
          </w:p>
        </w:tc>
      </w:tr>
    </w:tbl>
    <w:p w14:paraId="12EA003D">
      <w:pPr>
        <w:keepNext w:val="0"/>
        <w:keepLines w:val="0"/>
        <w:pageBreakBefore w:val="0"/>
        <w:widowControl/>
        <w:kinsoku/>
        <w:wordWrap/>
        <w:overflowPunct/>
        <w:topLinePunct w:val="0"/>
        <w:autoSpaceDE/>
        <w:autoSpaceDN/>
        <w:bidi w:val="0"/>
        <w:adjustRightInd w:val="0"/>
        <w:snapToGrid w:val="0"/>
        <w:spacing w:after="0" w:line="46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2.广西北部湾银行</w:t>
      </w:r>
    </w:p>
    <w:tbl>
      <w:tblPr>
        <w:tblStyle w:val="23"/>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002"/>
        <w:gridCol w:w="1231"/>
        <w:gridCol w:w="1122"/>
        <w:gridCol w:w="1534"/>
        <w:gridCol w:w="2831"/>
      </w:tblGrid>
      <w:tr w14:paraId="4395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5E876D6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广西北部湾银行贺州分行 总协调人：杨政  职务：普惠金融部总经理  手机号码：18978413000</w:t>
            </w:r>
          </w:p>
        </w:tc>
      </w:tr>
      <w:tr w14:paraId="66A6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01" w:type="dxa"/>
            <w:noWrap w:val="0"/>
            <w:vAlign w:val="center"/>
          </w:tcPr>
          <w:p w14:paraId="66CB859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序号</w:t>
            </w:r>
          </w:p>
        </w:tc>
        <w:tc>
          <w:tcPr>
            <w:tcW w:w="2002" w:type="dxa"/>
            <w:noWrap w:val="0"/>
            <w:vAlign w:val="center"/>
          </w:tcPr>
          <w:p w14:paraId="4429633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金融机构</w:t>
            </w:r>
          </w:p>
        </w:tc>
        <w:tc>
          <w:tcPr>
            <w:tcW w:w="1231" w:type="dxa"/>
            <w:noWrap w:val="0"/>
            <w:vAlign w:val="center"/>
          </w:tcPr>
          <w:p w14:paraId="5BB1C3E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联系人</w:t>
            </w:r>
          </w:p>
        </w:tc>
        <w:tc>
          <w:tcPr>
            <w:tcW w:w="1122" w:type="dxa"/>
            <w:noWrap w:val="0"/>
            <w:vAlign w:val="center"/>
          </w:tcPr>
          <w:p w14:paraId="44F69E4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职务</w:t>
            </w:r>
          </w:p>
        </w:tc>
        <w:tc>
          <w:tcPr>
            <w:tcW w:w="1534" w:type="dxa"/>
            <w:noWrap w:val="0"/>
            <w:vAlign w:val="center"/>
          </w:tcPr>
          <w:p w14:paraId="01E23E8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手机号码</w:t>
            </w:r>
          </w:p>
        </w:tc>
        <w:tc>
          <w:tcPr>
            <w:tcW w:w="2831" w:type="dxa"/>
            <w:noWrap w:val="0"/>
            <w:vAlign w:val="center"/>
          </w:tcPr>
          <w:p w14:paraId="23A207D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银行地址</w:t>
            </w:r>
          </w:p>
        </w:tc>
      </w:tr>
      <w:tr w14:paraId="6B69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5C09771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002" w:type="dxa"/>
            <w:noWrap w:val="0"/>
            <w:vAlign w:val="center"/>
          </w:tcPr>
          <w:p w14:paraId="3E74A3D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广西北部湾银行贺州分行</w:t>
            </w:r>
          </w:p>
        </w:tc>
        <w:tc>
          <w:tcPr>
            <w:tcW w:w="1231" w:type="dxa"/>
            <w:noWrap w:val="0"/>
            <w:vAlign w:val="center"/>
          </w:tcPr>
          <w:p w14:paraId="094EB80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黄剑锐</w:t>
            </w:r>
          </w:p>
        </w:tc>
        <w:tc>
          <w:tcPr>
            <w:tcW w:w="1122" w:type="dxa"/>
            <w:noWrap w:val="0"/>
            <w:vAlign w:val="center"/>
          </w:tcPr>
          <w:p w14:paraId="71D4BAD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个人金融部副经理</w:t>
            </w:r>
          </w:p>
        </w:tc>
        <w:tc>
          <w:tcPr>
            <w:tcW w:w="1534" w:type="dxa"/>
            <w:noWrap w:val="0"/>
            <w:vAlign w:val="center"/>
          </w:tcPr>
          <w:p w14:paraId="52FEEB4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15507848190</w:t>
            </w:r>
          </w:p>
        </w:tc>
        <w:tc>
          <w:tcPr>
            <w:tcW w:w="2831" w:type="dxa"/>
            <w:noWrap w:val="0"/>
            <w:vAlign w:val="center"/>
          </w:tcPr>
          <w:p w14:paraId="1BF4500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贺州市八步区太白西路153号8号楼</w:t>
            </w:r>
          </w:p>
        </w:tc>
      </w:tr>
      <w:tr w14:paraId="18A4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664C68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002" w:type="dxa"/>
            <w:noWrap w:val="0"/>
            <w:vAlign w:val="center"/>
          </w:tcPr>
          <w:p w14:paraId="4F81463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广西北部湾银行贺州市平桂支行</w:t>
            </w:r>
          </w:p>
        </w:tc>
        <w:tc>
          <w:tcPr>
            <w:tcW w:w="1231" w:type="dxa"/>
            <w:noWrap w:val="0"/>
            <w:vAlign w:val="center"/>
          </w:tcPr>
          <w:p w14:paraId="083E7C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刘乐</w:t>
            </w:r>
          </w:p>
        </w:tc>
        <w:tc>
          <w:tcPr>
            <w:tcW w:w="1122" w:type="dxa"/>
            <w:noWrap w:val="0"/>
            <w:vAlign w:val="center"/>
          </w:tcPr>
          <w:p w14:paraId="4E4F1F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1534" w:type="dxa"/>
            <w:noWrap w:val="0"/>
            <w:vAlign w:val="center"/>
          </w:tcPr>
          <w:p w14:paraId="6E74690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13036871008</w:t>
            </w:r>
          </w:p>
        </w:tc>
        <w:tc>
          <w:tcPr>
            <w:tcW w:w="2831" w:type="dxa"/>
            <w:noWrap w:val="0"/>
            <w:vAlign w:val="center"/>
          </w:tcPr>
          <w:p w14:paraId="635AB46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贺州市平桂区平桂大道4号3号楼103号商铺</w:t>
            </w:r>
          </w:p>
        </w:tc>
      </w:tr>
      <w:tr w14:paraId="1917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5A6A423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002" w:type="dxa"/>
            <w:noWrap w:val="0"/>
            <w:vAlign w:val="center"/>
          </w:tcPr>
          <w:p w14:paraId="7107B8E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广西北部湾银行钟山支行</w:t>
            </w:r>
          </w:p>
        </w:tc>
        <w:tc>
          <w:tcPr>
            <w:tcW w:w="1231" w:type="dxa"/>
            <w:noWrap w:val="0"/>
            <w:vAlign w:val="center"/>
          </w:tcPr>
          <w:p w14:paraId="7263554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唐振豪</w:t>
            </w:r>
          </w:p>
        </w:tc>
        <w:tc>
          <w:tcPr>
            <w:tcW w:w="1122" w:type="dxa"/>
            <w:noWrap w:val="0"/>
            <w:vAlign w:val="center"/>
          </w:tcPr>
          <w:p w14:paraId="33C8059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1534" w:type="dxa"/>
            <w:noWrap w:val="0"/>
            <w:vAlign w:val="center"/>
          </w:tcPr>
          <w:p w14:paraId="083866D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18878480702</w:t>
            </w:r>
          </w:p>
        </w:tc>
        <w:tc>
          <w:tcPr>
            <w:tcW w:w="2831" w:type="dxa"/>
            <w:noWrap w:val="0"/>
            <w:vAlign w:val="center"/>
          </w:tcPr>
          <w:p w14:paraId="46ABD72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贺州市钟山县广场西路南侧悦城壹号院B区1#楼B09-13号商铺</w:t>
            </w:r>
          </w:p>
        </w:tc>
      </w:tr>
      <w:tr w14:paraId="15F1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65FD6C3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002" w:type="dxa"/>
            <w:noWrap w:val="0"/>
            <w:vAlign w:val="center"/>
          </w:tcPr>
          <w:p w14:paraId="2CF33A5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广西北部湾银行富川支行</w:t>
            </w:r>
          </w:p>
        </w:tc>
        <w:tc>
          <w:tcPr>
            <w:tcW w:w="1231" w:type="dxa"/>
            <w:noWrap w:val="0"/>
            <w:vAlign w:val="center"/>
          </w:tcPr>
          <w:p w14:paraId="670CAB5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秦明龙</w:t>
            </w:r>
          </w:p>
        </w:tc>
        <w:tc>
          <w:tcPr>
            <w:tcW w:w="1122" w:type="dxa"/>
            <w:noWrap w:val="0"/>
            <w:vAlign w:val="center"/>
          </w:tcPr>
          <w:p w14:paraId="22D2D0F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业务发展部经理</w:t>
            </w:r>
          </w:p>
        </w:tc>
        <w:tc>
          <w:tcPr>
            <w:tcW w:w="1534" w:type="dxa"/>
            <w:noWrap w:val="0"/>
            <w:vAlign w:val="center"/>
          </w:tcPr>
          <w:p w14:paraId="6A0C02F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17776119667</w:t>
            </w:r>
          </w:p>
        </w:tc>
        <w:tc>
          <w:tcPr>
            <w:tcW w:w="2831" w:type="dxa"/>
            <w:noWrap w:val="0"/>
            <w:vAlign w:val="center"/>
          </w:tcPr>
          <w:p w14:paraId="6EA6183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贺州市富川瑶族自治县富阳镇凤凰路121号</w:t>
            </w:r>
          </w:p>
        </w:tc>
      </w:tr>
      <w:tr w14:paraId="6B79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63D9B37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002" w:type="dxa"/>
            <w:noWrap w:val="0"/>
            <w:vAlign w:val="center"/>
          </w:tcPr>
          <w:p w14:paraId="10F8893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广西北部湾银行昭平支行</w:t>
            </w:r>
          </w:p>
        </w:tc>
        <w:tc>
          <w:tcPr>
            <w:tcW w:w="1231" w:type="dxa"/>
            <w:noWrap w:val="0"/>
            <w:vAlign w:val="center"/>
          </w:tcPr>
          <w:p w14:paraId="3BC8263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邱俊豪</w:t>
            </w:r>
          </w:p>
        </w:tc>
        <w:tc>
          <w:tcPr>
            <w:tcW w:w="1122" w:type="dxa"/>
            <w:noWrap w:val="0"/>
            <w:vAlign w:val="center"/>
          </w:tcPr>
          <w:p w14:paraId="6098999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综合客户经理</w:t>
            </w:r>
          </w:p>
        </w:tc>
        <w:tc>
          <w:tcPr>
            <w:tcW w:w="1534" w:type="dxa"/>
            <w:noWrap w:val="0"/>
            <w:vAlign w:val="center"/>
          </w:tcPr>
          <w:p w14:paraId="472B2E0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18107842696</w:t>
            </w:r>
          </w:p>
        </w:tc>
        <w:tc>
          <w:tcPr>
            <w:tcW w:w="2831" w:type="dxa"/>
            <w:noWrap w:val="0"/>
            <w:vAlign w:val="center"/>
          </w:tcPr>
          <w:p w14:paraId="30BE912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贺州市昭平县昭平镇河西东路（江湾一号）101-103铺面</w:t>
            </w:r>
          </w:p>
        </w:tc>
      </w:tr>
    </w:tbl>
    <w:p w14:paraId="145372E0">
      <w:pPr>
        <w:keepNext w:val="0"/>
        <w:keepLines w:val="0"/>
        <w:pageBreakBefore w:val="0"/>
        <w:widowControl/>
        <w:kinsoku/>
        <w:wordWrap/>
        <w:overflowPunct/>
        <w:topLinePunct w:val="0"/>
        <w:autoSpaceDE/>
        <w:autoSpaceDN/>
        <w:bidi w:val="0"/>
        <w:adjustRightInd w:val="0"/>
        <w:snapToGrid w:val="0"/>
        <w:spacing w:after="0" w:line="46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3.广西贺州桂东农村合作银行</w:t>
      </w:r>
    </w:p>
    <w:tbl>
      <w:tblPr>
        <w:tblStyle w:val="23"/>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002"/>
        <w:gridCol w:w="994"/>
        <w:gridCol w:w="1359"/>
        <w:gridCol w:w="1534"/>
        <w:gridCol w:w="2831"/>
      </w:tblGrid>
      <w:tr w14:paraId="177B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39ABF409">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广西贺州桂东农村合作银行 总协调人：卢士强  职务：授信审批部总经理  手机号码：18077409115</w:t>
            </w:r>
          </w:p>
        </w:tc>
      </w:tr>
      <w:tr w14:paraId="60D1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1" w:type="dxa"/>
            <w:noWrap w:val="0"/>
            <w:vAlign w:val="center"/>
          </w:tcPr>
          <w:p w14:paraId="623C7671">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序号</w:t>
            </w:r>
          </w:p>
        </w:tc>
        <w:tc>
          <w:tcPr>
            <w:tcW w:w="2002" w:type="dxa"/>
            <w:noWrap w:val="0"/>
            <w:vAlign w:val="center"/>
          </w:tcPr>
          <w:p w14:paraId="2CE194F4">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金融机构</w:t>
            </w:r>
          </w:p>
        </w:tc>
        <w:tc>
          <w:tcPr>
            <w:tcW w:w="994" w:type="dxa"/>
            <w:noWrap w:val="0"/>
            <w:vAlign w:val="center"/>
          </w:tcPr>
          <w:p w14:paraId="132F5BAB">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联系人</w:t>
            </w:r>
          </w:p>
        </w:tc>
        <w:tc>
          <w:tcPr>
            <w:tcW w:w="1359" w:type="dxa"/>
            <w:noWrap w:val="0"/>
            <w:vAlign w:val="center"/>
          </w:tcPr>
          <w:p w14:paraId="3005F52A">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职务</w:t>
            </w:r>
          </w:p>
        </w:tc>
        <w:tc>
          <w:tcPr>
            <w:tcW w:w="1534" w:type="dxa"/>
            <w:noWrap w:val="0"/>
            <w:vAlign w:val="center"/>
          </w:tcPr>
          <w:p w14:paraId="1F377343">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手机号码</w:t>
            </w:r>
          </w:p>
        </w:tc>
        <w:tc>
          <w:tcPr>
            <w:tcW w:w="2831" w:type="dxa"/>
            <w:noWrap w:val="0"/>
            <w:vAlign w:val="center"/>
          </w:tcPr>
          <w:p w14:paraId="589B8D8B">
            <w:pPr>
              <w:keepNext w:val="0"/>
              <w:keepLines w:val="0"/>
              <w:widowControl/>
              <w:suppressLineNumbers w:val="0"/>
              <w:jc w:val="center"/>
              <w:textAlignment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i w:val="0"/>
                <w:color w:val="auto"/>
                <w:kern w:val="0"/>
                <w:sz w:val="21"/>
                <w:szCs w:val="21"/>
                <w:highlight w:val="none"/>
                <w:u w:val="none"/>
                <w:lang w:val="en-US" w:eastAsia="zh-CN" w:bidi="ar"/>
              </w:rPr>
              <w:t>银行地址</w:t>
            </w:r>
          </w:p>
        </w:tc>
      </w:tr>
      <w:tr w14:paraId="7F63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11A71F8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002" w:type="dxa"/>
            <w:noWrap w:val="0"/>
            <w:vAlign w:val="center"/>
          </w:tcPr>
          <w:p w14:paraId="6EECD3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广西贺州桂东农村合作银行</w:t>
            </w:r>
          </w:p>
        </w:tc>
        <w:tc>
          <w:tcPr>
            <w:tcW w:w="994" w:type="dxa"/>
            <w:noWrap w:val="0"/>
            <w:vAlign w:val="center"/>
          </w:tcPr>
          <w:p w14:paraId="686CBB3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黄腾</w:t>
            </w:r>
          </w:p>
        </w:tc>
        <w:tc>
          <w:tcPr>
            <w:tcW w:w="1359" w:type="dxa"/>
            <w:noWrap w:val="0"/>
            <w:vAlign w:val="center"/>
          </w:tcPr>
          <w:p w14:paraId="7B880FC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授信审批部审查员</w:t>
            </w:r>
          </w:p>
        </w:tc>
        <w:tc>
          <w:tcPr>
            <w:tcW w:w="1534" w:type="dxa"/>
            <w:noWrap w:val="0"/>
            <w:vAlign w:val="center"/>
          </w:tcPr>
          <w:p w14:paraId="5B59E34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15078333887</w:t>
            </w:r>
          </w:p>
        </w:tc>
        <w:tc>
          <w:tcPr>
            <w:tcW w:w="2831" w:type="dxa"/>
            <w:noWrap w:val="0"/>
            <w:vAlign w:val="center"/>
          </w:tcPr>
          <w:p w14:paraId="0FC1D96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618B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2353599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002" w:type="dxa"/>
            <w:noWrap w:val="0"/>
            <w:vAlign w:val="center"/>
          </w:tcPr>
          <w:p w14:paraId="027A652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广西贺州桂东农村合作银行营业部</w:t>
            </w:r>
          </w:p>
        </w:tc>
        <w:tc>
          <w:tcPr>
            <w:tcW w:w="994" w:type="dxa"/>
            <w:noWrap w:val="0"/>
            <w:vAlign w:val="center"/>
          </w:tcPr>
          <w:p w14:paraId="1853BB1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刘瑜</w:t>
            </w:r>
          </w:p>
        </w:tc>
        <w:tc>
          <w:tcPr>
            <w:tcW w:w="1359" w:type="dxa"/>
            <w:noWrap w:val="0"/>
            <w:vAlign w:val="center"/>
          </w:tcPr>
          <w:p w14:paraId="7466CE3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营业部副总经理</w:t>
            </w:r>
          </w:p>
        </w:tc>
        <w:tc>
          <w:tcPr>
            <w:tcW w:w="1534" w:type="dxa"/>
            <w:noWrap w:val="0"/>
            <w:vAlign w:val="center"/>
          </w:tcPr>
          <w:p w14:paraId="2D984AB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18007843000</w:t>
            </w:r>
          </w:p>
        </w:tc>
        <w:tc>
          <w:tcPr>
            <w:tcW w:w="2831" w:type="dxa"/>
            <w:noWrap w:val="0"/>
            <w:vAlign w:val="center"/>
          </w:tcPr>
          <w:p w14:paraId="47A68D9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35E0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5225B896">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002" w:type="dxa"/>
            <w:noWrap w:val="0"/>
            <w:vAlign w:val="center"/>
          </w:tcPr>
          <w:p w14:paraId="51A6E50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广西贺州桂东农村合作银行八步支行</w:t>
            </w:r>
          </w:p>
        </w:tc>
        <w:tc>
          <w:tcPr>
            <w:tcW w:w="994" w:type="dxa"/>
            <w:noWrap w:val="0"/>
            <w:vAlign w:val="center"/>
          </w:tcPr>
          <w:p w14:paraId="75BC2BD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谢地恩</w:t>
            </w:r>
          </w:p>
        </w:tc>
        <w:tc>
          <w:tcPr>
            <w:tcW w:w="1359" w:type="dxa"/>
            <w:noWrap w:val="0"/>
            <w:vAlign w:val="center"/>
          </w:tcPr>
          <w:p w14:paraId="77D5FE8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34" w:type="dxa"/>
            <w:noWrap w:val="0"/>
            <w:vAlign w:val="center"/>
          </w:tcPr>
          <w:p w14:paraId="4448D35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18007840168</w:t>
            </w:r>
          </w:p>
        </w:tc>
        <w:tc>
          <w:tcPr>
            <w:tcW w:w="2831" w:type="dxa"/>
            <w:noWrap w:val="0"/>
            <w:vAlign w:val="center"/>
          </w:tcPr>
          <w:p w14:paraId="01CB23D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贺州市八步区八达西路652-1号</w:t>
            </w:r>
          </w:p>
        </w:tc>
      </w:tr>
      <w:tr w14:paraId="0DDE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1" w:type="dxa"/>
            <w:noWrap w:val="0"/>
            <w:vAlign w:val="center"/>
          </w:tcPr>
          <w:p w14:paraId="4D2140A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002" w:type="dxa"/>
            <w:noWrap w:val="0"/>
            <w:vAlign w:val="center"/>
          </w:tcPr>
          <w:p w14:paraId="0BEADEC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广西贺州桂东农村合作银行平桂支行</w:t>
            </w:r>
          </w:p>
        </w:tc>
        <w:tc>
          <w:tcPr>
            <w:tcW w:w="994" w:type="dxa"/>
            <w:noWrap w:val="0"/>
            <w:vAlign w:val="center"/>
          </w:tcPr>
          <w:p w14:paraId="6684343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古睿</w:t>
            </w:r>
          </w:p>
        </w:tc>
        <w:tc>
          <w:tcPr>
            <w:tcW w:w="1359" w:type="dxa"/>
            <w:noWrap w:val="0"/>
            <w:vAlign w:val="center"/>
          </w:tcPr>
          <w:p w14:paraId="6BAE829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34" w:type="dxa"/>
            <w:noWrap w:val="0"/>
            <w:vAlign w:val="center"/>
          </w:tcPr>
          <w:p w14:paraId="061CA68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18007840375</w:t>
            </w:r>
          </w:p>
        </w:tc>
        <w:tc>
          <w:tcPr>
            <w:tcW w:w="2831" w:type="dxa"/>
            <w:noWrap w:val="0"/>
            <w:vAlign w:val="center"/>
          </w:tcPr>
          <w:p w14:paraId="5F89C4C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贺州市平桂区平桂大道财政局一楼</w:t>
            </w:r>
          </w:p>
        </w:tc>
      </w:tr>
    </w:tbl>
    <w:p w14:paraId="5EC8213B">
      <w:pPr>
        <w:pStyle w:val="18"/>
        <w:rPr>
          <w:rFonts w:hint="eastAsia"/>
          <w:color w:val="auto"/>
          <w:highlight w:val="none"/>
        </w:rPr>
      </w:pPr>
    </w:p>
    <w:sectPr>
      <w:pgSz w:w="11910" w:h="16840"/>
      <w:pgMar w:top="1134" w:right="1134" w:bottom="1134" w:left="1134" w:header="850" w:footer="56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99F0100C-31E4-45AD-85F0-3D1DB164877C}"/>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2" w:fontKey="{CE36DD20-1CD7-4A2D-80E5-A12A82A7A386}"/>
  </w:font>
  <w:font w:name="Wingdings 2">
    <w:panose1 w:val="05020102010507070707"/>
    <w:charset w:val="02"/>
    <w:family w:val="roman"/>
    <w:pitch w:val="default"/>
    <w:sig w:usb0="00000000" w:usb1="00000000" w:usb2="00000000" w:usb3="00000000" w:csb0="80000000" w:csb1="00000000"/>
    <w:embedRegular r:id="rId3" w:fontKey="{1707B316-E5E0-48EF-9B58-BDE9FFC291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2FC1A">
    <w:pPr>
      <w:pStyle w:val="16"/>
      <w:jc w:val="center"/>
    </w:pPr>
    <w:r>
      <w:fldChar w:fldCharType="begin"/>
    </w:r>
    <w:r>
      <w:instrText xml:space="preserve"> PAGE   \* MERGEFORMAT </w:instrText>
    </w:r>
    <w:r>
      <w:fldChar w:fldCharType="separate"/>
    </w:r>
    <w:r>
      <w:rPr>
        <w:lang w:val="zh-CN"/>
      </w:rPr>
      <w:t>42</w:t>
    </w:r>
    <w:r>
      <w:fldChar w:fldCharType="end"/>
    </w:r>
  </w:p>
  <w:p w14:paraId="2E4B47D7">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16238">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0A688">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28D77">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60646">
                          <w:pPr>
                            <w:pStyle w:val="16"/>
                            <w:jc w:val="center"/>
                          </w:pPr>
                          <w:r>
                            <w:fldChar w:fldCharType="begin"/>
                          </w:r>
                          <w:r>
                            <w:instrText xml:space="preserve"> PAGE   \* MERGEFORMAT </w:instrText>
                          </w:r>
                          <w:r>
                            <w:fldChar w:fldCharType="separate"/>
                          </w:r>
                          <w:r>
                            <w:rPr>
                              <w:lang w:val="zh-CN"/>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060646">
                    <w:pPr>
                      <w:pStyle w:val="16"/>
                      <w:jc w:val="center"/>
                    </w:pPr>
                    <w:r>
                      <w:fldChar w:fldCharType="begin"/>
                    </w:r>
                    <w:r>
                      <w:instrText xml:space="preserve"> PAGE   \* MERGEFORMAT </w:instrText>
                    </w:r>
                    <w:r>
                      <w:fldChar w:fldCharType="separate"/>
                    </w:r>
                    <w:r>
                      <w:rPr>
                        <w:lang w:val="zh-CN"/>
                      </w:rP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9DDAC">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9525" b="12065"/>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DD75CE0">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vdA5I80BAACZAwAADgAAAAAAAAABACAAAAAeAQAAZHJzL2Uy&#10;b0RvYy54bWxQSwUGAAAAAAYABgBZAQAAXQUAAAAA&#10;">
              <v:fill on="f" focussize="0,0"/>
              <v:stroke on="f"/>
              <v:imagedata o:title=""/>
              <o:lock v:ext="edit" aspectratio="f"/>
              <v:textbox inset="0mm,0mm,0mm,0mm" style="mso-fit-shape-to-text:t;">
                <w:txbxContent>
                  <w:p w14:paraId="7DD75CE0">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204CB">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5MGNjMWRiYTQ1MDViNGQxNzVlMzBmN2IwOTMxMmUifQ=="/>
  </w:docVars>
  <w:rsids>
    <w:rsidRoot w:val="00F34B14"/>
    <w:rsid w:val="00000672"/>
    <w:rsid w:val="00001799"/>
    <w:rsid w:val="000022D9"/>
    <w:rsid w:val="00002D29"/>
    <w:rsid w:val="000040C5"/>
    <w:rsid w:val="00004A8A"/>
    <w:rsid w:val="0000574C"/>
    <w:rsid w:val="00005E55"/>
    <w:rsid w:val="00005FDF"/>
    <w:rsid w:val="00006586"/>
    <w:rsid w:val="000065BA"/>
    <w:rsid w:val="0001045D"/>
    <w:rsid w:val="00010D39"/>
    <w:rsid w:val="000112BB"/>
    <w:rsid w:val="0001149B"/>
    <w:rsid w:val="0001172C"/>
    <w:rsid w:val="00012854"/>
    <w:rsid w:val="00012EA6"/>
    <w:rsid w:val="000139DC"/>
    <w:rsid w:val="00013D8C"/>
    <w:rsid w:val="00013DFE"/>
    <w:rsid w:val="00013F03"/>
    <w:rsid w:val="000141EA"/>
    <w:rsid w:val="00014385"/>
    <w:rsid w:val="000159F6"/>
    <w:rsid w:val="00016960"/>
    <w:rsid w:val="00017396"/>
    <w:rsid w:val="000177DB"/>
    <w:rsid w:val="00020227"/>
    <w:rsid w:val="000203E4"/>
    <w:rsid w:val="00020455"/>
    <w:rsid w:val="00022731"/>
    <w:rsid w:val="00022792"/>
    <w:rsid w:val="000242CE"/>
    <w:rsid w:val="00025382"/>
    <w:rsid w:val="00025636"/>
    <w:rsid w:val="00025E36"/>
    <w:rsid w:val="00026627"/>
    <w:rsid w:val="00026886"/>
    <w:rsid w:val="00030496"/>
    <w:rsid w:val="000329E0"/>
    <w:rsid w:val="000333A0"/>
    <w:rsid w:val="000352E9"/>
    <w:rsid w:val="00036548"/>
    <w:rsid w:val="00036A07"/>
    <w:rsid w:val="00036E33"/>
    <w:rsid w:val="00037E2D"/>
    <w:rsid w:val="00040571"/>
    <w:rsid w:val="0004156E"/>
    <w:rsid w:val="00041597"/>
    <w:rsid w:val="0004440C"/>
    <w:rsid w:val="00045880"/>
    <w:rsid w:val="000462CB"/>
    <w:rsid w:val="00046B5E"/>
    <w:rsid w:val="0004783A"/>
    <w:rsid w:val="000509D9"/>
    <w:rsid w:val="0005398D"/>
    <w:rsid w:val="000552A6"/>
    <w:rsid w:val="00055D41"/>
    <w:rsid w:val="00057CEC"/>
    <w:rsid w:val="00060DCE"/>
    <w:rsid w:val="000623B4"/>
    <w:rsid w:val="000634A7"/>
    <w:rsid w:val="00063E85"/>
    <w:rsid w:val="00063F81"/>
    <w:rsid w:val="00064847"/>
    <w:rsid w:val="0006484B"/>
    <w:rsid w:val="000673E2"/>
    <w:rsid w:val="000703B6"/>
    <w:rsid w:val="000711E4"/>
    <w:rsid w:val="000719F9"/>
    <w:rsid w:val="00072AED"/>
    <w:rsid w:val="00073F47"/>
    <w:rsid w:val="00075B7E"/>
    <w:rsid w:val="00077C70"/>
    <w:rsid w:val="00080B57"/>
    <w:rsid w:val="00081BA3"/>
    <w:rsid w:val="00081D2E"/>
    <w:rsid w:val="0008267B"/>
    <w:rsid w:val="00082D02"/>
    <w:rsid w:val="00083B91"/>
    <w:rsid w:val="0008520B"/>
    <w:rsid w:val="000871B8"/>
    <w:rsid w:val="00087DB6"/>
    <w:rsid w:val="000913BE"/>
    <w:rsid w:val="000918F8"/>
    <w:rsid w:val="00092442"/>
    <w:rsid w:val="0009588E"/>
    <w:rsid w:val="000959EE"/>
    <w:rsid w:val="00095B51"/>
    <w:rsid w:val="00097DA0"/>
    <w:rsid w:val="000A0D6B"/>
    <w:rsid w:val="000A1389"/>
    <w:rsid w:val="000A166E"/>
    <w:rsid w:val="000A2B0E"/>
    <w:rsid w:val="000A398F"/>
    <w:rsid w:val="000A509C"/>
    <w:rsid w:val="000A6007"/>
    <w:rsid w:val="000A65A6"/>
    <w:rsid w:val="000A7275"/>
    <w:rsid w:val="000A7A12"/>
    <w:rsid w:val="000A7CA5"/>
    <w:rsid w:val="000B039A"/>
    <w:rsid w:val="000B1801"/>
    <w:rsid w:val="000B1D0C"/>
    <w:rsid w:val="000B2D03"/>
    <w:rsid w:val="000B3815"/>
    <w:rsid w:val="000B3C7B"/>
    <w:rsid w:val="000B6C95"/>
    <w:rsid w:val="000C0C58"/>
    <w:rsid w:val="000C1679"/>
    <w:rsid w:val="000C2F89"/>
    <w:rsid w:val="000C30BB"/>
    <w:rsid w:val="000C366E"/>
    <w:rsid w:val="000C4635"/>
    <w:rsid w:val="000C548E"/>
    <w:rsid w:val="000C5698"/>
    <w:rsid w:val="000C6DE4"/>
    <w:rsid w:val="000C716B"/>
    <w:rsid w:val="000D01EB"/>
    <w:rsid w:val="000D01F9"/>
    <w:rsid w:val="000D056E"/>
    <w:rsid w:val="000D0675"/>
    <w:rsid w:val="000D0A89"/>
    <w:rsid w:val="000D1389"/>
    <w:rsid w:val="000D1798"/>
    <w:rsid w:val="000D1A2A"/>
    <w:rsid w:val="000D2626"/>
    <w:rsid w:val="000D2B7D"/>
    <w:rsid w:val="000D4A06"/>
    <w:rsid w:val="000D73DD"/>
    <w:rsid w:val="000D7D9B"/>
    <w:rsid w:val="000E02FA"/>
    <w:rsid w:val="000E18E2"/>
    <w:rsid w:val="000E28AB"/>
    <w:rsid w:val="000E28C1"/>
    <w:rsid w:val="000E2E3E"/>
    <w:rsid w:val="000E33C5"/>
    <w:rsid w:val="000E3583"/>
    <w:rsid w:val="000E3AF0"/>
    <w:rsid w:val="000E3D53"/>
    <w:rsid w:val="000E4E04"/>
    <w:rsid w:val="000E684C"/>
    <w:rsid w:val="000E6EC9"/>
    <w:rsid w:val="000E70B4"/>
    <w:rsid w:val="000F3281"/>
    <w:rsid w:val="000F3733"/>
    <w:rsid w:val="000F4D88"/>
    <w:rsid w:val="000F64AA"/>
    <w:rsid w:val="000F7AF4"/>
    <w:rsid w:val="000F7C33"/>
    <w:rsid w:val="000F7F0C"/>
    <w:rsid w:val="00100246"/>
    <w:rsid w:val="001004D6"/>
    <w:rsid w:val="00100D90"/>
    <w:rsid w:val="00103918"/>
    <w:rsid w:val="00104889"/>
    <w:rsid w:val="00104897"/>
    <w:rsid w:val="00104D7E"/>
    <w:rsid w:val="00104EDE"/>
    <w:rsid w:val="00105AA1"/>
    <w:rsid w:val="00106BEE"/>
    <w:rsid w:val="00110339"/>
    <w:rsid w:val="00110C92"/>
    <w:rsid w:val="00113134"/>
    <w:rsid w:val="00113AC0"/>
    <w:rsid w:val="00114851"/>
    <w:rsid w:val="00115E11"/>
    <w:rsid w:val="00115F56"/>
    <w:rsid w:val="00117CBD"/>
    <w:rsid w:val="0012006A"/>
    <w:rsid w:val="00120990"/>
    <w:rsid w:val="001217B5"/>
    <w:rsid w:val="00121979"/>
    <w:rsid w:val="00122064"/>
    <w:rsid w:val="00125004"/>
    <w:rsid w:val="001263B8"/>
    <w:rsid w:val="00126763"/>
    <w:rsid w:val="00130217"/>
    <w:rsid w:val="00130783"/>
    <w:rsid w:val="00130990"/>
    <w:rsid w:val="0013118A"/>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1C48"/>
    <w:rsid w:val="00152A87"/>
    <w:rsid w:val="00154486"/>
    <w:rsid w:val="00156D0E"/>
    <w:rsid w:val="00156DD9"/>
    <w:rsid w:val="0016086E"/>
    <w:rsid w:val="00160D0C"/>
    <w:rsid w:val="00161172"/>
    <w:rsid w:val="0016139E"/>
    <w:rsid w:val="00161E65"/>
    <w:rsid w:val="00162597"/>
    <w:rsid w:val="001629AF"/>
    <w:rsid w:val="0016428A"/>
    <w:rsid w:val="001647C9"/>
    <w:rsid w:val="001661A3"/>
    <w:rsid w:val="0016782B"/>
    <w:rsid w:val="00173256"/>
    <w:rsid w:val="001733E1"/>
    <w:rsid w:val="00173F74"/>
    <w:rsid w:val="00175086"/>
    <w:rsid w:val="00175BA6"/>
    <w:rsid w:val="0017617F"/>
    <w:rsid w:val="00176CA7"/>
    <w:rsid w:val="001778C5"/>
    <w:rsid w:val="00177E56"/>
    <w:rsid w:val="00177F0A"/>
    <w:rsid w:val="00185617"/>
    <w:rsid w:val="00186ADE"/>
    <w:rsid w:val="0019171E"/>
    <w:rsid w:val="0019220F"/>
    <w:rsid w:val="001928B1"/>
    <w:rsid w:val="00194ED5"/>
    <w:rsid w:val="00195424"/>
    <w:rsid w:val="001955FF"/>
    <w:rsid w:val="00197EDD"/>
    <w:rsid w:val="001A02B3"/>
    <w:rsid w:val="001A04BB"/>
    <w:rsid w:val="001A08D0"/>
    <w:rsid w:val="001A14B1"/>
    <w:rsid w:val="001A1B39"/>
    <w:rsid w:val="001A2492"/>
    <w:rsid w:val="001A2E69"/>
    <w:rsid w:val="001A3C34"/>
    <w:rsid w:val="001A3EDE"/>
    <w:rsid w:val="001A4222"/>
    <w:rsid w:val="001A50EA"/>
    <w:rsid w:val="001A5E24"/>
    <w:rsid w:val="001A6D8B"/>
    <w:rsid w:val="001B079E"/>
    <w:rsid w:val="001B07F6"/>
    <w:rsid w:val="001B0CDA"/>
    <w:rsid w:val="001B0E26"/>
    <w:rsid w:val="001B125A"/>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25A7"/>
    <w:rsid w:val="001C318C"/>
    <w:rsid w:val="001C4287"/>
    <w:rsid w:val="001C4479"/>
    <w:rsid w:val="001C76B7"/>
    <w:rsid w:val="001C76FB"/>
    <w:rsid w:val="001D2764"/>
    <w:rsid w:val="001D324F"/>
    <w:rsid w:val="001D3697"/>
    <w:rsid w:val="001D51DE"/>
    <w:rsid w:val="001D540E"/>
    <w:rsid w:val="001D58A1"/>
    <w:rsid w:val="001D5A8A"/>
    <w:rsid w:val="001D735E"/>
    <w:rsid w:val="001D73C8"/>
    <w:rsid w:val="001D74D4"/>
    <w:rsid w:val="001D756D"/>
    <w:rsid w:val="001D778C"/>
    <w:rsid w:val="001D7E1F"/>
    <w:rsid w:val="001E0756"/>
    <w:rsid w:val="001E0A8D"/>
    <w:rsid w:val="001E0FFB"/>
    <w:rsid w:val="001E129E"/>
    <w:rsid w:val="001E2B9F"/>
    <w:rsid w:val="001E30C0"/>
    <w:rsid w:val="001E4A8D"/>
    <w:rsid w:val="001E5A94"/>
    <w:rsid w:val="001E7648"/>
    <w:rsid w:val="001F127B"/>
    <w:rsid w:val="001F2A2E"/>
    <w:rsid w:val="001F3B72"/>
    <w:rsid w:val="001F3C63"/>
    <w:rsid w:val="001F4460"/>
    <w:rsid w:val="001F5DAF"/>
    <w:rsid w:val="001F637C"/>
    <w:rsid w:val="001F6B6C"/>
    <w:rsid w:val="001F711A"/>
    <w:rsid w:val="001F75B0"/>
    <w:rsid w:val="001F7686"/>
    <w:rsid w:val="00200CE5"/>
    <w:rsid w:val="002014DB"/>
    <w:rsid w:val="00201E12"/>
    <w:rsid w:val="00202AEC"/>
    <w:rsid w:val="002031E2"/>
    <w:rsid w:val="002033B5"/>
    <w:rsid w:val="0020382C"/>
    <w:rsid w:val="0020437A"/>
    <w:rsid w:val="00204B5F"/>
    <w:rsid w:val="0020532C"/>
    <w:rsid w:val="00205D23"/>
    <w:rsid w:val="0021064F"/>
    <w:rsid w:val="002114C7"/>
    <w:rsid w:val="00212756"/>
    <w:rsid w:val="0021302C"/>
    <w:rsid w:val="00213045"/>
    <w:rsid w:val="00213483"/>
    <w:rsid w:val="00213B1C"/>
    <w:rsid w:val="00214202"/>
    <w:rsid w:val="002146F3"/>
    <w:rsid w:val="002148E3"/>
    <w:rsid w:val="00215373"/>
    <w:rsid w:val="0021552D"/>
    <w:rsid w:val="002156AE"/>
    <w:rsid w:val="00217861"/>
    <w:rsid w:val="0022054D"/>
    <w:rsid w:val="002225FA"/>
    <w:rsid w:val="00224DE1"/>
    <w:rsid w:val="002255B2"/>
    <w:rsid w:val="00225664"/>
    <w:rsid w:val="002269DC"/>
    <w:rsid w:val="00227F2D"/>
    <w:rsid w:val="00231851"/>
    <w:rsid w:val="002319FB"/>
    <w:rsid w:val="00231B89"/>
    <w:rsid w:val="00231B8E"/>
    <w:rsid w:val="002355BE"/>
    <w:rsid w:val="00236DE9"/>
    <w:rsid w:val="00237D5A"/>
    <w:rsid w:val="00241300"/>
    <w:rsid w:val="00241D3C"/>
    <w:rsid w:val="002439AB"/>
    <w:rsid w:val="002450D5"/>
    <w:rsid w:val="00245587"/>
    <w:rsid w:val="00245F2B"/>
    <w:rsid w:val="00246F95"/>
    <w:rsid w:val="00247676"/>
    <w:rsid w:val="00247F3A"/>
    <w:rsid w:val="00250122"/>
    <w:rsid w:val="00250755"/>
    <w:rsid w:val="00250AE3"/>
    <w:rsid w:val="00251C4A"/>
    <w:rsid w:val="0025271C"/>
    <w:rsid w:val="00252A91"/>
    <w:rsid w:val="002533CD"/>
    <w:rsid w:val="002544C1"/>
    <w:rsid w:val="00254EAB"/>
    <w:rsid w:val="002557AF"/>
    <w:rsid w:val="00256474"/>
    <w:rsid w:val="002566B1"/>
    <w:rsid w:val="002575E3"/>
    <w:rsid w:val="002603C1"/>
    <w:rsid w:val="002609A1"/>
    <w:rsid w:val="002612B1"/>
    <w:rsid w:val="00266165"/>
    <w:rsid w:val="0026782A"/>
    <w:rsid w:val="0027125E"/>
    <w:rsid w:val="00271767"/>
    <w:rsid w:val="002719C1"/>
    <w:rsid w:val="00272293"/>
    <w:rsid w:val="002723C8"/>
    <w:rsid w:val="00273CBE"/>
    <w:rsid w:val="002802D7"/>
    <w:rsid w:val="0028232C"/>
    <w:rsid w:val="002827F1"/>
    <w:rsid w:val="00282EC3"/>
    <w:rsid w:val="002835B0"/>
    <w:rsid w:val="0028407E"/>
    <w:rsid w:val="0028410F"/>
    <w:rsid w:val="002854BF"/>
    <w:rsid w:val="002856A2"/>
    <w:rsid w:val="00286603"/>
    <w:rsid w:val="00286A98"/>
    <w:rsid w:val="00286FB5"/>
    <w:rsid w:val="00287763"/>
    <w:rsid w:val="00290606"/>
    <w:rsid w:val="00290F9D"/>
    <w:rsid w:val="002918A7"/>
    <w:rsid w:val="00291D6D"/>
    <w:rsid w:val="00291FF1"/>
    <w:rsid w:val="002923F6"/>
    <w:rsid w:val="00293361"/>
    <w:rsid w:val="00294AE8"/>
    <w:rsid w:val="00295287"/>
    <w:rsid w:val="002952B1"/>
    <w:rsid w:val="00295D11"/>
    <w:rsid w:val="00295FA0"/>
    <w:rsid w:val="00297A7A"/>
    <w:rsid w:val="002A0620"/>
    <w:rsid w:val="002A0C3A"/>
    <w:rsid w:val="002A1130"/>
    <w:rsid w:val="002A14D3"/>
    <w:rsid w:val="002A1880"/>
    <w:rsid w:val="002A1D47"/>
    <w:rsid w:val="002A23B7"/>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3B2B"/>
    <w:rsid w:val="002B6D17"/>
    <w:rsid w:val="002B6E71"/>
    <w:rsid w:val="002B7169"/>
    <w:rsid w:val="002C0C1C"/>
    <w:rsid w:val="002C184E"/>
    <w:rsid w:val="002C54C2"/>
    <w:rsid w:val="002C5D34"/>
    <w:rsid w:val="002C5EA7"/>
    <w:rsid w:val="002C661A"/>
    <w:rsid w:val="002C7C6E"/>
    <w:rsid w:val="002D0AF5"/>
    <w:rsid w:val="002D1C54"/>
    <w:rsid w:val="002D1FAA"/>
    <w:rsid w:val="002D2231"/>
    <w:rsid w:val="002D25FC"/>
    <w:rsid w:val="002D318B"/>
    <w:rsid w:val="002D3380"/>
    <w:rsid w:val="002D44D6"/>
    <w:rsid w:val="002D4925"/>
    <w:rsid w:val="002D4AC6"/>
    <w:rsid w:val="002D5C7B"/>
    <w:rsid w:val="002D6DFC"/>
    <w:rsid w:val="002D7648"/>
    <w:rsid w:val="002D7909"/>
    <w:rsid w:val="002E109C"/>
    <w:rsid w:val="002E115E"/>
    <w:rsid w:val="002E1439"/>
    <w:rsid w:val="002E193E"/>
    <w:rsid w:val="002E1D76"/>
    <w:rsid w:val="002E243C"/>
    <w:rsid w:val="002E26C4"/>
    <w:rsid w:val="002E33E9"/>
    <w:rsid w:val="002E4B37"/>
    <w:rsid w:val="002E4BF9"/>
    <w:rsid w:val="002E6F5B"/>
    <w:rsid w:val="002F16DD"/>
    <w:rsid w:val="002F199D"/>
    <w:rsid w:val="002F23B2"/>
    <w:rsid w:val="002F4084"/>
    <w:rsid w:val="002F4672"/>
    <w:rsid w:val="002F4A08"/>
    <w:rsid w:val="002F4ADB"/>
    <w:rsid w:val="002F531E"/>
    <w:rsid w:val="002F5ACC"/>
    <w:rsid w:val="002F6C2C"/>
    <w:rsid w:val="002F704B"/>
    <w:rsid w:val="002F72C3"/>
    <w:rsid w:val="002F768C"/>
    <w:rsid w:val="002F7D1E"/>
    <w:rsid w:val="00301839"/>
    <w:rsid w:val="00302929"/>
    <w:rsid w:val="00302F0F"/>
    <w:rsid w:val="00303243"/>
    <w:rsid w:val="00303BCC"/>
    <w:rsid w:val="00303F2B"/>
    <w:rsid w:val="00303F8D"/>
    <w:rsid w:val="00304541"/>
    <w:rsid w:val="00304580"/>
    <w:rsid w:val="0030586A"/>
    <w:rsid w:val="003074C5"/>
    <w:rsid w:val="00307A3C"/>
    <w:rsid w:val="00307A95"/>
    <w:rsid w:val="00307FA4"/>
    <w:rsid w:val="00310CC1"/>
    <w:rsid w:val="00313026"/>
    <w:rsid w:val="00313213"/>
    <w:rsid w:val="0031421F"/>
    <w:rsid w:val="00314B31"/>
    <w:rsid w:val="00314B36"/>
    <w:rsid w:val="00315158"/>
    <w:rsid w:val="00315346"/>
    <w:rsid w:val="00315A65"/>
    <w:rsid w:val="00317BA7"/>
    <w:rsid w:val="00320BE2"/>
    <w:rsid w:val="00321886"/>
    <w:rsid w:val="00321902"/>
    <w:rsid w:val="00323694"/>
    <w:rsid w:val="00324D63"/>
    <w:rsid w:val="003255AF"/>
    <w:rsid w:val="003256EB"/>
    <w:rsid w:val="003259DB"/>
    <w:rsid w:val="00325F20"/>
    <w:rsid w:val="003267F2"/>
    <w:rsid w:val="00331A48"/>
    <w:rsid w:val="003330C9"/>
    <w:rsid w:val="0033364C"/>
    <w:rsid w:val="00334415"/>
    <w:rsid w:val="00335460"/>
    <w:rsid w:val="0033691E"/>
    <w:rsid w:val="00336CCB"/>
    <w:rsid w:val="0033745F"/>
    <w:rsid w:val="00337631"/>
    <w:rsid w:val="00337F44"/>
    <w:rsid w:val="003401AC"/>
    <w:rsid w:val="003411D1"/>
    <w:rsid w:val="003416BA"/>
    <w:rsid w:val="00341BD6"/>
    <w:rsid w:val="00342A8A"/>
    <w:rsid w:val="00342F99"/>
    <w:rsid w:val="00344726"/>
    <w:rsid w:val="003454A4"/>
    <w:rsid w:val="00350E6C"/>
    <w:rsid w:val="003518A6"/>
    <w:rsid w:val="00351E7F"/>
    <w:rsid w:val="00352953"/>
    <w:rsid w:val="00354062"/>
    <w:rsid w:val="003542B0"/>
    <w:rsid w:val="00355C0D"/>
    <w:rsid w:val="003566A9"/>
    <w:rsid w:val="00356988"/>
    <w:rsid w:val="00356B20"/>
    <w:rsid w:val="00357128"/>
    <w:rsid w:val="0035755E"/>
    <w:rsid w:val="00357A80"/>
    <w:rsid w:val="00361B8B"/>
    <w:rsid w:val="00363F39"/>
    <w:rsid w:val="00364AB0"/>
    <w:rsid w:val="00365094"/>
    <w:rsid w:val="003667B0"/>
    <w:rsid w:val="003667DD"/>
    <w:rsid w:val="00366B48"/>
    <w:rsid w:val="00367764"/>
    <w:rsid w:val="00370316"/>
    <w:rsid w:val="00370DC7"/>
    <w:rsid w:val="0037156C"/>
    <w:rsid w:val="00371CBD"/>
    <w:rsid w:val="00373CBE"/>
    <w:rsid w:val="003740CC"/>
    <w:rsid w:val="0037435E"/>
    <w:rsid w:val="00374E79"/>
    <w:rsid w:val="00375388"/>
    <w:rsid w:val="00375FB9"/>
    <w:rsid w:val="00376851"/>
    <w:rsid w:val="00376FA2"/>
    <w:rsid w:val="00377A3B"/>
    <w:rsid w:val="00377E3C"/>
    <w:rsid w:val="00380B5C"/>
    <w:rsid w:val="00380BBE"/>
    <w:rsid w:val="00381D70"/>
    <w:rsid w:val="00382128"/>
    <w:rsid w:val="0038235E"/>
    <w:rsid w:val="003829D0"/>
    <w:rsid w:val="00382FBA"/>
    <w:rsid w:val="0038444F"/>
    <w:rsid w:val="00384E83"/>
    <w:rsid w:val="00387051"/>
    <w:rsid w:val="00387ECF"/>
    <w:rsid w:val="0039021B"/>
    <w:rsid w:val="00390429"/>
    <w:rsid w:val="0039327C"/>
    <w:rsid w:val="003933A2"/>
    <w:rsid w:val="0039366C"/>
    <w:rsid w:val="003938F3"/>
    <w:rsid w:val="00393EC8"/>
    <w:rsid w:val="00395E42"/>
    <w:rsid w:val="00396052"/>
    <w:rsid w:val="00396A2D"/>
    <w:rsid w:val="00396FC3"/>
    <w:rsid w:val="003A1A94"/>
    <w:rsid w:val="003A204E"/>
    <w:rsid w:val="003A2D25"/>
    <w:rsid w:val="003A4DDB"/>
    <w:rsid w:val="003A60E7"/>
    <w:rsid w:val="003B07DF"/>
    <w:rsid w:val="003B0B6A"/>
    <w:rsid w:val="003B0F79"/>
    <w:rsid w:val="003B29CF"/>
    <w:rsid w:val="003B54DF"/>
    <w:rsid w:val="003B6659"/>
    <w:rsid w:val="003B7733"/>
    <w:rsid w:val="003C0166"/>
    <w:rsid w:val="003C21AA"/>
    <w:rsid w:val="003C350C"/>
    <w:rsid w:val="003C3903"/>
    <w:rsid w:val="003C3BA0"/>
    <w:rsid w:val="003C4580"/>
    <w:rsid w:val="003C52D8"/>
    <w:rsid w:val="003C5C5E"/>
    <w:rsid w:val="003C6746"/>
    <w:rsid w:val="003C7133"/>
    <w:rsid w:val="003C7555"/>
    <w:rsid w:val="003C7898"/>
    <w:rsid w:val="003D0FF5"/>
    <w:rsid w:val="003D2D1B"/>
    <w:rsid w:val="003D30AB"/>
    <w:rsid w:val="003D3D94"/>
    <w:rsid w:val="003D48C7"/>
    <w:rsid w:val="003D4C08"/>
    <w:rsid w:val="003D51ED"/>
    <w:rsid w:val="003D7CE8"/>
    <w:rsid w:val="003E1032"/>
    <w:rsid w:val="003E1904"/>
    <w:rsid w:val="003E285E"/>
    <w:rsid w:val="003E3300"/>
    <w:rsid w:val="003E5B89"/>
    <w:rsid w:val="003E6340"/>
    <w:rsid w:val="003E65AC"/>
    <w:rsid w:val="003E6E24"/>
    <w:rsid w:val="003E72B9"/>
    <w:rsid w:val="003E7ED4"/>
    <w:rsid w:val="003F0E52"/>
    <w:rsid w:val="003F0EF2"/>
    <w:rsid w:val="003F0F6B"/>
    <w:rsid w:val="003F1F40"/>
    <w:rsid w:val="003F1FE3"/>
    <w:rsid w:val="003F3865"/>
    <w:rsid w:val="003F3A0A"/>
    <w:rsid w:val="003F4632"/>
    <w:rsid w:val="003F47BA"/>
    <w:rsid w:val="003F5DA1"/>
    <w:rsid w:val="003F6617"/>
    <w:rsid w:val="0040063B"/>
    <w:rsid w:val="00401070"/>
    <w:rsid w:val="00402332"/>
    <w:rsid w:val="004025C2"/>
    <w:rsid w:val="00403E55"/>
    <w:rsid w:val="00404532"/>
    <w:rsid w:val="00404681"/>
    <w:rsid w:val="0040496D"/>
    <w:rsid w:val="00405010"/>
    <w:rsid w:val="0040595A"/>
    <w:rsid w:val="00406923"/>
    <w:rsid w:val="0040713A"/>
    <w:rsid w:val="0040763D"/>
    <w:rsid w:val="004105B0"/>
    <w:rsid w:val="00410EC5"/>
    <w:rsid w:val="00411B1F"/>
    <w:rsid w:val="004133A8"/>
    <w:rsid w:val="00413821"/>
    <w:rsid w:val="00413D43"/>
    <w:rsid w:val="004141A3"/>
    <w:rsid w:val="00414909"/>
    <w:rsid w:val="00415E66"/>
    <w:rsid w:val="00416112"/>
    <w:rsid w:val="00416DF0"/>
    <w:rsid w:val="00417AE0"/>
    <w:rsid w:val="00417BAA"/>
    <w:rsid w:val="00420BA9"/>
    <w:rsid w:val="00420D7A"/>
    <w:rsid w:val="00420D9E"/>
    <w:rsid w:val="004223DE"/>
    <w:rsid w:val="0042293E"/>
    <w:rsid w:val="00422A10"/>
    <w:rsid w:val="00424D17"/>
    <w:rsid w:val="00425DFD"/>
    <w:rsid w:val="004263A3"/>
    <w:rsid w:val="00427713"/>
    <w:rsid w:val="00427CCC"/>
    <w:rsid w:val="0043013A"/>
    <w:rsid w:val="00430421"/>
    <w:rsid w:val="00430B4F"/>
    <w:rsid w:val="004314B1"/>
    <w:rsid w:val="00431E65"/>
    <w:rsid w:val="00432589"/>
    <w:rsid w:val="00432A94"/>
    <w:rsid w:val="00433827"/>
    <w:rsid w:val="00435176"/>
    <w:rsid w:val="004360C8"/>
    <w:rsid w:val="0044006B"/>
    <w:rsid w:val="0044033F"/>
    <w:rsid w:val="00440630"/>
    <w:rsid w:val="00441123"/>
    <w:rsid w:val="0044127B"/>
    <w:rsid w:val="00442095"/>
    <w:rsid w:val="00442965"/>
    <w:rsid w:val="00444157"/>
    <w:rsid w:val="0044417C"/>
    <w:rsid w:val="00444DB3"/>
    <w:rsid w:val="004452B9"/>
    <w:rsid w:val="00445A2F"/>
    <w:rsid w:val="00446328"/>
    <w:rsid w:val="00446341"/>
    <w:rsid w:val="0044684E"/>
    <w:rsid w:val="004479CA"/>
    <w:rsid w:val="004503A4"/>
    <w:rsid w:val="00450555"/>
    <w:rsid w:val="00450DC6"/>
    <w:rsid w:val="004516A5"/>
    <w:rsid w:val="004535AE"/>
    <w:rsid w:val="00453C42"/>
    <w:rsid w:val="0045463A"/>
    <w:rsid w:val="00454AC9"/>
    <w:rsid w:val="004554A3"/>
    <w:rsid w:val="00455A6E"/>
    <w:rsid w:val="004569CD"/>
    <w:rsid w:val="004578EB"/>
    <w:rsid w:val="00460303"/>
    <w:rsid w:val="00460697"/>
    <w:rsid w:val="00462593"/>
    <w:rsid w:val="00465EEF"/>
    <w:rsid w:val="00466D03"/>
    <w:rsid w:val="00466DF6"/>
    <w:rsid w:val="0046711B"/>
    <w:rsid w:val="00467312"/>
    <w:rsid w:val="00471156"/>
    <w:rsid w:val="00472429"/>
    <w:rsid w:val="004725E5"/>
    <w:rsid w:val="004726FE"/>
    <w:rsid w:val="00472751"/>
    <w:rsid w:val="00473128"/>
    <w:rsid w:val="0047470A"/>
    <w:rsid w:val="00475078"/>
    <w:rsid w:val="00475226"/>
    <w:rsid w:val="004779A0"/>
    <w:rsid w:val="004808E3"/>
    <w:rsid w:val="0048097D"/>
    <w:rsid w:val="00481016"/>
    <w:rsid w:val="004814C8"/>
    <w:rsid w:val="004814D3"/>
    <w:rsid w:val="0048204C"/>
    <w:rsid w:val="004821BB"/>
    <w:rsid w:val="00482233"/>
    <w:rsid w:val="004826FE"/>
    <w:rsid w:val="004827D5"/>
    <w:rsid w:val="004830C9"/>
    <w:rsid w:val="00483347"/>
    <w:rsid w:val="00483D06"/>
    <w:rsid w:val="00483E2E"/>
    <w:rsid w:val="00484B69"/>
    <w:rsid w:val="00485406"/>
    <w:rsid w:val="0048590F"/>
    <w:rsid w:val="004867A5"/>
    <w:rsid w:val="00486D60"/>
    <w:rsid w:val="00487C87"/>
    <w:rsid w:val="00492A25"/>
    <w:rsid w:val="0049474A"/>
    <w:rsid w:val="00496350"/>
    <w:rsid w:val="00496F91"/>
    <w:rsid w:val="00497274"/>
    <w:rsid w:val="0049797C"/>
    <w:rsid w:val="00497C2C"/>
    <w:rsid w:val="00497E9D"/>
    <w:rsid w:val="004A036E"/>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3F3A"/>
    <w:rsid w:val="004B4779"/>
    <w:rsid w:val="004B4922"/>
    <w:rsid w:val="004B57DF"/>
    <w:rsid w:val="004C03A0"/>
    <w:rsid w:val="004C2138"/>
    <w:rsid w:val="004C2ED0"/>
    <w:rsid w:val="004C32D4"/>
    <w:rsid w:val="004C3940"/>
    <w:rsid w:val="004C51FD"/>
    <w:rsid w:val="004C65A8"/>
    <w:rsid w:val="004C786C"/>
    <w:rsid w:val="004C7963"/>
    <w:rsid w:val="004D2314"/>
    <w:rsid w:val="004D2F63"/>
    <w:rsid w:val="004D35BA"/>
    <w:rsid w:val="004D4701"/>
    <w:rsid w:val="004D47C7"/>
    <w:rsid w:val="004D5E59"/>
    <w:rsid w:val="004D618D"/>
    <w:rsid w:val="004D6202"/>
    <w:rsid w:val="004D62A9"/>
    <w:rsid w:val="004D6FC3"/>
    <w:rsid w:val="004D7476"/>
    <w:rsid w:val="004E0306"/>
    <w:rsid w:val="004E0572"/>
    <w:rsid w:val="004E0BB5"/>
    <w:rsid w:val="004E25A8"/>
    <w:rsid w:val="004E2AA0"/>
    <w:rsid w:val="004E3930"/>
    <w:rsid w:val="004E3ED9"/>
    <w:rsid w:val="004E5866"/>
    <w:rsid w:val="004E6097"/>
    <w:rsid w:val="004E61EF"/>
    <w:rsid w:val="004E6772"/>
    <w:rsid w:val="004E76A7"/>
    <w:rsid w:val="004E7736"/>
    <w:rsid w:val="004E7B03"/>
    <w:rsid w:val="004F0064"/>
    <w:rsid w:val="004F06AC"/>
    <w:rsid w:val="004F1AE6"/>
    <w:rsid w:val="004F243F"/>
    <w:rsid w:val="004F3E0C"/>
    <w:rsid w:val="004F6929"/>
    <w:rsid w:val="004F6A2D"/>
    <w:rsid w:val="004F7160"/>
    <w:rsid w:val="00500258"/>
    <w:rsid w:val="0050175E"/>
    <w:rsid w:val="00501A99"/>
    <w:rsid w:val="00503180"/>
    <w:rsid w:val="0050417C"/>
    <w:rsid w:val="00505450"/>
    <w:rsid w:val="005100B7"/>
    <w:rsid w:val="005111C2"/>
    <w:rsid w:val="005113C9"/>
    <w:rsid w:val="0051280C"/>
    <w:rsid w:val="00512842"/>
    <w:rsid w:val="005128BE"/>
    <w:rsid w:val="00512B7B"/>
    <w:rsid w:val="00512E6C"/>
    <w:rsid w:val="0051356F"/>
    <w:rsid w:val="00513E7C"/>
    <w:rsid w:val="005140BB"/>
    <w:rsid w:val="005143C2"/>
    <w:rsid w:val="00514FD9"/>
    <w:rsid w:val="0051518F"/>
    <w:rsid w:val="0051608F"/>
    <w:rsid w:val="005165E9"/>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0F9E"/>
    <w:rsid w:val="0053274E"/>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56A5"/>
    <w:rsid w:val="00556BF7"/>
    <w:rsid w:val="00560102"/>
    <w:rsid w:val="00560DB5"/>
    <w:rsid w:val="00562149"/>
    <w:rsid w:val="005630D8"/>
    <w:rsid w:val="00563FFD"/>
    <w:rsid w:val="00565855"/>
    <w:rsid w:val="005677CE"/>
    <w:rsid w:val="00567B5D"/>
    <w:rsid w:val="00570445"/>
    <w:rsid w:val="00572E9A"/>
    <w:rsid w:val="00573733"/>
    <w:rsid w:val="00574554"/>
    <w:rsid w:val="00576089"/>
    <w:rsid w:val="005764B1"/>
    <w:rsid w:val="00576A56"/>
    <w:rsid w:val="00576D06"/>
    <w:rsid w:val="005777CA"/>
    <w:rsid w:val="005779E4"/>
    <w:rsid w:val="00580AC5"/>
    <w:rsid w:val="005815E5"/>
    <w:rsid w:val="0058289C"/>
    <w:rsid w:val="00582C35"/>
    <w:rsid w:val="00582DC6"/>
    <w:rsid w:val="005836C7"/>
    <w:rsid w:val="0058408E"/>
    <w:rsid w:val="00585374"/>
    <w:rsid w:val="005876DF"/>
    <w:rsid w:val="0058789A"/>
    <w:rsid w:val="00590B77"/>
    <w:rsid w:val="005910FA"/>
    <w:rsid w:val="005913A3"/>
    <w:rsid w:val="00591DCD"/>
    <w:rsid w:val="00594A7B"/>
    <w:rsid w:val="00594AFA"/>
    <w:rsid w:val="0059580E"/>
    <w:rsid w:val="00596A6F"/>
    <w:rsid w:val="005976E1"/>
    <w:rsid w:val="005A0541"/>
    <w:rsid w:val="005A0D64"/>
    <w:rsid w:val="005A1525"/>
    <w:rsid w:val="005A1EC3"/>
    <w:rsid w:val="005A252B"/>
    <w:rsid w:val="005A2A71"/>
    <w:rsid w:val="005A3204"/>
    <w:rsid w:val="005A3341"/>
    <w:rsid w:val="005A46EC"/>
    <w:rsid w:val="005A4847"/>
    <w:rsid w:val="005A494F"/>
    <w:rsid w:val="005B0160"/>
    <w:rsid w:val="005B0185"/>
    <w:rsid w:val="005B07EC"/>
    <w:rsid w:val="005B09D8"/>
    <w:rsid w:val="005B24F3"/>
    <w:rsid w:val="005B2B11"/>
    <w:rsid w:val="005B2E00"/>
    <w:rsid w:val="005B370E"/>
    <w:rsid w:val="005B4DA3"/>
    <w:rsid w:val="005B5B71"/>
    <w:rsid w:val="005B5BEE"/>
    <w:rsid w:val="005B7784"/>
    <w:rsid w:val="005B77D2"/>
    <w:rsid w:val="005C019B"/>
    <w:rsid w:val="005C144E"/>
    <w:rsid w:val="005C1625"/>
    <w:rsid w:val="005C30F5"/>
    <w:rsid w:val="005C357E"/>
    <w:rsid w:val="005C51A5"/>
    <w:rsid w:val="005C557A"/>
    <w:rsid w:val="005C5A03"/>
    <w:rsid w:val="005C61DD"/>
    <w:rsid w:val="005C6438"/>
    <w:rsid w:val="005C6B8B"/>
    <w:rsid w:val="005D02E3"/>
    <w:rsid w:val="005D1F34"/>
    <w:rsid w:val="005D2529"/>
    <w:rsid w:val="005D25BF"/>
    <w:rsid w:val="005D2C1F"/>
    <w:rsid w:val="005D34B2"/>
    <w:rsid w:val="005D3B54"/>
    <w:rsid w:val="005D40CD"/>
    <w:rsid w:val="005D6B59"/>
    <w:rsid w:val="005D7037"/>
    <w:rsid w:val="005E03E4"/>
    <w:rsid w:val="005E0454"/>
    <w:rsid w:val="005E171D"/>
    <w:rsid w:val="005E34C2"/>
    <w:rsid w:val="005E35C6"/>
    <w:rsid w:val="005E5B01"/>
    <w:rsid w:val="005E7933"/>
    <w:rsid w:val="005E7E0B"/>
    <w:rsid w:val="005F009E"/>
    <w:rsid w:val="005F080C"/>
    <w:rsid w:val="005F0A88"/>
    <w:rsid w:val="005F0DF1"/>
    <w:rsid w:val="005F1516"/>
    <w:rsid w:val="005F229E"/>
    <w:rsid w:val="005F2564"/>
    <w:rsid w:val="005F3822"/>
    <w:rsid w:val="005F3E0B"/>
    <w:rsid w:val="005F4D16"/>
    <w:rsid w:val="005F4E52"/>
    <w:rsid w:val="005F5967"/>
    <w:rsid w:val="005F77C8"/>
    <w:rsid w:val="0060058E"/>
    <w:rsid w:val="00602A3C"/>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8C7"/>
    <w:rsid w:val="00614E91"/>
    <w:rsid w:val="006150D6"/>
    <w:rsid w:val="00617EEE"/>
    <w:rsid w:val="006210FE"/>
    <w:rsid w:val="00622811"/>
    <w:rsid w:val="00622894"/>
    <w:rsid w:val="00622BB7"/>
    <w:rsid w:val="00622F3B"/>
    <w:rsid w:val="00623389"/>
    <w:rsid w:val="0062352A"/>
    <w:rsid w:val="00625E45"/>
    <w:rsid w:val="006265C4"/>
    <w:rsid w:val="00627383"/>
    <w:rsid w:val="00627733"/>
    <w:rsid w:val="006301BB"/>
    <w:rsid w:val="00632605"/>
    <w:rsid w:val="00633F8D"/>
    <w:rsid w:val="006341EF"/>
    <w:rsid w:val="00634BED"/>
    <w:rsid w:val="00635A4A"/>
    <w:rsid w:val="00635FB9"/>
    <w:rsid w:val="00637774"/>
    <w:rsid w:val="0064024C"/>
    <w:rsid w:val="00640291"/>
    <w:rsid w:val="00641FAC"/>
    <w:rsid w:val="006432A5"/>
    <w:rsid w:val="00643664"/>
    <w:rsid w:val="00643CAA"/>
    <w:rsid w:val="0064448B"/>
    <w:rsid w:val="00652137"/>
    <w:rsid w:val="00652680"/>
    <w:rsid w:val="00652A09"/>
    <w:rsid w:val="006530A1"/>
    <w:rsid w:val="00653CDE"/>
    <w:rsid w:val="006540B4"/>
    <w:rsid w:val="0065636A"/>
    <w:rsid w:val="00656C3C"/>
    <w:rsid w:val="00657003"/>
    <w:rsid w:val="00657126"/>
    <w:rsid w:val="006572C1"/>
    <w:rsid w:val="00660238"/>
    <w:rsid w:val="006602EF"/>
    <w:rsid w:val="00661277"/>
    <w:rsid w:val="006616FE"/>
    <w:rsid w:val="006619D1"/>
    <w:rsid w:val="00663FEA"/>
    <w:rsid w:val="00664253"/>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E78"/>
    <w:rsid w:val="00682F28"/>
    <w:rsid w:val="00684842"/>
    <w:rsid w:val="00685BD6"/>
    <w:rsid w:val="006878A6"/>
    <w:rsid w:val="00690437"/>
    <w:rsid w:val="00690E65"/>
    <w:rsid w:val="0069188E"/>
    <w:rsid w:val="00691974"/>
    <w:rsid w:val="00691A3F"/>
    <w:rsid w:val="00692CE6"/>
    <w:rsid w:val="00693B6C"/>
    <w:rsid w:val="006942AE"/>
    <w:rsid w:val="0069483C"/>
    <w:rsid w:val="00695421"/>
    <w:rsid w:val="00695AE4"/>
    <w:rsid w:val="00696D4B"/>
    <w:rsid w:val="00697BD3"/>
    <w:rsid w:val="00697DFA"/>
    <w:rsid w:val="006A10F3"/>
    <w:rsid w:val="006A16D5"/>
    <w:rsid w:val="006A1772"/>
    <w:rsid w:val="006A1780"/>
    <w:rsid w:val="006A25A5"/>
    <w:rsid w:val="006A2790"/>
    <w:rsid w:val="006A3CEC"/>
    <w:rsid w:val="006A3F75"/>
    <w:rsid w:val="006A4FB3"/>
    <w:rsid w:val="006A5A3E"/>
    <w:rsid w:val="006A6CA7"/>
    <w:rsid w:val="006A703E"/>
    <w:rsid w:val="006A7BE3"/>
    <w:rsid w:val="006B01D1"/>
    <w:rsid w:val="006B16EA"/>
    <w:rsid w:val="006B1780"/>
    <w:rsid w:val="006B224E"/>
    <w:rsid w:val="006B362D"/>
    <w:rsid w:val="006B376E"/>
    <w:rsid w:val="006B4589"/>
    <w:rsid w:val="006B6805"/>
    <w:rsid w:val="006B6BBE"/>
    <w:rsid w:val="006B6DE0"/>
    <w:rsid w:val="006B7D5F"/>
    <w:rsid w:val="006C32F4"/>
    <w:rsid w:val="006C3382"/>
    <w:rsid w:val="006C3C54"/>
    <w:rsid w:val="006C40F4"/>
    <w:rsid w:val="006C427B"/>
    <w:rsid w:val="006C4F9F"/>
    <w:rsid w:val="006C61AB"/>
    <w:rsid w:val="006C650D"/>
    <w:rsid w:val="006C748D"/>
    <w:rsid w:val="006D0C1D"/>
    <w:rsid w:val="006D0CE1"/>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E7ABC"/>
    <w:rsid w:val="006F0760"/>
    <w:rsid w:val="006F0FF1"/>
    <w:rsid w:val="006F11E2"/>
    <w:rsid w:val="006F12F5"/>
    <w:rsid w:val="006F2574"/>
    <w:rsid w:val="006F3231"/>
    <w:rsid w:val="006F3582"/>
    <w:rsid w:val="006F3DE3"/>
    <w:rsid w:val="006F511F"/>
    <w:rsid w:val="006F61D8"/>
    <w:rsid w:val="006F62B7"/>
    <w:rsid w:val="006F70BC"/>
    <w:rsid w:val="006F713A"/>
    <w:rsid w:val="006F76BF"/>
    <w:rsid w:val="00705161"/>
    <w:rsid w:val="007066A4"/>
    <w:rsid w:val="00706F37"/>
    <w:rsid w:val="00707D09"/>
    <w:rsid w:val="0071209F"/>
    <w:rsid w:val="007125A2"/>
    <w:rsid w:val="00713F79"/>
    <w:rsid w:val="007148A8"/>
    <w:rsid w:val="00715C48"/>
    <w:rsid w:val="007171E0"/>
    <w:rsid w:val="00717C40"/>
    <w:rsid w:val="0072033C"/>
    <w:rsid w:val="00720B1B"/>
    <w:rsid w:val="00721062"/>
    <w:rsid w:val="00721E5D"/>
    <w:rsid w:val="007229D4"/>
    <w:rsid w:val="007230F8"/>
    <w:rsid w:val="007233F4"/>
    <w:rsid w:val="00723646"/>
    <w:rsid w:val="00724044"/>
    <w:rsid w:val="007244E1"/>
    <w:rsid w:val="007248D3"/>
    <w:rsid w:val="00725137"/>
    <w:rsid w:val="007263ED"/>
    <w:rsid w:val="00727A43"/>
    <w:rsid w:val="00727FF2"/>
    <w:rsid w:val="007323E0"/>
    <w:rsid w:val="00733791"/>
    <w:rsid w:val="00733857"/>
    <w:rsid w:val="00733DE2"/>
    <w:rsid w:val="007346E7"/>
    <w:rsid w:val="007352EA"/>
    <w:rsid w:val="007364E5"/>
    <w:rsid w:val="0073792F"/>
    <w:rsid w:val="00740DA6"/>
    <w:rsid w:val="00741A0E"/>
    <w:rsid w:val="00741D1E"/>
    <w:rsid w:val="00741EE2"/>
    <w:rsid w:val="00742367"/>
    <w:rsid w:val="00742EAA"/>
    <w:rsid w:val="00743818"/>
    <w:rsid w:val="007439E2"/>
    <w:rsid w:val="00743E9C"/>
    <w:rsid w:val="007441FB"/>
    <w:rsid w:val="00744517"/>
    <w:rsid w:val="00744810"/>
    <w:rsid w:val="00747079"/>
    <w:rsid w:val="007476CA"/>
    <w:rsid w:val="00747DE2"/>
    <w:rsid w:val="007504BF"/>
    <w:rsid w:val="007506CD"/>
    <w:rsid w:val="0075267F"/>
    <w:rsid w:val="007526EC"/>
    <w:rsid w:val="0075310C"/>
    <w:rsid w:val="00753347"/>
    <w:rsid w:val="00753C48"/>
    <w:rsid w:val="007545C1"/>
    <w:rsid w:val="00754C97"/>
    <w:rsid w:val="00754FE4"/>
    <w:rsid w:val="00755538"/>
    <w:rsid w:val="00756236"/>
    <w:rsid w:val="00756271"/>
    <w:rsid w:val="00756521"/>
    <w:rsid w:val="00756AB7"/>
    <w:rsid w:val="00757BCC"/>
    <w:rsid w:val="00760477"/>
    <w:rsid w:val="00761AF4"/>
    <w:rsid w:val="00762071"/>
    <w:rsid w:val="007623FB"/>
    <w:rsid w:val="0076376A"/>
    <w:rsid w:val="007646B9"/>
    <w:rsid w:val="0076500F"/>
    <w:rsid w:val="0076504E"/>
    <w:rsid w:val="00765D24"/>
    <w:rsid w:val="00765E6A"/>
    <w:rsid w:val="007664E0"/>
    <w:rsid w:val="00767EA0"/>
    <w:rsid w:val="0077068F"/>
    <w:rsid w:val="0077408D"/>
    <w:rsid w:val="00774270"/>
    <w:rsid w:val="00775679"/>
    <w:rsid w:val="00775803"/>
    <w:rsid w:val="00777B32"/>
    <w:rsid w:val="0078051E"/>
    <w:rsid w:val="00781FDD"/>
    <w:rsid w:val="00782A9F"/>
    <w:rsid w:val="0078508A"/>
    <w:rsid w:val="00786D5C"/>
    <w:rsid w:val="00786E96"/>
    <w:rsid w:val="00787F93"/>
    <w:rsid w:val="007907CA"/>
    <w:rsid w:val="00791E6D"/>
    <w:rsid w:val="007928DC"/>
    <w:rsid w:val="00792E53"/>
    <w:rsid w:val="007933DF"/>
    <w:rsid w:val="007939CC"/>
    <w:rsid w:val="00796FB8"/>
    <w:rsid w:val="007A11C2"/>
    <w:rsid w:val="007A2367"/>
    <w:rsid w:val="007A41BF"/>
    <w:rsid w:val="007A490A"/>
    <w:rsid w:val="007A581D"/>
    <w:rsid w:val="007A7B95"/>
    <w:rsid w:val="007B0297"/>
    <w:rsid w:val="007B0F53"/>
    <w:rsid w:val="007B1DD8"/>
    <w:rsid w:val="007B21AE"/>
    <w:rsid w:val="007B2570"/>
    <w:rsid w:val="007B3113"/>
    <w:rsid w:val="007B3304"/>
    <w:rsid w:val="007B332B"/>
    <w:rsid w:val="007B394D"/>
    <w:rsid w:val="007B6423"/>
    <w:rsid w:val="007B7490"/>
    <w:rsid w:val="007B774A"/>
    <w:rsid w:val="007C0525"/>
    <w:rsid w:val="007C0B56"/>
    <w:rsid w:val="007C13F7"/>
    <w:rsid w:val="007C218D"/>
    <w:rsid w:val="007C2D28"/>
    <w:rsid w:val="007C3E22"/>
    <w:rsid w:val="007C67C6"/>
    <w:rsid w:val="007C707A"/>
    <w:rsid w:val="007C7E59"/>
    <w:rsid w:val="007D0B91"/>
    <w:rsid w:val="007D1452"/>
    <w:rsid w:val="007D1E29"/>
    <w:rsid w:val="007D460C"/>
    <w:rsid w:val="007D4AD3"/>
    <w:rsid w:val="007D4C8D"/>
    <w:rsid w:val="007D5AA9"/>
    <w:rsid w:val="007D5D19"/>
    <w:rsid w:val="007D5FDC"/>
    <w:rsid w:val="007D6D68"/>
    <w:rsid w:val="007E01DA"/>
    <w:rsid w:val="007E1603"/>
    <w:rsid w:val="007E2E85"/>
    <w:rsid w:val="007E32DA"/>
    <w:rsid w:val="007E3FFB"/>
    <w:rsid w:val="007E4998"/>
    <w:rsid w:val="007E4A9C"/>
    <w:rsid w:val="007E6914"/>
    <w:rsid w:val="007E7F78"/>
    <w:rsid w:val="007F0C8B"/>
    <w:rsid w:val="007F1517"/>
    <w:rsid w:val="007F1D44"/>
    <w:rsid w:val="007F2C13"/>
    <w:rsid w:val="007F2CEC"/>
    <w:rsid w:val="007F4949"/>
    <w:rsid w:val="007F55DE"/>
    <w:rsid w:val="007F5605"/>
    <w:rsid w:val="007F6147"/>
    <w:rsid w:val="007F78FF"/>
    <w:rsid w:val="00800F6C"/>
    <w:rsid w:val="008025BE"/>
    <w:rsid w:val="00804C86"/>
    <w:rsid w:val="008051FC"/>
    <w:rsid w:val="008055A9"/>
    <w:rsid w:val="008070EB"/>
    <w:rsid w:val="00807376"/>
    <w:rsid w:val="00810B0E"/>
    <w:rsid w:val="00810E8E"/>
    <w:rsid w:val="0081142D"/>
    <w:rsid w:val="00812462"/>
    <w:rsid w:val="008126E2"/>
    <w:rsid w:val="0081481D"/>
    <w:rsid w:val="00814BE8"/>
    <w:rsid w:val="00814F6E"/>
    <w:rsid w:val="00815B84"/>
    <w:rsid w:val="00821A3D"/>
    <w:rsid w:val="00821B06"/>
    <w:rsid w:val="00822037"/>
    <w:rsid w:val="00822634"/>
    <w:rsid w:val="00823FC6"/>
    <w:rsid w:val="00823FFC"/>
    <w:rsid w:val="00824811"/>
    <w:rsid w:val="00825C74"/>
    <w:rsid w:val="00826AB9"/>
    <w:rsid w:val="00826E0E"/>
    <w:rsid w:val="0082731F"/>
    <w:rsid w:val="00827D11"/>
    <w:rsid w:val="00827E0F"/>
    <w:rsid w:val="00827F6E"/>
    <w:rsid w:val="00831758"/>
    <w:rsid w:val="00831977"/>
    <w:rsid w:val="0083279F"/>
    <w:rsid w:val="00833B7F"/>
    <w:rsid w:val="00834906"/>
    <w:rsid w:val="00836075"/>
    <w:rsid w:val="00836417"/>
    <w:rsid w:val="00837CA6"/>
    <w:rsid w:val="008411F9"/>
    <w:rsid w:val="008413AB"/>
    <w:rsid w:val="00842D10"/>
    <w:rsid w:val="0084322B"/>
    <w:rsid w:val="00843B93"/>
    <w:rsid w:val="00843F81"/>
    <w:rsid w:val="00844087"/>
    <w:rsid w:val="0084519E"/>
    <w:rsid w:val="00846370"/>
    <w:rsid w:val="00847C2B"/>
    <w:rsid w:val="00851A7C"/>
    <w:rsid w:val="0085270D"/>
    <w:rsid w:val="008532BF"/>
    <w:rsid w:val="00853BF4"/>
    <w:rsid w:val="00854294"/>
    <w:rsid w:val="008555FB"/>
    <w:rsid w:val="0085788B"/>
    <w:rsid w:val="00857941"/>
    <w:rsid w:val="00857A9E"/>
    <w:rsid w:val="00857DE2"/>
    <w:rsid w:val="00863E7D"/>
    <w:rsid w:val="0086407F"/>
    <w:rsid w:val="00864E79"/>
    <w:rsid w:val="00866111"/>
    <w:rsid w:val="0086661F"/>
    <w:rsid w:val="00866A0D"/>
    <w:rsid w:val="00866DB5"/>
    <w:rsid w:val="0086784E"/>
    <w:rsid w:val="00867AF1"/>
    <w:rsid w:val="008720B3"/>
    <w:rsid w:val="00872118"/>
    <w:rsid w:val="00872827"/>
    <w:rsid w:val="00872A32"/>
    <w:rsid w:val="00874ECA"/>
    <w:rsid w:val="00876EAE"/>
    <w:rsid w:val="00880386"/>
    <w:rsid w:val="00880F95"/>
    <w:rsid w:val="00882B44"/>
    <w:rsid w:val="00882FE5"/>
    <w:rsid w:val="00886138"/>
    <w:rsid w:val="00886E66"/>
    <w:rsid w:val="00887109"/>
    <w:rsid w:val="008871B0"/>
    <w:rsid w:val="008912F5"/>
    <w:rsid w:val="0089217C"/>
    <w:rsid w:val="008928A1"/>
    <w:rsid w:val="00893671"/>
    <w:rsid w:val="00895838"/>
    <w:rsid w:val="00895A72"/>
    <w:rsid w:val="00895CDF"/>
    <w:rsid w:val="008968C7"/>
    <w:rsid w:val="00897A55"/>
    <w:rsid w:val="008A0FC9"/>
    <w:rsid w:val="008A1956"/>
    <w:rsid w:val="008A40D3"/>
    <w:rsid w:val="008A469C"/>
    <w:rsid w:val="008A484A"/>
    <w:rsid w:val="008A5877"/>
    <w:rsid w:val="008A6539"/>
    <w:rsid w:val="008A701C"/>
    <w:rsid w:val="008B05DD"/>
    <w:rsid w:val="008B17E8"/>
    <w:rsid w:val="008B266C"/>
    <w:rsid w:val="008B2D03"/>
    <w:rsid w:val="008B2E7C"/>
    <w:rsid w:val="008B42AB"/>
    <w:rsid w:val="008B45A7"/>
    <w:rsid w:val="008B4A70"/>
    <w:rsid w:val="008B502F"/>
    <w:rsid w:val="008B5142"/>
    <w:rsid w:val="008B6AFE"/>
    <w:rsid w:val="008B7034"/>
    <w:rsid w:val="008B7227"/>
    <w:rsid w:val="008C191C"/>
    <w:rsid w:val="008C1DA4"/>
    <w:rsid w:val="008C2CD5"/>
    <w:rsid w:val="008C2E29"/>
    <w:rsid w:val="008C32B7"/>
    <w:rsid w:val="008C3618"/>
    <w:rsid w:val="008C3F20"/>
    <w:rsid w:val="008C43AD"/>
    <w:rsid w:val="008C59FB"/>
    <w:rsid w:val="008C6687"/>
    <w:rsid w:val="008C68F0"/>
    <w:rsid w:val="008C6F92"/>
    <w:rsid w:val="008C731F"/>
    <w:rsid w:val="008C74D9"/>
    <w:rsid w:val="008C79C3"/>
    <w:rsid w:val="008C7A47"/>
    <w:rsid w:val="008D0170"/>
    <w:rsid w:val="008D1052"/>
    <w:rsid w:val="008D124C"/>
    <w:rsid w:val="008D1983"/>
    <w:rsid w:val="008D1BB3"/>
    <w:rsid w:val="008D1C32"/>
    <w:rsid w:val="008D22AE"/>
    <w:rsid w:val="008D234A"/>
    <w:rsid w:val="008D566C"/>
    <w:rsid w:val="008D58D9"/>
    <w:rsid w:val="008D66EA"/>
    <w:rsid w:val="008D6E59"/>
    <w:rsid w:val="008D7155"/>
    <w:rsid w:val="008D7DE4"/>
    <w:rsid w:val="008E09B3"/>
    <w:rsid w:val="008E141A"/>
    <w:rsid w:val="008E1A44"/>
    <w:rsid w:val="008E28E6"/>
    <w:rsid w:val="008E2B60"/>
    <w:rsid w:val="008E3232"/>
    <w:rsid w:val="008E3674"/>
    <w:rsid w:val="008E3B6C"/>
    <w:rsid w:val="008E688C"/>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42"/>
    <w:rsid w:val="0090034B"/>
    <w:rsid w:val="00902623"/>
    <w:rsid w:val="00902890"/>
    <w:rsid w:val="00904BE4"/>
    <w:rsid w:val="0090504A"/>
    <w:rsid w:val="00905D7E"/>
    <w:rsid w:val="009063B7"/>
    <w:rsid w:val="00907037"/>
    <w:rsid w:val="0091160A"/>
    <w:rsid w:val="00912838"/>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065F"/>
    <w:rsid w:val="009313DD"/>
    <w:rsid w:val="00931BDE"/>
    <w:rsid w:val="009321B1"/>
    <w:rsid w:val="00932ED7"/>
    <w:rsid w:val="0093357E"/>
    <w:rsid w:val="0093422D"/>
    <w:rsid w:val="00934DD7"/>
    <w:rsid w:val="009369A9"/>
    <w:rsid w:val="00936CF7"/>
    <w:rsid w:val="00937201"/>
    <w:rsid w:val="0093734A"/>
    <w:rsid w:val="00937783"/>
    <w:rsid w:val="00937D89"/>
    <w:rsid w:val="00940FE1"/>
    <w:rsid w:val="00942306"/>
    <w:rsid w:val="009424B8"/>
    <w:rsid w:val="009433A4"/>
    <w:rsid w:val="00943D88"/>
    <w:rsid w:val="0094435B"/>
    <w:rsid w:val="00944668"/>
    <w:rsid w:val="00944DC6"/>
    <w:rsid w:val="0094537D"/>
    <w:rsid w:val="0094573F"/>
    <w:rsid w:val="009458B0"/>
    <w:rsid w:val="00945B52"/>
    <w:rsid w:val="00945DC0"/>
    <w:rsid w:val="00945F05"/>
    <w:rsid w:val="00946348"/>
    <w:rsid w:val="009471AD"/>
    <w:rsid w:val="009478A2"/>
    <w:rsid w:val="0095053B"/>
    <w:rsid w:val="0095074A"/>
    <w:rsid w:val="009512AB"/>
    <w:rsid w:val="00952DE9"/>
    <w:rsid w:val="00955643"/>
    <w:rsid w:val="00955FBB"/>
    <w:rsid w:val="0095694B"/>
    <w:rsid w:val="00956BD5"/>
    <w:rsid w:val="009574BB"/>
    <w:rsid w:val="009577B5"/>
    <w:rsid w:val="009608E6"/>
    <w:rsid w:val="009609E4"/>
    <w:rsid w:val="00961779"/>
    <w:rsid w:val="00962EB1"/>
    <w:rsid w:val="00966522"/>
    <w:rsid w:val="00967D3F"/>
    <w:rsid w:val="00967E78"/>
    <w:rsid w:val="00970D7E"/>
    <w:rsid w:val="00970F18"/>
    <w:rsid w:val="00971CF1"/>
    <w:rsid w:val="009721E9"/>
    <w:rsid w:val="00972A58"/>
    <w:rsid w:val="00973772"/>
    <w:rsid w:val="0097451E"/>
    <w:rsid w:val="00975E1E"/>
    <w:rsid w:val="00975E70"/>
    <w:rsid w:val="00977CD6"/>
    <w:rsid w:val="00982481"/>
    <w:rsid w:val="00982D26"/>
    <w:rsid w:val="0098330E"/>
    <w:rsid w:val="009849E9"/>
    <w:rsid w:val="0098606E"/>
    <w:rsid w:val="00987812"/>
    <w:rsid w:val="00990225"/>
    <w:rsid w:val="0099244B"/>
    <w:rsid w:val="009947B6"/>
    <w:rsid w:val="00995150"/>
    <w:rsid w:val="009957F3"/>
    <w:rsid w:val="00995D67"/>
    <w:rsid w:val="009970BF"/>
    <w:rsid w:val="009A013B"/>
    <w:rsid w:val="009A02F4"/>
    <w:rsid w:val="009A1F12"/>
    <w:rsid w:val="009A2494"/>
    <w:rsid w:val="009A26CA"/>
    <w:rsid w:val="009A36F2"/>
    <w:rsid w:val="009A5749"/>
    <w:rsid w:val="009A57D0"/>
    <w:rsid w:val="009A6559"/>
    <w:rsid w:val="009A68FC"/>
    <w:rsid w:val="009A7514"/>
    <w:rsid w:val="009A7E7A"/>
    <w:rsid w:val="009B0568"/>
    <w:rsid w:val="009B1584"/>
    <w:rsid w:val="009B2469"/>
    <w:rsid w:val="009B314F"/>
    <w:rsid w:val="009B439C"/>
    <w:rsid w:val="009B4A6C"/>
    <w:rsid w:val="009B5777"/>
    <w:rsid w:val="009B5779"/>
    <w:rsid w:val="009B6753"/>
    <w:rsid w:val="009B6A26"/>
    <w:rsid w:val="009C079D"/>
    <w:rsid w:val="009C0D70"/>
    <w:rsid w:val="009C13D1"/>
    <w:rsid w:val="009C2913"/>
    <w:rsid w:val="009C3008"/>
    <w:rsid w:val="009C365F"/>
    <w:rsid w:val="009C5AFE"/>
    <w:rsid w:val="009C6606"/>
    <w:rsid w:val="009C6CE5"/>
    <w:rsid w:val="009C6D50"/>
    <w:rsid w:val="009C7547"/>
    <w:rsid w:val="009D1678"/>
    <w:rsid w:val="009D1693"/>
    <w:rsid w:val="009D1C49"/>
    <w:rsid w:val="009D2721"/>
    <w:rsid w:val="009D2F60"/>
    <w:rsid w:val="009D338C"/>
    <w:rsid w:val="009D3D0D"/>
    <w:rsid w:val="009D5BAC"/>
    <w:rsid w:val="009D64BD"/>
    <w:rsid w:val="009D7B2F"/>
    <w:rsid w:val="009D7B6C"/>
    <w:rsid w:val="009D7F83"/>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2E26"/>
    <w:rsid w:val="009F4FCF"/>
    <w:rsid w:val="009F5DE2"/>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427"/>
    <w:rsid w:val="00A075A9"/>
    <w:rsid w:val="00A077E2"/>
    <w:rsid w:val="00A11042"/>
    <w:rsid w:val="00A133D8"/>
    <w:rsid w:val="00A14E97"/>
    <w:rsid w:val="00A20069"/>
    <w:rsid w:val="00A20280"/>
    <w:rsid w:val="00A2244D"/>
    <w:rsid w:val="00A2253D"/>
    <w:rsid w:val="00A22AEC"/>
    <w:rsid w:val="00A2418A"/>
    <w:rsid w:val="00A247B8"/>
    <w:rsid w:val="00A24D39"/>
    <w:rsid w:val="00A24D8F"/>
    <w:rsid w:val="00A25B8B"/>
    <w:rsid w:val="00A269C3"/>
    <w:rsid w:val="00A26ECA"/>
    <w:rsid w:val="00A317A5"/>
    <w:rsid w:val="00A324C1"/>
    <w:rsid w:val="00A337DB"/>
    <w:rsid w:val="00A3467F"/>
    <w:rsid w:val="00A3551A"/>
    <w:rsid w:val="00A376E8"/>
    <w:rsid w:val="00A37E69"/>
    <w:rsid w:val="00A37F8E"/>
    <w:rsid w:val="00A41737"/>
    <w:rsid w:val="00A42B8F"/>
    <w:rsid w:val="00A43254"/>
    <w:rsid w:val="00A43896"/>
    <w:rsid w:val="00A43A26"/>
    <w:rsid w:val="00A447A0"/>
    <w:rsid w:val="00A459F5"/>
    <w:rsid w:val="00A45FC0"/>
    <w:rsid w:val="00A46B32"/>
    <w:rsid w:val="00A478D2"/>
    <w:rsid w:val="00A47ECC"/>
    <w:rsid w:val="00A5008C"/>
    <w:rsid w:val="00A50171"/>
    <w:rsid w:val="00A5102E"/>
    <w:rsid w:val="00A51083"/>
    <w:rsid w:val="00A5132E"/>
    <w:rsid w:val="00A51533"/>
    <w:rsid w:val="00A51E68"/>
    <w:rsid w:val="00A52F3B"/>
    <w:rsid w:val="00A531D4"/>
    <w:rsid w:val="00A55ACD"/>
    <w:rsid w:val="00A55CFA"/>
    <w:rsid w:val="00A575B8"/>
    <w:rsid w:val="00A61E3B"/>
    <w:rsid w:val="00A647B1"/>
    <w:rsid w:val="00A64DEF"/>
    <w:rsid w:val="00A65E4E"/>
    <w:rsid w:val="00A665DF"/>
    <w:rsid w:val="00A67F1B"/>
    <w:rsid w:val="00A67FCC"/>
    <w:rsid w:val="00A709F3"/>
    <w:rsid w:val="00A716DC"/>
    <w:rsid w:val="00A720AF"/>
    <w:rsid w:val="00A7217B"/>
    <w:rsid w:val="00A7293E"/>
    <w:rsid w:val="00A72EE4"/>
    <w:rsid w:val="00A73067"/>
    <w:rsid w:val="00A737C4"/>
    <w:rsid w:val="00A739A6"/>
    <w:rsid w:val="00A73C3B"/>
    <w:rsid w:val="00A75EF9"/>
    <w:rsid w:val="00A76BC9"/>
    <w:rsid w:val="00A77566"/>
    <w:rsid w:val="00A80563"/>
    <w:rsid w:val="00A8311C"/>
    <w:rsid w:val="00A84BC8"/>
    <w:rsid w:val="00A84C5F"/>
    <w:rsid w:val="00A85D91"/>
    <w:rsid w:val="00A86973"/>
    <w:rsid w:val="00A8721F"/>
    <w:rsid w:val="00A8740B"/>
    <w:rsid w:val="00A87519"/>
    <w:rsid w:val="00A905A2"/>
    <w:rsid w:val="00A9246D"/>
    <w:rsid w:val="00A93644"/>
    <w:rsid w:val="00A93BD0"/>
    <w:rsid w:val="00A944A1"/>
    <w:rsid w:val="00A95D69"/>
    <w:rsid w:val="00A975A4"/>
    <w:rsid w:val="00A977B3"/>
    <w:rsid w:val="00A97DC8"/>
    <w:rsid w:val="00AA2001"/>
    <w:rsid w:val="00AA2B5C"/>
    <w:rsid w:val="00AA4E59"/>
    <w:rsid w:val="00AA5328"/>
    <w:rsid w:val="00AA5393"/>
    <w:rsid w:val="00AA63D4"/>
    <w:rsid w:val="00AA6767"/>
    <w:rsid w:val="00AB03FD"/>
    <w:rsid w:val="00AB38CB"/>
    <w:rsid w:val="00AB3BEC"/>
    <w:rsid w:val="00AB44E4"/>
    <w:rsid w:val="00AB4AEB"/>
    <w:rsid w:val="00AB5352"/>
    <w:rsid w:val="00AB56AE"/>
    <w:rsid w:val="00AB62D5"/>
    <w:rsid w:val="00AB65B5"/>
    <w:rsid w:val="00AB6DCD"/>
    <w:rsid w:val="00AB6EE0"/>
    <w:rsid w:val="00AC2DFD"/>
    <w:rsid w:val="00AC352D"/>
    <w:rsid w:val="00AC40B7"/>
    <w:rsid w:val="00AC5122"/>
    <w:rsid w:val="00AC531F"/>
    <w:rsid w:val="00AC6121"/>
    <w:rsid w:val="00AC626D"/>
    <w:rsid w:val="00AC6CB1"/>
    <w:rsid w:val="00AC79DA"/>
    <w:rsid w:val="00AD0091"/>
    <w:rsid w:val="00AD23D8"/>
    <w:rsid w:val="00AD23EF"/>
    <w:rsid w:val="00AD307B"/>
    <w:rsid w:val="00AD31F9"/>
    <w:rsid w:val="00AD41B3"/>
    <w:rsid w:val="00AD4B31"/>
    <w:rsid w:val="00AD4C48"/>
    <w:rsid w:val="00AD57AF"/>
    <w:rsid w:val="00AD6267"/>
    <w:rsid w:val="00AD7317"/>
    <w:rsid w:val="00AE01A8"/>
    <w:rsid w:val="00AE069F"/>
    <w:rsid w:val="00AE0CBD"/>
    <w:rsid w:val="00AE123A"/>
    <w:rsid w:val="00AE28A7"/>
    <w:rsid w:val="00AE33A6"/>
    <w:rsid w:val="00AE3715"/>
    <w:rsid w:val="00AE3729"/>
    <w:rsid w:val="00AE55B2"/>
    <w:rsid w:val="00AE5C6A"/>
    <w:rsid w:val="00AE65F7"/>
    <w:rsid w:val="00AE7280"/>
    <w:rsid w:val="00AF033A"/>
    <w:rsid w:val="00AF1699"/>
    <w:rsid w:val="00AF2187"/>
    <w:rsid w:val="00AF3896"/>
    <w:rsid w:val="00AF3CEE"/>
    <w:rsid w:val="00AF6C33"/>
    <w:rsid w:val="00B0098A"/>
    <w:rsid w:val="00B00A5F"/>
    <w:rsid w:val="00B0225F"/>
    <w:rsid w:val="00B029B8"/>
    <w:rsid w:val="00B02F60"/>
    <w:rsid w:val="00B032B8"/>
    <w:rsid w:val="00B04B46"/>
    <w:rsid w:val="00B05050"/>
    <w:rsid w:val="00B0534D"/>
    <w:rsid w:val="00B06368"/>
    <w:rsid w:val="00B06FC6"/>
    <w:rsid w:val="00B07163"/>
    <w:rsid w:val="00B07429"/>
    <w:rsid w:val="00B10DDF"/>
    <w:rsid w:val="00B12105"/>
    <w:rsid w:val="00B12FE6"/>
    <w:rsid w:val="00B1303F"/>
    <w:rsid w:val="00B1364A"/>
    <w:rsid w:val="00B13D3C"/>
    <w:rsid w:val="00B1525C"/>
    <w:rsid w:val="00B16715"/>
    <w:rsid w:val="00B17910"/>
    <w:rsid w:val="00B20F18"/>
    <w:rsid w:val="00B21516"/>
    <w:rsid w:val="00B22CE0"/>
    <w:rsid w:val="00B23738"/>
    <w:rsid w:val="00B23BEF"/>
    <w:rsid w:val="00B247BB"/>
    <w:rsid w:val="00B25C11"/>
    <w:rsid w:val="00B25EDF"/>
    <w:rsid w:val="00B25EE6"/>
    <w:rsid w:val="00B26A39"/>
    <w:rsid w:val="00B27BC0"/>
    <w:rsid w:val="00B3115A"/>
    <w:rsid w:val="00B31A5C"/>
    <w:rsid w:val="00B33C19"/>
    <w:rsid w:val="00B34861"/>
    <w:rsid w:val="00B363BD"/>
    <w:rsid w:val="00B369F7"/>
    <w:rsid w:val="00B36A99"/>
    <w:rsid w:val="00B37537"/>
    <w:rsid w:val="00B41B81"/>
    <w:rsid w:val="00B42980"/>
    <w:rsid w:val="00B434B2"/>
    <w:rsid w:val="00B434C7"/>
    <w:rsid w:val="00B43D45"/>
    <w:rsid w:val="00B44771"/>
    <w:rsid w:val="00B4650E"/>
    <w:rsid w:val="00B468F2"/>
    <w:rsid w:val="00B46B45"/>
    <w:rsid w:val="00B46D3D"/>
    <w:rsid w:val="00B46F6B"/>
    <w:rsid w:val="00B47286"/>
    <w:rsid w:val="00B47894"/>
    <w:rsid w:val="00B50234"/>
    <w:rsid w:val="00B50350"/>
    <w:rsid w:val="00B51BF4"/>
    <w:rsid w:val="00B52C68"/>
    <w:rsid w:val="00B542FE"/>
    <w:rsid w:val="00B55A1B"/>
    <w:rsid w:val="00B561DB"/>
    <w:rsid w:val="00B57494"/>
    <w:rsid w:val="00B61DCE"/>
    <w:rsid w:val="00B62188"/>
    <w:rsid w:val="00B62467"/>
    <w:rsid w:val="00B62F79"/>
    <w:rsid w:val="00B62F82"/>
    <w:rsid w:val="00B648FA"/>
    <w:rsid w:val="00B662FF"/>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4662"/>
    <w:rsid w:val="00B85402"/>
    <w:rsid w:val="00B864A3"/>
    <w:rsid w:val="00B86C2A"/>
    <w:rsid w:val="00B877F1"/>
    <w:rsid w:val="00B902A5"/>
    <w:rsid w:val="00B90420"/>
    <w:rsid w:val="00B913E4"/>
    <w:rsid w:val="00B91DB9"/>
    <w:rsid w:val="00B93EFE"/>
    <w:rsid w:val="00B94956"/>
    <w:rsid w:val="00B94C7F"/>
    <w:rsid w:val="00B956B5"/>
    <w:rsid w:val="00B95C3A"/>
    <w:rsid w:val="00B95FCE"/>
    <w:rsid w:val="00BA0D44"/>
    <w:rsid w:val="00BA0E26"/>
    <w:rsid w:val="00BA31BF"/>
    <w:rsid w:val="00BA43FC"/>
    <w:rsid w:val="00BA478B"/>
    <w:rsid w:val="00BA5224"/>
    <w:rsid w:val="00BA7B27"/>
    <w:rsid w:val="00BA7E3B"/>
    <w:rsid w:val="00BB079C"/>
    <w:rsid w:val="00BB2B56"/>
    <w:rsid w:val="00BB39C1"/>
    <w:rsid w:val="00BB5D16"/>
    <w:rsid w:val="00BB6180"/>
    <w:rsid w:val="00BB69E6"/>
    <w:rsid w:val="00BB7D2A"/>
    <w:rsid w:val="00BC1B7A"/>
    <w:rsid w:val="00BC2BC7"/>
    <w:rsid w:val="00BC2C17"/>
    <w:rsid w:val="00BC3ACD"/>
    <w:rsid w:val="00BC3C33"/>
    <w:rsid w:val="00BC66D7"/>
    <w:rsid w:val="00BC6E73"/>
    <w:rsid w:val="00BD0014"/>
    <w:rsid w:val="00BD01D8"/>
    <w:rsid w:val="00BD0CBE"/>
    <w:rsid w:val="00BD2512"/>
    <w:rsid w:val="00BD255F"/>
    <w:rsid w:val="00BD383D"/>
    <w:rsid w:val="00BD4236"/>
    <w:rsid w:val="00BD575B"/>
    <w:rsid w:val="00BD5CCA"/>
    <w:rsid w:val="00BD5CD4"/>
    <w:rsid w:val="00BD6652"/>
    <w:rsid w:val="00BD6EF9"/>
    <w:rsid w:val="00BD77DD"/>
    <w:rsid w:val="00BE0ACB"/>
    <w:rsid w:val="00BE1A90"/>
    <w:rsid w:val="00BE3537"/>
    <w:rsid w:val="00BE360F"/>
    <w:rsid w:val="00BE50FD"/>
    <w:rsid w:val="00BE51CA"/>
    <w:rsid w:val="00BE5E5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37C6"/>
    <w:rsid w:val="00C0508D"/>
    <w:rsid w:val="00C058AF"/>
    <w:rsid w:val="00C11AAA"/>
    <w:rsid w:val="00C124C1"/>
    <w:rsid w:val="00C128AE"/>
    <w:rsid w:val="00C136D6"/>
    <w:rsid w:val="00C13D5B"/>
    <w:rsid w:val="00C14381"/>
    <w:rsid w:val="00C16047"/>
    <w:rsid w:val="00C17AE2"/>
    <w:rsid w:val="00C20F27"/>
    <w:rsid w:val="00C215CF"/>
    <w:rsid w:val="00C2244B"/>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3C3C"/>
    <w:rsid w:val="00C360B3"/>
    <w:rsid w:val="00C3679B"/>
    <w:rsid w:val="00C37027"/>
    <w:rsid w:val="00C3778D"/>
    <w:rsid w:val="00C405A3"/>
    <w:rsid w:val="00C42752"/>
    <w:rsid w:val="00C42973"/>
    <w:rsid w:val="00C44F9C"/>
    <w:rsid w:val="00C4730E"/>
    <w:rsid w:val="00C5019C"/>
    <w:rsid w:val="00C5034F"/>
    <w:rsid w:val="00C52479"/>
    <w:rsid w:val="00C5291F"/>
    <w:rsid w:val="00C52C59"/>
    <w:rsid w:val="00C5349E"/>
    <w:rsid w:val="00C5354B"/>
    <w:rsid w:val="00C54467"/>
    <w:rsid w:val="00C54D3D"/>
    <w:rsid w:val="00C55116"/>
    <w:rsid w:val="00C55A30"/>
    <w:rsid w:val="00C57C58"/>
    <w:rsid w:val="00C6028F"/>
    <w:rsid w:val="00C608F1"/>
    <w:rsid w:val="00C611C8"/>
    <w:rsid w:val="00C631E1"/>
    <w:rsid w:val="00C638D8"/>
    <w:rsid w:val="00C63C84"/>
    <w:rsid w:val="00C63D26"/>
    <w:rsid w:val="00C641EB"/>
    <w:rsid w:val="00C65053"/>
    <w:rsid w:val="00C65BD9"/>
    <w:rsid w:val="00C66061"/>
    <w:rsid w:val="00C66F69"/>
    <w:rsid w:val="00C67223"/>
    <w:rsid w:val="00C67CFF"/>
    <w:rsid w:val="00C707B8"/>
    <w:rsid w:val="00C7084B"/>
    <w:rsid w:val="00C71C15"/>
    <w:rsid w:val="00C71F3D"/>
    <w:rsid w:val="00C72F53"/>
    <w:rsid w:val="00C74035"/>
    <w:rsid w:val="00C76FF4"/>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8FE"/>
    <w:rsid w:val="00CA0FAC"/>
    <w:rsid w:val="00CA25C0"/>
    <w:rsid w:val="00CA3451"/>
    <w:rsid w:val="00CA4948"/>
    <w:rsid w:val="00CA52F9"/>
    <w:rsid w:val="00CA568B"/>
    <w:rsid w:val="00CA7500"/>
    <w:rsid w:val="00CB1239"/>
    <w:rsid w:val="00CB178B"/>
    <w:rsid w:val="00CB19FE"/>
    <w:rsid w:val="00CB23C2"/>
    <w:rsid w:val="00CB304C"/>
    <w:rsid w:val="00CB53E8"/>
    <w:rsid w:val="00CB594A"/>
    <w:rsid w:val="00CB5CB2"/>
    <w:rsid w:val="00CB6979"/>
    <w:rsid w:val="00CB74EC"/>
    <w:rsid w:val="00CC0A3D"/>
    <w:rsid w:val="00CC2373"/>
    <w:rsid w:val="00CC3C6A"/>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E7B3A"/>
    <w:rsid w:val="00CF10D4"/>
    <w:rsid w:val="00CF1D74"/>
    <w:rsid w:val="00CF2BE2"/>
    <w:rsid w:val="00CF55F9"/>
    <w:rsid w:val="00CF71A6"/>
    <w:rsid w:val="00CF7495"/>
    <w:rsid w:val="00CF7671"/>
    <w:rsid w:val="00CF7857"/>
    <w:rsid w:val="00D01CF9"/>
    <w:rsid w:val="00D02387"/>
    <w:rsid w:val="00D0334D"/>
    <w:rsid w:val="00D0374D"/>
    <w:rsid w:val="00D05A76"/>
    <w:rsid w:val="00D07F1D"/>
    <w:rsid w:val="00D10558"/>
    <w:rsid w:val="00D1203E"/>
    <w:rsid w:val="00D13E70"/>
    <w:rsid w:val="00D16C58"/>
    <w:rsid w:val="00D17019"/>
    <w:rsid w:val="00D170C1"/>
    <w:rsid w:val="00D21168"/>
    <w:rsid w:val="00D235C8"/>
    <w:rsid w:val="00D2438C"/>
    <w:rsid w:val="00D25DFA"/>
    <w:rsid w:val="00D26C3F"/>
    <w:rsid w:val="00D27185"/>
    <w:rsid w:val="00D27C40"/>
    <w:rsid w:val="00D32B84"/>
    <w:rsid w:val="00D337AE"/>
    <w:rsid w:val="00D33AB3"/>
    <w:rsid w:val="00D33F24"/>
    <w:rsid w:val="00D346B7"/>
    <w:rsid w:val="00D346B8"/>
    <w:rsid w:val="00D35AC8"/>
    <w:rsid w:val="00D35D34"/>
    <w:rsid w:val="00D36F87"/>
    <w:rsid w:val="00D37E4E"/>
    <w:rsid w:val="00D42E6C"/>
    <w:rsid w:val="00D43218"/>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64BF"/>
    <w:rsid w:val="00D66D8B"/>
    <w:rsid w:val="00D7138D"/>
    <w:rsid w:val="00D72A1C"/>
    <w:rsid w:val="00D73580"/>
    <w:rsid w:val="00D73802"/>
    <w:rsid w:val="00D73868"/>
    <w:rsid w:val="00D73C2C"/>
    <w:rsid w:val="00D73D52"/>
    <w:rsid w:val="00D745E7"/>
    <w:rsid w:val="00D77495"/>
    <w:rsid w:val="00D774ED"/>
    <w:rsid w:val="00D777F6"/>
    <w:rsid w:val="00D77F88"/>
    <w:rsid w:val="00D8044C"/>
    <w:rsid w:val="00D81EAA"/>
    <w:rsid w:val="00D8259F"/>
    <w:rsid w:val="00D825F2"/>
    <w:rsid w:val="00D828B1"/>
    <w:rsid w:val="00D84F27"/>
    <w:rsid w:val="00D850D4"/>
    <w:rsid w:val="00D862D1"/>
    <w:rsid w:val="00D873C6"/>
    <w:rsid w:val="00D91027"/>
    <w:rsid w:val="00D937E0"/>
    <w:rsid w:val="00D94C7D"/>
    <w:rsid w:val="00D94CA4"/>
    <w:rsid w:val="00D94FB4"/>
    <w:rsid w:val="00D95E99"/>
    <w:rsid w:val="00DA098C"/>
    <w:rsid w:val="00DA1A3A"/>
    <w:rsid w:val="00DA2C65"/>
    <w:rsid w:val="00DA395D"/>
    <w:rsid w:val="00DA44EB"/>
    <w:rsid w:val="00DB16B8"/>
    <w:rsid w:val="00DB1D52"/>
    <w:rsid w:val="00DB1F62"/>
    <w:rsid w:val="00DB2E03"/>
    <w:rsid w:val="00DB3742"/>
    <w:rsid w:val="00DB3F4B"/>
    <w:rsid w:val="00DB61A4"/>
    <w:rsid w:val="00DB67C1"/>
    <w:rsid w:val="00DB70CD"/>
    <w:rsid w:val="00DB70F4"/>
    <w:rsid w:val="00DC1056"/>
    <w:rsid w:val="00DC16DA"/>
    <w:rsid w:val="00DC211E"/>
    <w:rsid w:val="00DC21D8"/>
    <w:rsid w:val="00DC2369"/>
    <w:rsid w:val="00DC282A"/>
    <w:rsid w:val="00DC34DC"/>
    <w:rsid w:val="00DC3CC6"/>
    <w:rsid w:val="00DC514A"/>
    <w:rsid w:val="00DC64EC"/>
    <w:rsid w:val="00DC67B1"/>
    <w:rsid w:val="00DC7833"/>
    <w:rsid w:val="00DD132B"/>
    <w:rsid w:val="00DD1725"/>
    <w:rsid w:val="00DD21B9"/>
    <w:rsid w:val="00DD2427"/>
    <w:rsid w:val="00DD2A18"/>
    <w:rsid w:val="00DD5AB3"/>
    <w:rsid w:val="00DD5B1A"/>
    <w:rsid w:val="00DD61E8"/>
    <w:rsid w:val="00DD62C0"/>
    <w:rsid w:val="00DD7859"/>
    <w:rsid w:val="00DE03AC"/>
    <w:rsid w:val="00DE0A1D"/>
    <w:rsid w:val="00DE15B2"/>
    <w:rsid w:val="00DE1A9A"/>
    <w:rsid w:val="00DE3D2C"/>
    <w:rsid w:val="00DE43D0"/>
    <w:rsid w:val="00DE5E82"/>
    <w:rsid w:val="00DE5FA6"/>
    <w:rsid w:val="00DE6494"/>
    <w:rsid w:val="00DE6AA1"/>
    <w:rsid w:val="00DE6C57"/>
    <w:rsid w:val="00DE74D7"/>
    <w:rsid w:val="00DE7EF7"/>
    <w:rsid w:val="00DF1185"/>
    <w:rsid w:val="00DF1299"/>
    <w:rsid w:val="00DF164F"/>
    <w:rsid w:val="00DF1A70"/>
    <w:rsid w:val="00DF23A8"/>
    <w:rsid w:val="00DF2F27"/>
    <w:rsid w:val="00DF6CCC"/>
    <w:rsid w:val="00DF6D0C"/>
    <w:rsid w:val="00DF6F64"/>
    <w:rsid w:val="00DF721E"/>
    <w:rsid w:val="00DF7C87"/>
    <w:rsid w:val="00E009B0"/>
    <w:rsid w:val="00E0345F"/>
    <w:rsid w:val="00E03D5C"/>
    <w:rsid w:val="00E043AC"/>
    <w:rsid w:val="00E043D0"/>
    <w:rsid w:val="00E046A9"/>
    <w:rsid w:val="00E04C0F"/>
    <w:rsid w:val="00E0570B"/>
    <w:rsid w:val="00E057B2"/>
    <w:rsid w:val="00E05996"/>
    <w:rsid w:val="00E10B87"/>
    <w:rsid w:val="00E1478B"/>
    <w:rsid w:val="00E14FAC"/>
    <w:rsid w:val="00E15007"/>
    <w:rsid w:val="00E16EC7"/>
    <w:rsid w:val="00E1714F"/>
    <w:rsid w:val="00E21576"/>
    <w:rsid w:val="00E219CE"/>
    <w:rsid w:val="00E22A96"/>
    <w:rsid w:val="00E23961"/>
    <w:rsid w:val="00E24071"/>
    <w:rsid w:val="00E24EBC"/>
    <w:rsid w:val="00E2522C"/>
    <w:rsid w:val="00E2599B"/>
    <w:rsid w:val="00E27383"/>
    <w:rsid w:val="00E2793D"/>
    <w:rsid w:val="00E31AFA"/>
    <w:rsid w:val="00E3203D"/>
    <w:rsid w:val="00E324EE"/>
    <w:rsid w:val="00E34296"/>
    <w:rsid w:val="00E359FF"/>
    <w:rsid w:val="00E36AA7"/>
    <w:rsid w:val="00E36E39"/>
    <w:rsid w:val="00E405F1"/>
    <w:rsid w:val="00E43054"/>
    <w:rsid w:val="00E434C4"/>
    <w:rsid w:val="00E44FE4"/>
    <w:rsid w:val="00E45D30"/>
    <w:rsid w:val="00E46013"/>
    <w:rsid w:val="00E4654B"/>
    <w:rsid w:val="00E477C3"/>
    <w:rsid w:val="00E5048D"/>
    <w:rsid w:val="00E50AC4"/>
    <w:rsid w:val="00E50E2C"/>
    <w:rsid w:val="00E51077"/>
    <w:rsid w:val="00E5132D"/>
    <w:rsid w:val="00E51741"/>
    <w:rsid w:val="00E51E16"/>
    <w:rsid w:val="00E52151"/>
    <w:rsid w:val="00E53730"/>
    <w:rsid w:val="00E53C46"/>
    <w:rsid w:val="00E54511"/>
    <w:rsid w:val="00E55DC3"/>
    <w:rsid w:val="00E57577"/>
    <w:rsid w:val="00E575CF"/>
    <w:rsid w:val="00E62043"/>
    <w:rsid w:val="00E626B9"/>
    <w:rsid w:val="00E627C9"/>
    <w:rsid w:val="00E630F3"/>
    <w:rsid w:val="00E65198"/>
    <w:rsid w:val="00E664FB"/>
    <w:rsid w:val="00E66F0D"/>
    <w:rsid w:val="00E672F9"/>
    <w:rsid w:val="00E67345"/>
    <w:rsid w:val="00E70615"/>
    <w:rsid w:val="00E71A5E"/>
    <w:rsid w:val="00E7207B"/>
    <w:rsid w:val="00E7347A"/>
    <w:rsid w:val="00E75325"/>
    <w:rsid w:val="00E759FB"/>
    <w:rsid w:val="00E75A47"/>
    <w:rsid w:val="00E75D8C"/>
    <w:rsid w:val="00E77771"/>
    <w:rsid w:val="00E777F2"/>
    <w:rsid w:val="00E779ED"/>
    <w:rsid w:val="00E802C9"/>
    <w:rsid w:val="00E80EDD"/>
    <w:rsid w:val="00E80F0A"/>
    <w:rsid w:val="00E81A6A"/>
    <w:rsid w:val="00E8291B"/>
    <w:rsid w:val="00E8395F"/>
    <w:rsid w:val="00E8473F"/>
    <w:rsid w:val="00E85E41"/>
    <w:rsid w:val="00E85EA1"/>
    <w:rsid w:val="00E91044"/>
    <w:rsid w:val="00E910D3"/>
    <w:rsid w:val="00E923CF"/>
    <w:rsid w:val="00E9335F"/>
    <w:rsid w:val="00E95111"/>
    <w:rsid w:val="00EA061E"/>
    <w:rsid w:val="00EA14C8"/>
    <w:rsid w:val="00EA19D3"/>
    <w:rsid w:val="00EA6649"/>
    <w:rsid w:val="00EB05D0"/>
    <w:rsid w:val="00EB07C5"/>
    <w:rsid w:val="00EB1D49"/>
    <w:rsid w:val="00EB42DD"/>
    <w:rsid w:val="00EB559F"/>
    <w:rsid w:val="00EB5F3D"/>
    <w:rsid w:val="00EB6EC2"/>
    <w:rsid w:val="00EC1CEB"/>
    <w:rsid w:val="00EC21A7"/>
    <w:rsid w:val="00EC268C"/>
    <w:rsid w:val="00EC3753"/>
    <w:rsid w:val="00EC398F"/>
    <w:rsid w:val="00EC3CB8"/>
    <w:rsid w:val="00EC3D46"/>
    <w:rsid w:val="00EC4E71"/>
    <w:rsid w:val="00EC6667"/>
    <w:rsid w:val="00EC7269"/>
    <w:rsid w:val="00ED0365"/>
    <w:rsid w:val="00ED0865"/>
    <w:rsid w:val="00ED094F"/>
    <w:rsid w:val="00ED16B6"/>
    <w:rsid w:val="00ED1C60"/>
    <w:rsid w:val="00ED2EB9"/>
    <w:rsid w:val="00ED4469"/>
    <w:rsid w:val="00ED5F23"/>
    <w:rsid w:val="00ED6DC0"/>
    <w:rsid w:val="00ED79CE"/>
    <w:rsid w:val="00ED7A7A"/>
    <w:rsid w:val="00ED7B2B"/>
    <w:rsid w:val="00EE038C"/>
    <w:rsid w:val="00EE040B"/>
    <w:rsid w:val="00EE47C5"/>
    <w:rsid w:val="00EE490C"/>
    <w:rsid w:val="00EE613B"/>
    <w:rsid w:val="00EE7E17"/>
    <w:rsid w:val="00EF2C8E"/>
    <w:rsid w:val="00EF3A0D"/>
    <w:rsid w:val="00EF3CEB"/>
    <w:rsid w:val="00EF41A8"/>
    <w:rsid w:val="00EF44FB"/>
    <w:rsid w:val="00EF4D3C"/>
    <w:rsid w:val="00EF51CA"/>
    <w:rsid w:val="00EF5554"/>
    <w:rsid w:val="00EF5AD8"/>
    <w:rsid w:val="00EF5D2F"/>
    <w:rsid w:val="00EF63F5"/>
    <w:rsid w:val="00EF6758"/>
    <w:rsid w:val="00EF6B90"/>
    <w:rsid w:val="00EF70AE"/>
    <w:rsid w:val="00EF79F7"/>
    <w:rsid w:val="00F00418"/>
    <w:rsid w:val="00F006C0"/>
    <w:rsid w:val="00F009BB"/>
    <w:rsid w:val="00F019AA"/>
    <w:rsid w:val="00F0267E"/>
    <w:rsid w:val="00F02686"/>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AD9"/>
    <w:rsid w:val="00F17F74"/>
    <w:rsid w:val="00F202C2"/>
    <w:rsid w:val="00F209D5"/>
    <w:rsid w:val="00F22756"/>
    <w:rsid w:val="00F23890"/>
    <w:rsid w:val="00F2447A"/>
    <w:rsid w:val="00F24638"/>
    <w:rsid w:val="00F2504D"/>
    <w:rsid w:val="00F2637F"/>
    <w:rsid w:val="00F263A8"/>
    <w:rsid w:val="00F268F7"/>
    <w:rsid w:val="00F3053D"/>
    <w:rsid w:val="00F30BDB"/>
    <w:rsid w:val="00F30CF8"/>
    <w:rsid w:val="00F31633"/>
    <w:rsid w:val="00F31EDF"/>
    <w:rsid w:val="00F32CDE"/>
    <w:rsid w:val="00F32D4C"/>
    <w:rsid w:val="00F34811"/>
    <w:rsid w:val="00F34B14"/>
    <w:rsid w:val="00F36A6A"/>
    <w:rsid w:val="00F40101"/>
    <w:rsid w:val="00F404F7"/>
    <w:rsid w:val="00F40CCA"/>
    <w:rsid w:val="00F41521"/>
    <w:rsid w:val="00F42D97"/>
    <w:rsid w:val="00F43F09"/>
    <w:rsid w:val="00F45A72"/>
    <w:rsid w:val="00F46723"/>
    <w:rsid w:val="00F50016"/>
    <w:rsid w:val="00F50647"/>
    <w:rsid w:val="00F5118A"/>
    <w:rsid w:val="00F51A21"/>
    <w:rsid w:val="00F5276E"/>
    <w:rsid w:val="00F529F9"/>
    <w:rsid w:val="00F52E9F"/>
    <w:rsid w:val="00F53304"/>
    <w:rsid w:val="00F53D37"/>
    <w:rsid w:val="00F53D40"/>
    <w:rsid w:val="00F545ED"/>
    <w:rsid w:val="00F5687F"/>
    <w:rsid w:val="00F5727D"/>
    <w:rsid w:val="00F575C7"/>
    <w:rsid w:val="00F60305"/>
    <w:rsid w:val="00F61B12"/>
    <w:rsid w:val="00F620C5"/>
    <w:rsid w:val="00F62398"/>
    <w:rsid w:val="00F626C5"/>
    <w:rsid w:val="00F631E8"/>
    <w:rsid w:val="00F63223"/>
    <w:rsid w:val="00F63264"/>
    <w:rsid w:val="00F6379E"/>
    <w:rsid w:val="00F70799"/>
    <w:rsid w:val="00F70906"/>
    <w:rsid w:val="00F70A8B"/>
    <w:rsid w:val="00F724FB"/>
    <w:rsid w:val="00F72578"/>
    <w:rsid w:val="00F72A26"/>
    <w:rsid w:val="00F733C3"/>
    <w:rsid w:val="00F756DD"/>
    <w:rsid w:val="00F75DB3"/>
    <w:rsid w:val="00F80047"/>
    <w:rsid w:val="00F8104D"/>
    <w:rsid w:val="00F81587"/>
    <w:rsid w:val="00F82571"/>
    <w:rsid w:val="00F85258"/>
    <w:rsid w:val="00F85B72"/>
    <w:rsid w:val="00F8766F"/>
    <w:rsid w:val="00F9104C"/>
    <w:rsid w:val="00F91082"/>
    <w:rsid w:val="00F91A9A"/>
    <w:rsid w:val="00F93ABB"/>
    <w:rsid w:val="00F94D79"/>
    <w:rsid w:val="00F975D3"/>
    <w:rsid w:val="00FA118A"/>
    <w:rsid w:val="00FA11CD"/>
    <w:rsid w:val="00FA31C7"/>
    <w:rsid w:val="00FA472D"/>
    <w:rsid w:val="00FA7254"/>
    <w:rsid w:val="00FB0214"/>
    <w:rsid w:val="00FB080C"/>
    <w:rsid w:val="00FB18F6"/>
    <w:rsid w:val="00FB2964"/>
    <w:rsid w:val="00FB2A52"/>
    <w:rsid w:val="00FB2F13"/>
    <w:rsid w:val="00FB6232"/>
    <w:rsid w:val="00FB6E19"/>
    <w:rsid w:val="00FB71F6"/>
    <w:rsid w:val="00FC0016"/>
    <w:rsid w:val="00FC1483"/>
    <w:rsid w:val="00FC1C47"/>
    <w:rsid w:val="00FC2EF2"/>
    <w:rsid w:val="00FC39ED"/>
    <w:rsid w:val="00FC4419"/>
    <w:rsid w:val="00FC47E2"/>
    <w:rsid w:val="00FC4AA5"/>
    <w:rsid w:val="00FC5148"/>
    <w:rsid w:val="00FC6590"/>
    <w:rsid w:val="00FC75AC"/>
    <w:rsid w:val="00FD01BF"/>
    <w:rsid w:val="00FD0525"/>
    <w:rsid w:val="00FD297D"/>
    <w:rsid w:val="00FD2D13"/>
    <w:rsid w:val="00FD3D26"/>
    <w:rsid w:val="00FD4789"/>
    <w:rsid w:val="00FD6071"/>
    <w:rsid w:val="00FE0794"/>
    <w:rsid w:val="00FE1041"/>
    <w:rsid w:val="00FE24CB"/>
    <w:rsid w:val="00FE3166"/>
    <w:rsid w:val="00FE3320"/>
    <w:rsid w:val="00FE3473"/>
    <w:rsid w:val="00FE353B"/>
    <w:rsid w:val="00FE4049"/>
    <w:rsid w:val="00FE4794"/>
    <w:rsid w:val="00FE5DF7"/>
    <w:rsid w:val="00FE5F72"/>
    <w:rsid w:val="00FE7B6B"/>
    <w:rsid w:val="00FF0231"/>
    <w:rsid w:val="00FF1C9B"/>
    <w:rsid w:val="00FF1D49"/>
    <w:rsid w:val="00FF2562"/>
    <w:rsid w:val="00FF2CE1"/>
    <w:rsid w:val="00FF3A41"/>
    <w:rsid w:val="00FF3E5B"/>
    <w:rsid w:val="00FF52BE"/>
    <w:rsid w:val="00FF544F"/>
    <w:rsid w:val="00FF57E4"/>
    <w:rsid w:val="00FF78E5"/>
    <w:rsid w:val="01906C42"/>
    <w:rsid w:val="01DF6ED8"/>
    <w:rsid w:val="020C5EBE"/>
    <w:rsid w:val="02511F9D"/>
    <w:rsid w:val="02902523"/>
    <w:rsid w:val="02E66FBD"/>
    <w:rsid w:val="03056ED3"/>
    <w:rsid w:val="034E5B8A"/>
    <w:rsid w:val="03821A33"/>
    <w:rsid w:val="03A314B8"/>
    <w:rsid w:val="03D82B98"/>
    <w:rsid w:val="03E655A0"/>
    <w:rsid w:val="03F83E8B"/>
    <w:rsid w:val="03FA5BAB"/>
    <w:rsid w:val="04133956"/>
    <w:rsid w:val="06190FCC"/>
    <w:rsid w:val="069B0CEC"/>
    <w:rsid w:val="06A66D03"/>
    <w:rsid w:val="06AB7243"/>
    <w:rsid w:val="07001AF1"/>
    <w:rsid w:val="07056A8C"/>
    <w:rsid w:val="07243A20"/>
    <w:rsid w:val="07B72767"/>
    <w:rsid w:val="08077E72"/>
    <w:rsid w:val="08634780"/>
    <w:rsid w:val="08890AE6"/>
    <w:rsid w:val="08CC4A1B"/>
    <w:rsid w:val="09BE6112"/>
    <w:rsid w:val="09C35E1E"/>
    <w:rsid w:val="09CC2AAC"/>
    <w:rsid w:val="09D820EE"/>
    <w:rsid w:val="0A2F5262"/>
    <w:rsid w:val="0A652D3E"/>
    <w:rsid w:val="0A7C5B44"/>
    <w:rsid w:val="0B093D05"/>
    <w:rsid w:val="0B3A48F0"/>
    <w:rsid w:val="0B723658"/>
    <w:rsid w:val="0BDF1123"/>
    <w:rsid w:val="0BE8528E"/>
    <w:rsid w:val="0C92213C"/>
    <w:rsid w:val="0CB832EC"/>
    <w:rsid w:val="0CC55A09"/>
    <w:rsid w:val="0D4F221D"/>
    <w:rsid w:val="0D84032B"/>
    <w:rsid w:val="0E680D42"/>
    <w:rsid w:val="0E8031E4"/>
    <w:rsid w:val="0ECC5678"/>
    <w:rsid w:val="0EE57B2C"/>
    <w:rsid w:val="0FBC2D1E"/>
    <w:rsid w:val="101924D1"/>
    <w:rsid w:val="10A27F31"/>
    <w:rsid w:val="10CA487C"/>
    <w:rsid w:val="11927058"/>
    <w:rsid w:val="120D0C09"/>
    <w:rsid w:val="126032F3"/>
    <w:rsid w:val="128A572B"/>
    <w:rsid w:val="12A604D9"/>
    <w:rsid w:val="13A04A0E"/>
    <w:rsid w:val="13AF4F03"/>
    <w:rsid w:val="14081FB5"/>
    <w:rsid w:val="144B3AE7"/>
    <w:rsid w:val="14736E66"/>
    <w:rsid w:val="149B6AC2"/>
    <w:rsid w:val="14D709D0"/>
    <w:rsid w:val="150771D6"/>
    <w:rsid w:val="15264037"/>
    <w:rsid w:val="15293653"/>
    <w:rsid w:val="1534169A"/>
    <w:rsid w:val="156F6E5A"/>
    <w:rsid w:val="15C03E03"/>
    <w:rsid w:val="162A25EB"/>
    <w:rsid w:val="16FD2A55"/>
    <w:rsid w:val="17366761"/>
    <w:rsid w:val="177C01F0"/>
    <w:rsid w:val="17CE6630"/>
    <w:rsid w:val="17DC2DB3"/>
    <w:rsid w:val="17EF6030"/>
    <w:rsid w:val="17FF3C8B"/>
    <w:rsid w:val="183C1D65"/>
    <w:rsid w:val="18D72D4C"/>
    <w:rsid w:val="19061566"/>
    <w:rsid w:val="193B777F"/>
    <w:rsid w:val="19820BA0"/>
    <w:rsid w:val="19B1165B"/>
    <w:rsid w:val="19D76D7C"/>
    <w:rsid w:val="19E63421"/>
    <w:rsid w:val="1A45004D"/>
    <w:rsid w:val="1A4B1C44"/>
    <w:rsid w:val="1AA7791E"/>
    <w:rsid w:val="1AFA16D5"/>
    <w:rsid w:val="1B4F19F8"/>
    <w:rsid w:val="1BD92184"/>
    <w:rsid w:val="1C185B56"/>
    <w:rsid w:val="1C1C4F1A"/>
    <w:rsid w:val="1C2362A8"/>
    <w:rsid w:val="1C5170A2"/>
    <w:rsid w:val="1CC07ED6"/>
    <w:rsid w:val="1CD37CCF"/>
    <w:rsid w:val="1CFB2EDD"/>
    <w:rsid w:val="1CFE41C5"/>
    <w:rsid w:val="1D0D31E0"/>
    <w:rsid w:val="1D4061A8"/>
    <w:rsid w:val="1D815B4C"/>
    <w:rsid w:val="1D8B0517"/>
    <w:rsid w:val="1E9B4F4B"/>
    <w:rsid w:val="1E9F61A1"/>
    <w:rsid w:val="1F063325"/>
    <w:rsid w:val="1F615A66"/>
    <w:rsid w:val="1F6839F5"/>
    <w:rsid w:val="1FBC5DF5"/>
    <w:rsid w:val="1FC55574"/>
    <w:rsid w:val="1FD24DF5"/>
    <w:rsid w:val="1FD82001"/>
    <w:rsid w:val="1FFB5110"/>
    <w:rsid w:val="20781442"/>
    <w:rsid w:val="2079293B"/>
    <w:rsid w:val="20FC13E2"/>
    <w:rsid w:val="21326115"/>
    <w:rsid w:val="218A75A3"/>
    <w:rsid w:val="21A56A47"/>
    <w:rsid w:val="21B83F86"/>
    <w:rsid w:val="21CA24ED"/>
    <w:rsid w:val="21E55E66"/>
    <w:rsid w:val="221178A8"/>
    <w:rsid w:val="221213CF"/>
    <w:rsid w:val="22236483"/>
    <w:rsid w:val="22327A92"/>
    <w:rsid w:val="22590D61"/>
    <w:rsid w:val="22965435"/>
    <w:rsid w:val="22BD6F35"/>
    <w:rsid w:val="22C94B81"/>
    <w:rsid w:val="22F34C27"/>
    <w:rsid w:val="231D53A2"/>
    <w:rsid w:val="235A6A54"/>
    <w:rsid w:val="23A36271"/>
    <w:rsid w:val="23B7504C"/>
    <w:rsid w:val="24571307"/>
    <w:rsid w:val="24703C9F"/>
    <w:rsid w:val="24BA2984"/>
    <w:rsid w:val="24D20EA0"/>
    <w:rsid w:val="24EE7D9B"/>
    <w:rsid w:val="25246333"/>
    <w:rsid w:val="25ED0053"/>
    <w:rsid w:val="25F47105"/>
    <w:rsid w:val="26446DE3"/>
    <w:rsid w:val="264D165B"/>
    <w:rsid w:val="26775B6F"/>
    <w:rsid w:val="26BA071E"/>
    <w:rsid w:val="26C00075"/>
    <w:rsid w:val="26D7699F"/>
    <w:rsid w:val="26F05D70"/>
    <w:rsid w:val="27076508"/>
    <w:rsid w:val="2722121C"/>
    <w:rsid w:val="274A5E17"/>
    <w:rsid w:val="2813617D"/>
    <w:rsid w:val="28742361"/>
    <w:rsid w:val="2876621D"/>
    <w:rsid w:val="2912495F"/>
    <w:rsid w:val="29787C34"/>
    <w:rsid w:val="29852351"/>
    <w:rsid w:val="29E210ED"/>
    <w:rsid w:val="29E452C9"/>
    <w:rsid w:val="2AEB37F9"/>
    <w:rsid w:val="2B09065E"/>
    <w:rsid w:val="2B2A4E65"/>
    <w:rsid w:val="2B6B7072"/>
    <w:rsid w:val="2B6C794F"/>
    <w:rsid w:val="2B732D91"/>
    <w:rsid w:val="2B774624"/>
    <w:rsid w:val="2B7C0995"/>
    <w:rsid w:val="2BC53169"/>
    <w:rsid w:val="2C11611D"/>
    <w:rsid w:val="2C7A72BE"/>
    <w:rsid w:val="2CC874D1"/>
    <w:rsid w:val="2D476E1C"/>
    <w:rsid w:val="2D80355B"/>
    <w:rsid w:val="2E6B4F35"/>
    <w:rsid w:val="2ECE02F6"/>
    <w:rsid w:val="2F401D3C"/>
    <w:rsid w:val="2FA95C88"/>
    <w:rsid w:val="2FCF4325"/>
    <w:rsid w:val="2FD40931"/>
    <w:rsid w:val="2FDF642A"/>
    <w:rsid w:val="3041370F"/>
    <w:rsid w:val="307D5064"/>
    <w:rsid w:val="30E958BB"/>
    <w:rsid w:val="31083A05"/>
    <w:rsid w:val="31AF08B2"/>
    <w:rsid w:val="323B5CA2"/>
    <w:rsid w:val="32453A27"/>
    <w:rsid w:val="3263064A"/>
    <w:rsid w:val="32AC0C06"/>
    <w:rsid w:val="32BE2CA3"/>
    <w:rsid w:val="336562CD"/>
    <w:rsid w:val="336E78FE"/>
    <w:rsid w:val="34CA3F9D"/>
    <w:rsid w:val="35194B33"/>
    <w:rsid w:val="35223149"/>
    <w:rsid w:val="3537750C"/>
    <w:rsid w:val="3537798C"/>
    <w:rsid w:val="357C13DD"/>
    <w:rsid w:val="357F7ED5"/>
    <w:rsid w:val="35C13FC9"/>
    <w:rsid w:val="362E6D87"/>
    <w:rsid w:val="364257B6"/>
    <w:rsid w:val="365B4010"/>
    <w:rsid w:val="36756891"/>
    <w:rsid w:val="36F834D1"/>
    <w:rsid w:val="36FA2A83"/>
    <w:rsid w:val="374264D3"/>
    <w:rsid w:val="37DB7874"/>
    <w:rsid w:val="37EA5922"/>
    <w:rsid w:val="38276B93"/>
    <w:rsid w:val="38303DCF"/>
    <w:rsid w:val="38404012"/>
    <w:rsid w:val="38635F53"/>
    <w:rsid w:val="38770B67"/>
    <w:rsid w:val="39072D82"/>
    <w:rsid w:val="392E6A4D"/>
    <w:rsid w:val="3A0B64A7"/>
    <w:rsid w:val="3A146002"/>
    <w:rsid w:val="3A4B6C9E"/>
    <w:rsid w:val="3AF74C02"/>
    <w:rsid w:val="3B033E48"/>
    <w:rsid w:val="3B556027"/>
    <w:rsid w:val="3BC6658C"/>
    <w:rsid w:val="3C0059A5"/>
    <w:rsid w:val="3C134E78"/>
    <w:rsid w:val="3CA136DB"/>
    <w:rsid w:val="3CDC5A84"/>
    <w:rsid w:val="3DEC4CD6"/>
    <w:rsid w:val="3DF6345D"/>
    <w:rsid w:val="3E8C702B"/>
    <w:rsid w:val="3EC040FF"/>
    <w:rsid w:val="3EE13701"/>
    <w:rsid w:val="3F1A4BB3"/>
    <w:rsid w:val="3F5642A9"/>
    <w:rsid w:val="40002078"/>
    <w:rsid w:val="40192BA6"/>
    <w:rsid w:val="40E439A9"/>
    <w:rsid w:val="410F4616"/>
    <w:rsid w:val="41257F1B"/>
    <w:rsid w:val="417E5BAB"/>
    <w:rsid w:val="41C07F72"/>
    <w:rsid w:val="41C32627"/>
    <w:rsid w:val="41C91A22"/>
    <w:rsid w:val="41D120F0"/>
    <w:rsid w:val="42110DD4"/>
    <w:rsid w:val="42550A18"/>
    <w:rsid w:val="425600A9"/>
    <w:rsid w:val="42565626"/>
    <w:rsid w:val="42627205"/>
    <w:rsid w:val="42B0448A"/>
    <w:rsid w:val="42F1302E"/>
    <w:rsid w:val="42F473A1"/>
    <w:rsid w:val="43904295"/>
    <w:rsid w:val="43D10458"/>
    <w:rsid w:val="441E62C0"/>
    <w:rsid w:val="44274ACD"/>
    <w:rsid w:val="44466E54"/>
    <w:rsid w:val="45637592"/>
    <w:rsid w:val="45811C7C"/>
    <w:rsid w:val="45941E41"/>
    <w:rsid w:val="45B8534F"/>
    <w:rsid w:val="4644585A"/>
    <w:rsid w:val="46717A8D"/>
    <w:rsid w:val="468B3EFB"/>
    <w:rsid w:val="46D36999"/>
    <w:rsid w:val="46F9547C"/>
    <w:rsid w:val="470A6193"/>
    <w:rsid w:val="47947B37"/>
    <w:rsid w:val="47AD0F98"/>
    <w:rsid w:val="47DC4F5C"/>
    <w:rsid w:val="482A68F9"/>
    <w:rsid w:val="483533E1"/>
    <w:rsid w:val="48B40671"/>
    <w:rsid w:val="49053137"/>
    <w:rsid w:val="498E2A55"/>
    <w:rsid w:val="499B5738"/>
    <w:rsid w:val="499F244D"/>
    <w:rsid w:val="49A55D8E"/>
    <w:rsid w:val="4A474792"/>
    <w:rsid w:val="4A6E673B"/>
    <w:rsid w:val="4A8F58C2"/>
    <w:rsid w:val="4A995804"/>
    <w:rsid w:val="4AF96BC7"/>
    <w:rsid w:val="4B7B0767"/>
    <w:rsid w:val="4BAE109A"/>
    <w:rsid w:val="4BB02E05"/>
    <w:rsid w:val="4BCA6BF6"/>
    <w:rsid w:val="4BFB4050"/>
    <w:rsid w:val="4CCC1EC1"/>
    <w:rsid w:val="4CEF36E2"/>
    <w:rsid w:val="4D3B1120"/>
    <w:rsid w:val="4DAF4CC1"/>
    <w:rsid w:val="4DE70ED6"/>
    <w:rsid w:val="4DF551E8"/>
    <w:rsid w:val="4EC34C44"/>
    <w:rsid w:val="4EE074A1"/>
    <w:rsid w:val="4F196C3F"/>
    <w:rsid w:val="4F204746"/>
    <w:rsid w:val="4F372FFB"/>
    <w:rsid w:val="4F7F599C"/>
    <w:rsid w:val="4FA76FA4"/>
    <w:rsid w:val="502D0EC8"/>
    <w:rsid w:val="50440639"/>
    <w:rsid w:val="513A1132"/>
    <w:rsid w:val="513F391C"/>
    <w:rsid w:val="51564E44"/>
    <w:rsid w:val="515D0CC4"/>
    <w:rsid w:val="51971C97"/>
    <w:rsid w:val="51FD51CE"/>
    <w:rsid w:val="525953CC"/>
    <w:rsid w:val="52950FA7"/>
    <w:rsid w:val="52C10D75"/>
    <w:rsid w:val="538452A3"/>
    <w:rsid w:val="53AE40CE"/>
    <w:rsid w:val="544A03E2"/>
    <w:rsid w:val="547A3297"/>
    <w:rsid w:val="5483620B"/>
    <w:rsid w:val="550C4BD7"/>
    <w:rsid w:val="55172147"/>
    <w:rsid w:val="55202DAA"/>
    <w:rsid w:val="5556750C"/>
    <w:rsid w:val="55572986"/>
    <w:rsid w:val="56237571"/>
    <w:rsid w:val="565E627F"/>
    <w:rsid w:val="566201DA"/>
    <w:rsid w:val="56E951C0"/>
    <w:rsid w:val="56FC15F5"/>
    <w:rsid w:val="572342A7"/>
    <w:rsid w:val="58150BF4"/>
    <w:rsid w:val="58266F86"/>
    <w:rsid w:val="584905C4"/>
    <w:rsid w:val="586D09FC"/>
    <w:rsid w:val="58FD709C"/>
    <w:rsid w:val="59103135"/>
    <w:rsid w:val="591D1F71"/>
    <w:rsid w:val="59434B84"/>
    <w:rsid w:val="59E206B9"/>
    <w:rsid w:val="59E523A4"/>
    <w:rsid w:val="5A215AD5"/>
    <w:rsid w:val="5A957D93"/>
    <w:rsid w:val="5B1E1D9A"/>
    <w:rsid w:val="5B3760D9"/>
    <w:rsid w:val="5B402954"/>
    <w:rsid w:val="5B445318"/>
    <w:rsid w:val="5B721E85"/>
    <w:rsid w:val="5BBE1341"/>
    <w:rsid w:val="5BCA7F13"/>
    <w:rsid w:val="5BD62414"/>
    <w:rsid w:val="5C0E7FED"/>
    <w:rsid w:val="5CFC40FC"/>
    <w:rsid w:val="5D1B26A7"/>
    <w:rsid w:val="5D215911"/>
    <w:rsid w:val="5D2835C7"/>
    <w:rsid w:val="5D4B7CFC"/>
    <w:rsid w:val="5D79399F"/>
    <w:rsid w:val="5D8D2FE3"/>
    <w:rsid w:val="5DEA21A7"/>
    <w:rsid w:val="5E9F376C"/>
    <w:rsid w:val="5EC073AC"/>
    <w:rsid w:val="5F80710D"/>
    <w:rsid w:val="5F814D97"/>
    <w:rsid w:val="5FB15B2C"/>
    <w:rsid w:val="60502BD3"/>
    <w:rsid w:val="606007BB"/>
    <w:rsid w:val="60AC7F66"/>
    <w:rsid w:val="60EF62BC"/>
    <w:rsid w:val="618835DC"/>
    <w:rsid w:val="6194721E"/>
    <w:rsid w:val="61BF10D9"/>
    <w:rsid w:val="61ED0262"/>
    <w:rsid w:val="626764BC"/>
    <w:rsid w:val="62736A6B"/>
    <w:rsid w:val="629F7BDB"/>
    <w:rsid w:val="6320666B"/>
    <w:rsid w:val="632072E2"/>
    <w:rsid w:val="638E03D8"/>
    <w:rsid w:val="640C7C21"/>
    <w:rsid w:val="64567A45"/>
    <w:rsid w:val="6463489B"/>
    <w:rsid w:val="64E45EF7"/>
    <w:rsid w:val="65332685"/>
    <w:rsid w:val="657D1A47"/>
    <w:rsid w:val="660758C0"/>
    <w:rsid w:val="66660838"/>
    <w:rsid w:val="66A57729"/>
    <w:rsid w:val="66AB27BD"/>
    <w:rsid w:val="66B33922"/>
    <w:rsid w:val="672A5D0A"/>
    <w:rsid w:val="674D719B"/>
    <w:rsid w:val="677435B2"/>
    <w:rsid w:val="67EF75F1"/>
    <w:rsid w:val="67F47F04"/>
    <w:rsid w:val="67FD6F7B"/>
    <w:rsid w:val="68007E85"/>
    <w:rsid w:val="680D1D29"/>
    <w:rsid w:val="68394DBA"/>
    <w:rsid w:val="68DE4FFE"/>
    <w:rsid w:val="69124F16"/>
    <w:rsid w:val="692E1C45"/>
    <w:rsid w:val="69C64B0E"/>
    <w:rsid w:val="69CD5C14"/>
    <w:rsid w:val="69CF0D33"/>
    <w:rsid w:val="6A2F0CE2"/>
    <w:rsid w:val="6A7B4F40"/>
    <w:rsid w:val="6A7C5CBA"/>
    <w:rsid w:val="6AB24495"/>
    <w:rsid w:val="6B7632CC"/>
    <w:rsid w:val="6B9946B3"/>
    <w:rsid w:val="6BA77809"/>
    <w:rsid w:val="6BD050D2"/>
    <w:rsid w:val="6BD12B2E"/>
    <w:rsid w:val="6BDB5825"/>
    <w:rsid w:val="6C635F46"/>
    <w:rsid w:val="6C8A3C00"/>
    <w:rsid w:val="6C8A4FCC"/>
    <w:rsid w:val="6CA125CA"/>
    <w:rsid w:val="6CE77CC4"/>
    <w:rsid w:val="6D1837C6"/>
    <w:rsid w:val="6D233E90"/>
    <w:rsid w:val="6D3E606B"/>
    <w:rsid w:val="6DE76850"/>
    <w:rsid w:val="6E2E1A3E"/>
    <w:rsid w:val="6E3F0153"/>
    <w:rsid w:val="6E9A1018"/>
    <w:rsid w:val="6EA80C43"/>
    <w:rsid w:val="6F6872BA"/>
    <w:rsid w:val="6F7C22D0"/>
    <w:rsid w:val="6FB20BD4"/>
    <w:rsid w:val="6FB22D40"/>
    <w:rsid w:val="6FBA59BE"/>
    <w:rsid w:val="6FC42376"/>
    <w:rsid w:val="70296B3E"/>
    <w:rsid w:val="702E3F8B"/>
    <w:rsid w:val="705B0CE2"/>
    <w:rsid w:val="70611204"/>
    <w:rsid w:val="70A408DB"/>
    <w:rsid w:val="7142407F"/>
    <w:rsid w:val="71461992"/>
    <w:rsid w:val="71680975"/>
    <w:rsid w:val="7234593E"/>
    <w:rsid w:val="72D6198C"/>
    <w:rsid w:val="72EF4CB6"/>
    <w:rsid w:val="73F14913"/>
    <w:rsid w:val="74A90C7C"/>
    <w:rsid w:val="74AF0F5C"/>
    <w:rsid w:val="74FA2C30"/>
    <w:rsid w:val="752D736C"/>
    <w:rsid w:val="75564973"/>
    <w:rsid w:val="758D3E7D"/>
    <w:rsid w:val="75971ED7"/>
    <w:rsid w:val="76034799"/>
    <w:rsid w:val="76BC49EB"/>
    <w:rsid w:val="76CA6BC2"/>
    <w:rsid w:val="77000DA2"/>
    <w:rsid w:val="77130EE4"/>
    <w:rsid w:val="775E5C88"/>
    <w:rsid w:val="77A853E4"/>
    <w:rsid w:val="77B133DB"/>
    <w:rsid w:val="78121FA2"/>
    <w:rsid w:val="781E69D1"/>
    <w:rsid w:val="78340059"/>
    <w:rsid w:val="78A43B6E"/>
    <w:rsid w:val="78B276D8"/>
    <w:rsid w:val="78E21FA1"/>
    <w:rsid w:val="79257941"/>
    <w:rsid w:val="7A3F58DF"/>
    <w:rsid w:val="7ADD0453"/>
    <w:rsid w:val="7AF46346"/>
    <w:rsid w:val="7B0F5EBF"/>
    <w:rsid w:val="7B130FB9"/>
    <w:rsid w:val="7BB5399C"/>
    <w:rsid w:val="7BDE0625"/>
    <w:rsid w:val="7BF64EDE"/>
    <w:rsid w:val="7C08003E"/>
    <w:rsid w:val="7C400C1E"/>
    <w:rsid w:val="7C55517F"/>
    <w:rsid w:val="7D3C25A3"/>
    <w:rsid w:val="7D6A4FC2"/>
    <w:rsid w:val="7D8A363C"/>
    <w:rsid w:val="7DD11708"/>
    <w:rsid w:val="7DD83ECB"/>
    <w:rsid w:val="7EBC46EA"/>
    <w:rsid w:val="7EC167BD"/>
    <w:rsid w:val="7ED24865"/>
    <w:rsid w:val="7F3DBB14"/>
    <w:rsid w:val="7FC4310F"/>
    <w:rsid w:val="7FF82C26"/>
    <w:rsid w:val="8DEF3BEE"/>
    <w:rsid w:val="9F5DFCA4"/>
    <w:rsid w:val="BFD78AC9"/>
    <w:rsid w:val="DFFAD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5"/>
    <w:basedOn w:val="1"/>
    <w:next w:val="6"/>
    <w:link w:val="52"/>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8">
    <w:name w:val="annotation text"/>
    <w:basedOn w:val="1"/>
    <w:link w:val="51"/>
    <w:qFormat/>
    <w:uiPriority w:val="0"/>
    <w:pPr>
      <w:jc w:val="left"/>
    </w:pPr>
  </w:style>
  <w:style w:type="paragraph" w:styleId="9">
    <w:name w:val="Body Text 3"/>
    <w:basedOn w:val="1"/>
    <w:link w:val="50"/>
    <w:unhideWhenUsed/>
    <w:qFormat/>
    <w:uiPriority w:val="99"/>
    <w:pPr>
      <w:spacing w:after="120"/>
    </w:pPr>
    <w:rPr>
      <w:sz w:val="16"/>
      <w:szCs w:val="16"/>
    </w:rPr>
  </w:style>
  <w:style w:type="paragraph" w:styleId="10">
    <w:name w:val="Body Text"/>
    <w:basedOn w:val="1"/>
    <w:link w:val="49"/>
    <w:unhideWhenUsed/>
    <w:qFormat/>
    <w:uiPriority w:val="0"/>
    <w:pPr>
      <w:spacing w:after="120"/>
    </w:pPr>
  </w:style>
  <w:style w:type="paragraph" w:styleId="11">
    <w:name w:val="Body Text Indent"/>
    <w:basedOn w:val="1"/>
    <w:link w:val="47"/>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58"/>
    <w:qFormat/>
    <w:uiPriority w:val="0"/>
    <w:rPr>
      <w:rFonts w:ascii="宋体" w:hAnsi="Courier New"/>
      <w:kern w:val="0"/>
      <w:sz w:val="20"/>
      <w:szCs w:val="21"/>
    </w:rPr>
  </w:style>
  <w:style w:type="paragraph" w:styleId="14">
    <w:name w:val="Date"/>
    <w:basedOn w:val="1"/>
    <w:next w:val="1"/>
    <w:link w:val="46"/>
    <w:unhideWhenUsed/>
    <w:qFormat/>
    <w:uiPriority w:val="99"/>
    <w:pPr>
      <w:ind w:left="100" w:leftChars="2500"/>
    </w:pPr>
  </w:style>
  <w:style w:type="paragraph" w:styleId="15">
    <w:name w:val="Balloon Text"/>
    <w:basedOn w:val="1"/>
    <w:semiHidden/>
    <w:qFormat/>
    <w:uiPriority w:val="0"/>
    <w:rPr>
      <w:sz w:val="18"/>
      <w:szCs w:val="18"/>
    </w:rPr>
  </w:style>
  <w:style w:type="paragraph" w:styleId="16">
    <w:name w:val="footer"/>
    <w:basedOn w:val="1"/>
    <w:link w:val="45"/>
    <w:unhideWhenUsed/>
    <w:qFormat/>
    <w:uiPriority w:val="99"/>
    <w:pPr>
      <w:tabs>
        <w:tab w:val="center" w:pos="4153"/>
        <w:tab w:val="right" w:pos="8306"/>
      </w:tabs>
      <w:snapToGrid w:val="0"/>
      <w:jc w:val="left"/>
    </w:pPr>
    <w:rPr>
      <w:kern w:val="0"/>
      <w:sz w:val="18"/>
      <w:szCs w:val="18"/>
    </w:rPr>
  </w:style>
  <w:style w:type="paragraph" w:styleId="17">
    <w:name w:val="header"/>
    <w:basedOn w:val="1"/>
    <w:link w:val="4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tabs>
        <w:tab w:val="right" w:leader="dot" w:pos="8296"/>
      </w:tabs>
      <w:ind w:left="420" w:leftChars="200"/>
    </w:pPr>
  </w:style>
  <w:style w:type="paragraph" w:styleId="20">
    <w:name w:val="Normal (Web)"/>
    <w:basedOn w:val="1"/>
    <w:unhideWhenUsed/>
    <w:qFormat/>
    <w:uiPriority w:val="99"/>
    <w:rPr>
      <w:rFonts w:ascii="Calibri" w:hAnsi="Calibri"/>
      <w:kern w:val="0"/>
      <w:sz w:val="24"/>
    </w:rPr>
  </w:style>
  <w:style w:type="paragraph" w:styleId="21">
    <w:name w:val="annotation subject"/>
    <w:basedOn w:val="8"/>
    <w:next w:val="8"/>
    <w:link w:val="57"/>
    <w:qFormat/>
    <w:uiPriority w:val="99"/>
    <w:rPr>
      <w:b/>
      <w:bCs/>
    </w:r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Hyperlink"/>
    <w:unhideWhenUsed/>
    <w:qFormat/>
    <w:uiPriority w:val="99"/>
    <w:rPr>
      <w:color w:val="0000FF"/>
      <w:u w:val="single"/>
    </w:rPr>
  </w:style>
  <w:style w:type="character" w:styleId="26">
    <w:name w:val="annotation reference"/>
    <w:qFormat/>
    <w:uiPriority w:val="0"/>
    <w:rPr>
      <w:sz w:val="21"/>
      <w:szCs w:val="21"/>
    </w:rPr>
  </w:style>
  <w:style w:type="paragraph" w:customStyle="1" w:styleId="2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8">
    <w:name w:val="正文格式"/>
    <w:basedOn w:val="1"/>
    <w:qFormat/>
    <w:uiPriority w:val="0"/>
    <w:pPr>
      <w:topLinePunct/>
      <w:ind w:firstLine="420" w:firstLineChars="200"/>
    </w:pPr>
    <w:rPr>
      <w:rFonts w:ascii="宋体" w:hAnsi="宋体"/>
      <w:bCs/>
      <w:szCs w:val="21"/>
    </w:rPr>
  </w:style>
  <w:style w:type="paragraph" w:customStyle="1" w:styleId="29">
    <w:name w:val="默认段落字体 Para Char Char Char Char Char Char Char Char Char1 Char Char Char Char"/>
    <w:basedOn w:val="1"/>
    <w:qFormat/>
    <w:uiPriority w:val="0"/>
    <w:rPr>
      <w:rFonts w:ascii="Tahoma" w:hAnsi="Tahoma"/>
      <w:sz w:val="24"/>
      <w:szCs w:val="20"/>
    </w:rPr>
  </w:style>
  <w:style w:type="paragraph" w:customStyle="1" w:styleId="30">
    <w:name w:val="_Style 27"/>
    <w:basedOn w:val="1"/>
    <w:qFormat/>
    <w:uiPriority w:val="34"/>
    <w:pPr>
      <w:ind w:firstLine="420" w:firstLineChars="200"/>
    </w:pPr>
  </w:style>
  <w:style w:type="paragraph" w:customStyle="1" w:styleId="31">
    <w:name w:val="表格文字"/>
    <w:basedOn w:val="1"/>
    <w:qFormat/>
    <w:uiPriority w:val="99"/>
    <w:pPr>
      <w:spacing w:before="25" w:after="25"/>
      <w:jc w:val="left"/>
    </w:pPr>
    <w:rPr>
      <w:bCs/>
      <w:spacing w:val="10"/>
      <w:kern w:val="0"/>
      <w:sz w:val="24"/>
    </w:rPr>
  </w:style>
  <w:style w:type="paragraph" w:customStyle="1" w:styleId="3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33">
    <w:name w:val="Table Paragraph"/>
    <w:basedOn w:val="1"/>
    <w:qFormat/>
    <w:uiPriority w:val="1"/>
    <w:pPr>
      <w:jc w:val="left"/>
    </w:pPr>
    <w:rPr>
      <w:rFonts w:ascii="Calibri" w:hAnsi="Calibri"/>
      <w:kern w:val="0"/>
      <w:sz w:val="22"/>
      <w:szCs w:val="22"/>
      <w:lang w:eastAsia="en-US"/>
    </w:rPr>
  </w:style>
  <w:style w:type="character" w:customStyle="1" w:styleId="34">
    <w:name w:val="font21"/>
    <w:qFormat/>
    <w:uiPriority w:val="0"/>
    <w:rPr>
      <w:rFonts w:hint="eastAsia" w:ascii="宋体" w:hAnsi="宋体" w:eastAsia="宋体" w:cs="宋体"/>
      <w:color w:val="000000"/>
      <w:sz w:val="18"/>
      <w:szCs w:val="18"/>
    </w:rPr>
  </w:style>
  <w:style w:type="character" w:customStyle="1" w:styleId="35">
    <w:name w:val="正文文本缩进 字符1"/>
    <w:qFormat/>
    <w:uiPriority w:val="0"/>
    <w:rPr>
      <w:rFonts w:ascii="仿宋_GB2312" w:hAnsi="Times New Roman" w:eastAsia="仿宋_GB2312" w:cs="Times New Roman"/>
      <w:sz w:val="32"/>
      <w:szCs w:val="20"/>
    </w:rPr>
  </w:style>
  <w:style w:type="character" w:customStyle="1" w:styleId="36">
    <w:name w:val="批注文字 Char2"/>
    <w:qFormat/>
    <w:uiPriority w:val="0"/>
    <w:rPr>
      <w:rFonts w:ascii="Times New Roman" w:hAnsi="Times New Roman"/>
      <w:kern w:val="2"/>
      <w:sz w:val="21"/>
      <w:szCs w:val="24"/>
    </w:rPr>
  </w:style>
  <w:style w:type="character" w:customStyle="1" w:styleId="37">
    <w:name w:val="批注文字 字符2"/>
    <w:qFormat/>
    <w:uiPriority w:val="0"/>
    <w:rPr>
      <w:rFonts w:ascii="Times New Roman" w:hAnsi="Times New Roman"/>
      <w:kern w:val="2"/>
      <w:sz w:val="21"/>
      <w:szCs w:val="24"/>
    </w:rPr>
  </w:style>
  <w:style w:type="character" w:customStyle="1" w:styleId="38">
    <w:name w:val="纯文本 字符2"/>
    <w:qFormat/>
    <w:uiPriority w:val="0"/>
    <w:rPr>
      <w:rFonts w:ascii="宋体" w:hAnsi="Courier New" w:eastAsia="宋体" w:cs="Courier New"/>
      <w:szCs w:val="21"/>
    </w:rPr>
  </w:style>
  <w:style w:type="character" w:customStyle="1" w:styleId="39">
    <w:name w:val="批注文字 字符1"/>
    <w:qFormat/>
    <w:uiPriority w:val="0"/>
    <w:rPr>
      <w:kern w:val="2"/>
      <w:sz w:val="21"/>
      <w:szCs w:val="24"/>
    </w:rPr>
  </w:style>
  <w:style w:type="character" w:customStyle="1" w:styleId="40">
    <w:name w:val="标题 1 字符"/>
    <w:qFormat/>
    <w:uiPriority w:val="9"/>
    <w:rPr>
      <w:b/>
      <w:bCs/>
      <w:kern w:val="44"/>
      <w:sz w:val="44"/>
      <w:szCs w:val="44"/>
    </w:rPr>
  </w:style>
  <w:style w:type="character" w:customStyle="1" w:styleId="41">
    <w:name w:val="纯文本 字符1"/>
    <w:qFormat/>
    <w:uiPriority w:val="0"/>
    <w:rPr>
      <w:rFonts w:ascii="宋体" w:hAnsi="Courier New"/>
    </w:rPr>
  </w:style>
  <w:style w:type="character" w:customStyle="1" w:styleId="42">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43">
    <w:name w:val="apple-style-span"/>
    <w:qFormat/>
    <w:uiPriority w:val="0"/>
  </w:style>
  <w:style w:type="character" w:customStyle="1" w:styleId="44">
    <w:name w:val="页眉 字符"/>
    <w:link w:val="17"/>
    <w:qFormat/>
    <w:uiPriority w:val="99"/>
    <w:rPr>
      <w:sz w:val="18"/>
      <w:szCs w:val="18"/>
    </w:rPr>
  </w:style>
  <w:style w:type="character" w:customStyle="1" w:styleId="45">
    <w:name w:val="页脚 字符"/>
    <w:link w:val="16"/>
    <w:qFormat/>
    <w:uiPriority w:val="99"/>
    <w:rPr>
      <w:sz w:val="18"/>
      <w:szCs w:val="18"/>
    </w:rPr>
  </w:style>
  <w:style w:type="character" w:customStyle="1" w:styleId="46">
    <w:name w:val="日期 字符"/>
    <w:link w:val="14"/>
    <w:semiHidden/>
    <w:qFormat/>
    <w:uiPriority w:val="99"/>
    <w:rPr>
      <w:rFonts w:ascii="Times New Roman" w:hAnsi="Times New Roman"/>
      <w:kern w:val="2"/>
      <w:sz w:val="21"/>
      <w:szCs w:val="24"/>
    </w:rPr>
  </w:style>
  <w:style w:type="character" w:customStyle="1" w:styleId="47">
    <w:name w:val="正文文本缩进 字符"/>
    <w:link w:val="11"/>
    <w:qFormat/>
    <w:uiPriority w:val="0"/>
    <w:rPr>
      <w:rFonts w:ascii="仿宋_GB2312" w:hAnsi="Times New Roman" w:eastAsia="仿宋_GB2312" w:cs="Times New Roman"/>
      <w:sz w:val="32"/>
      <w:szCs w:val="20"/>
    </w:rPr>
  </w:style>
  <w:style w:type="character" w:customStyle="1" w:styleId="48">
    <w:name w:val="批注文字 Char1"/>
    <w:qFormat/>
    <w:uiPriority w:val="0"/>
    <w:rPr>
      <w:rFonts w:ascii="Times New Roman" w:hAnsi="Times New Roman"/>
      <w:kern w:val="2"/>
      <w:sz w:val="21"/>
      <w:szCs w:val="24"/>
    </w:rPr>
  </w:style>
  <w:style w:type="character" w:customStyle="1" w:styleId="49">
    <w:name w:val="正文文本 字符"/>
    <w:link w:val="10"/>
    <w:qFormat/>
    <w:uiPriority w:val="0"/>
    <w:rPr>
      <w:rFonts w:ascii="Times New Roman" w:hAnsi="Times New Roman"/>
      <w:kern w:val="2"/>
      <w:sz w:val="21"/>
      <w:szCs w:val="24"/>
    </w:rPr>
  </w:style>
  <w:style w:type="character" w:customStyle="1" w:styleId="50">
    <w:name w:val="正文文本 3 字符"/>
    <w:link w:val="9"/>
    <w:semiHidden/>
    <w:qFormat/>
    <w:uiPriority w:val="99"/>
    <w:rPr>
      <w:rFonts w:ascii="Times New Roman" w:hAnsi="Times New Roman"/>
      <w:kern w:val="2"/>
      <w:sz w:val="16"/>
      <w:szCs w:val="16"/>
    </w:rPr>
  </w:style>
  <w:style w:type="character" w:customStyle="1" w:styleId="51">
    <w:name w:val="批注文字 字符"/>
    <w:link w:val="8"/>
    <w:qFormat/>
    <w:uiPriority w:val="0"/>
    <w:rPr>
      <w:rFonts w:ascii="Times New Roman" w:hAnsi="Times New Roman"/>
      <w:kern w:val="2"/>
      <w:sz w:val="21"/>
      <w:szCs w:val="24"/>
    </w:rPr>
  </w:style>
  <w:style w:type="character" w:customStyle="1" w:styleId="52">
    <w:name w:val="标题 5 字符"/>
    <w:link w:val="5"/>
    <w:semiHidden/>
    <w:qFormat/>
    <w:uiPriority w:val="9"/>
    <w:rPr>
      <w:rFonts w:ascii="Times New Roman" w:hAnsi="Times New Roman"/>
      <w:b/>
      <w:bCs/>
      <w:kern w:val="2"/>
      <w:sz w:val="28"/>
      <w:szCs w:val="28"/>
    </w:rPr>
  </w:style>
  <w:style w:type="character" w:customStyle="1" w:styleId="53">
    <w:name w:val="标题 2 字符"/>
    <w:link w:val="3"/>
    <w:qFormat/>
    <w:uiPriority w:val="9"/>
    <w:rPr>
      <w:rFonts w:ascii="Cambria" w:hAnsi="Cambria" w:eastAsia="宋体" w:cs="Times New Roman"/>
      <w:b/>
      <w:bCs/>
      <w:kern w:val="2"/>
      <w:sz w:val="32"/>
      <w:szCs w:val="32"/>
    </w:rPr>
  </w:style>
  <w:style w:type="character" w:customStyle="1" w:styleId="54">
    <w:name w:val="标题 1 字符1"/>
    <w:link w:val="2"/>
    <w:qFormat/>
    <w:uiPriority w:val="0"/>
    <w:rPr>
      <w:b/>
      <w:bCs/>
      <w:kern w:val="44"/>
      <w:sz w:val="44"/>
      <w:szCs w:val="44"/>
    </w:rPr>
  </w:style>
  <w:style w:type="character" w:customStyle="1" w:styleId="55">
    <w:name w:val="页脚 Char"/>
    <w:qFormat/>
    <w:uiPriority w:val="99"/>
    <w:rPr>
      <w:lang w:eastAsia="zh-CN"/>
    </w:rPr>
  </w:style>
  <w:style w:type="character" w:customStyle="1" w:styleId="56">
    <w:name w:val="纯文本 Char1"/>
    <w:qFormat/>
    <w:uiPriority w:val="0"/>
    <w:rPr>
      <w:rFonts w:ascii="宋体" w:hAnsi="Courier New" w:eastAsia="宋体" w:cs="Courier New"/>
      <w:szCs w:val="21"/>
    </w:rPr>
  </w:style>
  <w:style w:type="character" w:customStyle="1" w:styleId="57">
    <w:name w:val="批注主题 字符"/>
    <w:link w:val="21"/>
    <w:qFormat/>
    <w:uiPriority w:val="99"/>
    <w:rPr>
      <w:rFonts w:ascii="Times New Roman" w:hAnsi="Times New Roman"/>
      <w:b/>
      <w:bCs/>
      <w:kern w:val="2"/>
      <w:sz w:val="21"/>
      <w:szCs w:val="24"/>
    </w:rPr>
  </w:style>
  <w:style w:type="character" w:customStyle="1" w:styleId="58">
    <w:name w:val="纯文本 字符"/>
    <w:link w:val="13"/>
    <w:qFormat/>
    <w:uiPriority w:val="0"/>
    <w:rPr>
      <w:rFonts w:ascii="宋体" w:hAnsi="Courier New" w:eastAsia="宋体" w:cs="Courier New"/>
      <w:szCs w:val="21"/>
    </w:rPr>
  </w:style>
  <w:style w:type="character" w:customStyle="1" w:styleId="59">
    <w:name w:val="textcontents"/>
    <w:qFormat/>
    <w:uiPriority w:val="0"/>
  </w:style>
  <w:style w:type="table" w:customStyle="1" w:styleId="60">
    <w:name w:val="Table Normal"/>
    <w:unhideWhenUsed/>
    <w:qFormat/>
    <w:uiPriority w:val="0"/>
    <w:tblPr>
      <w:tblCellMar>
        <w:top w:w="0" w:type="dxa"/>
        <w:left w:w="0" w:type="dxa"/>
        <w:bottom w:w="0" w:type="dxa"/>
        <w:right w:w="0" w:type="dxa"/>
      </w:tblCellMar>
    </w:tblPr>
  </w:style>
  <w:style w:type="paragraph" w:styleId="61">
    <w:name w:val="List Paragraph"/>
    <w:basedOn w:val="1"/>
    <w:qFormat/>
    <w:uiPriority w:val="99"/>
    <w:pPr>
      <w:ind w:firstLine="420" w:firstLineChars="200"/>
    </w:pPr>
    <w:rPr>
      <w:rFonts w:ascii="Calibri" w:hAnsi="Calibri"/>
    </w:rPr>
  </w:style>
  <w:style w:type="character" w:customStyle="1" w:styleId="62">
    <w:name w:val="font51"/>
    <w:qFormat/>
    <w:uiPriority w:val="0"/>
    <w:rPr>
      <w:rFonts w:ascii="微软雅黑" w:hAnsi="微软雅黑" w:eastAsia="微软雅黑" w:cs="微软雅黑"/>
      <w:color w:val="000000"/>
      <w:sz w:val="16"/>
      <w:szCs w:val="16"/>
      <w:u w:val="none"/>
    </w:rPr>
  </w:style>
  <w:style w:type="paragraph" w:customStyle="1" w:styleId="63">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74</Pages>
  <Words>11117</Words>
  <Characters>12047</Characters>
  <Lines>334</Lines>
  <Paragraphs>94</Paragraphs>
  <TotalTime>19</TotalTime>
  <ScaleCrop>false</ScaleCrop>
  <LinksUpToDate>false</LinksUpToDate>
  <CharactersWithSpaces>12175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KWZB</dc:creator>
  <cp:lastModifiedBy>0000</cp:lastModifiedBy>
  <cp:lastPrinted>2025-01-14T06:58:00Z</cp:lastPrinted>
  <dcterms:modified xsi:type="dcterms:W3CDTF">2025-02-10T11:24:39Z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2D5EEC8D97E64C7FB379E8BD88E84DB9_13</vt:lpwstr>
  </property>
  <property fmtid="{D5CDD505-2E9C-101B-9397-08002B2CF9AE}" pid="4" name="KSOTemplateDocerSaveRecord">
    <vt:lpwstr>eyJoZGlkIjoiM2EyMjE1OTU3MTgzNmIwZGVjYmYwZjU4MTIyN2U5M2QiLCJ1c2VySWQiOiIyODY5NjE5ODIifQ==</vt:lpwstr>
  </property>
</Properties>
</file>